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3.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4.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5.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6.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7.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Ex1.xml" ContentType="application/vnd.ms-office.chartex+xml"/>
  <Override PartName="/word/charts/style15.xml" ContentType="application/vnd.ms-office.chartstyle+xml"/>
  <Override PartName="/word/charts/colors15.xml" ContentType="application/vnd.ms-office.chartcolorstyle+xml"/>
  <Override PartName="/word/charts/chart15.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6.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7.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8.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8.xml" ContentType="application/vnd.openxmlformats-officedocument.themeOverride+xml"/>
  <Override PartName="/word/charts/chart19.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0.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1.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2.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3.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4.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5.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6.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7.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8.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29.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0.xml" ContentType="application/vnd.openxmlformats-officedocument.drawingml.chart+xml"/>
  <Override PartName="/word/charts/style31.xml" ContentType="application/vnd.ms-office.chartstyle+xml"/>
  <Override PartName="/word/charts/colors31.xml" ContentType="application/vnd.ms-office.chartcolorstyle+xml"/>
  <Override PartName="/word/theme/themeOverride9.xml" ContentType="application/vnd.openxmlformats-officedocument.themeOverride+xml"/>
  <Override PartName="/word/charts/chart31.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2.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3.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4.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5.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6.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7.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8.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39.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40.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41.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42.xml" ContentType="application/vnd.openxmlformats-officedocument.drawingml.chart+xml"/>
  <Override PartName="/word/charts/style43.xml" ContentType="application/vnd.ms-office.chartstyle+xml"/>
  <Override PartName="/word/charts/colors43.xml" ContentType="application/vnd.ms-office.chartcolorstyle+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209720558"/>
        <w:placeholder>
          <w:docPart w:val="4CFA9320A03148E98EF733F7A917AECF"/>
        </w:placeholder>
      </w:sdtPr>
      <w:sdtEndPr/>
      <w:sdtContent>
        <w:bookmarkStart w:id="0" w:name="_GoBack" w:displacedByCustomXml="prev"/>
        <w:bookmarkEnd w:id="0" w:displacedByCustomXml="prev"/>
        <w:p w14:paraId="03C2C803" w14:textId="079A6212" w:rsidR="00196D31" w:rsidRDefault="002F055E" w:rsidP="00FF5DA3">
          <w:pPr>
            <w:pStyle w:val="Nzov"/>
            <w:spacing w:before="4800"/>
          </w:pPr>
          <w:r>
            <w:t xml:space="preserve">STANOVISKO </w:t>
          </w:r>
          <w:r>
            <w:br/>
            <w:t>najvyššieho kontrolného úradu sr k návrhu štátneho záverečného účtu sr za rok 202</w:t>
          </w:r>
          <w:r w:rsidR="00807D40">
            <w:t>3</w:t>
          </w:r>
        </w:p>
      </w:sdtContent>
    </w:sdt>
    <w:p w14:paraId="627FE08C" w14:textId="77777777" w:rsidR="00F539EB" w:rsidRPr="00BB71F6" w:rsidRDefault="00F539EB" w:rsidP="00FF5DA3">
      <w:pPr>
        <w:pStyle w:val="Podtitul"/>
        <w:spacing w:after="1200"/>
      </w:pPr>
    </w:p>
    <w:p w14:paraId="5ED6434F" w14:textId="506E0D84" w:rsidR="00FF5DA3" w:rsidRDefault="00091AF8" w:rsidP="00FF5DA3">
      <w:pPr>
        <w:jc w:val="center"/>
        <w:rPr>
          <w:b/>
          <w:color w:val="314364" w:themeColor="text2"/>
          <w:sz w:val="32"/>
          <w:szCs w:val="32"/>
        </w:rPr>
      </w:pPr>
      <w:r>
        <w:rPr>
          <w:b/>
          <w:color w:val="314364" w:themeColor="text2"/>
          <w:sz w:val="32"/>
          <w:szCs w:val="32"/>
        </w:rPr>
        <w:t>Jún</w:t>
      </w:r>
      <w:r w:rsidR="00FF5DA3" w:rsidRPr="00FF5DA3">
        <w:rPr>
          <w:b/>
          <w:color w:val="314364" w:themeColor="text2"/>
          <w:sz w:val="32"/>
          <w:szCs w:val="32"/>
        </w:rPr>
        <w:t xml:space="preserve"> </w:t>
      </w:r>
      <w:r w:rsidR="00FF5DA3">
        <w:rPr>
          <w:b/>
          <w:color w:val="314364" w:themeColor="text2"/>
          <w:sz w:val="32"/>
          <w:szCs w:val="32"/>
        </w:rPr>
        <w:t>202</w:t>
      </w:r>
      <w:r w:rsidR="00807D40">
        <w:rPr>
          <w:b/>
          <w:color w:val="314364" w:themeColor="text2"/>
          <w:sz w:val="32"/>
          <w:szCs w:val="32"/>
        </w:rPr>
        <w:t>4</w:t>
      </w:r>
    </w:p>
    <w:p w14:paraId="62382217" w14:textId="586FA35A" w:rsidR="005C61DD" w:rsidRDefault="005C61DD" w:rsidP="00FF5DA3">
      <w:pPr>
        <w:jc w:val="center"/>
        <w:rPr>
          <w:b/>
          <w:color w:val="314364" w:themeColor="text2"/>
          <w:sz w:val="32"/>
          <w:szCs w:val="32"/>
        </w:rPr>
      </w:pPr>
    </w:p>
    <w:p w14:paraId="4DDA93D4" w14:textId="2E4D8CFB" w:rsidR="005C61DD" w:rsidRDefault="005C61DD" w:rsidP="00FF5DA3">
      <w:pPr>
        <w:jc w:val="center"/>
        <w:rPr>
          <w:b/>
          <w:color w:val="314364" w:themeColor="text2"/>
          <w:sz w:val="32"/>
          <w:szCs w:val="32"/>
        </w:rPr>
      </w:pPr>
    </w:p>
    <w:p w14:paraId="70263799" w14:textId="47AF91E0" w:rsidR="005C61DD" w:rsidRDefault="005C61DD" w:rsidP="00FF5DA3">
      <w:pPr>
        <w:jc w:val="center"/>
        <w:rPr>
          <w:b/>
          <w:color w:val="314364" w:themeColor="text2"/>
          <w:sz w:val="32"/>
          <w:szCs w:val="32"/>
        </w:rPr>
      </w:pPr>
    </w:p>
    <w:p w14:paraId="357C2B2C" w14:textId="5905B708" w:rsidR="005C61DD" w:rsidRDefault="005C61DD" w:rsidP="00FF5DA3">
      <w:pPr>
        <w:jc w:val="center"/>
        <w:rPr>
          <w:b/>
          <w:color w:val="314364" w:themeColor="text2"/>
          <w:sz w:val="32"/>
          <w:szCs w:val="32"/>
        </w:rPr>
      </w:pPr>
    </w:p>
    <w:p w14:paraId="4B4B9D19" w14:textId="66A64108" w:rsidR="005C61DD" w:rsidRDefault="005C61DD" w:rsidP="00FF5DA3">
      <w:pPr>
        <w:jc w:val="center"/>
        <w:rPr>
          <w:b/>
          <w:color w:val="314364" w:themeColor="text2"/>
          <w:sz w:val="32"/>
          <w:szCs w:val="32"/>
        </w:rPr>
      </w:pPr>
    </w:p>
    <w:p w14:paraId="1319CFD0" w14:textId="77777777" w:rsidR="005C61DD" w:rsidRDefault="005C61DD" w:rsidP="00FF5DA3">
      <w:pPr>
        <w:jc w:val="center"/>
        <w:rPr>
          <w:b/>
          <w:color w:val="314364" w:themeColor="text2"/>
          <w:sz w:val="32"/>
          <w:szCs w:val="32"/>
        </w:rPr>
        <w:sectPr w:rsidR="005C61DD" w:rsidSect="00A4647C">
          <w:headerReference w:type="default" r:id="rId8"/>
          <w:pgSz w:w="11906" w:h="16838"/>
          <w:pgMar w:top="1985" w:right="1418" w:bottom="1134" w:left="1418" w:header="0" w:footer="283" w:gutter="0"/>
          <w:cols w:space="708"/>
          <w:docGrid w:linePitch="360"/>
        </w:sectPr>
      </w:pPr>
    </w:p>
    <w:sdt>
      <w:sdtPr>
        <w:rPr>
          <w:rFonts w:eastAsiaTheme="minorHAnsi" w:cs="Segoe UI"/>
          <w:b/>
          <w:bCs/>
          <w:caps/>
          <w:noProof/>
          <w:color w:val="auto"/>
          <w:sz w:val="20"/>
          <w:szCs w:val="22"/>
          <w:lang w:eastAsia="en-US"/>
        </w:rPr>
        <w:id w:val="-1546975290"/>
        <w:docPartObj>
          <w:docPartGallery w:val="Table of Contents"/>
          <w:docPartUnique/>
        </w:docPartObj>
      </w:sdtPr>
      <w:sdtEndPr>
        <w:rPr>
          <w:rFonts w:asciiTheme="minorHAnsi" w:hAnsiTheme="minorHAnsi" w:cstheme="minorBidi"/>
          <w:color w:val="314364" w:themeColor="text2"/>
          <w:szCs w:val="20"/>
        </w:rPr>
      </w:sdtEndPr>
      <w:sdtContent>
        <w:p w14:paraId="5CE10F7B" w14:textId="77777777" w:rsidR="00004033" w:rsidRPr="00F7397F" w:rsidRDefault="00004033" w:rsidP="002C027A">
          <w:pPr>
            <w:pStyle w:val="Hlavikaobsahu"/>
            <w:rPr>
              <w:rFonts w:cs="Segoe UI"/>
              <w:b/>
            </w:rPr>
          </w:pPr>
          <w:r w:rsidRPr="00F7397F">
            <w:rPr>
              <w:rFonts w:cs="Segoe UI"/>
              <w:b/>
            </w:rPr>
            <w:t>Obsah</w:t>
          </w:r>
        </w:p>
        <w:p w14:paraId="299EAF24" w14:textId="18365079" w:rsidR="00F7397F" w:rsidRPr="00F7397F" w:rsidRDefault="00A4647C">
          <w:pPr>
            <w:pStyle w:val="Obsah1"/>
            <w:rPr>
              <w:rFonts w:ascii="Segoe UI" w:eastAsiaTheme="minorEastAsia" w:hAnsi="Segoe UI" w:cs="Segoe UI"/>
              <w:b w:val="0"/>
              <w:bCs w:val="0"/>
              <w:caps w:val="0"/>
              <w:color w:val="auto"/>
              <w:sz w:val="22"/>
              <w:szCs w:val="22"/>
              <w:lang w:eastAsia="sk-SK"/>
            </w:rPr>
          </w:pPr>
          <w:r w:rsidRPr="00F7397F">
            <w:rPr>
              <w:rFonts w:ascii="Segoe UI" w:hAnsi="Segoe UI" w:cs="Segoe UI"/>
            </w:rPr>
            <w:fldChar w:fldCharType="begin"/>
          </w:r>
          <w:r w:rsidRPr="00F7397F">
            <w:rPr>
              <w:rFonts w:ascii="Segoe UI" w:hAnsi="Segoe UI" w:cs="Segoe UI"/>
            </w:rPr>
            <w:instrText xml:space="preserve"> TOC \o "1-3" \h \z \u </w:instrText>
          </w:r>
          <w:r w:rsidRPr="00F7397F">
            <w:rPr>
              <w:rFonts w:ascii="Segoe UI" w:hAnsi="Segoe UI" w:cs="Segoe UI"/>
            </w:rPr>
            <w:fldChar w:fldCharType="separate"/>
          </w:r>
          <w:hyperlink w:anchor="_Toc168567176" w:history="1">
            <w:r w:rsidR="00F7397F" w:rsidRPr="00F7397F">
              <w:rPr>
                <w:rStyle w:val="Hypertextovprepojenie"/>
                <w:rFonts w:cs="Segoe UI"/>
              </w:rPr>
              <w:t>Zhrnutie</w:t>
            </w:r>
            <w:r w:rsidR="00F7397F" w:rsidRPr="00F7397F">
              <w:rPr>
                <w:rFonts w:ascii="Segoe UI" w:hAnsi="Segoe UI" w:cs="Segoe UI"/>
                <w:webHidden/>
              </w:rPr>
              <w:tab/>
            </w:r>
            <w:r w:rsidR="00F7397F" w:rsidRPr="00F7397F">
              <w:rPr>
                <w:rFonts w:ascii="Segoe UI" w:hAnsi="Segoe UI" w:cs="Segoe UI"/>
                <w:webHidden/>
              </w:rPr>
              <w:fldChar w:fldCharType="begin"/>
            </w:r>
            <w:r w:rsidR="00F7397F" w:rsidRPr="00F7397F">
              <w:rPr>
                <w:rFonts w:ascii="Segoe UI" w:hAnsi="Segoe UI" w:cs="Segoe UI"/>
                <w:webHidden/>
              </w:rPr>
              <w:instrText xml:space="preserve"> PAGEREF _Toc168567176 \h </w:instrText>
            </w:r>
            <w:r w:rsidR="00F7397F" w:rsidRPr="00F7397F">
              <w:rPr>
                <w:rFonts w:ascii="Segoe UI" w:hAnsi="Segoe UI" w:cs="Segoe UI"/>
                <w:webHidden/>
              </w:rPr>
            </w:r>
            <w:r w:rsidR="00F7397F" w:rsidRPr="00F7397F">
              <w:rPr>
                <w:rFonts w:ascii="Segoe UI" w:hAnsi="Segoe UI" w:cs="Segoe UI"/>
                <w:webHidden/>
              </w:rPr>
              <w:fldChar w:fldCharType="separate"/>
            </w:r>
            <w:r w:rsidR="002A46D9">
              <w:rPr>
                <w:rFonts w:ascii="Segoe UI" w:hAnsi="Segoe UI" w:cs="Segoe UI"/>
                <w:webHidden/>
              </w:rPr>
              <w:t>4</w:t>
            </w:r>
            <w:r w:rsidR="00F7397F" w:rsidRPr="00F7397F">
              <w:rPr>
                <w:rFonts w:ascii="Segoe UI" w:hAnsi="Segoe UI" w:cs="Segoe UI"/>
                <w:webHidden/>
              </w:rPr>
              <w:fldChar w:fldCharType="end"/>
            </w:r>
          </w:hyperlink>
        </w:p>
        <w:p w14:paraId="47B1D18B" w14:textId="335D283A" w:rsidR="00F7397F" w:rsidRPr="00F7397F" w:rsidRDefault="00F7397F">
          <w:pPr>
            <w:pStyle w:val="Obsah1"/>
            <w:rPr>
              <w:rFonts w:ascii="Segoe UI" w:eastAsiaTheme="minorEastAsia" w:hAnsi="Segoe UI" w:cs="Segoe UI"/>
              <w:b w:val="0"/>
              <w:bCs w:val="0"/>
              <w:caps w:val="0"/>
              <w:color w:val="auto"/>
              <w:sz w:val="22"/>
              <w:szCs w:val="22"/>
              <w:lang w:eastAsia="sk-SK"/>
            </w:rPr>
          </w:pPr>
          <w:hyperlink w:anchor="_Toc168567177" w:history="1">
            <w:r w:rsidRPr="00F7397F">
              <w:rPr>
                <w:rStyle w:val="Hypertextovprepojenie"/>
                <w:rFonts w:cs="Segoe UI"/>
              </w:rPr>
              <w:t>1</w:t>
            </w:r>
            <w:r w:rsidRPr="00F7397F">
              <w:rPr>
                <w:rFonts w:ascii="Segoe UI" w:eastAsiaTheme="minorEastAsia" w:hAnsi="Segoe UI" w:cs="Segoe UI"/>
                <w:b w:val="0"/>
                <w:bCs w:val="0"/>
                <w:caps w:val="0"/>
                <w:color w:val="auto"/>
                <w:sz w:val="22"/>
                <w:szCs w:val="22"/>
                <w:lang w:eastAsia="sk-SK"/>
              </w:rPr>
              <w:tab/>
            </w:r>
            <w:r w:rsidRPr="00F7397F">
              <w:rPr>
                <w:rStyle w:val="Hypertextovprepojenie"/>
                <w:rFonts w:cs="Segoe UI"/>
              </w:rPr>
              <w:t>Ekonomický rámec rozpočtového hospodárenia SR</w:t>
            </w:r>
            <w:r w:rsidRPr="00F7397F">
              <w:rPr>
                <w:rFonts w:ascii="Segoe UI" w:hAnsi="Segoe UI" w:cs="Segoe UI"/>
                <w:webHidden/>
              </w:rPr>
              <w:tab/>
            </w:r>
            <w:r w:rsidRPr="00F7397F">
              <w:rPr>
                <w:rFonts w:ascii="Segoe UI" w:hAnsi="Segoe UI" w:cs="Segoe UI"/>
                <w:webHidden/>
              </w:rPr>
              <w:fldChar w:fldCharType="begin"/>
            </w:r>
            <w:r w:rsidRPr="00F7397F">
              <w:rPr>
                <w:rFonts w:ascii="Segoe UI" w:hAnsi="Segoe UI" w:cs="Segoe UI"/>
                <w:webHidden/>
              </w:rPr>
              <w:instrText xml:space="preserve"> PAGEREF _Toc168567177 \h </w:instrText>
            </w:r>
            <w:r w:rsidRPr="00F7397F">
              <w:rPr>
                <w:rFonts w:ascii="Segoe UI" w:hAnsi="Segoe UI" w:cs="Segoe UI"/>
                <w:webHidden/>
              </w:rPr>
            </w:r>
            <w:r w:rsidRPr="00F7397F">
              <w:rPr>
                <w:rFonts w:ascii="Segoe UI" w:hAnsi="Segoe UI" w:cs="Segoe UI"/>
                <w:webHidden/>
              </w:rPr>
              <w:fldChar w:fldCharType="separate"/>
            </w:r>
            <w:r w:rsidR="002A46D9">
              <w:rPr>
                <w:rFonts w:ascii="Segoe UI" w:hAnsi="Segoe UI" w:cs="Segoe UI"/>
                <w:webHidden/>
              </w:rPr>
              <w:t>7</w:t>
            </w:r>
            <w:r w:rsidRPr="00F7397F">
              <w:rPr>
                <w:rFonts w:ascii="Segoe UI" w:hAnsi="Segoe UI" w:cs="Segoe UI"/>
                <w:webHidden/>
              </w:rPr>
              <w:fldChar w:fldCharType="end"/>
            </w:r>
          </w:hyperlink>
        </w:p>
        <w:p w14:paraId="0BC096B1" w14:textId="13E9ABD3" w:rsidR="00F7397F" w:rsidRPr="00F7397F" w:rsidRDefault="00F7397F">
          <w:pPr>
            <w:pStyle w:val="Obsah1"/>
            <w:rPr>
              <w:rFonts w:ascii="Segoe UI" w:eastAsiaTheme="minorEastAsia" w:hAnsi="Segoe UI" w:cs="Segoe UI"/>
              <w:b w:val="0"/>
              <w:bCs w:val="0"/>
              <w:caps w:val="0"/>
              <w:color w:val="auto"/>
              <w:sz w:val="22"/>
              <w:szCs w:val="22"/>
              <w:lang w:eastAsia="sk-SK"/>
            </w:rPr>
          </w:pPr>
          <w:hyperlink w:anchor="_Toc168567178" w:history="1">
            <w:r w:rsidRPr="00F7397F">
              <w:rPr>
                <w:rStyle w:val="Hypertextovprepojenie"/>
                <w:rFonts w:cs="Segoe UI"/>
              </w:rPr>
              <w:t>2</w:t>
            </w:r>
            <w:r w:rsidRPr="00F7397F">
              <w:rPr>
                <w:rFonts w:ascii="Segoe UI" w:eastAsiaTheme="minorEastAsia" w:hAnsi="Segoe UI" w:cs="Segoe UI"/>
                <w:b w:val="0"/>
                <w:bCs w:val="0"/>
                <w:caps w:val="0"/>
                <w:color w:val="auto"/>
                <w:sz w:val="22"/>
                <w:szCs w:val="22"/>
                <w:lang w:eastAsia="sk-SK"/>
              </w:rPr>
              <w:tab/>
            </w:r>
            <w:r w:rsidRPr="00F7397F">
              <w:rPr>
                <w:rStyle w:val="Hypertextovprepojenie"/>
                <w:rFonts w:cs="Segoe UI"/>
              </w:rPr>
              <w:t>Hospodárenie verejnej správy v metodike ESA 2010</w:t>
            </w:r>
            <w:r w:rsidRPr="00F7397F">
              <w:rPr>
                <w:rFonts w:ascii="Segoe UI" w:hAnsi="Segoe UI" w:cs="Segoe UI"/>
                <w:webHidden/>
              </w:rPr>
              <w:tab/>
            </w:r>
            <w:r w:rsidRPr="00F7397F">
              <w:rPr>
                <w:rFonts w:ascii="Segoe UI" w:hAnsi="Segoe UI" w:cs="Segoe UI"/>
                <w:webHidden/>
              </w:rPr>
              <w:fldChar w:fldCharType="begin"/>
            </w:r>
            <w:r w:rsidRPr="00F7397F">
              <w:rPr>
                <w:rFonts w:ascii="Segoe UI" w:hAnsi="Segoe UI" w:cs="Segoe UI"/>
                <w:webHidden/>
              </w:rPr>
              <w:instrText xml:space="preserve"> PAGEREF _Toc168567178 \h </w:instrText>
            </w:r>
            <w:r w:rsidRPr="00F7397F">
              <w:rPr>
                <w:rFonts w:ascii="Segoe UI" w:hAnsi="Segoe UI" w:cs="Segoe UI"/>
                <w:webHidden/>
              </w:rPr>
            </w:r>
            <w:r w:rsidRPr="00F7397F">
              <w:rPr>
                <w:rFonts w:ascii="Segoe UI" w:hAnsi="Segoe UI" w:cs="Segoe UI"/>
                <w:webHidden/>
              </w:rPr>
              <w:fldChar w:fldCharType="separate"/>
            </w:r>
            <w:r w:rsidR="002A46D9">
              <w:rPr>
                <w:rFonts w:ascii="Segoe UI" w:hAnsi="Segoe UI" w:cs="Segoe UI"/>
                <w:webHidden/>
              </w:rPr>
              <w:t>8</w:t>
            </w:r>
            <w:r w:rsidRPr="00F7397F">
              <w:rPr>
                <w:rFonts w:ascii="Segoe UI" w:hAnsi="Segoe UI" w:cs="Segoe UI"/>
                <w:webHidden/>
              </w:rPr>
              <w:fldChar w:fldCharType="end"/>
            </w:r>
          </w:hyperlink>
        </w:p>
        <w:p w14:paraId="7661CBEE" w14:textId="49DCC759" w:rsidR="00F7397F" w:rsidRPr="00F7397F" w:rsidRDefault="00F7397F">
          <w:pPr>
            <w:pStyle w:val="Obsah2"/>
            <w:tabs>
              <w:tab w:val="right" w:leader="dot" w:pos="9060"/>
            </w:tabs>
            <w:rPr>
              <w:rFonts w:ascii="Segoe UI" w:eastAsiaTheme="minorEastAsia" w:hAnsi="Segoe UI" w:cs="Segoe UI"/>
              <w:smallCaps w:val="0"/>
              <w:noProof/>
              <w:sz w:val="22"/>
              <w:szCs w:val="22"/>
              <w:lang w:eastAsia="sk-SK"/>
            </w:rPr>
          </w:pPr>
          <w:hyperlink w:anchor="_Toc168567179" w:history="1">
            <w:r w:rsidRPr="00F7397F">
              <w:rPr>
                <w:rStyle w:val="Hypertextovprepojenie"/>
                <w:rFonts w:cs="Segoe UI"/>
                <w:noProof/>
              </w:rPr>
              <w:t>2.1  Saldo verejnej správy</w:t>
            </w:r>
            <w:r w:rsidRPr="00F7397F">
              <w:rPr>
                <w:rFonts w:ascii="Segoe UI" w:hAnsi="Segoe UI" w:cs="Segoe UI"/>
                <w:noProof/>
                <w:webHidden/>
              </w:rPr>
              <w:tab/>
            </w:r>
            <w:r w:rsidRPr="00F7397F">
              <w:rPr>
                <w:rFonts w:ascii="Segoe UI" w:hAnsi="Segoe UI" w:cs="Segoe UI"/>
                <w:noProof/>
                <w:webHidden/>
              </w:rPr>
              <w:fldChar w:fldCharType="begin"/>
            </w:r>
            <w:r w:rsidRPr="00F7397F">
              <w:rPr>
                <w:rFonts w:ascii="Segoe UI" w:hAnsi="Segoe UI" w:cs="Segoe UI"/>
                <w:noProof/>
                <w:webHidden/>
              </w:rPr>
              <w:instrText xml:space="preserve"> PAGEREF _Toc168567179 \h </w:instrText>
            </w:r>
            <w:r w:rsidRPr="00F7397F">
              <w:rPr>
                <w:rFonts w:ascii="Segoe UI" w:hAnsi="Segoe UI" w:cs="Segoe UI"/>
                <w:noProof/>
                <w:webHidden/>
              </w:rPr>
            </w:r>
            <w:r w:rsidRPr="00F7397F">
              <w:rPr>
                <w:rFonts w:ascii="Segoe UI" w:hAnsi="Segoe UI" w:cs="Segoe UI"/>
                <w:noProof/>
                <w:webHidden/>
              </w:rPr>
              <w:fldChar w:fldCharType="separate"/>
            </w:r>
            <w:r w:rsidR="002A46D9">
              <w:rPr>
                <w:rFonts w:ascii="Segoe UI" w:hAnsi="Segoe UI" w:cs="Segoe UI"/>
                <w:noProof/>
                <w:webHidden/>
              </w:rPr>
              <w:t>9</w:t>
            </w:r>
            <w:r w:rsidRPr="00F7397F">
              <w:rPr>
                <w:rFonts w:ascii="Segoe UI" w:hAnsi="Segoe UI" w:cs="Segoe UI"/>
                <w:noProof/>
                <w:webHidden/>
              </w:rPr>
              <w:fldChar w:fldCharType="end"/>
            </w:r>
          </w:hyperlink>
        </w:p>
        <w:p w14:paraId="20D95C2E" w14:textId="4E6FC7D8" w:rsidR="00F7397F" w:rsidRPr="00F7397F" w:rsidRDefault="00F7397F">
          <w:pPr>
            <w:pStyle w:val="Obsah2"/>
            <w:tabs>
              <w:tab w:val="right" w:leader="dot" w:pos="9060"/>
            </w:tabs>
            <w:rPr>
              <w:rFonts w:ascii="Segoe UI" w:eastAsiaTheme="minorEastAsia" w:hAnsi="Segoe UI" w:cs="Segoe UI"/>
              <w:smallCaps w:val="0"/>
              <w:noProof/>
              <w:sz w:val="22"/>
              <w:szCs w:val="22"/>
              <w:lang w:eastAsia="sk-SK"/>
            </w:rPr>
          </w:pPr>
          <w:hyperlink w:anchor="_Toc168567180" w:history="1">
            <w:r w:rsidRPr="00F7397F">
              <w:rPr>
                <w:rStyle w:val="Hypertextovprepojenie"/>
                <w:rFonts w:cs="Segoe UI"/>
                <w:noProof/>
              </w:rPr>
              <w:t>2.2  Príjmy verejnej správy</w:t>
            </w:r>
            <w:r w:rsidRPr="00F7397F">
              <w:rPr>
                <w:rFonts w:ascii="Segoe UI" w:hAnsi="Segoe UI" w:cs="Segoe UI"/>
                <w:noProof/>
                <w:webHidden/>
              </w:rPr>
              <w:tab/>
            </w:r>
            <w:r w:rsidRPr="00F7397F">
              <w:rPr>
                <w:rFonts w:ascii="Segoe UI" w:hAnsi="Segoe UI" w:cs="Segoe UI"/>
                <w:noProof/>
                <w:webHidden/>
              </w:rPr>
              <w:fldChar w:fldCharType="begin"/>
            </w:r>
            <w:r w:rsidRPr="00F7397F">
              <w:rPr>
                <w:rFonts w:ascii="Segoe UI" w:hAnsi="Segoe UI" w:cs="Segoe UI"/>
                <w:noProof/>
                <w:webHidden/>
              </w:rPr>
              <w:instrText xml:space="preserve"> PAGEREF _Toc168567180 \h </w:instrText>
            </w:r>
            <w:r w:rsidRPr="00F7397F">
              <w:rPr>
                <w:rFonts w:ascii="Segoe UI" w:hAnsi="Segoe UI" w:cs="Segoe UI"/>
                <w:noProof/>
                <w:webHidden/>
              </w:rPr>
            </w:r>
            <w:r w:rsidRPr="00F7397F">
              <w:rPr>
                <w:rFonts w:ascii="Segoe UI" w:hAnsi="Segoe UI" w:cs="Segoe UI"/>
                <w:noProof/>
                <w:webHidden/>
              </w:rPr>
              <w:fldChar w:fldCharType="separate"/>
            </w:r>
            <w:r w:rsidR="002A46D9">
              <w:rPr>
                <w:rFonts w:ascii="Segoe UI" w:hAnsi="Segoe UI" w:cs="Segoe UI"/>
                <w:noProof/>
                <w:webHidden/>
              </w:rPr>
              <w:t>10</w:t>
            </w:r>
            <w:r w:rsidRPr="00F7397F">
              <w:rPr>
                <w:rFonts w:ascii="Segoe UI" w:hAnsi="Segoe UI" w:cs="Segoe UI"/>
                <w:noProof/>
                <w:webHidden/>
              </w:rPr>
              <w:fldChar w:fldCharType="end"/>
            </w:r>
          </w:hyperlink>
        </w:p>
        <w:p w14:paraId="4DB207C8" w14:textId="45A6BDD2" w:rsidR="00F7397F" w:rsidRPr="00F7397F" w:rsidRDefault="00F7397F">
          <w:pPr>
            <w:pStyle w:val="Obsah2"/>
            <w:tabs>
              <w:tab w:val="right" w:leader="dot" w:pos="9060"/>
            </w:tabs>
            <w:rPr>
              <w:rFonts w:ascii="Segoe UI" w:eastAsiaTheme="minorEastAsia" w:hAnsi="Segoe UI" w:cs="Segoe UI"/>
              <w:smallCaps w:val="0"/>
              <w:noProof/>
              <w:sz w:val="22"/>
              <w:szCs w:val="22"/>
              <w:lang w:eastAsia="sk-SK"/>
            </w:rPr>
          </w:pPr>
          <w:hyperlink w:anchor="_Toc168567181" w:history="1">
            <w:r w:rsidRPr="00F7397F">
              <w:rPr>
                <w:rStyle w:val="Hypertextovprepojenie"/>
                <w:rFonts w:cs="Segoe UI"/>
                <w:noProof/>
                <w:shd w:val="clear" w:color="auto" w:fill="FFFFFF"/>
              </w:rPr>
              <w:t>2.3  Výdavky verejnej správy</w:t>
            </w:r>
            <w:r w:rsidRPr="00F7397F">
              <w:rPr>
                <w:rFonts w:ascii="Segoe UI" w:hAnsi="Segoe UI" w:cs="Segoe UI"/>
                <w:noProof/>
                <w:webHidden/>
              </w:rPr>
              <w:tab/>
            </w:r>
            <w:r w:rsidRPr="00F7397F">
              <w:rPr>
                <w:rFonts w:ascii="Segoe UI" w:hAnsi="Segoe UI" w:cs="Segoe UI"/>
                <w:noProof/>
                <w:webHidden/>
              </w:rPr>
              <w:fldChar w:fldCharType="begin"/>
            </w:r>
            <w:r w:rsidRPr="00F7397F">
              <w:rPr>
                <w:rFonts w:ascii="Segoe UI" w:hAnsi="Segoe UI" w:cs="Segoe UI"/>
                <w:noProof/>
                <w:webHidden/>
              </w:rPr>
              <w:instrText xml:space="preserve"> PAGEREF _Toc168567181 \h </w:instrText>
            </w:r>
            <w:r w:rsidRPr="00F7397F">
              <w:rPr>
                <w:rFonts w:ascii="Segoe UI" w:hAnsi="Segoe UI" w:cs="Segoe UI"/>
                <w:noProof/>
                <w:webHidden/>
              </w:rPr>
            </w:r>
            <w:r w:rsidRPr="00F7397F">
              <w:rPr>
                <w:rFonts w:ascii="Segoe UI" w:hAnsi="Segoe UI" w:cs="Segoe UI"/>
                <w:noProof/>
                <w:webHidden/>
              </w:rPr>
              <w:fldChar w:fldCharType="separate"/>
            </w:r>
            <w:r w:rsidR="002A46D9">
              <w:rPr>
                <w:rFonts w:ascii="Segoe UI" w:hAnsi="Segoe UI" w:cs="Segoe UI"/>
                <w:noProof/>
                <w:webHidden/>
              </w:rPr>
              <w:t>12</w:t>
            </w:r>
            <w:r w:rsidRPr="00F7397F">
              <w:rPr>
                <w:rFonts w:ascii="Segoe UI" w:hAnsi="Segoe UI" w:cs="Segoe UI"/>
                <w:noProof/>
                <w:webHidden/>
              </w:rPr>
              <w:fldChar w:fldCharType="end"/>
            </w:r>
          </w:hyperlink>
        </w:p>
        <w:p w14:paraId="41E170E7" w14:textId="59104693" w:rsidR="00F7397F" w:rsidRPr="00F7397F" w:rsidRDefault="00F7397F">
          <w:pPr>
            <w:pStyle w:val="Obsah2"/>
            <w:tabs>
              <w:tab w:val="right" w:leader="dot" w:pos="9060"/>
            </w:tabs>
            <w:rPr>
              <w:rFonts w:ascii="Segoe UI" w:eastAsiaTheme="minorEastAsia" w:hAnsi="Segoe UI" w:cs="Segoe UI"/>
              <w:smallCaps w:val="0"/>
              <w:noProof/>
              <w:sz w:val="22"/>
              <w:szCs w:val="22"/>
              <w:lang w:eastAsia="sk-SK"/>
            </w:rPr>
          </w:pPr>
          <w:hyperlink w:anchor="_Toc168567182" w:history="1">
            <w:r w:rsidRPr="00F7397F">
              <w:rPr>
                <w:rStyle w:val="Hypertextovprepojenie"/>
                <w:rFonts w:cs="Segoe UI"/>
                <w:noProof/>
              </w:rPr>
              <w:t>2.4  Dlh verejnej správy</w:t>
            </w:r>
            <w:r w:rsidRPr="00F7397F">
              <w:rPr>
                <w:rFonts w:ascii="Segoe UI" w:hAnsi="Segoe UI" w:cs="Segoe UI"/>
                <w:noProof/>
                <w:webHidden/>
              </w:rPr>
              <w:tab/>
            </w:r>
            <w:r w:rsidRPr="00F7397F">
              <w:rPr>
                <w:rFonts w:ascii="Segoe UI" w:hAnsi="Segoe UI" w:cs="Segoe UI"/>
                <w:noProof/>
                <w:webHidden/>
              </w:rPr>
              <w:fldChar w:fldCharType="begin"/>
            </w:r>
            <w:r w:rsidRPr="00F7397F">
              <w:rPr>
                <w:rFonts w:ascii="Segoe UI" w:hAnsi="Segoe UI" w:cs="Segoe UI"/>
                <w:noProof/>
                <w:webHidden/>
              </w:rPr>
              <w:instrText xml:space="preserve"> PAGEREF _Toc168567182 \h </w:instrText>
            </w:r>
            <w:r w:rsidRPr="00F7397F">
              <w:rPr>
                <w:rFonts w:ascii="Segoe UI" w:hAnsi="Segoe UI" w:cs="Segoe UI"/>
                <w:noProof/>
                <w:webHidden/>
              </w:rPr>
            </w:r>
            <w:r w:rsidRPr="00F7397F">
              <w:rPr>
                <w:rFonts w:ascii="Segoe UI" w:hAnsi="Segoe UI" w:cs="Segoe UI"/>
                <w:noProof/>
                <w:webHidden/>
              </w:rPr>
              <w:fldChar w:fldCharType="separate"/>
            </w:r>
            <w:r w:rsidR="002A46D9">
              <w:rPr>
                <w:rFonts w:ascii="Segoe UI" w:hAnsi="Segoe UI" w:cs="Segoe UI"/>
                <w:noProof/>
                <w:webHidden/>
              </w:rPr>
              <w:t>14</w:t>
            </w:r>
            <w:r w:rsidRPr="00F7397F">
              <w:rPr>
                <w:rFonts w:ascii="Segoe UI" w:hAnsi="Segoe UI" w:cs="Segoe UI"/>
                <w:noProof/>
                <w:webHidden/>
              </w:rPr>
              <w:fldChar w:fldCharType="end"/>
            </w:r>
          </w:hyperlink>
        </w:p>
        <w:p w14:paraId="00B52151" w14:textId="52AAAC05" w:rsidR="00F7397F" w:rsidRPr="00F7397F" w:rsidRDefault="00F7397F">
          <w:pPr>
            <w:pStyle w:val="Obsah1"/>
            <w:rPr>
              <w:rFonts w:ascii="Segoe UI" w:eastAsiaTheme="minorEastAsia" w:hAnsi="Segoe UI" w:cs="Segoe UI"/>
              <w:b w:val="0"/>
              <w:bCs w:val="0"/>
              <w:caps w:val="0"/>
              <w:color w:val="auto"/>
              <w:sz w:val="22"/>
              <w:szCs w:val="22"/>
              <w:lang w:eastAsia="sk-SK"/>
            </w:rPr>
          </w:pPr>
          <w:hyperlink w:anchor="_Toc168567183" w:history="1">
            <w:r w:rsidRPr="00F7397F">
              <w:rPr>
                <w:rStyle w:val="Hypertextovprepojenie"/>
                <w:rFonts w:cs="Segoe UI"/>
              </w:rPr>
              <w:t>3</w:t>
            </w:r>
            <w:r w:rsidRPr="00F7397F">
              <w:rPr>
                <w:rFonts w:ascii="Segoe UI" w:eastAsiaTheme="minorEastAsia" w:hAnsi="Segoe UI" w:cs="Segoe UI"/>
                <w:b w:val="0"/>
                <w:bCs w:val="0"/>
                <w:caps w:val="0"/>
                <w:color w:val="auto"/>
                <w:sz w:val="22"/>
                <w:szCs w:val="22"/>
                <w:lang w:eastAsia="sk-SK"/>
              </w:rPr>
              <w:tab/>
            </w:r>
            <w:r w:rsidRPr="00F7397F">
              <w:rPr>
                <w:rStyle w:val="Hypertextovprepojenie"/>
                <w:rFonts w:cs="Segoe UI"/>
              </w:rPr>
              <w:t>Hospodárenie verejnej správy na hotovostnej báze</w:t>
            </w:r>
            <w:r w:rsidRPr="00F7397F">
              <w:rPr>
                <w:rFonts w:ascii="Segoe UI" w:hAnsi="Segoe UI" w:cs="Segoe UI"/>
                <w:webHidden/>
              </w:rPr>
              <w:tab/>
            </w:r>
            <w:r w:rsidRPr="00F7397F">
              <w:rPr>
                <w:rFonts w:ascii="Segoe UI" w:hAnsi="Segoe UI" w:cs="Segoe UI"/>
                <w:webHidden/>
              </w:rPr>
              <w:fldChar w:fldCharType="begin"/>
            </w:r>
            <w:r w:rsidRPr="00F7397F">
              <w:rPr>
                <w:rFonts w:ascii="Segoe UI" w:hAnsi="Segoe UI" w:cs="Segoe UI"/>
                <w:webHidden/>
              </w:rPr>
              <w:instrText xml:space="preserve"> PAGEREF _Toc168567183 \h </w:instrText>
            </w:r>
            <w:r w:rsidRPr="00F7397F">
              <w:rPr>
                <w:rFonts w:ascii="Segoe UI" w:hAnsi="Segoe UI" w:cs="Segoe UI"/>
                <w:webHidden/>
              </w:rPr>
            </w:r>
            <w:r w:rsidRPr="00F7397F">
              <w:rPr>
                <w:rFonts w:ascii="Segoe UI" w:hAnsi="Segoe UI" w:cs="Segoe UI"/>
                <w:webHidden/>
              </w:rPr>
              <w:fldChar w:fldCharType="separate"/>
            </w:r>
            <w:r w:rsidR="002A46D9">
              <w:rPr>
                <w:rFonts w:ascii="Segoe UI" w:hAnsi="Segoe UI" w:cs="Segoe UI"/>
                <w:webHidden/>
              </w:rPr>
              <w:t>17</w:t>
            </w:r>
            <w:r w:rsidRPr="00F7397F">
              <w:rPr>
                <w:rFonts w:ascii="Segoe UI" w:hAnsi="Segoe UI" w:cs="Segoe UI"/>
                <w:webHidden/>
              </w:rPr>
              <w:fldChar w:fldCharType="end"/>
            </w:r>
          </w:hyperlink>
        </w:p>
        <w:p w14:paraId="3FCBDA45" w14:textId="2F766EF7" w:rsidR="00F7397F" w:rsidRPr="00F7397F" w:rsidRDefault="00F7397F">
          <w:pPr>
            <w:pStyle w:val="Obsah2"/>
            <w:tabs>
              <w:tab w:val="right" w:leader="dot" w:pos="9060"/>
            </w:tabs>
            <w:rPr>
              <w:rFonts w:ascii="Segoe UI" w:eastAsiaTheme="minorEastAsia" w:hAnsi="Segoe UI" w:cs="Segoe UI"/>
              <w:smallCaps w:val="0"/>
              <w:noProof/>
              <w:sz w:val="22"/>
              <w:szCs w:val="22"/>
              <w:lang w:eastAsia="sk-SK"/>
            </w:rPr>
          </w:pPr>
          <w:hyperlink w:anchor="_Toc168567184" w:history="1">
            <w:r w:rsidRPr="00F7397F">
              <w:rPr>
                <w:rStyle w:val="Hypertextovprepojenie"/>
                <w:rFonts w:cs="Segoe UI"/>
                <w:noProof/>
              </w:rPr>
              <w:t>3.1 Základné rozpočtové ukazovatele</w:t>
            </w:r>
            <w:r w:rsidRPr="00F7397F">
              <w:rPr>
                <w:rFonts w:ascii="Segoe UI" w:hAnsi="Segoe UI" w:cs="Segoe UI"/>
                <w:noProof/>
                <w:webHidden/>
              </w:rPr>
              <w:tab/>
            </w:r>
            <w:r w:rsidRPr="00F7397F">
              <w:rPr>
                <w:rFonts w:ascii="Segoe UI" w:hAnsi="Segoe UI" w:cs="Segoe UI"/>
                <w:noProof/>
                <w:webHidden/>
              </w:rPr>
              <w:fldChar w:fldCharType="begin"/>
            </w:r>
            <w:r w:rsidRPr="00F7397F">
              <w:rPr>
                <w:rFonts w:ascii="Segoe UI" w:hAnsi="Segoe UI" w:cs="Segoe UI"/>
                <w:noProof/>
                <w:webHidden/>
              </w:rPr>
              <w:instrText xml:space="preserve"> PAGEREF _Toc168567184 \h </w:instrText>
            </w:r>
            <w:r w:rsidRPr="00F7397F">
              <w:rPr>
                <w:rFonts w:ascii="Segoe UI" w:hAnsi="Segoe UI" w:cs="Segoe UI"/>
                <w:noProof/>
                <w:webHidden/>
              </w:rPr>
            </w:r>
            <w:r w:rsidRPr="00F7397F">
              <w:rPr>
                <w:rFonts w:ascii="Segoe UI" w:hAnsi="Segoe UI" w:cs="Segoe UI"/>
                <w:noProof/>
                <w:webHidden/>
              </w:rPr>
              <w:fldChar w:fldCharType="separate"/>
            </w:r>
            <w:r w:rsidR="002A46D9">
              <w:rPr>
                <w:rFonts w:ascii="Segoe UI" w:hAnsi="Segoe UI" w:cs="Segoe UI"/>
                <w:noProof/>
                <w:webHidden/>
              </w:rPr>
              <w:t>17</w:t>
            </w:r>
            <w:r w:rsidRPr="00F7397F">
              <w:rPr>
                <w:rFonts w:ascii="Segoe UI" w:hAnsi="Segoe UI" w:cs="Segoe UI"/>
                <w:noProof/>
                <w:webHidden/>
              </w:rPr>
              <w:fldChar w:fldCharType="end"/>
            </w:r>
          </w:hyperlink>
        </w:p>
        <w:p w14:paraId="0A816B9A" w14:textId="2651EFF5" w:rsidR="00F7397F" w:rsidRPr="00F7397F" w:rsidRDefault="00F7397F">
          <w:pPr>
            <w:pStyle w:val="Obsah2"/>
            <w:tabs>
              <w:tab w:val="right" w:leader="dot" w:pos="9060"/>
            </w:tabs>
            <w:rPr>
              <w:rFonts w:ascii="Segoe UI" w:eastAsiaTheme="minorEastAsia" w:hAnsi="Segoe UI" w:cs="Segoe UI"/>
              <w:smallCaps w:val="0"/>
              <w:noProof/>
              <w:sz w:val="22"/>
              <w:szCs w:val="22"/>
              <w:lang w:eastAsia="sk-SK"/>
            </w:rPr>
          </w:pPr>
          <w:hyperlink w:anchor="_Toc168567185" w:history="1">
            <w:r w:rsidRPr="00F7397F">
              <w:rPr>
                <w:rStyle w:val="Hypertextovprepojenie"/>
                <w:rFonts w:cs="Segoe UI"/>
                <w:noProof/>
              </w:rPr>
              <w:t>3.2  Príjmy štátneho rozpočtu</w:t>
            </w:r>
            <w:r w:rsidRPr="00F7397F">
              <w:rPr>
                <w:rFonts w:ascii="Segoe UI" w:hAnsi="Segoe UI" w:cs="Segoe UI"/>
                <w:noProof/>
                <w:webHidden/>
              </w:rPr>
              <w:tab/>
            </w:r>
            <w:r w:rsidRPr="00F7397F">
              <w:rPr>
                <w:rFonts w:ascii="Segoe UI" w:hAnsi="Segoe UI" w:cs="Segoe UI"/>
                <w:noProof/>
                <w:webHidden/>
              </w:rPr>
              <w:fldChar w:fldCharType="begin"/>
            </w:r>
            <w:r w:rsidRPr="00F7397F">
              <w:rPr>
                <w:rFonts w:ascii="Segoe UI" w:hAnsi="Segoe UI" w:cs="Segoe UI"/>
                <w:noProof/>
                <w:webHidden/>
              </w:rPr>
              <w:instrText xml:space="preserve"> PAGEREF _Toc168567185 \h </w:instrText>
            </w:r>
            <w:r w:rsidRPr="00F7397F">
              <w:rPr>
                <w:rFonts w:ascii="Segoe UI" w:hAnsi="Segoe UI" w:cs="Segoe UI"/>
                <w:noProof/>
                <w:webHidden/>
              </w:rPr>
            </w:r>
            <w:r w:rsidRPr="00F7397F">
              <w:rPr>
                <w:rFonts w:ascii="Segoe UI" w:hAnsi="Segoe UI" w:cs="Segoe UI"/>
                <w:noProof/>
                <w:webHidden/>
              </w:rPr>
              <w:fldChar w:fldCharType="separate"/>
            </w:r>
            <w:r w:rsidR="002A46D9">
              <w:rPr>
                <w:rFonts w:ascii="Segoe UI" w:hAnsi="Segoe UI" w:cs="Segoe UI"/>
                <w:noProof/>
                <w:webHidden/>
              </w:rPr>
              <w:t>18</w:t>
            </w:r>
            <w:r w:rsidRPr="00F7397F">
              <w:rPr>
                <w:rFonts w:ascii="Segoe UI" w:hAnsi="Segoe UI" w:cs="Segoe UI"/>
                <w:noProof/>
                <w:webHidden/>
              </w:rPr>
              <w:fldChar w:fldCharType="end"/>
            </w:r>
          </w:hyperlink>
        </w:p>
        <w:p w14:paraId="2209AC6B" w14:textId="39484A51" w:rsidR="00F7397F" w:rsidRPr="00F7397F" w:rsidRDefault="00F7397F">
          <w:pPr>
            <w:pStyle w:val="Obsah2"/>
            <w:tabs>
              <w:tab w:val="right" w:leader="dot" w:pos="9060"/>
            </w:tabs>
            <w:rPr>
              <w:rFonts w:ascii="Segoe UI" w:eastAsiaTheme="minorEastAsia" w:hAnsi="Segoe UI" w:cs="Segoe UI"/>
              <w:smallCaps w:val="0"/>
              <w:noProof/>
              <w:sz w:val="22"/>
              <w:szCs w:val="22"/>
              <w:lang w:eastAsia="sk-SK"/>
            </w:rPr>
          </w:pPr>
          <w:hyperlink w:anchor="_Toc168567186" w:history="1">
            <w:r w:rsidRPr="00F7397F">
              <w:rPr>
                <w:rStyle w:val="Hypertextovprepojenie"/>
                <w:rFonts w:cs="Segoe UI"/>
                <w:noProof/>
              </w:rPr>
              <w:t>3.3  Výdavky štátneho rozpočtu</w:t>
            </w:r>
            <w:r w:rsidRPr="00F7397F">
              <w:rPr>
                <w:rFonts w:ascii="Segoe UI" w:hAnsi="Segoe UI" w:cs="Segoe UI"/>
                <w:noProof/>
                <w:webHidden/>
              </w:rPr>
              <w:tab/>
            </w:r>
            <w:r w:rsidRPr="00F7397F">
              <w:rPr>
                <w:rFonts w:ascii="Segoe UI" w:hAnsi="Segoe UI" w:cs="Segoe UI"/>
                <w:noProof/>
                <w:webHidden/>
              </w:rPr>
              <w:fldChar w:fldCharType="begin"/>
            </w:r>
            <w:r w:rsidRPr="00F7397F">
              <w:rPr>
                <w:rFonts w:ascii="Segoe UI" w:hAnsi="Segoe UI" w:cs="Segoe UI"/>
                <w:noProof/>
                <w:webHidden/>
              </w:rPr>
              <w:instrText xml:space="preserve"> PAGEREF _Toc168567186 \h </w:instrText>
            </w:r>
            <w:r w:rsidRPr="00F7397F">
              <w:rPr>
                <w:rFonts w:ascii="Segoe UI" w:hAnsi="Segoe UI" w:cs="Segoe UI"/>
                <w:noProof/>
                <w:webHidden/>
              </w:rPr>
            </w:r>
            <w:r w:rsidRPr="00F7397F">
              <w:rPr>
                <w:rFonts w:ascii="Segoe UI" w:hAnsi="Segoe UI" w:cs="Segoe UI"/>
                <w:noProof/>
                <w:webHidden/>
              </w:rPr>
              <w:fldChar w:fldCharType="separate"/>
            </w:r>
            <w:r w:rsidR="002A46D9">
              <w:rPr>
                <w:rFonts w:ascii="Segoe UI" w:hAnsi="Segoe UI" w:cs="Segoe UI"/>
                <w:noProof/>
                <w:webHidden/>
              </w:rPr>
              <w:t>19</w:t>
            </w:r>
            <w:r w:rsidRPr="00F7397F">
              <w:rPr>
                <w:rFonts w:ascii="Segoe UI" w:hAnsi="Segoe UI" w:cs="Segoe UI"/>
                <w:noProof/>
                <w:webHidden/>
              </w:rPr>
              <w:fldChar w:fldCharType="end"/>
            </w:r>
          </w:hyperlink>
        </w:p>
        <w:p w14:paraId="6828448F" w14:textId="384DB7AB" w:rsidR="00F7397F" w:rsidRPr="00F7397F" w:rsidRDefault="00F7397F">
          <w:pPr>
            <w:pStyle w:val="Obsah3"/>
            <w:tabs>
              <w:tab w:val="right" w:leader="dot" w:pos="9060"/>
            </w:tabs>
            <w:rPr>
              <w:rFonts w:ascii="Segoe UI" w:eastAsiaTheme="minorEastAsia" w:hAnsi="Segoe UI" w:cs="Segoe UI"/>
              <w:i w:val="0"/>
              <w:iCs w:val="0"/>
              <w:noProof/>
              <w:sz w:val="22"/>
              <w:szCs w:val="22"/>
              <w:lang w:eastAsia="sk-SK"/>
            </w:rPr>
          </w:pPr>
          <w:hyperlink w:anchor="_Toc168567187" w:history="1">
            <w:r w:rsidRPr="00F7397F">
              <w:rPr>
                <w:rStyle w:val="Hypertextovprepojenie"/>
                <w:rFonts w:cs="Segoe UI"/>
                <w:noProof/>
              </w:rPr>
              <w:t>3.3.1  Rozpočtové opatrenia</w:t>
            </w:r>
            <w:r w:rsidRPr="00F7397F">
              <w:rPr>
                <w:rFonts w:ascii="Segoe UI" w:hAnsi="Segoe UI" w:cs="Segoe UI"/>
                <w:noProof/>
                <w:webHidden/>
              </w:rPr>
              <w:tab/>
            </w:r>
            <w:r w:rsidRPr="00F7397F">
              <w:rPr>
                <w:rFonts w:ascii="Segoe UI" w:hAnsi="Segoe UI" w:cs="Segoe UI"/>
                <w:noProof/>
                <w:webHidden/>
              </w:rPr>
              <w:fldChar w:fldCharType="begin"/>
            </w:r>
            <w:r w:rsidRPr="00F7397F">
              <w:rPr>
                <w:rFonts w:ascii="Segoe UI" w:hAnsi="Segoe UI" w:cs="Segoe UI"/>
                <w:noProof/>
                <w:webHidden/>
              </w:rPr>
              <w:instrText xml:space="preserve"> PAGEREF _Toc168567187 \h </w:instrText>
            </w:r>
            <w:r w:rsidRPr="00F7397F">
              <w:rPr>
                <w:rFonts w:ascii="Segoe UI" w:hAnsi="Segoe UI" w:cs="Segoe UI"/>
                <w:noProof/>
                <w:webHidden/>
              </w:rPr>
            </w:r>
            <w:r w:rsidRPr="00F7397F">
              <w:rPr>
                <w:rFonts w:ascii="Segoe UI" w:hAnsi="Segoe UI" w:cs="Segoe UI"/>
                <w:noProof/>
                <w:webHidden/>
              </w:rPr>
              <w:fldChar w:fldCharType="separate"/>
            </w:r>
            <w:r w:rsidR="002A46D9">
              <w:rPr>
                <w:rFonts w:ascii="Segoe UI" w:hAnsi="Segoe UI" w:cs="Segoe UI"/>
                <w:noProof/>
                <w:webHidden/>
              </w:rPr>
              <w:t>20</w:t>
            </w:r>
            <w:r w:rsidRPr="00F7397F">
              <w:rPr>
                <w:rFonts w:ascii="Segoe UI" w:hAnsi="Segoe UI" w:cs="Segoe UI"/>
                <w:noProof/>
                <w:webHidden/>
              </w:rPr>
              <w:fldChar w:fldCharType="end"/>
            </w:r>
          </w:hyperlink>
        </w:p>
        <w:p w14:paraId="6BDB0AEC" w14:textId="49F6ED6C" w:rsidR="00F7397F" w:rsidRPr="00F7397F" w:rsidRDefault="00F7397F">
          <w:pPr>
            <w:pStyle w:val="Obsah3"/>
            <w:tabs>
              <w:tab w:val="right" w:leader="dot" w:pos="9060"/>
            </w:tabs>
            <w:rPr>
              <w:rFonts w:ascii="Segoe UI" w:eastAsiaTheme="minorEastAsia" w:hAnsi="Segoe UI" w:cs="Segoe UI"/>
              <w:i w:val="0"/>
              <w:iCs w:val="0"/>
              <w:noProof/>
              <w:sz w:val="22"/>
              <w:szCs w:val="22"/>
              <w:lang w:eastAsia="sk-SK"/>
            </w:rPr>
          </w:pPr>
          <w:hyperlink w:anchor="_Toc168567188" w:history="1">
            <w:r w:rsidRPr="00F7397F">
              <w:rPr>
                <w:rStyle w:val="Hypertextovprepojenie"/>
                <w:rFonts w:cs="Segoe UI"/>
                <w:noProof/>
              </w:rPr>
              <w:t>3.3.2  Investície</w:t>
            </w:r>
            <w:r w:rsidRPr="00F7397F">
              <w:rPr>
                <w:rFonts w:ascii="Segoe UI" w:hAnsi="Segoe UI" w:cs="Segoe UI"/>
                <w:noProof/>
                <w:webHidden/>
              </w:rPr>
              <w:tab/>
            </w:r>
            <w:r w:rsidRPr="00F7397F">
              <w:rPr>
                <w:rFonts w:ascii="Segoe UI" w:hAnsi="Segoe UI" w:cs="Segoe UI"/>
                <w:noProof/>
                <w:webHidden/>
              </w:rPr>
              <w:fldChar w:fldCharType="begin"/>
            </w:r>
            <w:r w:rsidRPr="00F7397F">
              <w:rPr>
                <w:rFonts w:ascii="Segoe UI" w:hAnsi="Segoe UI" w:cs="Segoe UI"/>
                <w:noProof/>
                <w:webHidden/>
              </w:rPr>
              <w:instrText xml:space="preserve"> PAGEREF _Toc168567188 \h </w:instrText>
            </w:r>
            <w:r w:rsidRPr="00F7397F">
              <w:rPr>
                <w:rFonts w:ascii="Segoe UI" w:hAnsi="Segoe UI" w:cs="Segoe UI"/>
                <w:noProof/>
                <w:webHidden/>
              </w:rPr>
            </w:r>
            <w:r w:rsidRPr="00F7397F">
              <w:rPr>
                <w:rFonts w:ascii="Segoe UI" w:hAnsi="Segoe UI" w:cs="Segoe UI"/>
                <w:noProof/>
                <w:webHidden/>
              </w:rPr>
              <w:fldChar w:fldCharType="separate"/>
            </w:r>
            <w:r w:rsidR="002A46D9">
              <w:rPr>
                <w:rFonts w:ascii="Segoe UI" w:hAnsi="Segoe UI" w:cs="Segoe UI"/>
                <w:noProof/>
                <w:webHidden/>
              </w:rPr>
              <w:t>21</w:t>
            </w:r>
            <w:r w:rsidRPr="00F7397F">
              <w:rPr>
                <w:rFonts w:ascii="Segoe UI" w:hAnsi="Segoe UI" w:cs="Segoe UI"/>
                <w:noProof/>
                <w:webHidden/>
              </w:rPr>
              <w:fldChar w:fldCharType="end"/>
            </w:r>
          </w:hyperlink>
        </w:p>
        <w:p w14:paraId="4D3EEBEE" w14:textId="763B4B0A" w:rsidR="00F7397F" w:rsidRPr="00F7397F" w:rsidRDefault="00F7397F">
          <w:pPr>
            <w:pStyle w:val="Obsah2"/>
            <w:tabs>
              <w:tab w:val="right" w:leader="dot" w:pos="9060"/>
            </w:tabs>
            <w:rPr>
              <w:rFonts w:ascii="Segoe UI" w:eastAsiaTheme="minorEastAsia" w:hAnsi="Segoe UI" w:cs="Segoe UI"/>
              <w:smallCaps w:val="0"/>
              <w:noProof/>
              <w:sz w:val="22"/>
              <w:szCs w:val="22"/>
              <w:lang w:eastAsia="sk-SK"/>
            </w:rPr>
          </w:pPr>
          <w:hyperlink w:anchor="_Toc168567189" w:history="1">
            <w:r w:rsidRPr="00F7397F">
              <w:rPr>
                <w:rStyle w:val="Hypertextovprepojenie"/>
                <w:rFonts w:cs="Segoe UI"/>
                <w:noProof/>
              </w:rPr>
              <w:t>3.4  Rozpočtové rezervy</w:t>
            </w:r>
            <w:r w:rsidRPr="00F7397F">
              <w:rPr>
                <w:rFonts w:ascii="Segoe UI" w:hAnsi="Segoe UI" w:cs="Segoe UI"/>
                <w:noProof/>
                <w:webHidden/>
              </w:rPr>
              <w:tab/>
            </w:r>
            <w:r w:rsidRPr="00F7397F">
              <w:rPr>
                <w:rFonts w:ascii="Segoe UI" w:hAnsi="Segoe UI" w:cs="Segoe UI"/>
                <w:noProof/>
                <w:webHidden/>
              </w:rPr>
              <w:fldChar w:fldCharType="begin"/>
            </w:r>
            <w:r w:rsidRPr="00F7397F">
              <w:rPr>
                <w:rFonts w:ascii="Segoe UI" w:hAnsi="Segoe UI" w:cs="Segoe UI"/>
                <w:noProof/>
                <w:webHidden/>
              </w:rPr>
              <w:instrText xml:space="preserve"> PAGEREF _Toc168567189 \h </w:instrText>
            </w:r>
            <w:r w:rsidRPr="00F7397F">
              <w:rPr>
                <w:rFonts w:ascii="Segoe UI" w:hAnsi="Segoe UI" w:cs="Segoe UI"/>
                <w:noProof/>
                <w:webHidden/>
              </w:rPr>
            </w:r>
            <w:r w:rsidRPr="00F7397F">
              <w:rPr>
                <w:rFonts w:ascii="Segoe UI" w:hAnsi="Segoe UI" w:cs="Segoe UI"/>
                <w:noProof/>
                <w:webHidden/>
              </w:rPr>
              <w:fldChar w:fldCharType="separate"/>
            </w:r>
            <w:r w:rsidR="002A46D9">
              <w:rPr>
                <w:rFonts w:ascii="Segoe UI" w:hAnsi="Segoe UI" w:cs="Segoe UI"/>
                <w:noProof/>
                <w:webHidden/>
              </w:rPr>
              <w:t>22</w:t>
            </w:r>
            <w:r w:rsidRPr="00F7397F">
              <w:rPr>
                <w:rFonts w:ascii="Segoe UI" w:hAnsi="Segoe UI" w:cs="Segoe UI"/>
                <w:noProof/>
                <w:webHidden/>
              </w:rPr>
              <w:fldChar w:fldCharType="end"/>
            </w:r>
          </w:hyperlink>
        </w:p>
        <w:p w14:paraId="01EDEE65" w14:textId="228913E9" w:rsidR="00F7397F" w:rsidRPr="00F7397F" w:rsidRDefault="00F7397F">
          <w:pPr>
            <w:pStyle w:val="Obsah2"/>
            <w:tabs>
              <w:tab w:val="right" w:leader="dot" w:pos="9060"/>
            </w:tabs>
            <w:rPr>
              <w:rFonts w:ascii="Segoe UI" w:eastAsiaTheme="minorEastAsia" w:hAnsi="Segoe UI" w:cs="Segoe UI"/>
              <w:smallCaps w:val="0"/>
              <w:noProof/>
              <w:sz w:val="22"/>
              <w:szCs w:val="22"/>
              <w:lang w:eastAsia="sk-SK"/>
            </w:rPr>
          </w:pPr>
          <w:hyperlink w:anchor="_Toc168567190" w:history="1">
            <w:r w:rsidRPr="00F7397F">
              <w:rPr>
                <w:rStyle w:val="Hypertextovprepojenie"/>
                <w:rFonts w:cs="Segoe UI"/>
                <w:noProof/>
              </w:rPr>
              <w:t>3.5  Príjmy zo sociálneho poistenia</w:t>
            </w:r>
            <w:r w:rsidRPr="00F7397F">
              <w:rPr>
                <w:rFonts w:ascii="Segoe UI" w:hAnsi="Segoe UI" w:cs="Segoe UI"/>
                <w:noProof/>
                <w:webHidden/>
              </w:rPr>
              <w:tab/>
            </w:r>
            <w:r w:rsidRPr="00F7397F">
              <w:rPr>
                <w:rFonts w:ascii="Segoe UI" w:hAnsi="Segoe UI" w:cs="Segoe UI"/>
                <w:noProof/>
                <w:webHidden/>
              </w:rPr>
              <w:fldChar w:fldCharType="begin"/>
            </w:r>
            <w:r w:rsidRPr="00F7397F">
              <w:rPr>
                <w:rFonts w:ascii="Segoe UI" w:hAnsi="Segoe UI" w:cs="Segoe UI"/>
                <w:noProof/>
                <w:webHidden/>
              </w:rPr>
              <w:instrText xml:space="preserve"> PAGEREF _Toc168567190 \h </w:instrText>
            </w:r>
            <w:r w:rsidRPr="00F7397F">
              <w:rPr>
                <w:rFonts w:ascii="Segoe UI" w:hAnsi="Segoe UI" w:cs="Segoe UI"/>
                <w:noProof/>
                <w:webHidden/>
              </w:rPr>
            </w:r>
            <w:r w:rsidRPr="00F7397F">
              <w:rPr>
                <w:rFonts w:ascii="Segoe UI" w:hAnsi="Segoe UI" w:cs="Segoe UI"/>
                <w:noProof/>
                <w:webHidden/>
              </w:rPr>
              <w:fldChar w:fldCharType="separate"/>
            </w:r>
            <w:r w:rsidR="002A46D9">
              <w:rPr>
                <w:rFonts w:ascii="Segoe UI" w:hAnsi="Segoe UI" w:cs="Segoe UI"/>
                <w:noProof/>
                <w:webHidden/>
              </w:rPr>
              <w:t>24</w:t>
            </w:r>
            <w:r w:rsidRPr="00F7397F">
              <w:rPr>
                <w:rFonts w:ascii="Segoe UI" w:hAnsi="Segoe UI" w:cs="Segoe UI"/>
                <w:noProof/>
                <w:webHidden/>
              </w:rPr>
              <w:fldChar w:fldCharType="end"/>
            </w:r>
          </w:hyperlink>
        </w:p>
        <w:p w14:paraId="1FDF3F82" w14:textId="0CCBCD2B" w:rsidR="00F7397F" w:rsidRPr="00F7397F" w:rsidRDefault="00F7397F">
          <w:pPr>
            <w:pStyle w:val="Obsah2"/>
            <w:tabs>
              <w:tab w:val="right" w:leader="dot" w:pos="9060"/>
            </w:tabs>
            <w:rPr>
              <w:rFonts w:ascii="Segoe UI" w:eastAsiaTheme="minorEastAsia" w:hAnsi="Segoe UI" w:cs="Segoe UI"/>
              <w:smallCaps w:val="0"/>
              <w:noProof/>
              <w:sz w:val="22"/>
              <w:szCs w:val="22"/>
              <w:lang w:eastAsia="sk-SK"/>
            </w:rPr>
          </w:pPr>
          <w:hyperlink w:anchor="_Toc168567191" w:history="1">
            <w:r w:rsidRPr="00F7397F">
              <w:rPr>
                <w:rStyle w:val="Hypertextovprepojenie"/>
                <w:rFonts w:eastAsia="Calibri" w:cs="Segoe UI"/>
                <w:noProof/>
              </w:rPr>
              <w:t>3.6  Príjmy verejného zdravotného poistenia</w:t>
            </w:r>
            <w:r w:rsidRPr="00F7397F">
              <w:rPr>
                <w:rFonts w:ascii="Segoe UI" w:hAnsi="Segoe UI" w:cs="Segoe UI"/>
                <w:noProof/>
                <w:webHidden/>
              </w:rPr>
              <w:tab/>
            </w:r>
            <w:r w:rsidRPr="00F7397F">
              <w:rPr>
                <w:rFonts w:ascii="Segoe UI" w:hAnsi="Segoe UI" w:cs="Segoe UI"/>
                <w:noProof/>
                <w:webHidden/>
              </w:rPr>
              <w:fldChar w:fldCharType="begin"/>
            </w:r>
            <w:r w:rsidRPr="00F7397F">
              <w:rPr>
                <w:rFonts w:ascii="Segoe UI" w:hAnsi="Segoe UI" w:cs="Segoe UI"/>
                <w:noProof/>
                <w:webHidden/>
              </w:rPr>
              <w:instrText xml:space="preserve"> PAGEREF _Toc168567191 \h </w:instrText>
            </w:r>
            <w:r w:rsidRPr="00F7397F">
              <w:rPr>
                <w:rFonts w:ascii="Segoe UI" w:hAnsi="Segoe UI" w:cs="Segoe UI"/>
                <w:noProof/>
                <w:webHidden/>
              </w:rPr>
            </w:r>
            <w:r w:rsidRPr="00F7397F">
              <w:rPr>
                <w:rFonts w:ascii="Segoe UI" w:hAnsi="Segoe UI" w:cs="Segoe UI"/>
                <w:noProof/>
                <w:webHidden/>
              </w:rPr>
              <w:fldChar w:fldCharType="separate"/>
            </w:r>
            <w:r w:rsidR="002A46D9">
              <w:rPr>
                <w:rFonts w:ascii="Segoe UI" w:hAnsi="Segoe UI" w:cs="Segoe UI"/>
                <w:noProof/>
                <w:webHidden/>
              </w:rPr>
              <w:t>25</w:t>
            </w:r>
            <w:r w:rsidRPr="00F7397F">
              <w:rPr>
                <w:rFonts w:ascii="Segoe UI" w:hAnsi="Segoe UI" w:cs="Segoe UI"/>
                <w:noProof/>
                <w:webHidden/>
              </w:rPr>
              <w:fldChar w:fldCharType="end"/>
            </w:r>
          </w:hyperlink>
        </w:p>
        <w:p w14:paraId="52941527" w14:textId="3C75C70D" w:rsidR="00F7397F" w:rsidRPr="00F7397F" w:rsidRDefault="00F7397F">
          <w:pPr>
            <w:pStyle w:val="Obsah2"/>
            <w:tabs>
              <w:tab w:val="right" w:leader="dot" w:pos="9060"/>
            </w:tabs>
            <w:rPr>
              <w:rFonts w:ascii="Segoe UI" w:eastAsiaTheme="minorEastAsia" w:hAnsi="Segoe UI" w:cs="Segoe UI"/>
              <w:smallCaps w:val="0"/>
              <w:noProof/>
              <w:sz w:val="22"/>
              <w:szCs w:val="22"/>
              <w:lang w:eastAsia="sk-SK"/>
            </w:rPr>
          </w:pPr>
          <w:hyperlink w:anchor="_Toc168567192" w:history="1">
            <w:r w:rsidRPr="00F7397F">
              <w:rPr>
                <w:rStyle w:val="Hypertextovprepojenie"/>
                <w:rFonts w:cs="Segoe UI"/>
                <w:noProof/>
              </w:rPr>
              <w:t>3.7  Štátne finančné aktíva</w:t>
            </w:r>
            <w:r w:rsidRPr="00F7397F">
              <w:rPr>
                <w:rFonts w:ascii="Segoe UI" w:hAnsi="Segoe UI" w:cs="Segoe UI"/>
                <w:noProof/>
                <w:webHidden/>
              </w:rPr>
              <w:tab/>
            </w:r>
            <w:r w:rsidRPr="00F7397F">
              <w:rPr>
                <w:rFonts w:ascii="Segoe UI" w:hAnsi="Segoe UI" w:cs="Segoe UI"/>
                <w:noProof/>
                <w:webHidden/>
              </w:rPr>
              <w:fldChar w:fldCharType="begin"/>
            </w:r>
            <w:r w:rsidRPr="00F7397F">
              <w:rPr>
                <w:rFonts w:ascii="Segoe UI" w:hAnsi="Segoe UI" w:cs="Segoe UI"/>
                <w:noProof/>
                <w:webHidden/>
              </w:rPr>
              <w:instrText xml:space="preserve"> PAGEREF _Toc168567192 \h </w:instrText>
            </w:r>
            <w:r w:rsidRPr="00F7397F">
              <w:rPr>
                <w:rFonts w:ascii="Segoe UI" w:hAnsi="Segoe UI" w:cs="Segoe UI"/>
                <w:noProof/>
                <w:webHidden/>
              </w:rPr>
            </w:r>
            <w:r w:rsidRPr="00F7397F">
              <w:rPr>
                <w:rFonts w:ascii="Segoe UI" w:hAnsi="Segoe UI" w:cs="Segoe UI"/>
                <w:noProof/>
                <w:webHidden/>
              </w:rPr>
              <w:fldChar w:fldCharType="separate"/>
            </w:r>
            <w:r w:rsidR="002A46D9">
              <w:rPr>
                <w:rFonts w:ascii="Segoe UI" w:hAnsi="Segoe UI" w:cs="Segoe UI"/>
                <w:noProof/>
                <w:webHidden/>
              </w:rPr>
              <w:t>26</w:t>
            </w:r>
            <w:r w:rsidRPr="00F7397F">
              <w:rPr>
                <w:rFonts w:ascii="Segoe UI" w:hAnsi="Segoe UI" w:cs="Segoe UI"/>
                <w:noProof/>
                <w:webHidden/>
              </w:rPr>
              <w:fldChar w:fldCharType="end"/>
            </w:r>
          </w:hyperlink>
        </w:p>
        <w:p w14:paraId="15FC491F" w14:textId="04716C02" w:rsidR="00F7397F" w:rsidRPr="00F7397F" w:rsidRDefault="00F7397F">
          <w:pPr>
            <w:pStyle w:val="Obsah1"/>
            <w:rPr>
              <w:rFonts w:ascii="Segoe UI" w:eastAsiaTheme="minorEastAsia" w:hAnsi="Segoe UI" w:cs="Segoe UI"/>
              <w:b w:val="0"/>
              <w:bCs w:val="0"/>
              <w:caps w:val="0"/>
              <w:color w:val="auto"/>
              <w:sz w:val="22"/>
              <w:szCs w:val="22"/>
              <w:lang w:eastAsia="sk-SK"/>
            </w:rPr>
          </w:pPr>
          <w:hyperlink w:anchor="_Toc168567193" w:history="1">
            <w:r w:rsidRPr="00F7397F">
              <w:rPr>
                <w:rStyle w:val="Hypertextovprepojenie"/>
                <w:rFonts w:cs="Segoe UI"/>
              </w:rPr>
              <w:t>4</w:t>
            </w:r>
            <w:r w:rsidRPr="00F7397F">
              <w:rPr>
                <w:rFonts w:ascii="Segoe UI" w:eastAsiaTheme="minorEastAsia" w:hAnsi="Segoe UI" w:cs="Segoe UI"/>
                <w:b w:val="0"/>
                <w:bCs w:val="0"/>
                <w:caps w:val="0"/>
                <w:color w:val="auto"/>
                <w:sz w:val="22"/>
                <w:szCs w:val="22"/>
                <w:lang w:eastAsia="sk-SK"/>
              </w:rPr>
              <w:tab/>
            </w:r>
            <w:r w:rsidRPr="00F7397F">
              <w:rPr>
                <w:rStyle w:val="Hypertextovprepojenie"/>
                <w:rFonts w:cs="Segoe UI"/>
              </w:rPr>
              <w:t>Vzťah štátneho rozpočtu k EÚ</w:t>
            </w:r>
            <w:r w:rsidRPr="00F7397F">
              <w:rPr>
                <w:rFonts w:ascii="Segoe UI" w:hAnsi="Segoe UI" w:cs="Segoe UI"/>
                <w:webHidden/>
              </w:rPr>
              <w:tab/>
            </w:r>
            <w:r w:rsidRPr="00F7397F">
              <w:rPr>
                <w:rFonts w:ascii="Segoe UI" w:hAnsi="Segoe UI" w:cs="Segoe UI"/>
                <w:webHidden/>
              </w:rPr>
              <w:fldChar w:fldCharType="begin"/>
            </w:r>
            <w:r w:rsidRPr="00F7397F">
              <w:rPr>
                <w:rFonts w:ascii="Segoe UI" w:hAnsi="Segoe UI" w:cs="Segoe UI"/>
                <w:webHidden/>
              </w:rPr>
              <w:instrText xml:space="preserve"> PAGEREF _Toc168567193 \h </w:instrText>
            </w:r>
            <w:r w:rsidRPr="00F7397F">
              <w:rPr>
                <w:rFonts w:ascii="Segoe UI" w:hAnsi="Segoe UI" w:cs="Segoe UI"/>
                <w:webHidden/>
              </w:rPr>
            </w:r>
            <w:r w:rsidRPr="00F7397F">
              <w:rPr>
                <w:rFonts w:ascii="Segoe UI" w:hAnsi="Segoe UI" w:cs="Segoe UI"/>
                <w:webHidden/>
              </w:rPr>
              <w:fldChar w:fldCharType="separate"/>
            </w:r>
            <w:r w:rsidR="002A46D9">
              <w:rPr>
                <w:rFonts w:ascii="Segoe UI" w:hAnsi="Segoe UI" w:cs="Segoe UI"/>
                <w:webHidden/>
              </w:rPr>
              <w:t>29</w:t>
            </w:r>
            <w:r w:rsidRPr="00F7397F">
              <w:rPr>
                <w:rFonts w:ascii="Segoe UI" w:hAnsi="Segoe UI" w:cs="Segoe UI"/>
                <w:webHidden/>
              </w:rPr>
              <w:fldChar w:fldCharType="end"/>
            </w:r>
          </w:hyperlink>
        </w:p>
        <w:p w14:paraId="0A8DD679" w14:textId="2A890936" w:rsidR="00F7397F" w:rsidRPr="00F7397F" w:rsidRDefault="00F7397F">
          <w:pPr>
            <w:pStyle w:val="Obsah2"/>
            <w:tabs>
              <w:tab w:val="right" w:leader="dot" w:pos="9060"/>
            </w:tabs>
            <w:rPr>
              <w:rFonts w:ascii="Segoe UI" w:eastAsiaTheme="minorEastAsia" w:hAnsi="Segoe UI" w:cs="Segoe UI"/>
              <w:smallCaps w:val="0"/>
              <w:noProof/>
              <w:sz w:val="22"/>
              <w:szCs w:val="22"/>
              <w:lang w:eastAsia="sk-SK"/>
            </w:rPr>
          </w:pPr>
          <w:hyperlink w:anchor="_Toc168567194" w:history="1">
            <w:r w:rsidRPr="00F7397F">
              <w:rPr>
                <w:rStyle w:val="Hypertextovprepojenie"/>
                <w:rFonts w:cs="Segoe UI"/>
                <w:noProof/>
              </w:rPr>
              <w:t>4.1  PO 2014 – 2020</w:t>
            </w:r>
            <w:r w:rsidRPr="00F7397F">
              <w:rPr>
                <w:rFonts w:ascii="Segoe UI" w:hAnsi="Segoe UI" w:cs="Segoe UI"/>
                <w:noProof/>
                <w:webHidden/>
              </w:rPr>
              <w:tab/>
            </w:r>
            <w:r w:rsidRPr="00F7397F">
              <w:rPr>
                <w:rFonts w:ascii="Segoe UI" w:hAnsi="Segoe UI" w:cs="Segoe UI"/>
                <w:noProof/>
                <w:webHidden/>
              </w:rPr>
              <w:fldChar w:fldCharType="begin"/>
            </w:r>
            <w:r w:rsidRPr="00F7397F">
              <w:rPr>
                <w:rFonts w:ascii="Segoe UI" w:hAnsi="Segoe UI" w:cs="Segoe UI"/>
                <w:noProof/>
                <w:webHidden/>
              </w:rPr>
              <w:instrText xml:space="preserve"> PAGEREF _Toc168567194 \h </w:instrText>
            </w:r>
            <w:r w:rsidRPr="00F7397F">
              <w:rPr>
                <w:rFonts w:ascii="Segoe UI" w:hAnsi="Segoe UI" w:cs="Segoe UI"/>
                <w:noProof/>
                <w:webHidden/>
              </w:rPr>
            </w:r>
            <w:r w:rsidRPr="00F7397F">
              <w:rPr>
                <w:rFonts w:ascii="Segoe UI" w:hAnsi="Segoe UI" w:cs="Segoe UI"/>
                <w:noProof/>
                <w:webHidden/>
              </w:rPr>
              <w:fldChar w:fldCharType="separate"/>
            </w:r>
            <w:r w:rsidR="002A46D9">
              <w:rPr>
                <w:rFonts w:ascii="Segoe UI" w:hAnsi="Segoe UI" w:cs="Segoe UI"/>
                <w:noProof/>
                <w:webHidden/>
              </w:rPr>
              <w:t>29</w:t>
            </w:r>
            <w:r w:rsidRPr="00F7397F">
              <w:rPr>
                <w:rFonts w:ascii="Segoe UI" w:hAnsi="Segoe UI" w:cs="Segoe UI"/>
                <w:noProof/>
                <w:webHidden/>
              </w:rPr>
              <w:fldChar w:fldCharType="end"/>
            </w:r>
          </w:hyperlink>
        </w:p>
        <w:p w14:paraId="7E6999E0" w14:textId="5302779A" w:rsidR="00F7397F" w:rsidRPr="00F7397F" w:rsidRDefault="00F7397F">
          <w:pPr>
            <w:pStyle w:val="Obsah2"/>
            <w:tabs>
              <w:tab w:val="right" w:leader="dot" w:pos="9060"/>
            </w:tabs>
            <w:rPr>
              <w:rFonts w:ascii="Segoe UI" w:eastAsiaTheme="minorEastAsia" w:hAnsi="Segoe UI" w:cs="Segoe UI"/>
              <w:smallCaps w:val="0"/>
              <w:noProof/>
              <w:sz w:val="22"/>
              <w:szCs w:val="22"/>
              <w:lang w:eastAsia="sk-SK"/>
            </w:rPr>
          </w:pPr>
          <w:hyperlink w:anchor="_Toc168567195" w:history="1">
            <w:r w:rsidRPr="00F7397F">
              <w:rPr>
                <w:rStyle w:val="Hypertextovprepojenie"/>
                <w:rFonts w:cs="Segoe UI"/>
                <w:noProof/>
              </w:rPr>
              <w:t>4.2  PO 2021 – 2027</w:t>
            </w:r>
            <w:r w:rsidRPr="00F7397F">
              <w:rPr>
                <w:rFonts w:ascii="Segoe UI" w:hAnsi="Segoe UI" w:cs="Segoe UI"/>
                <w:noProof/>
                <w:webHidden/>
              </w:rPr>
              <w:tab/>
            </w:r>
            <w:r w:rsidRPr="00F7397F">
              <w:rPr>
                <w:rFonts w:ascii="Segoe UI" w:hAnsi="Segoe UI" w:cs="Segoe UI"/>
                <w:noProof/>
                <w:webHidden/>
              </w:rPr>
              <w:fldChar w:fldCharType="begin"/>
            </w:r>
            <w:r w:rsidRPr="00F7397F">
              <w:rPr>
                <w:rFonts w:ascii="Segoe UI" w:hAnsi="Segoe UI" w:cs="Segoe UI"/>
                <w:noProof/>
                <w:webHidden/>
              </w:rPr>
              <w:instrText xml:space="preserve"> PAGEREF _Toc168567195 \h </w:instrText>
            </w:r>
            <w:r w:rsidRPr="00F7397F">
              <w:rPr>
                <w:rFonts w:ascii="Segoe UI" w:hAnsi="Segoe UI" w:cs="Segoe UI"/>
                <w:noProof/>
                <w:webHidden/>
              </w:rPr>
            </w:r>
            <w:r w:rsidRPr="00F7397F">
              <w:rPr>
                <w:rFonts w:ascii="Segoe UI" w:hAnsi="Segoe UI" w:cs="Segoe UI"/>
                <w:noProof/>
                <w:webHidden/>
              </w:rPr>
              <w:fldChar w:fldCharType="separate"/>
            </w:r>
            <w:r w:rsidR="002A46D9">
              <w:rPr>
                <w:rFonts w:ascii="Segoe UI" w:hAnsi="Segoe UI" w:cs="Segoe UI"/>
                <w:noProof/>
                <w:webHidden/>
              </w:rPr>
              <w:t>30</w:t>
            </w:r>
            <w:r w:rsidRPr="00F7397F">
              <w:rPr>
                <w:rFonts w:ascii="Segoe UI" w:hAnsi="Segoe UI" w:cs="Segoe UI"/>
                <w:noProof/>
                <w:webHidden/>
              </w:rPr>
              <w:fldChar w:fldCharType="end"/>
            </w:r>
          </w:hyperlink>
        </w:p>
        <w:p w14:paraId="34410FE0" w14:textId="14B7929E" w:rsidR="00F7397F" w:rsidRPr="00F7397F" w:rsidRDefault="00F7397F">
          <w:pPr>
            <w:pStyle w:val="Obsah2"/>
            <w:tabs>
              <w:tab w:val="right" w:leader="dot" w:pos="9060"/>
            </w:tabs>
            <w:rPr>
              <w:rFonts w:ascii="Segoe UI" w:eastAsiaTheme="minorEastAsia" w:hAnsi="Segoe UI" w:cs="Segoe UI"/>
              <w:smallCaps w:val="0"/>
              <w:noProof/>
              <w:sz w:val="22"/>
              <w:szCs w:val="22"/>
              <w:lang w:eastAsia="sk-SK"/>
            </w:rPr>
          </w:pPr>
          <w:hyperlink w:anchor="_Toc168567196" w:history="1">
            <w:r w:rsidRPr="00F7397F">
              <w:rPr>
                <w:rStyle w:val="Hypertextovprepojenie"/>
                <w:rFonts w:eastAsia="Calibri" w:cs="Segoe UI"/>
                <w:noProof/>
              </w:rPr>
              <w:t>4.3  Plán obnovy a odolnosti</w:t>
            </w:r>
            <w:r w:rsidRPr="00F7397F">
              <w:rPr>
                <w:rFonts w:ascii="Segoe UI" w:hAnsi="Segoe UI" w:cs="Segoe UI"/>
                <w:noProof/>
                <w:webHidden/>
              </w:rPr>
              <w:tab/>
            </w:r>
            <w:r w:rsidRPr="00F7397F">
              <w:rPr>
                <w:rFonts w:ascii="Segoe UI" w:hAnsi="Segoe UI" w:cs="Segoe UI"/>
                <w:noProof/>
                <w:webHidden/>
              </w:rPr>
              <w:fldChar w:fldCharType="begin"/>
            </w:r>
            <w:r w:rsidRPr="00F7397F">
              <w:rPr>
                <w:rFonts w:ascii="Segoe UI" w:hAnsi="Segoe UI" w:cs="Segoe UI"/>
                <w:noProof/>
                <w:webHidden/>
              </w:rPr>
              <w:instrText xml:space="preserve"> PAGEREF _Toc168567196 \h </w:instrText>
            </w:r>
            <w:r w:rsidRPr="00F7397F">
              <w:rPr>
                <w:rFonts w:ascii="Segoe UI" w:hAnsi="Segoe UI" w:cs="Segoe UI"/>
                <w:noProof/>
                <w:webHidden/>
              </w:rPr>
            </w:r>
            <w:r w:rsidRPr="00F7397F">
              <w:rPr>
                <w:rFonts w:ascii="Segoe UI" w:hAnsi="Segoe UI" w:cs="Segoe UI"/>
                <w:noProof/>
                <w:webHidden/>
              </w:rPr>
              <w:fldChar w:fldCharType="separate"/>
            </w:r>
            <w:r w:rsidR="002A46D9">
              <w:rPr>
                <w:rFonts w:ascii="Segoe UI" w:hAnsi="Segoe UI" w:cs="Segoe UI"/>
                <w:noProof/>
                <w:webHidden/>
              </w:rPr>
              <w:t>31</w:t>
            </w:r>
            <w:r w:rsidRPr="00F7397F">
              <w:rPr>
                <w:rFonts w:ascii="Segoe UI" w:hAnsi="Segoe UI" w:cs="Segoe UI"/>
                <w:noProof/>
                <w:webHidden/>
              </w:rPr>
              <w:fldChar w:fldCharType="end"/>
            </w:r>
          </w:hyperlink>
        </w:p>
        <w:p w14:paraId="3F0AD4A0" w14:textId="1637C90F" w:rsidR="00F7397F" w:rsidRPr="00F7397F" w:rsidRDefault="00F7397F">
          <w:pPr>
            <w:pStyle w:val="Obsah1"/>
            <w:rPr>
              <w:rFonts w:ascii="Segoe UI" w:eastAsiaTheme="minorEastAsia" w:hAnsi="Segoe UI" w:cs="Segoe UI"/>
              <w:b w:val="0"/>
              <w:bCs w:val="0"/>
              <w:caps w:val="0"/>
              <w:color w:val="auto"/>
              <w:sz w:val="22"/>
              <w:szCs w:val="22"/>
              <w:lang w:eastAsia="sk-SK"/>
            </w:rPr>
          </w:pPr>
          <w:hyperlink w:anchor="_Toc168567197" w:history="1">
            <w:r w:rsidRPr="00F7397F">
              <w:rPr>
                <w:rStyle w:val="Hypertextovprepojenie"/>
                <w:rFonts w:cs="Segoe UI"/>
              </w:rPr>
              <w:t>5</w:t>
            </w:r>
            <w:r w:rsidRPr="00F7397F">
              <w:rPr>
                <w:rFonts w:ascii="Segoe UI" w:eastAsiaTheme="minorEastAsia" w:hAnsi="Segoe UI" w:cs="Segoe UI"/>
                <w:b w:val="0"/>
                <w:bCs w:val="0"/>
                <w:caps w:val="0"/>
                <w:color w:val="auto"/>
                <w:sz w:val="22"/>
                <w:szCs w:val="22"/>
                <w:lang w:eastAsia="sk-SK"/>
              </w:rPr>
              <w:tab/>
            </w:r>
            <w:r w:rsidRPr="00F7397F">
              <w:rPr>
                <w:rStyle w:val="Hypertextovprepojenie"/>
                <w:rFonts w:cs="Segoe UI"/>
              </w:rPr>
              <w:t>Stanovisko k vybraným verejným politikám</w:t>
            </w:r>
            <w:r w:rsidRPr="00F7397F">
              <w:rPr>
                <w:rFonts w:ascii="Segoe UI" w:hAnsi="Segoe UI" w:cs="Segoe UI"/>
                <w:webHidden/>
              </w:rPr>
              <w:tab/>
            </w:r>
            <w:r w:rsidRPr="00F7397F">
              <w:rPr>
                <w:rFonts w:ascii="Segoe UI" w:hAnsi="Segoe UI" w:cs="Segoe UI"/>
                <w:webHidden/>
              </w:rPr>
              <w:fldChar w:fldCharType="begin"/>
            </w:r>
            <w:r w:rsidRPr="00F7397F">
              <w:rPr>
                <w:rFonts w:ascii="Segoe UI" w:hAnsi="Segoe UI" w:cs="Segoe UI"/>
                <w:webHidden/>
              </w:rPr>
              <w:instrText xml:space="preserve"> PAGEREF _Toc168567197 \h </w:instrText>
            </w:r>
            <w:r w:rsidRPr="00F7397F">
              <w:rPr>
                <w:rFonts w:ascii="Segoe UI" w:hAnsi="Segoe UI" w:cs="Segoe UI"/>
                <w:webHidden/>
              </w:rPr>
            </w:r>
            <w:r w:rsidRPr="00F7397F">
              <w:rPr>
                <w:rFonts w:ascii="Segoe UI" w:hAnsi="Segoe UI" w:cs="Segoe UI"/>
                <w:webHidden/>
              </w:rPr>
              <w:fldChar w:fldCharType="separate"/>
            </w:r>
            <w:r w:rsidR="002A46D9">
              <w:rPr>
                <w:rFonts w:ascii="Segoe UI" w:hAnsi="Segoe UI" w:cs="Segoe UI"/>
                <w:webHidden/>
              </w:rPr>
              <w:t>34</w:t>
            </w:r>
            <w:r w:rsidRPr="00F7397F">
              <w:rPr>
                <w:rFonts w:ascii="Segoe UI" w:hAnsi="Segoe UI" w:cs="Segoe UI"/>
                <w:webHidden/>
              </w:rPr>
              <w:fldChar w:fldCharType="end"/>
            </w:r>
          </w:hyperlink>
        </w:p>
        <w:p w14:paraId="1D8BC635" w14:textId="41909BB1" w:rsidR="00F7397F" w:rsidRPr="00F7397F" w:rsidRDefault="00F7397F">
          <w:pPr>
            <w:pStyle w:val="Obsah2"/>
            <w:tabs>
              <w:tab w:val="right" w:leader="dot" w:pos="9060"/>
            </w:tabs>
            <w:rPr>
              <w:rFonts w:ascii="Segoe UI" w:eastAsiaTheme="minorEastAsia" w:hAnsi="Segoe UI" w:cs="Segoe UI"/>
              <w:smallCaps w:val="0"/>
              <w:noProof/>
              <w:sz w:val="22"/>
              <w:szCs w:val="22"/>
              <w:lang w:eastAsia="sk-SK"/>
            </w:rPr>
          </w:pPr>
          <w:hyperlink w:anchor="_Toc168567198" w:history="1">
            <w:r w:rsidRPr="00F7397F">
              <w:rPr>
                <w:rStyle w:val="Hypertextovprepojenie"/>
                <w:rFonts w:cs="Segoe UI"/>
                <w:noProof/>
              </w:rPr>
              <w:t>5.1  Zdravotníctvo</w:t>
            </w:r>
            <w:r w:rsidRPr="00F7397F">
              <w:rPr>
                <w:rFonts w:ascii="Segoe UI" w:hAnsi="Segoe UI" w:cs="Segoe UI"/>
                <w:noProof/>
                <w:webHidden/>
              </w:rPr>
              <w:tab/>
            </w:r>
            <w:r w:rsidRPr="00F7397F">
              <w:rPr>
                <w:rFonts w:ascii="Segoe UI" w:hAnsi="Segoe UI" w:cs="Segoe UI"/>
                <w:noProof/>
                <w:webHidden/>
              </w:rPr>
              <w:fldChar w:fldCharType="begin"/>
            </w:r>
            <w:r w:rsidRPr="00F7397F">
              <w:rPr>
                <w:rFonts w:ascii="Segoe UI" w:hAnsi="Segoe UI" w:cs="Segoe UI"/>
                <w:noProof/>
                <w:webHidden/>
              </w:rPr>
              <w:instrText xml:space="preserve"> PAGEREF _Toc168567198 \h </w:instrText>
            </w:r>
            <w:r w:rsidRPr="00F7397F">
              <w:rPr>
                <w:rFonts w:ascii="Segoe UI" w:hAnsi="Segoe UI" w:cs="Segoe UI"/>
                <w:noProof/>
                <w:webHidden/>
              </w:rPr>
            </w:r>
            <w:r w:rsidRPr="00F7397F">
              <w:rPr>
                <w:rFonts w:ascii="Segoe UI" w:hAnsi="Segoe UI" w:cs="Segoe UI"/>
                <w:noProof/>
                <w:webHidden/>
              </w:rPr>
              <w:fldChar w:fldCharType="separate"/>
            </w:r>
            <w:r w:rsidR="002A46D9">
              <w:rPr>
                <w:rFonts w:ascii="Segoe UI" w:hAnsi="Segoe UI" w:cs="Segoe UI"/>
                <w:noProof/>
                <w:webHidden/>
              </w:rPr>
              <w:t>34</w:t>
            </w:r>
            <w:r w:rsidRPr="00F7397F">
              <w:rPr>
                <w:rFonts w:ascii="Segoe UI" w:hAnsi="Segoe UI" w:cs="Segoe UI"/>
                <w:noProof/>
                <w:webHidden/>
              </w:rPr>
              <w:fldChar w:fldCharType="end"/>
            </w:r>
          </w:hyperlink>
        </w:p>
        <w:p w14:paraId="163FAF0E" w14:textId="2F9C2C27" w:rsidR="00F7397F" w:rsidRPr="00F7397F" w:rsidRDefault="00F7397F">
          <w:pPr>
            <w:pStyle w:val="Obsah3"/>
            <w:tabs>
              <w:tab w:val="right" w:leader="dot" w:pos="9060"/>
            </w:tabs>
            <w:rPr>
              <w:rFonts w:ascii="Segoe UI" w:eastAsiaTheme="minorEastAsia" w:hAnsi="Segoe UI" w:cs="Segoe UI"/>
              <w:i w:val="0"/>
              <w:iCs w:val="0"/>
              <w:noProof/>
              <w:sz w:val="22"/>
              <w:szCs w:val="22"/>
              <w:lang w:eastAsia="sk-SK"/>
            </w:rPr>
          </w:pPr>
          <w:hyperlink w:anchor="_Toc168567199" w:history="1">
            <w:r w:rsidRPr="00F7397F">
              <w:rPr>
                <w:rStyle w:val="Hypertextovprepojenie"/>
                <w:rFonts w:cs="Segoe UI"/>
                <w:noProof/>
              </w:rPr>
              <w:t>5.1.1  Plnenie cieľov v programoch kapitoly MZ SR</w:t>
            </w:r>
            <w:r w:rsidRPr="00F7397F">
              <w:rPr>
                <w:rFonts w:ascii="Segoe UI" w:hAnsi="Segoe UI" w:cs="Segoe UI"/>
                <w:noProof/>
                <w:webHidden/>
              </w:rPr>
              <w:tab/>
            </w:r>
            <w:r w:rsidRPr="00F7397F">
              <w:rPr>
                <w:rFonts w:ascii="Segoe UI" w:hAnsi="Segoe UI" w:cs="Segoe UI"/>
                <w:noProof/>
                <w:webHidden/>
              </w:rPr>
              <w:fldChar w:fldCharType="begin"/>
            </w:r>
            <w:r w:rsidRPr="00F7397F">
              <w:rPr>
                <w:rFonts w:ascii="Segoe UI" w:hAnsi="Segoe UI" w:cs="Segoe UI"/>
                <w:noProof/>
                <w:webHidden/>
              </w:rPr>
              <w:instrText xml:space="preserve"> PAGEREF _Toc168567199 \h </w:instrText>
            </w:r>
            <w:r w:rsidRPr="00F7397F">
              <w:rPr>
                <w:rFonts w:ascii="Segoe UI" w:hAnsi="Segoe UI" w:cs="Segoe UI"/>
                <w:noProof/>
                <w:webHidden/>
              </w:rPr>
            </w:r>
            <w:r w:rsidRPr="00F7397F">
              <w:rPr>
                <w:rFonts w:ascii="Segoe UI" w:hAnsi="Segoe UI" w:cs="Segoe UI"/>
                <w:noProof/>
                <w:webHidden/>
              </w:rPr>
              <w:fldChar w:fldCharType="separate"/>
            </w:r>
            <w:r w:rsidR="002A46D9">
              <w:rPr>
                <w:rFonts w:ascii="Segoe UI" w:hAnsi="Segoe UI" w:cs="Segoe UI"/>
                <w:noProof/>
                <w:webHidden/>
              </w:rPr>
              <w:t>34</w:t>
            </w:r>
            <w:r w:rsidRPr="00F7397F">
              <w:rPr>
                <w:rFonts w:ascii="Segoe UI" w:hAnsi="Segoe UI" w:cs="Segoe UI"/>
                <w:noProof/>
                <w:webHidden/>
              </w:rPr>
              <w:fldChar w:fldCharType="end"/>
            </w:r>
          </w:hyperlink>
        </w:p>
        <w:p w14:paraId="242B70B9" w14:textId="36DA715E" w:rsidR="00F7397F" w:rsidRPr="00F7397F" w:rsidRDefault="00F7397F">
          <w:pPr>
            <w:pStyle w:val="Obsah3"/>
            <w:tabs>
              <w:tab w:val="right" w:leader="dot" w:pos="9060"/>
            </w:tabs>
            <w:rPr>
              <w:rFonts w:ascii="Segoe UI" w:eastAsiaTheme="minorEastAsia" w:hAnsi="Segoe UI" w:cs="Segoe UI"/>
              <w:i w:val="0"/>
              <w:iCs w:val="0"/>
              <w:noProof/>
              <w:sz w:val="22"/>
              <w:szCs w:val="22"/>
              <w:lang w:eastAsia="sk-SK"/>
            </w:rPr>
          </w:pPr>
          <w:hyperlink w:anchor="_Toc168567200" w:history="1">
            <w:r w:rsidRPr="00F7397F">
              <w:rPr>
                <w:rStyle w:val="Hypertextovprepojenie"/>
                <w:rFonts w:cs="Segoe UI"/>
                <w:noProof/>
              </w:rPr>
              <w:t>5.1.2  Výdavky verejného zdravotného poistenia</w:t>
            </w:r>
            <w:r w:rsidRPr="00F7397F">
              <w:rPr>
                <w:rFonts w:ascii="Segoe UI" w:hAnsi="Segoe UI" w:cs="Segoe UI"/>
                <w:noProof/>
                <w:webHidden/>
              </w:rPr>
              <w:tab/>
            </w:r>
            <w:r w:rsidRPr="00F7397F">
              <w:rPr>
                <w:rFonts w:ascii="Segoe UI" w:hAnsi="Segoe UI" w:cs="Segoe UI"/>
                <w:noProof/>
                <w:webHidden/>
              </w:rPr>
              <w:fldChar w:fldCharType="begin"/>
            </w:r>
            <w:r w:rsidRPr="00F7397F">
              <w:rPr>
                <w:rFonts w:ascii="Segoe UI" w:hAnsi="Segoe UI" w:cs="Segoe UI"/>
                <w:noProof/>
                <w:webHidden/>
              </w:rPr>
              <w:instrText xml:space="preserve"> PAGEREF _Toc168567200 \h </w:instrText>
            </w:r>
            <w:r w:rsidRPr="00F7397F">
              <w:rPr>
                <w:rFonts w:ascii="Segoe UI" w:hAnsi="Segoe UI" w:cs="Segoe UI"/>
                <w:noProof/>
                <w:webHidden/>
              </w:rPr>
            </w:r>
            <w:r w:rsidRPr="00F7397F">
              <w:rPr>
                <w:rFonts w:ascii="Segoe UI" w:hAnsi="Segoe UI" w:cs="Segoe UI"/>
                <w:noProof/>
                <w:webHidden/>
              </w:rPr>
              <w:fldChar w:fldCharType="separate"/>
            </w:r>
            <w:r w:rsidR="002A46D9">
              <w:rPr>
                <w:rFonts w:ascii="Segoe UI" w:hAnsi="Segoe UI" w:cs="Segoe UI"/>
                <w:noProof/>
                <w:webHidden/>
              </w:rPr>
              <w:t>36</w:t>
            </w:r>
            <w:r w:rsidRPr="00F7397F">
              <w:rPr>
                <w:rFonts w:ascii="Segoe UI" w:hAnsi="Segoe UI" w:cs="Segoe UI"/>
                <w:noProof/>
                <w:webHidden/>
              </w:rPr>
              <w:fldChar w:fldCharType="end"/>
            </w:r>
          </w:hyperlink>
        </w:p>
        <w:p w14:paraId="31902B5F" w14:textId="19B00439" w:rsidR="00F7397F" w:rsidRPr="00F7397F" w:rsidRDefault="00F7397F">
          <w:pPr>
            <w:pStyle w:val="Obsah3"/>
            <w:tabs>
              <w:tab w:val="right" w:leader="dot" w:pos="9060"/>
            </w:tabs>
            <w:rPr>
              <w:rFonts w:ascii="Segoe UI" w:eastAsiaTheme="minorEastAsia" w:hAnsi="Segoe UI" w:cs="Segoe UI"/>
              <w:i w:val="0"/>
              <w:iCs w:val="0"/>
              <w:noProof/>
              <w:sz w:val="22"/>
              <w:szCs w:val="22"/>
              <w:lang w:eastAsia="sk-SK"/>
            </w:rPr>
          </w:pPr>
          <w:hyperlink w:anchor="_Toc168567201" w:history="1">
            <w:r w:rsidRPr="00F7397F">
              <w:rPr>
                <w:rStyle w:val="Hypertextovprepojenie"/>
                <w:rFonts w:cs="Segoe UI"/>
                <w:noProof/>
              </w:rPr>
              <w:t>5.1.3 Plnenie úsporných opatrení</w:t>
            </w:r>
            <w:r w:rsidRPr="00F7397F">
              <w:rPr>
                <w:rFonts w:ascii="Segoe UI" w:hAnsi="Segoe UI" w:cs="Segoe UI"/>
                <w:noProof/>
                <w:webHidden/>
              </w:rPr>
              <w:tab/>
            </w:r>
            <w:r w:rsidRPr="00F7397F">
              <w:rPr>
                <w:rFonts w:ascii="Segoe UI" w:hAnsi="Segoe UI" w:cs="Segoe UI"/>
                <w:noProof/>
                <w:webHidden/>
              </w:rPr>
              <w:fldChar w:fldCharType="begin"/>
            </w:r>
            <w:r w:rsidRPr="00F7397F">
              <w:rPr>
                <w:rFonts w:ascii="Segoe UI" w:hAnsi="Segoe UI" w:cs="Segoe UI"/>
                <w:noProof/>
                <w:webHidden/>
              </w:rPr>
              <w:instrText xml:space="preserve"> PAGEREF _Toc168567201 \h </w:instrText>
            </w:r>
            <w:r w:rsidRPr="00F7397F">
              <w:rPr>
                <w:rFonts w:ascii="Segoe UI" w:hAnsi="Segoe UI" w:cs="Segoe UI"/>
                <w:noProof/>
                <w:webHidden/>
              </w:rPr>
            </w:r>
            <w:r w:rsidRPr="00F7397F">
              <w:rPr>
                <w:rFonts w:ascii="Segoe UI" w:hAnsi="Segoe UI" w:cs="Segoe UI"/>
                <w:noProof/>
                <w:webHidden/>
              </w:rPr>
              <w:fldChar w:fldCharType="separate"/>
            </w:r>
            <w:r w:rsidR="002A46D9">
              <w:rPr>
                <w:rFonts w:ascii="Segoe UI" w:hAnsi="Segoe UI" w:cs="Segoe UI"/>
                <w:noProof/>
                <w:webHidden/>
              </w:rPr>
              <w:t>37</w:t>
            </w:r>
            <w:r w:rsidRPr="00F7397F">
              <w:rPr>
                <w:rFonts w:ascii="Segoe UI" w:hAnsi="Segoe UI" w:cs="Segoe UI"/>
                <w:noProof/>
                <w:webHidden/>
              </w:rPr>
              <w:fldChar w:fldCharType="end"/>
            </w:r>
          </w:hyperlink>
        </w:p>
        <w:p w14:paraId="02DC9DE7" w14:textId="3445F9D1" w:rsidR="00F7397F" w:rsidRPr="00F7397F" w:rsidRDefault="00F7397F">
          <w:pPr>
            <w:pStyle w:val="Obsah3"/>
            <w:tabs>
              <w:tab w:val="right" w:leader="dot" w:pos="9060"/>
            </w:tabs>
            <w:rPr>
              <w:rFonts w:ascii="Segoe UI" w:eastAsiaTheme="minorEastAsia" w:hAnsi="Segoe UI" w:cs="Segoe UI"/>
              <w:i w:val="0"/>
              <w:iCs w:val="0"/>
              <w:noProof/>
              <w:sz w:val="22"/>
              <w:szCs w:val="22"/>
              <w:lang w:eastAsia="sk-SK"/>
            </w:rPr>
          </w:pPr>
          <w:hyperlink w:anchor="_Toc168567202" w:history="1">
            <w:r w:rsidRPr="00F7397F">
              <w:rPr>
                <w:rStyle w:val="Hypertextovprepojenie"/>
                <w:rFonts w:cs="Segoe UI"/>
                <w:noProof/>
              </w:rPr>
              <w:t>5.1.4  Zadlženosť zdravotníckych zariadení</w:t>
            </w:r>
            <w:r w:rsidRPr="00F7397F">
              <w:rPr>
                <w:rFonts w:ascii="Segoe UI" w:hAnsi="Segoe UI" w:cs="Segoe UI"/>
                <w:noProof/>
                <w:webHidden/>
              </w:rPr>
              <w:tab/>
            </w:r>
            <w:r w:rsidRPr="00F7397F">
              <w:rPr>
                <w:rFonts w:ascii="Segoe UI" w:hAnsi="Segoe UI" w:cs="Segoe UI"/>
                <w:noProof/>
                <w:webHidden/>
              </w:rPr>
              <w:fldChar w:fldCharType="begin"/>
            </w:r>
            <w:r w:rsidRPr="00F7397F">
              <w:rPr>
                <w:rFonts w:ascii="Segoe UI" w:hAnsi="Segoe UI" w:cs="Segoe UI"/>
                <w:noProof/>
                <w:webHidden/>
              </w:rPr>
              <w:instrText xml:space="preserve"> PAGEREF _Toc168567202 \h </w:instrText>
            </w:r>
            <w:r w:rsidRPr="00F7397F">
              <w:rPr>
                <w:rFonts w:ascii="Segoe UI" w:hAnsi="Segoe UI" w:cs="Segoe UI"/>
                <w:noProof/>
                <w:webHidden/>
              </w:rPr>
            </w:r>
            <w:r w:rsidRPr="00F7397F">
              <w:rPr>
                <w:rFonts w:ascii="Segoe UI" w:hAnsi="Segoe UI" w:cs="Segoe UI"/>
                <w:noProof/>
                <w:webHidden/>
              </w:rPr>
              <w:fldChar w:fldCharType="separate"/>
            </w:r>
            <w:r w:rsidR="002A46D9">
              <w:rPr>
                <w:rFonts w:ascii="Segoe UI" w:hAnsi="Segoe UI" w:cs="Segoe UI"/>
                <w:noProof/>
                <w:webHidden/>
              </w:rPr>
              <w:t>39</w:t>
            </w:r>
            <w:r w:rsidRPr="00F7397F">
              <w:rPr>
                <w:rFonts w:ascii="Segoe UI" w:hAnsi="Segoe UI" w:cs="Segoe UI"/>
                <w:noProof/>
                <w:webHidden/>
              </w:rPr>
              <w:fldChar w:fldCharType="end"/>
            </w:r>
          </w:hyperlink>
        </w:p>
        <w:p w14:paraId="64A257D8" w14:textId="7F07C2CB" w:rsidR="00F7397F" w:rsidRPr="00F7397F" w:rsidRDefault="00F7397F">
          <w:pPr>
            <w:pStyle w:val="Obsah2"/>
            <w:tabs>
              <w:tab w:val="right" w:leader="dot" w:pos="9060"/>
            </w:tabs>
            <w:rPr>
              <w:rFonts w:ascii="Segoe UI" w:eastAsiaTheme="minorEastAsia" w:hAnsi="Segoe UI" w:cs="Segoe UI"/>
              <w:smallCaps w:val="0"/>
              <w:noProof/>
              <w:sz w:val="22"/>
              <w:szCs w:val="22"/>
              <w:lang w:eastAsia="sk-SK"/>
            </w:rPr>
          </w:pPr>
          <w:hyperlink w:anchor="_Toc168567203" w:history="1">
            <w:r w:rsidRPr="00F7397F">
              <w:rPr>
                <w:rStyle w:val="Hypertextovprepojenie"/>
                <w:rFonts w:cs="Segoe UI"/>
                <w:noProof/>
              </w:rPr>
              <w:t>5.2  Sociálne politiky</w:t>
            </w:r>
            <w:r w:rsidRPr="00F7397F">
              <w:rPr>
                <w:rFonts w:ascii="Segoe UI" w:hAnsi="Segoe UI" w:cs="Segoe UI"/>
                <w:noProof/>
                <w:webHidden/>
              </w:rPr>
              <w:tab/>
            </w:r>
            <w:r w:rsidRPr="00F7397F">
              <w:rPr>
                <w:rFonts w:ascii="Segoe UI" w:hAnsi="Segoe UI" w:cs="Segoe UI"/>
                <w:noProof/>
                <w:webHidden/>
              </w:rPr>
              <w:fldChar w:fldCharType="begin"/>
            </w:r>
            <w:r w:rsidRPr="00F7397F">
              <w:rPr>
                <w:rFonts w:ascii="Segoe UI" w:hAnsi="Segoe UI" w:cs="Segoe UI"/>
                <w:noProof/>
                <w:webHidden/>
              </w:rPr>
              <w:instrText xml:space="preserve"> PAGEREF _Toc168567203 \h </w:instrText>
            </w:r>
            <w:r w:rsidRPr="00F7397F">
              <w:rPr>
                <w:rFonts w:ascii="Segoe UI" w:hAnsi="Segoe UI" w:cs="Segoe UI"/>
                <w:noProof/>
                <w:webHidden/>
              </w:rPr>
            </w:r>
            <w:r w:rsidRPr="00F7397F">
              <w:rPr>
                <w:rFonts w:ascii="Segoe UI" w:hAnsi="Segoe UI" w:cs="Segoe UI"/>
                <w:noProof/>
                <w:webHidden/>
              </w:rPr>
              <w:fldChar w:fldCharType="separate"/>
            </w:r>
            <w:r w:rsidR="002A46D9">
              <w:rPr>
                <w:rFonts w:ascii="Segoe UI" w:hAnsi="Segoe UI" w:cs="Segoe UI"/>
                <w:noProof/>
                <w:webHidden/>
              </w:rPr>
              <w:t>41</w:t>
            </w:r>
            <w:r w:rsidRPr="00F7397F">
              <w:rPr>
                <w:rFonts w:ascii="Segoe UI" w:hAnsi="Segoe UI" w:cs="Segoe UI"/>
                <w:noProof/>
                <w:webHidden/>
              </w:rPr>
              <w:fldChar w:fldCharType="end"/>
            </w:r>
          </w:hyperlink>
        </w:p>
        <w:p w14:paraId="4310EAC3" w14:textId="1E05913D" w:rsidR="00F7397F" w:rsidRPr="00F7397F" w:rsidRDefault="00F7397F">
          <w:pPr>
            <w:pStyle w:val="Obsah3"/>
            <w:tabs>
              <w:tab w:val="right" w:leader="dot" w:pos="9060"/>
            </w:tabs>
            <w:rPr>
              <w:rFonts w:ascii="Segoe UI" w:eastAsiaTheme="minorEastAsia" w:hAnsi="Segoe UI" w:cs="Segoe UI"/>
              <w:i w:val="0"/>
              <w:iCs w:val="0"/>
              <w:noProof/>
              <w:sz w:val="22"/>
              <w:szCs w:val="22"/>
              <w:lang w:eastAsia="sk-SK"/>
            </w:rPr>
          </w:pPr>
          <w:hyperlink w:anchor="_Toc168567204" w:history="1">
            <w:r w:rsidRPr="00F7397F">
              <w:rPr>
                <w:rStyle w:val="Hypertextovprepojenie"/>
                <w:rFonts w:cs="Segoe UI"/>
                <w:noProof/>
              </w:rPr>
              <w:t>5.2.1  Výdavky na predčasné starobné dôchodky</w:t>
            </w:r>
            <w:r w:rsidRPr="00F7397F">
              <w:rPr>
                <w:rFonts w:ascii="Segoe UI" w:hAnsi="Segoe UI" w:cs="Segoe UI"/>
                <w:noProof/>
                <w:webHidden/>
              </w:rPr>
              <w:tab/>
            </w:r>
            <w:r w:rsidRPr="00F7397F">
              <w:rPr>
                <w:rFonts w:ascii="Segoe UI" w:hAnsi="Segoe UI" w:cs="Segoe UI"/>
                <w:noProof/>
                <w:webHidden/>
              </w:rPr>
              <w:fldChar w:fldCharType="begin"/>
            </w:r>
            <w:r w:rsidRPr="00F7397F">
              <w:rPr>
                <w:rFonts w:ascii="Segoe UI" w:hAnsi="Segoe UI" w:cs="Segoe UI"/>
                <w:noProof/>
                <w:webHidden/>
              </w:rPr>
              <w:instrText xml:space="preserve"> PAGEREF _Toc168567204 \h </w:instrText>
            </w:r>
            <w:r w:rsidRPr="00F7397F">
              <w:rPr>
                <w:rFonts w:ascii="Segoe UI" w:hAnsi="Segoe UI" w:cs="Segoe UI"/>
                <w:noProof/>
                <w:webHidden/>
              </w:rPr>
            </w:r>
            <w:r w:rsidRPr="00F7397F">
              <w:rPr>
                <w:rFonts w:ascii="Segoe UI" w:hAnsi="Segoe UI" w:cs="Segoe UI"/>
                <w:noProof/>
                <w:webHidden/>
              </w:rPr>
              <w:fldChar w:fldCharType="separate"/>
            </w:r>
            <w:r w:rsidR="002A46D9">
              <w:rPr>
                <w:rFonts w:ascii="Segoe UI" w:hAnsi="Segoe UI" w:cs="Segoe UI"/>
                <w:noProof/>
                <w:webHidden/>
              </w:rPr>
              <w:t>42</w:t>
            </w:r>
            <w:r w:rsidRPr="00F7397F">
              <w:rPr>
                <w:rFonts w:ascii="Segoe UI" w:hAnsi="Segoe UI" w:cs="Segoe UI"/>
                <w:noProof/>
                <w:webHidden/>
              </w:rPr>
              <w:fldChar w:fldCharType="end"/>
            </w:r>
          </w:hyperlink>
        </w:p>
        <w:p w14:paraId="7B0B1DE4" w14:textId="0ED74277" w:rsidR="00F7397F" w:rsidRPr="00F7397F" w:rsidRDefault="00F7397F">
          <w:pPr>
            <w:pStyle w:val="Obsah3"/>
            <w:tabs>
              <w:tab w:val="right" w:leader="dot" w:pos="9060"/>
            </w:tabs>
            <w:rPr>
              <w:rFonts w:ascii="Segoe UI" w:eastAsiaTheme="minorEastAsia" w:hAnsi="Segoe UI" w:cs="Segoe UI"/>
              <w:i w:val="0"/>
              <w:iCs w:val="0"/>
              <w:noProof/>
              <w:sz w:val="22"/>
              <w:szCs w:val="22"/>
              <w:lang w:eastAsia="sk-SK"/>
            </w:rPr>
          </w:pPr>
          <w:hyperlink w:anchor="_Toc168567205" w:history="1">
            <w:r w:rsidRPr="00F7397F">
              <w:rPr>
                <w:rStyle w:val="Hypertextovprepojenie"/>
                <w:rFonts w:cs="Segoe UI"/>
                <w:noProof/>
              </w:rPr>
              <w:t>5.2.2  Výdavky na energopomoc</w:t>
            </w:r>
            <w:r w:rsidRPr="00F7397F">
              <w:rPr>
                <w:rFonts w:ascii="Segoe UI" w:hAnsi="Segoe UI" w:cs="Segoe UI"/>
                <w:noProof/>
                <w:webHidden/>
              </w:rPr>
              <w:tab/>
            </w:r>
            <w:r w:rsidRPr="00F7397F">
              <w:rPr>
                <w:rFonts w:ascii="Segoe UI" w:hAnsi="Segoe UI" w:cs="Segoe UI"/>
                <w:noProof/>
                <w:webHidden/>
              </w:rPr>
              <w:fldChar w:fldCharType="begin"/>
            </w:r>
            <w:r w:rsidRPr="00F7397F">
              <w:rPr>
                <w:rFonts w:ascii="Segoe UI" w:hAnsi="Segoe UI" w:cs="Segoe UI"/>
                <w:noProof/>
                <w:webHidden/>
              </w:rPr>
              <w:instrText xml:space="preserve"> PAGEREF _Toc168567205 \h </w:instrText>
            </w:r>
            <w:r w:rsidRPr="00F7397F">
              <w:rPr>
                <w:rFonts w:ascii="Segoe UI" w:hAnsi="Segoe UI" w:cs="Segoe UI"/>
                <w:noProof/>
                <w:webHidden/>
              </w:rPr>
            </w:r>
            <w:r w:rsidRPr="00F7397F">
              <w:rPr>
                <w:rFonts w:ascii="Segoe UI" w:hAnsi="Segoe UI" w:cs="Segoe UI"/>
                <w:noProof/>
                <w:webHidden/>
              </w:rPr>
              <w:fldChar w:fldCharType="separate"/>
            </w:r>
            <w:r w:rsidR="002A46D9">
              <w:rPr>
                <w:rFonts w:ascii="Segoe UI" w:hAnsi="Segoe UI" w:cs="Segoe UI"/>
                <w:noProof/>
                <w:webHidden/>
              </w:rPr>
              <w:t>44</w:t>
            </w:r>
            <w:r w:rsidRPr="00F7397F">
              <w:rPr>
                <w:rFonts w:ascii="Segoe UI" w:hAnsi="Segoe UI" w:cs="Segoe UI"/>
                <w:noProof/>
                <w:webHidden/>
              </w:rPr>
              <w:fldChar w:fldCharType="end"/>
            </w:r>
          </w:hyperlink>
        </w:p>
        <w:p w14:paraId="7486B8F9" w14:textId="5028F489" w:rsidR="00F7397F" w:rsidRPr="00F7397F" w:rsidRDefault="00F7397F">
          <w:pPr>
            <w:pStyle w:val="Obsah2"/>
            <w:tabs>
              <w:tab w:val="right" w:leader="dot" w:pos="9060"/>
            </w:tabs>
            <w:rPr>
              <w:rFonts w:ascii="Segoe UI" w:eastAsiaTheme="minorEastAsia" w:hAnsi="Segoe UI" w:cs="Segoe UI"/>
              <w:smallCaps w:val="0"/>
              <w:noProof/>
              <w:sz w:val="22"/>
              <w:szCs w:val="22"/>
              <w:lang w:eastAsia="sk-SK"/>
            </w:rPr>
          </w:pPr>
          <w:hyperlink w:anchor="_Toc168567206" w:history="1">
            <w:r w:rsidRPr="00F7397F">
              <w:rPr>
                <w:rStyle w:val="Hypertextovprepojenie"/>
                <w:rFonts w:cs="Segoe UI"/>
                <w:noProof/>
              </w:rPr>
              <w:t>5.3  Vzdelávanie, veda a výskum</w:t>
            </w:r>
            <w:r w:rsidRPr="00F7397F">
              <w:rPr>
                <w:rFonts w:ascii="Segoe UI" w:hAnsi="Segoe UI" w:cs="Segoe UI"/>
                <w:noProof/>
                <w:webHidden/>
              </w:rPr>
              <w:tab/>
            </w:r>
            <w:r w:rsidRPr="00F7397F">
              <w:rPr>
                <w:rFonts w:ascii="Segoe UI" w:hAnsi="Segoe UI" w:cs="Segoe UI"/>
                <w:noProof/>
                <w:webHidden/>
              </w:rPr>
              <w:fldChar w:fldCharType="begin"/>
            </w:r>
            <w:r w:rsidRPr="00F7397F">
              <w:rPr>
                <w:rFonts w:ascii="Segoe UI" w:hAnsi="Segoe UI" w:cs="Segoe UI"/>
                <w:noProof/>
                <w:webHidden/>
              </w:rPr>
              <w:instrText xml:space="preserve"> PAGEREF _Toc168567206 \h </w:instrText>
            </w:r>
            <w:r w:rsidRPr="00F7397F">
              <w:rPr>
                <w:rFonts w:ascii="Segoe UI" w:hAnsi="Segoe UI" w:cs="Segoe UI"/>
                <w:noProof/>
                <w:webHidden/>
              </w:rPr>
            </w:r>
            <w:r w:rsidRPr="00F7397F">
              <w:rPr>
                <w:rFonts w:ascii="Segoe UI" w:hAnsi="Segoe UI" w:cs="Segoe UI"/>
                <w:noProof/>
                <w:webHidden/>
              </w:rPr>
              <w:fldChar w:fldCharType="separate"/>
            </w:r>
            <w:r w:rsidR="002A46D9">
              <w:rPr>
                <w:rFonts w:ascii="Segoe UI" w:hAnsi="Segoe UI" w:cs="Segoe UI"/>
                <w:noProof/>
                <w:webHidden/>
              </w:rPr>
              <w:t>46</w:t>
            </w:r>
            <w:r w:rsidRPr="00F7397F">
              <w:rPr>
                <w:rFonts w:ascii="Segoe UI" w:hAnsi="Segoe UI" w:cs="Segoe UI"/>
                <w:noProof/>
                <w:webHidden/>
              </w:rPr>
              <w:fldChar w:fldCharType="end"/>
            </w:r>
          </w:hyperlink>
        </w:p>
        <w:p w14:paraId="6F73201D" w14:textId="22D384E6" w:rsidR="00F7397F" w:rsidRPr="00F7397F" w:rsidRDefault="00F7397F">
          <w:pPr>
            <w:pStyle w:val="Obsah3"/>
            <w:tabs>
              <w:tab w:val="right" w:leader="dot" w:pos="9060"/>
            </w:tabs>
            <w:rPr>
              <w:rFonts w:ascii="Segoe UI" w:eastAsiaTheme="minorEastAsia" w:hAnsi="Segoe UI" w:cs="Segoe UI"/>
              <w:i w:val="0"/>
              <w:iCs w:val="0"/>
              <w:noProof/>
              <w:sz w:val="22"/>
              <w:szCs w:val="22"/>
              <w:lang w:eastAsia="sk-SK"/>
            </w:rPr>
          </w:pPr>
          <w:hyperlink w:anchor="_Toc168567207" w:history="1">
            <w:r w:rsidRPr="00F7397F">
              <w:rPr>
                <w:rStyle w:val="Hypertextovprepojenie"/>
                <w:rFonts w:cs="Segoe UI"/>
                <w:noProof/>
              </w:rPr>
              <w:t>5.3.1  Zhodnotenie čerpania a adresnosti výzvy na zvýšenie kapacít MŠ</w:t>
            </w:r>
            <w:r w:rsidRPr="00F7397F">
              <w:rPr>
                <w:rFonts w:ascii="Segoe UI" w:hAnsi="Segoe UI" w:cs="Segoe UI"/>
                <w:noProof/>
                <w:webHidden/>
              </w:rPr>
              <w:tab/>
            </w:r>
            <w:r w:rsidRPr="00F7397F">
              <w:rPr>
                <w:rFonts w:ascii="Segoe UI" w:hAnsi="Segoe UI" w:cs="Segoe UI"/>
                <w:noProof/>
                <w:webHidden/>
              </w:rPr>
              <w:fldChar w:fldCharType="begin"/>
            </w:r>
            <w:r w:rsidRPr="00F7397F">
              <w:rPr>
                <w:rFonts w:ascii="Segoe UI" w:hAnsi="Segoe UI" w:cs="Segoe UI"/>
                <w:noProof/>
                <w:webHidden/>
              </w:rPr>
              <w:instrText xml:space="preserve"> PAGEREF _Toc168567207 \h </w:instrText>
            </w:r>
            <w:r w:rsidRPr="00F7397F">
              <w:rPr>
                <w:rFonts w:ascii="Segoe UI" w:hAnsi="Segoe UI" w:cs="Segoe UI"/>
                <w:noProof/>
                <w:webHidden/>
              </w:rPr>
            </w:r>
            <w:r w:rsidRPr="00F7397F">
              <w:rPr>
                <w:rFonts w:ascii="Segoe UI" w:hAnsi="Segoe UI" w:cs="Segoe UI"/>
                <w:noProof/>
                <w:webHidden/>
              </w:rPr>
              <w:fldChar w:fldCharType="separate"/>
            </w:r>
            <w:r w:rsidR="002A46D9">
              <w:rPr>
                <w:rFonts w:ascii="Segoe UI" w:hAnsi="Segoe UI" w:cs="Segoe UI"/>
                <w:noProof/>
                <w:webHidden/>
              </w:rPr>
              <w:t>47</w:t>
            </w:r>
            <w:r w:rsidRPr="00F7397F">
              <w:rPr>
                <w:rFonts w:ascii="Segoe UI" w:hAnsi="Segoe UI" w:cs="Segoe UI"/>
                <w:noProof/>
                <w:webHidden/>
              </w:rPr>
              <w:fldChar w:fldCharType="end"/>
            </w:r>
          </w:hyperlink>
        </w:p>
        <w:p w14:paraId="2EA3FBE3" w14:textId="79B17536" w:rsidR="00F7397F" w:rsidRPr="00F7397F" w:rsidRDefault="00F7397F">
          <w:pPr>
            <w:pStyle w:val="Obsah3"/>
            <w:tabs>
              <w:tab w:val="right" w:leader="dot" w:pos="9060"/>
            </w:tabs>
            <w:rPr>
              <w:rFonts w:ascii="Segoe UI" w:eastAsiaTheme="minorEastAsia" w:hAnsi="Segoe UI" w:cs="Segoe UI"/>
              <w:i w:val="0"/>
              <w:iCs w:val="0"/>
              <w:noProof/>
              <w:sz w:val="22"/>
              <w:szCs w:val="22"/>
              <w:lang w:eastAsia="sk-SK"/>
            </w:rPr>
          </w:pPr>
          <w:hyperlink w:anchor="_Toc168567208" w:history="1">
            <w:r w:rsidRPr="00F7397F">
              <w:rPr>
                <w:rStyle w:val="Hypertextovprepojenie"/>
                <w:rFonts w:cs="Segoe UI"/>
                <w:noProof/>
              </w:rPr>
              <w:t>5.3.2  Nečerpanie prostriedkov POO na rekonštrukcie a modernizácie budov vysokých škôl</w:t>
            </w:r>
            <w:r w:rsidRPr="00F7397F">
              <w:rPr>
                <w:rFonts w:ascii="Segoe UI" w:hAnsi="Segoe UI" w:cs="Segoe UI"/>
                <w:noProof/>
                <w:webHidden/>
              </w:rPr>
              <w:tab/>
            </w:r>
            <w:r w:rsidRPr="00F7397F">
              <w:rPr>
                <w:rFonts w:ascii="Segoe UI" w:hAnsi="Segoe UI" w:cs="Segoe UI"/>
                <w:noProof/>
                <w:webHidden/>
              </w:rPr>
              <w:fldChar w:fldCharType="begin"/>
            </w:r>
            <w:r w:rsidRPr="00F7397F">
              <w:rPr>
                <w:rFonts w:ascii="Segoe UI" w:hAnsi="Segoe UI" w:cs="Segoe UI"/>
                <w:noProof/>
                <w:webHidden/>
              </w:rPr>
              <w:instrText xml:space="preserve"> PAGEREF _Toc168567208 \h </w:instrText>
            </w:r>
            <w:r w:rsidRPr="00F7397F">
              <w:rPr>
                <w:rFonts w:ascii="Segoe UI" w:hAnsi="Segoe UI" w:cs="Segoe UI"/>
                <w:noProof/>
                <w:webHidden/>
              </w:rPr>
            </w:r>
            <w:r w:rsidRPr="00F7397F">
              <w:rPr>
                <w:rFonts w:ascii="Segoe UI" w:hAnsi="Segoe UI" w:cs="Segoe UI"/>
                <w:noProof/>
                <w:webHidden/>
              </w:rPr>
              <w:fldChar w:fldCharType="separate"/>
            </w:r>
            <w:r w:rsidR="002A46D9">
              <w:rPr>
                <w:rFonts w:ascii="Segoe UI" w:hAnsi="Segoe UI" w:cs="Segoe UI"/>
                <w:noProof/>
                <w:webHidden/>
              </w:rPr>
              <w:t>49</w:t>
            </w:r>
            <w:r w:rsidRPr="00F7397F">
              <w:rPr>
                <w:rFonts w:ascii="Segoe UI" w:hAnsi="Segoe UI" w:cs="Segoe UI"/>
                <w:noProof/>
                <w:webHidden/>
              </w:rPr>
              <w:fldChar w:fldCharType="end"/>
            </w:r>
          </w:hyperlink>
        </w:p>
        <w:p w14:paraId="6402F6F9" w14:textId="6C6E939F" w:rsidR="00F7397F" w:rsidRPr="00F7397F" w:rsidRDefault="00F7397F">
          <w:pPr>
            <w:pStyle w:val="Obsah3"/>
            <w:tabs>
              <w:tab w:val="right" w:leader="dot" w:pos="9060"/>
            </w:tabs>
            <w:rPr>
              <w:rFonts w:ascii="Segoe UI" w:eastAsiaTheme="minorEastAsia" w:hAnsi="Segoe UI" w:cs="Segoe UI"/>
              <w:i w:val="0"/>
              <w:iCs w:val="0"/>
              <w:noProof/>
              <w:sz w:val="22"/>
              <w:szCs w:val="22"/>
              <w:lang w:eastAsia="sk-SK"/>
            </w:rPr>
          </w:pPr>
          <w:hyperlink w:anchor="_Toc168567209" w:history="1">
            <w:r w:rsidRPr="00F7397F">
              <w:rPr>
                <w:rStyle w:val="Hypertextovprepojenie"/>
                <w:rFonts w:cs="Segoe UI"/>
                <w:noProof/>
              </w:rPr>
              <w:t>5.3.3  Využívanie možnosti open access publikovania</w:t>
            </w:r>
            <w:r w:rsidRPr="00F7397F">
              <w:rPr>
                <w:rFonts w:ascii="Segoe UI" w:hAnsi="Segoe UI" w:cs="Segoe UI"/>
                <w:noProof/>
                <w:webHidden/>
              </w:rPr>
              <w:tab/>
            </w:r>
            <w:r w:rsidRPr="00F7397F">
              <w:rPr>
                <w:rFonts w:ascii="Segoe UI" w:hAnsi="Segoe UI" w:cs="Segoe UI"/>
                <w:noProof/>
                <w:webHidden/>
              </w:rPr>
              <w:fldChar w:fldCharType="begin"/>
            </w:r>
            <w:r w:rsidRPr="00F7397F">
              <w:rPr>
                <w:rFonts w:ascii="Segoe UI" w:hAnsi="Segoe UI" w:cs="Segoe UI"/>
                <w:noProof/>
                <w:webHidden/>
              </w:rPr>
              <w:instrText xml:space="preserve"> PAGEREF _Toc168567209 \h </w:instrText>
            </w:r>
            <w:r w:rsidRPr="00F7397F">
              <w:rPr>
                <w:rFonts w:ascii="Segoe UI" w:hAnsi="Segoe UI" w:cs="Segoe UI"/>
                <w:noProof/>
                <w:webHidden/>
              </w:rPr>
            </w:r>
            <w:r w:rsidRPr="00F7397F">
              <w:rPr>
                <w:rFonts w:ascii="Segoe UI" w:hAnsi="Segoe UI" w:cs="Segoe UI"/>
                <w:noProof/>
                <w:webHidden/>
              </w:rPr>
              <w:fldChar w:fldCharType="separate"/>
            </w:r>
            <w:r w:rsidR="002A46D9">
              <w:rPr>
                <w:rFonts w:ascii="Segoe UI" w:hAnsi="Segoe UI" w:cs="Segoe UI"/>
                <w:noProof/>
                <w:webHidden/>
              </w:rPr>
              <w:t>50</w:t>
            </w:r>
            <w:r w:rsidRPr="00F7397F">
              <w:rPr>
                <w:rFonts w:ascii="Segoe UI" w:hAnsi="Segoe UI" w:cs="Segoe UI"/>
                <w:noProof/>
                <w:webHidden/>
              </w:rPr>
              <w:fldChar w:fldCharType="end"/>
            </w:r>
          </w:hyperlink>
        </w:p>
        <w:p w14:paraId="60C9A18C" w14:textId="5FF8162A" w:rsidR="00F7397F" w:rsidRPr="00F7397F" w:rsidRDefault="00F7397F">
          <w:pPr>
            <w:pStyle w:val="Obsah1"/>
            <w:rPr>
              <w:rFonts w:ascii="Segoe UI" w:eastAsiaTheme="minorEastAsia" w:hAnsi="Segoe UI" w:cs="Segoe UI"/>
              <w:b w:val="0"/>
              <w:bCs w:val="0"/>
              <w:caps w:val="0"/>
              <w:color w:val="auto"/>
              <w:sz w:val="22"/>
              <w:szCs w:val="22"/>
              <w:lang w:eastAsia="sk-SK"/>
            </w:rPr>
          </w:pPr>
          <w:hyperlink w:anchor="_Toc168567210" w:history="1">
            <w:r w:rsidRPr="00F7397F">
              <w:rPr>
                <w:rStyle w:val="Hypertextovprepojenie"/>
                <w:rFonts w:cs="Segoe UI"/>
              </w:rPr>
              <w:t>6</w:t>
            </w:r>
            <w:r w:rsidRPr="00F7397F">
              <w:rPr>
                <w:rFonts w:ascii="Segoe UI" w:eastAsiaTheme="minorEastAsia" w:hAnsi="Segoe UI" w:cs="Segoe UI"/>
                <w:b w:val="0"/>
                <w:bCs w:val="0"/>
                <w:caps w:val="0"/>
                <w:color w:val="auto"/>
                <w:sz w:val="22"/>
                <w:szCs w:val="22"/>
                <w:lang w:eastAsia="sk-SK"/>
              </w:rPr>
              <w:tab/>
            </w:r>
            <w:r w:rsidRPr="00F7397F">
              <w:rPr>
                <w:rStyle w:val="Hypertextovprepojenie"/>
                <w:rFonts w:cs="Segoe UI"/>
              </w:rPr>
              <w:t>Hospodárenie územnej samosprávy</w:t>
            </w:r>
            <w:r w:rsidRPr="00F7397F">
              <w:rPr>
                <w:rFonts w:ascii="Segoe UI" w:hAnsi="Segoe UI" w:cs="Segoe UI"/>
                <w:webHidden/>
              </w:rPr>
              <w:tab/>
            </w:r>
            <w:r w:rsidRPr="00F7397F">
              <w:rPr>
                <w:rFonts w:ascii="Segoe UI" w:hAnsi="Segoe UI" w:cs="Segoe UI"/>
                <w:webHidden/>
              </w:rPr>
              <w:fldChar w:fldCharType="begin"/>
            </w:r>
            <w:r w:rsidRPr="00F7397F">
              <w:rPr>
                <w:rFonts w:ascii="Segoe UI" w:hAnsi="Segoe UI" w:cs="Segoe UI"/>
                <w:webHidden/>
              </w:rPr>
              <w:instrText xml:space="preserve"> PAGEREF _Toc168567210 \h </w:instrText>
            </w:r>
            <w:r w:rsidRPr="00F7397F">
              <w:rPr>
                <w:rFonts w:ascii="Segoe UI" w:hAnsi="Segoe UI" w:cs="Segoe UI"/>
                <w:webHidden/>
              </w:rPr>
            </w:r>
            <w:r w:rsidRPr="00F7397F">
              <w:rPr>
                <w:rFonts w:ascii="Segoe UI" w:hAnsi="Segoe UI" w:cs="Segoe UI"/>
                <w:webHidden/>
              </w:rPr>
              <w:fldChar w:fldCharType="separate"/>
            </w:r>
            <w:r w:rsidR="002A46D9">
              <w:rPr>
                <w:rFonts w:ascii="Segoe UI" w:hAnsi="Segoe UI" w:cs="Segoe UI"/>
                <w:webHidden/>
              </w:rPr>
              <w:t>53</w:t>
            </w:r>
            <w:r w:rsidRPr="00F7397F">
              <w:rPr>
                <w:rFonts w:ascii="Segoe UI" w:hAnsi="Segoe UI" w:cs="Segoe UI"/>
                <w:webHidden/>
              </w:rPr>
              <w:fldChar w:fldCharType="end"/>
            </w:r>
          </w:hyperlink>
        </w:p>
        <w:p w14:paraId="324751B3" w14:textId="375BC74B" w:rsidR="00F7397F" w:rsidRPr="00F7397F" w:rsidRDefault="00F7397F">
          <w:pPr>
            <w:pStyle w:val="Obsah2"/>
            <w:tabs>
              <w:tab w:val="right" w:leader="dot" w:pos="9060"/>
            </w:tabs>
            <w:rPr>
              <w:rFonts w:ascii="Segoe UI" w:eastAsiaTheme="minorEastAsia" w:hAnsi="Segoe UI" w:cs="Segoe UI"/>
              <w:smallCaps w:val="0"/>
              <w:noProof/>
              <w:sz w:val="22"/>
              <w:szCs w:val="22"/>
              <w:lang w:eastAsia="sk-SK"/>
            </w:rPr>
          </w:pPr>
          <w:hyperlink w:anchor="_Toc168567211" w:history="1">
            <w:r w:rsidRPr="00F7397F">
              <w:rPr>
                <w:rStyle w:val="Hypertextovprepojenie"/>
                <w:rFonts w:eastAsia="Times New Roman" w:cs="Segoe UI"/>
                <w:noProof/>
                <w:lang w:eastAsia="sk-SK"/>
              </w:rPr>
              <w:t xml:space="preserve">6.1  </w:t>
            </w:r>
            <w:r w:rsidRPr="00F7397F">
              <w:rPr>
                <w:rStyle w:val="Hypertextovprepojenie"/>
                <w:rFonts w:cs="Segoe UI"/>
                <w:noProof/>
              </w:rPr>
              <w:t>Hospodárenie</w:t>
            </w:r>
            <w:r w:rsidRPr="00F7397F">
              <w:rPr>
                <w:rStyle w:val="Hypertextovprepojenie"/>
                <w:rFonts w:eastAsia="Times New Roman" w:cs="Segoe UI"/>
                <w:noProof/>
                <w:lang w:eastAsia="sk-SK"/>
              </w:rPr>
              <w:t xml:space="preserve"> obcí</w:t>
            </w:r>
            <w:r w:rsidRPr="00F7397F">
              <w:rPr>
                <w:rFonts w:ascii="Segoe UI" w:hAnsi="Segoe UI" w:cs="Segoe UI"/>
                <w:noProof/>
                <w:webHidden/>
              </w:rPr>
              <w:tab/>
            </w:r>
            <w:r w:rsidRPr="00F7397F">
              <w:rPr>
                <w:rFonts w:ascii="Segoe UI" w:hAnsi="Segoe UI" w:cs="Segoe UI"/>
                <w:noProof/>
                <w:webHidden/>
              </w:rPr>
              <w:fldChar w:fldCharType="begin"/>
            </w:r>
            <w:r w:rsidRPr="00F7397F">
              <w:rPr>
                <w:rFonts w:ascii="Segoe UI" w:hAnsi="Segoe UI" w:cs="Segoe UI"/>
                <w:noProof/>
                <w:webHidden/>
              </w:rPr>
              <w:instrText xml:space="preserve"> PAGEREF _Toc168567211 \h </w:instrText>
            </w:r>
            <w:r w:rsidRPr="00F7397F">
              <w:rPr>
                <w:rFonts w:ascii="Segoe UI" w:hAnsi="Segoe UI" w:cs="Segoe UI"/>
                <w:noProof/>
                <w:webHidden/>
              </w:rPr>
            </w:r>
            <w:r w:rsidRPr="00F7397F">
              <w:rPr>
                <w:rFonts w:ascii="Segoe UI" w:hAnsi="Segoe UI" w:cs="Segoe UI"/>
                <w:noProof/>
                <w:webHidden/>
              </w:rPr>
              <w:fldChar w:fldCharType="separate"/>
            </w:r>
            <w:r w:rsidR="002A46D9">
              <w:rPr>
                <w:rFonts w:ascii="Segoe UI" w:hAnsi="Segoe UI" w:cs="Segoe UI"/>
                <w:noProof/>
                <w:webHidden/>
              </w:rPr>
              <w:t>53</w:t>
            </w:r>
            <w:r w:rsidRPr="00F7397F">
              <w:rPr>
                <w:rFonts w:ascii="Segoe UI" w:hAnsi="Segoe UI" w:cs="Segoe UI"/>
                <w:noProof/>
                <w:webHidden/>
              </w:rPr>
              <w:fldChar w:fldCharType="end"/>
            </w:r>
          </w:hyperlink>
        </w:p>
        <w:p w14:paraId="751611B2" w14:textId="385A15FC" w:rsidR="00F7397F" w:rsidRPr="00F7397F" w:rsidRDefault="00F7397F">
          <w:pPr>
            <w:pStyle w:val="Obsah2"/>
            <w:tabs>
              <w:tab w:val="right" w:leader="dot" w:pos="9060"/>
            </w:tabs>
            <w:rPr>
              <w:rFonts w:ascii="Segoe UI" w:eastAsiaTheme="minorEastAsia" w:hAnsi="Segoe UI" w:cs="Segoe UI"/>
              <w:smallCaps w:val="0"/>
              <w:noProof/>
              <w:sz w:val="22"/>
              <w:szCs w:val="22"/>
              <w:lang w:eastAsia="sk-SK"/>
            </w:rPr>
          </w:pPr>
          <w:hyperlink w:anchor="_Toc168567212" w:history="1">
            <w:r w:rsidRPr="00F7397F">
              <w:rPr>
                <w:rStyle w:val="Hypertextovprepojenie"/>
                <w:rFonts w:eastAsia="Times New Roman" w:cs="Segoe UI"/>
                <w:noProof/>
                <w:lang w:eastAsia="sk-SK"/>
              </w:rPr>
              <w:t xml:space="preserve">6.2  </w:t>
            </w:r>
            <w:r w:rsidRPr="00F7397F">
              <w:rPr>
                <w:rStyle w:val="Hypertextovprepojenie"/>
                <w:rFonts w:cs="Segoe UI"/>
                <w:noProof/>
              </w:rPr>
              <w:t>Hospodárenie</w:t>
            </w:r>
            <w:r w:rsidRPr="00F7397F">
              <w:rPr>
                <w:rStyle w:val="Hypertextovprepojenie"/>
                <w:rFonts w:eastAsia="Times New Roman" w:cs="Segoe UI"/>
                <w:noProof/>
                <w:lang w:eastAsia="sk-SK"/>
              </w:rPr>
              <w:t xml:space="preserve"> VÚC</w:t>
            </w:r>
            <w:r w:rsidRPr="00F7397F">
              <w:rPr>
                <w:rFonts w:ascii="Segoe UI" w:hAnsi="Segoe UI" w:cs="Segoe UI"/>
                <w:noProof/>
                <w:webHidden/>
              </w:rPr>
              <w:tab/>
            </w:r>
            <w:r w:rsidRPr="00F7397F">
              <w:rPr>
                <w:rFonts w:ascii="Segoe UI" w:hAnsi="Segoe UI" w:cs="Segoe UI"/>
                <w:noProof/>
                <w:webHidden/>
              </w:rPr>
              <w:fldChar w:fldCharType="begin"/>
            </w:r>
            <w:r w:rsidRPr="00F7397F">
              <w:rPr>
                <w:rFonts w:ascii="Segoe UI" w:hAnsi="Segoe UI" w:cs="Segoe UI"/>
                <w:noProof/>
                <w:webHidden/>
              </w:rPr>
              <w:instrText xml:space="preserve"> PAGEREF _Toc168567212 \h </w:instrText>
            </w:r>
            <w:r w:rsidRPr="00F7397F">
              <w:rPr>
                <w:rFonts w:ascii="Segoe UI" w:hAnsi="Segoe UI" w:cs="Segoe UI"/>
                <w:noProof/>
                <w:webHidden/>
              </w:rPr>
            </w:r>
            <w:r w:rsidRPr="00F7397F">
              <w:rPr>
                <w:rFonts w:ascii="Segoe UI" w:hAnsi="Segoe UI" w:cs="Segoe UI"/>
                <w:noProof/>
                <w:webHidden/>
              </w:rPr>
              <w:fldChar w:fldCharType="separate"/>
            </w:r>
            <w:r w:rsidR="002A46D9">
              <w:rPr>
                <w:rFonts w:ascii="Segoe UI" w:hAnsi="Segoe UI" w:cs="Segoe UI"/>
                <w:noProof/>
                <w:webHidden/>
              </w:rPr>
              <w:t>54</w:t>
            </w:r>
            <w:r w:rsidRPr="00F7397F">
              <w:rPr>
                <w:rFonts w:ascii="Segoe UI" w:hAnsi="Segoe UI" w:cs="Segoe UI"/>
                <w:noProof/>
                <w:webHidden/>
              </w:rPr>
              <w:fldChar w:fldCharType="end"/>
            </w:r>
          </w:hyperlink>
        </w:p>
        <w:p w14:paraId="6AB1D96A" w14:textId="68AF68AA" w:rsidR="00F7397F" w:rsidRPr="00F7397F" w:rsidRDefault="00F7397F">
          <w:pPr>
            <w:pStyle w:val="Obsah1"/>
            <w:rPr>
              <w:rFonts w:ascii="Segoe UI" w:eastAsiaTheme="minorEastAsia" w:hAnsi="Segoe UI" w:cs="Segoe UI"/>
              <w:b w:val="0"/>
              <w:bCs w:val="0"/>
              <w:caps w:val="0"/>
              <w:color w:val="auto"/>
              <w:sz w:val="22"/>
              <w:szCs w:val="22"/>
              <w:lang w:eastAsia="sk-SK"/>
            </w:rPr>
          </w:pPr>
          <w:hyperlink w:anchor="_Toc168567213" w:history="1">
            <w:r w:rsidRPr="00F7397F">
              <w:rPr>
                <w:rStyle w:val="Hypertextovprepojenie"/>
                <w:rFonts w:cs="Segoe UI"/>
              </w:rPr>
              <w:t>Tabuľková príloha</w:t>
            </w:r>
            <w:r w:rsidRPr="00F7397F">
              <w:rPr>
                <w:rFonts w:ascii="Segoe UI" w:hAnsi="Segoe UI" w:cs="Segoe UI"/>
                <w:webHidden/>
              </w:rPr>
              <w:tab/>
            </w:r>
            <w:r w:rsidRPr="00F7397F">
              <w:rPr>
                <w:rFonts w:ascii="Segoe UI" w:hAnsi="Segoe UI" w:cs="Segoe UI"/>
                <w:webHidden/>
              </w:rPr>
              <w:fldChar w:fldCharType="begin"/>
            </w:r>
            <w:r w:rsidRPr="00F7397F">
              <w:rPr>
                <w:rFonts w:ascii="Segoe UI" w:hAnsi="Segoe UI" w:cs="Segoe UI"/>
                <w:webHidden/>
              </w:rPr>
              <w:instrText xml:space="preserve"> PAGEREF _Toc168567213 \h </w:instrText>
            </w:r>
            <w:r w:rsidRPr="00F7397F">
              <w:rPr>
                <w:rFonts w:ascii="Segoe UI" w:hAnsi="Segoe UI" w:cs="Segoe UI"/>
                <w:webHidden/>
              </w:rPr>
            </w:r>
            <w:r w:rsidRPr="00F7397F">
              <w:rPr>
                <w:rFonts w:ascii="Segoe UI" w:hAnsi="Segoe UI" w:cs="Segoe UI"/>
                <w:webHidden/>
              </w:rPr>
              <w:fldChar w:fldCharType="separate"/>
            </w:r>
            <w:r w:rsidR="002A46D9">
              <w:rPr>
                <w:rFonts w:ascii="Segoe UI" w:hAnsi="Segoe UI" w:cs="Segoe UI"/>
                <w:webHidden/>
              </w:rPr>
              <w:t>56</w:t>
            </w:r>
            <w:r w:rsidRPr="00F7397F">
              <w:rPr>
                <w:rFonts w:ascii="Segoe UI" w:hAnsi="Segoe UI" w:cs="Segoe UI"/>
                <w:webHidden/>
              </w:rPr>
              <w:fldChar w:fldCharType="end"/>
            </w:r>
          </w:hyperlink>
        </w:p>
        <w:p w14:paraId="6C6DFD81" w14:textId="0F6B7CC8" w:rsidR="00846EB5" w:rsidRDefault="00A4647C" w:rsidP="004969F3">
          <w:pPr>
            <w:pStyle w:val="Obsah1"/>
          </w:pPr>
          <w:r w:rsidRPr="00F7397F">
            <w:rPr>
              <w:rFonts w:ascii="Segoe UI" w:hAnsi="Segoe UI" w:cs="Segoe UI"/>
              <w:caps w:val="0"/>
            </w:rPr>
            <w:lastRenderedPageBreak/>
            <w:fldChar w:fldCharType="end"/>
          </w:r>
        </w:p>
      </w:sdtContent>
    </w:sdt>
    <w:bookmarkStart w:id="1" w:name="_Toc53475706" w:displacedByCustomXml="prev"/>
    <w:p w14:paraId="0C712B6C" w14:textId="0B0DE369" w:rsidR="00E907D0" w:rsidRPr="004969F3" w:rsidRDefault="00E907D0" w:rsidP="00846EB5">
      <w:pPr>
        <w:rPr>
          <w:b/>
          <w:bCs/>
          <w:color w:val="314364" w:themeColor="text2"/>
          <w:sz w:val="22"/>
        </w:rPr>
      </w:pPr>
      <w:r w:rsidRPr="004969F3">
        <w:rPr>
          <w:b/>
          <w:color w:val="314364" w:themeColor="text2"/>
          <w:sz w:val="32"/>
        </w:rPr>
        <w:t>Zoznam skratiek</w:t>
      </w:r>
    </w:p>
    <w:tbl>
      <w:tblPr>
        <w:tblStyle w:val="Mriekatabuky"/>
        <w:tblW w:w="5628"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1112"/>
        <w:gridCol w:w="4698"/>
        <w:gridCol w:w="1101"/>
        <w:gridCol w:w="3298"/>
      </w:tblGrid>
      <w:tr w:rsidR="00B74DF2" w:rsidRPr="00B27577" w14:paraId="2E2518DA" w14:textId="77777777" w:rsidTr="00963FF1">
        <w:trPr>
          <w:trHeight w:val="267"/>
          <w:jc w:val="center"/>
        </w:trPr>
        <w:tc>
          <w:tcPr>
            <w:tcW w:w="545" w:type="pct"/>
            <w:shd w:val="clear" w:color="auto" w:fill="auto"/>
          </w:tcPr>
          <w:p w14:paraId="3C66F56E" w14:textId="645C4C1D" w:rsidR="00B74DF2" w:rsidRPr="00E12B03" w:rsidRDefault="00B74DF2" w:rsidP="00B74DF2">
            <w:pPr>
              <w:spacing w:after="0"/>
              <w:jc w:val="left"/>
              <w:rPr>
                <w:color w:val="314364" w:themeColor="text2"/>
                <w:sz w:val="18"/>
                <w:szCs w:val="18"/>
              </w:rPr>
            </w:pPr>
            <w:r>
              <w:rPr>
                <w:color w:val="314364" w:themeColor="text2"/>
                <w:sz w:val="18"/>
                <w:szCs w:val="18"/>
              </w:rPr>
              <w:t>ARDAL</w:t>
            </w:r>
          </w:p>
        </w:tc>
        <w:tc>
          <w:tcPr>
            <w:tcW w:w="2301" w:type="pct"/>
            <w:shd w:val="clear" w:color="auto" w:fill="auto"/>
          </w:tcPr>
          <w:p w14:paraId="54E257FF" w14:textId="7DA9E6CC" w:rsidR="00B74DF2" w:rsidRPr="00E12B03" w:rsidRDefault="00B74DF2" w:rsidP="00B74DF2">
            <w:pPr>
              <w:spacing w:after="0"/>
              <w:ind w:right="299"/>
              <w:jc w:val="left"/>
              <w:rPr>
                <w:sz w:val="18"/>
                <w:szCs w:val="18"/>
              </w:rPr>
            </w:pPr>
            <w:r>
              <w:rPr>
                <w:sz w:val="18"/>
                <w:szCs w:val="18"/>
              </w:rPr>
              <w:t>Agentúra pre riadenie dlhu a likvidity</w:t>
            </w:r>
          </w:p>
        </w:tc>
        <w:tc>
          <w:tcPr>
            <w:tcW w:w="539" w:type="pct"/>
            <w:shd w:val="clear" w:color="auto" w:fill="auto"/>
          </w:tcPr>
          <w:p w14:paraId="0A56C614" w14:textId="4A0F8281" w:rsidR="00B74DF2" w:rsidRPr="00B27577" w:rsidRDefault="00B74DF2" w:rsidP="00B74DF2">
            <w:pPr>
              <w:spacing w:after="0"/>
              <w:jc w:val="left"/>
              <w:rPr>
                <w:sz w:val="18"/>
                <w:szCs w:val="18"/>
                <w:highlight w:val="yellow"/>
              </w:rPr>
            </w:pPr>
            <w:r w:rsidRPr="0022251D">
              <w:rPr>
                <w:color w:val="314364" w:themeColor="text2"/>
                <w:sz w:val="18"/>
                <w:szCs w:val="18"/>
              </w:rPr>
              <w:t>NDS, a. s.</w:t>
            </w:r>
          </w:p>
        </w:tc>
        <w:tc>
          <w:tcPr>
            <w:tcW w:w="1615" w:type="pct"/>
            <w:shd w:val="clear" w:color="auto" w:fill="auto"/>
          </w:tcPr>
          <w:p w14:paraId="3DF9AB15" w14:textId="500E63E8" w:rsidR="00B74DF2" w:rsidRPr="00B27577" w:rsidRDefault="00B74DF2" w:rsidP="00B74DF2">
            <w:pPr>
              <w:spacing w:after="0"/>
              <w:jc w:val="left"/>
              <w:rPr>
                <w:sz w:val="18"/>
                <w:szCs w:val="18"/>
                <w:highlight w:val="yellow"/>
              </w:rPr>
            </w:pPr>
            <w:r w:rsidRPr="0022251D">
              <w:rPr>
                <w:sz w:val="18"/>
                <w:szCs w:val="18"/>
              </w:rPr>
              <w:t xml:space="preserve">Národná diaľničná spoločnosť, a. s. </w:t>
            </w:r>
          </w:p>
        </w:tc>
      </w:tr>
      <w:tr w:rsidR="00B74DF2" w:rsidRPr="00B27577" w14:paraId="17D11F0D" w14:textId="77777777" w:rsidTr="00963FF1">
        <w:trPr>
          <w:trHeight w:val="267"/>
          <w:jc w:val="center"/>
        </w:trPr>
        <w:tc>
          <w:tcPr>
            <w:tcW w:w="545" w:type="pct"/>
            <w:shd w:val="clear" w:color="auto" w:fill="auto"/>
          </w:tcPr>
          <w:p w14:paraId="7CD28690" w14:textId="6E03C736" w:rsidR="00B74DF2" w:rsidRDefault="00B74DF2" w:rsidP="00B74DF2">
            <w:pPr>
              <w:spacing w:after="0"/>
              <w:jc w:val="left"/>
              <w:rPr>
                <w:color w:val="314364" w:themeColor="text2"/>
                <w:sz w:val="18"/>
                <w:szCs w:val="18"/>
              </w:rPr>
            </w:pPr>
            <w:r>
              <w:rPr>
                <w:color w:val="314364" w:themeColor="text2"/>
                <w:sz w:val="18"/>
                <w:szCs w:val="18"/>
              </w:rPr>
              <w:t>BI</w:t>
            </w:r>
          </w:p>
        </w:tc>
        <w:tc>
          <w:tcPr>
            <w:tcW w:w="2301" w:type="pct"/>
            <w:shd w:val="clear" w:color="auto" w:fill="auto"/>
          </w:tcPr>
          <w:p w14:paraId="33814750" w14:textId="21FE42D4" w:rsidR="00B74DF2" w:rsidRDefault="00B74DF2" w:rsidP="00B74DF2">
            <w:pPr>
              <w:spacing w:after="0"/>
              <w:ind w:right="299"/>
              <w:jc w:val="left"/>
              <w:rPr>
                <w:sz w:val="18"/>
                <w:szCs w:val="18"/>
              </w:rPr>
            </w:pPr>
            <w:r>
              <w:rPr>
                <w:sz w:val="18"/>
                <w:szCs w:val="18"/>
              </w:rPr>
              <w:t>Business Intelligence</w:t>
            </w:r>
          </w:p>
        </w:tc>
        <w:tc>
          <w:tcPr>
            <w:tcW w:w="539" w:type="pct"/>
            <w:shd w:val="clear" w:color="auto" w:fill="auto"/>
          </w:tcPr>
          <w:p w14:paraId="01998B6D" w14:textId="142A99CE" w:rsidR="00B74DF2" w:rsidRPr="00A7310E" w:rsidRDefault="00B74DF2" w:rsidP="00B74DF2">
            <w:pPr>
              <w:spacing w:after="0"/>
              <w:jc w:val="left"/>
              <w:rPr>
                <w:color w:val="314364" w:themeColor="text2"/>
                <w:sz w:val="18"/>
                <w:szCs w:val="18"/>
              </w:rPr>
            </w:pPr>
            <w:r>
              <w:rPr>
                <w:color w:val="314364" w:themeColor="text2"/>
                <w:sz w:val="18"/>
                <w:szCs w:val="18"/>
              </w:rPr>
              <w:t>NFP</w:t>
            </w:r>
          </w:p>
        </w:tc>
        <w:tc>
          <w:tcPr>
            <w:tcW w:w="1615" w:type="pct"/>
            <w:shd w:val="clear" w:color="auto" w:fill="auto"/>
          </w:tcPr>
          <w:p w14:paraId="7A869362" w14:textId="415B3254" w:rsidR="00B74DF2" w:rsidRDefault="00B74DF2" w:rsidP="00B74DF2">
            <w:pPr>
              <w:spacing w:after="0"/>
              <w:jc w:val="left"/>
              <w:rPr>
                <w:sz w:val="18"/>
                <w:szCs w:val="18"/>
              </w:rPr>
            </w:pPr>
            <w:r>
              <w:rPr>
                <w:sz w:val="18"/>
                <w:szCs w:val="18"/>
              </w:rPr>
              <w:t>nenávratný finančný príspevok</w:t>
            </w:r>
          </w:p>
        </w:tc>
      </w:tr>
      <w:tr w:rsidR="00B74DF2" w:rsidRPr="00B27577" w14:paraId="1D0A0696" w14:textId="77777777" w:rsidTr="00963FF1">
        <w:trPr>
          <w:trHeight w:val="267"/>
          <w:jc w:val="center"/>
        </w:trPr>
        <w:tc>
          <w:tcPr>
            <w:tcW w:w="545" w:type="pct"/>
            <w:shd w:val="clear" w:color="auto" w:fill="auto"/>
          </w:tcPr>
          <w:p w14:paraId="7017E004" w14:textId="2EB1674E" w:rsidR="00B74DF2" w:rsidRPr="00E12B03" w:rsidRDefault="00B74DF2" w:rsidP="00B74DF2">
            <w:pPr>
              <w:spacing w:after="0"/>
              <w:jc w:val="left"/>
              <w:rPr>
                <w:color w:val="314364" w:themeColor="text2"/>
                <w:sz w:val="18"/>
                <w:szCs w:val="18"/>
              </w:rPr>
            </w:pPr>
            <w:r>
              <w:rPr>
                <w:color w:val="314364" w:themeColor="text2"/>
                <w:sz w:val="18"/>
                <w:szCs w:val="18"/>
              </w:rPr>
              <w:t>CO</w:t>
            </w:r>
          </w:p>
        </w:tc>
        <w:tc>
          <w:tcPr>
            <w:tcW w:w="2301" w:type="pct"/>
            <w:shd w:val="clear" w:color="auto" w:fill="auto"/>
          </w:tcPr>
          <w:p w14:paraId="5EF9F9F4" w14:textId="66D4EC1B" w:rsidR="00B74DF2" w:rsidRPr="00E12B03" w:rsidRDefault="00B74DF2" w:rsidP="00B74DF2">
            <w:pPr>
              <w:spacing w:after="0"/>
              <w:ind w:right="299"/>
              <w:jc w:val="left"/>
              <w:rPr>
                <w:sz w:val="18"/>
                <w:szCs w:val="18"/>
              </w:rPr>
            </w:pPr>
            <w:r>
              <w:rPr>
                <w:sz w:val="18"/>
                <w:szCs w:val="18"/>
              </w:rPr>
              <w:t>Certifikačný orgán</w:t>
            </w:r>
          </w:p>
        </w:tc>
        <w:tc>
          <w:tcPr>
            <w:tcW w:w="539" w:type="pct"/>
            <w:shd w:val="clear" w:color="auto" w:fill="auto"/>
          </w:tcPr>
          <w:p w14:paraId="36F6F343" w14:textId="1172C0AC" w:rsidR="00B74DF2" w:rsidRPr="0022251D" w:rsidRDefault="00B74DF2" w:rsidP="00B74DF2">
            <w:pPr>
              <w:spacing w:after="0"/>
              <w:jc w:val="left"/>
              <w:rPr>
                <w:color w:val="314364" w:themeColor="text2"/>
                <w:sz w:val="18"/>
                <w:szCs w:val="18"/>
              </w:rPr>
            </w:pPr>
            <w:r w:rsidRPr="00A7310E">
              <w:rPr>
                <w:color w:val="314364" w:themeColor="text2"/>
                <w:sz w:val="18"/>
                <w:szCs w:val="18"/>
              </w:rPr>
              <w:t>NFV</w:t>
            </w:r>
          </w:p>
        </w:tc>
        <w:tc>
          <w:tcPr>
            <w:tcW w:w="1615" w:type="pct"/>
            <w:shd w:val="clear" w:color="auto" w:fill="auto"/>
          </w:tcPr>
          <w:p w14:paraId="3ADF2137" w14:textId="58E644F1" w:rsidR="00B74DF2" w:rsidRPr="0022251D" w:rsidRDefault="00B74DF2" w:rsidP="00B74DF2">
            <w:pPr>
              <w:spacing w:after="0"/>
              <w:jc w:val="left"/>
              <w:rPr>
                <w:sz w:val="18"/>
                <w:szCs w:val="18"/>
              </w:rPr>
            </w:pPr>
            <w:r>
              <w:rPr>
                <w:sz w:val="18"/>
                <w:szCs w:val="18"/>
              </w:rPr>
              <w:t>n</w:t>
            </w:r>
            <w:r w:rsidRPr="00A7310E">
              <w:rPr>
                <w:sz w:val="18"/>
                <w:szCs w:val="18"/>
              </w:rPr>
              <w:t>ávratná finančná výpomoc</w:t>
            </w:r>
          </w:p>
        </w:tc>
      </w:tr>
      <w:tr w:rsidR="00B74DF2" w:rsidRPr="00B27577" w14:paraId="4682EF3B" w14:textId="77777777" w:rsidTr="00963FF1">
        <w:trPr>
          <w:trHeight w:val="267"/>
          <w:jc w:val="center"/>
        </w:trPr>
        <w:tc>
          <w:tcPr>
            <w:tcW w:w="545" w:type="pct"/>
            <w:shd w:val="clear" w:color="auto" w:fill="auto"/>
          </w:tcPr>
          <w:p w14:paraId="1F6551D3" w14:textId="14EFC7DE" w:rsidR="00B74DF2" w:rsidRPr="00E12B03" w:rsidRDefault="00B74DF2" w:rsidP="00B74DF2">
            <w:pPr>
              <w:spacing w:after="0"/>
              <w:jc w:val="left"/>
              <w:rPr>
                <w:color w:val="314364" w:themeColor="text2"/>
                <w:sz w:val="18"/>
                <w:szCs w:val="18"/>
              </w:rPr>
            </w:pPr>
            <w:r w:rsidRPr="00E12B03">
              <w:rPr>
                <w:color w:val="314364" w:themeColor="text2"/>
                <w:sz w:val="18"/>
                <w:szCs w:val="18"/>
              </w:rPr>
              <w:t>COVID-19</w:t>
            </w:r>
          </w:p>
        </w:tc>
        <w:tc>
          <w:tcPr>
            <w:tcW w:w="2301" w:type="pct"/>
            <w:shd w:val="clear" w:color="auto" w:fill="auto"/>
          </w:tcPr>
          <w:p w14:paraId="0D00CAE5" w14:textId="4DD33BDB" w:rsidR="00B74DF2" w:rsidRPr="00E12B03" w:rsidRDefault="00B74DF2" w:rsidP="00B74DF2">
            <w:pPr>
              <w:spacing w:after="0"/>
              <w:ind w:right="299"/>
              <w:jc w:val="left"/>
              <w:rPr>
                <w:sz w:val="18"/>
                <w:szCs w:val="18"/>
              </w:rPr>
            </w:pPr>
            <w:r w:rsidRPr="00E12B03">
              <w:rPr>
                <w:sz w:val="18"/>
                <w:szCs w:val="18"/>
              </w:rPr>
              <w:t xml:space="preserve">infekčné ochorenie vyvolané koronavírusom </w:t>
            </w:r>
            <w:r w:rsidRPr="00E12B03">
              <w:rPr>
                <w:sz w:val="18"/>
                <w:szCs w:val="18"/>
              </w:rPr>
              <w:br/>
              <w:t>SARS-CoV-2</w:t>
            </w:r>
          </w:p>
        </w:tc>
        <w:tc>
          <w:tcPr>
            <w:tcW w:w="539" w:type="pct"/>
          </w:tcPr>
          <w:p w14:paraId="7274725A" w14:textId="3BAC20D8" w:rsidR="00B74DF2" w:rsidRPr="00523D20" w:rsidRDefault="00B74DF2" w:rsidP="00B74DF2">
            <w:pPr>
              <w:spacing w:after="0"/>
              <w:jc w:val="left"/>
              <w:rPr>
                <w:color w:val="314364" w:themeColor="text2"/>
                <w:sz w:val="18"/>
                <w:szCs w:val="18"/>
              </w:rPr>
            </w:pPr>
            <w:r>
              <w:rPr>
                <w:color w:val="314364" w:themeColor="text2"/>
                <w:sz w:val="18"/>
                <w:szCs w:val="18"/>
              </w:rPr>
              <w:t>NKÚ SR</w:t>
            </w:r>
          </w:p>
        </w:tc>
        <w:tc>
          <w:tcPr>
            <w:tcW w:w="1615" w:type="pct"/>
          </w:tcPr>
          <w:p w14:paraId="7853EB9D" w14:textId="7B34278E" w:rsidR="00B74DF2" w:rsidRDefault="00B74DF2" w:rsidP="00B74DF2">
            <w:pPr>
              <w:spacing w:after="0"/>
              <w:jc w:val="left"/>
              <w:rPr>
                <w:sz w:val="18"/>
                <w:szCs w:val="18"/>
              </w:rPr>
            </w:pPr>
            <w:r>
              <w:rPr>
                <w:sz w:val="18"/>
                <w:szCs w:val="18"/>
              </w:rPr>
              <w:t>Najvyšší kontrolný úrad Slovenskej republiky</w:t>
            </w:r>
          </w:p>
        </w:tc>
      </w:tr>
      <w:tr w:rsidR="00B74DF2" w:rsidRPr="00B27577" w14:paraId="4FB3B01E" w14:textId="77777777" w:rsidTr="00963FF1">
        <w:trPr>
          <w:trHeight w:val="267"/>
          <w:jc w:val="center"/>
        </w:trPr>
        <w:tc>
          <w:tcPr>
            <w:tcW w:w="545" w:type="pct"/>
            <w:shd w:val="clear" w:color="auto" w:fill="auto"/>
          </w:tcPr>
          <w:p w14:paraId="60371CF7" w14:textId="1ADE6108" w:rsidR="00B74DF2" w:rsidRPr="00E12B03" w:rsidRDefault="00B74DF2" w:rsidP="00B74DF2">
            <w:pPr>
              <w:spacing w:after="0"/>
              <w:jc w:val="left"/>
              <w:rPr>
                <w:color w:val="314364" w:themeColor="text2"/>
                <w:sz w:val="18"/>
                <w:szCs w:val="18"/>
              </w:rPr>
            </w:pPr>
            <w:r w:rsidRPr="00E12B03">
              <w:rPr>
                <w:color w:val="314364" w:themeColor="text2"/>
                <w:sz w:val="18"/>
                <w:szCs w:val="18"/>
              </w:rPr>
              <w:t>CVTI</w:t>
            </w:r>
          </w:p>
        </w:tc>
        <w:tc>
          <w:tcPr>
            <w:tcW w:w="2301" w:type="pct"/>
            <w:shd w:val="clear" w:color="auto" w:fill="auto"/>
          </w:tcPr>
          <w:p w14:paraId="3D5F0B4B" w14:textId="603D3FDA" w:rsidR="00B74DF2" w:rsidRPr="00E12B03" w:rsidRDefault="00B74DF2" w:rsidP="00B74DF2">
            <w:pPr>
              <w:spacing w:after="0"/>
              <w:ind w:right="299"/>
              <w:jc w:val="left"/>
              <w:rPr>
                <w:sz w:val="18"/>
                <w:szCs w:val="18"/>
              </w:rPr>
            </w:pPr>
            <w:r w:rsidRPr="00E12B03">
              <w:rPr>
                <w:sz w:val="18"/>
                <w:szCs w:val="18"/>
              </w:rPr>
              <w:t>Centrum vedecko-technických informácií</w:t>
            </w:r>
          </w:p>
        </w:tc>
        <w:tc>
          <w:tcPr>
            <w:tcW w:w="539" w:type="pct"/>
          </w:tcPr>
          <w:p w14:paraId="024114BE" w14:textId="28C78722" w:rsidR="00B74DF2" w:rsidRPr="0022251D" w:rsidRDefault="00B74DF2" w:rsidP="00B74DF2">
            <w:pPr>
              <w:spacing w:after="0"/>
              <w:jc w:val="left"/>
              <w:rPr>
                <w:color w:val="314364" w:themeColor="text2"/>
                <w:sz w:val="18"/>
                <w:szCs w:val="18"/>
              </w:rPr>
            </w:pPr>
            <w:r w:rsidRPr="0022251D">
              <w:rPr>
                <w:color w:val="314364" w:themeColor="text2"/>
                <w:sz w:val="18"/>
                <w:szCs w:val="18"/>
              </w:rPr>
              <w:t>NR SR</w:t>
            </w:r>
          </w:p>
        </w:tc>
        <w:tc>
          <w:tcPr>
            <w:tcW w:w="1615" w:type="pct"/>
          </w:tcPr>
          <w:p w14:paraId="15C55DFF" w14:textId="0997DD46" w:rsidR="00B74DF2" w:rsidRPr="0022251D" w:rsidRDefault="00B74DF2" w:rsidP="00B74DF2">
            <w:pPr>
              <w:spacing w:after="0"/>
              <w:jc w:val="left"/>
              <w:rPr>
                <w:sz w:val="18"/>
                <w:szCs w:val="18"/>
              </w:rPr>
            </w:pPr>
            <w:r w:rsidRPr="0022251D">
              <w:rPr>
                <w:sz w:val="18"/>
                <w:szCs w:val="18"/>
              </w:rPr>
              <w:t>Národná rada Slovenskej republiky</w:t>
            </w:r>
          </w:p>
        </w:tc>
      </w:tr>
      <w:tr w:rsidR="00B74DF2" w:rsidRPr="00B27577" w14:paraId="5BDFE4E0" w14:textId="77777777" w:rsidTr="00963FF1">
        <w:trPr>
          <w:trHeight w:val="267"/>
          <w:jc w:val="center"/>
        </w:trPr>
        <w:tc>
          <w:tcPr>
            <w:tcW w:w="545" w:type="pct"/>
            <w:shd w:val="clear" w:color="auto" w:fill="auto"/>
          </w:tcPr>
          <w:p w14:paraId="3B784D62" w14:textId="22108991" w:rsidR="00B74DF2" w:rsidRPr="00E12B03" w:rsidRDefault="00B74DF2" w:rsidP="00B74DF2">
            <w:pPr>
              <w:spacing w:after="0"/>
              <w:jc w:val="left"/>
              <w:rPr>
                <w:color w:val="314364" w:themeColor="text2"/>
                <w:sz w:val="18"/>
                <w:szCs w:val="18"/>
              </w:rPr>
            </w:pPr>
            <w:r>
              <w:rPr>
                <w:color w:val="314364" w:themeColor="text2"/>
                <w:sz w:val="18"/>
                <w:szCs w:val="18"/>
              </w:rPr>
              <w:t>ČOV</w:t>
            </w:r>
          </w:p>
        </w:tc>
        <w:tc>
          <w:tcPr>
            <w:tcW w:w="2301" w:type="pct"/>
            <w:shd w:val="clear" w:color="auto" w:fill="auto"/>
          </w:tcPr>
          <w:p w14:paraId="113D8451" w14:textId="6F7A4FEC" w:rsidR="00B74DF2" w:rsidRPr="00E12B03" w:rsidRDefault="00B74DF2" w:rsidP="00B74DF2">
            <w:pPr>
              <w:spacing w:after="0"/>
              <w:ind w:right="299"/>
              <w:jc w:val="left"/>
              <w:rPr>
                <w:sz w:val="18"/>
                <w:szCs w:val="18"/>
              </w:rPr>
            </w:pPr>
            <w:r>
              <w:rPr>
                <w:sz w:val="18"/>
                <w:szCs w:val="18"/>
              </w:rPr>
              <w:t>čističky odpadových vôd</w:t>
            </w:r>
          </w:p>
        </w:tc>
        <w:tc>
          <w:tcPr>
            <w:tcW w:w="539" w:type="pct"/>
          </w:tcPr>
          <w:p w14:paraId="0009D77E" w14:textId="4258FF2E" w:rsidR="00B74DF2" w:rsidRPr="00E348B1" w:rsidRDefault="00B74DF2" w:rsidP="00B74DF2">
            <w:pPr>
              <w:spacing w:after="0"/>
              <w:jc w:val="left"/>
              <w:rPr>
                <w:sz w:val="18"/>
                <w:szCs w:val="18"/>
              </w:rPr>
            </w:pPr>
            <w:r>
              <w:rPr>
                <w:color w:val="314364" w:themeColor="text2"/>
                <w:sz w:val="18"/>
                <w:szCs w:val="18"/>
              </w:rPr>
              <w:t>NTS</w:t>
            </w:r>
          </w:p>
        </w:tc>
        <w:tc>
          <w:tcPr>
            <w:tcW w:w="1615" w:type="pct"/>
          </w:tcPr>
          <w:p w14:paraId="149CBBDE" w14:textId="6B4257A8" w:rsidR="00B74DF2" w:rsidRPr="00E348B1" w:rsidRDefault="00B74DF2" w:rsidP="00B74DF2">
            <w:pPr>
              <w:spacing w:after="0"/>
              <w:jc w:val="left"/>
              <w:rPr>
                <w:sz w:val="18"/>
                <w:szCs w:val="18"/>
              </w:rPr>
            </w:pPr>
            <w:r>
              <w:rPr>
                <w:sz w:val="18"/>
                <w:szCs w:val="18"/>
              </w:rPr>
              <w:t>Národná transfúzna služba</w:t>
            </w:r>
          </w:p>
        </w:tc>
      </w:tr>
      <w:tr w:rsidR="00B74DF2" w:rsidRPr="00B27577" w14:paraId="42CB3D55" w14:textId="77777777" w:rsidTr="00963FF1">
        <w:trPr>
          <w:trHeight w:val="267"/>
          <w:jc w:val="center"/>
        </w:trPr>
        <w:tc>
          <w:tcPr>
            <w:tcW w:w="545" w:type="pct"/>
            <w:shd w:val="clear" w:color="auto" w:fill="auto"/>
          </w:tcPr>
          <w:p w14:paraId="4679F1BF" w14:textId="6B29C0F7" w:rsidR="00B74DF2" w:rsidRPr="00E12B03" w:rsidRDefault="00B74DF2" w:rsidP="00B74DF2">
            <w:pPr>
              <w:spacing w:after="0"/>
              <w:jc w:val="left"/>
              <w:rPr>
                <w:color w:val="314364" w:themeColor="text2"/>
                <w:sz w:val="18"/>
                <w:szCs w:val="18"/>
              </w:rPr>
            </w:pPr>
            <w:r w:rsidRPr="00E12B03">
              <w:rPr>
                <w:color w:val="314364" w:themeColor="text2"/>
                <w:sz w:val="18"/>
                <w:szCs w:val="18"/>
              </w:rPr>
              <w:t>DPFO</w:t>
            </w:r>
          </w:p>
        </w:tc>
        <w:tc>
          <w:tcPr>
            <w:tcW w:w="2301" w:type="pct"/>
            <w:shd w:val="clear" w:color="auto" w:fill="auto"/>
          </w:tcPr>
          <w:p w14:paraId="4F3BFB5C" w14:textId="3BDCA42A" w:rsidR="00B74DF2" w:rsidRPr="00E12B03" w:rsidRDefault="00B74DF2" w:rsidP="00B74DF2">
            <w:pPr>
              <w:spacing w:after="0"/>
              <w:ind w:right="299"/>
              <w:jc w:val="left"/>
              <w:rPr>
                <w:sz w:val="18"/>
                <w:szCs w:val="18"/>
              </w:rPr>
            </w:pPr>
            <w:r w:rsidRPr="00E12B03">
              <w:rPr>
                <w:sz w:val="18"/>
                <w:szCs w:val="18"/>
              </w:rPr>
              <w:t>daň z príjmov fyzických osôb</w:t>
            </w:r>
          </w:p>
        </w:tc>
        <w:tc>
          <w:tcPr>
            <w:tcW w:w="539" w:type="pct"/>
          </w:tcPr>
          <w:p w14:paraId="4B26E37E" w14:textId="1A92B068" w:rsidR="00B74DF2" w:rsidRPr="0022251D" w:rsidRDefault="00B74DF2" w:rsidP="00B74DF2">
            <w:pPr>
              <w:spacing w:after="0"/>
              <w:jc w:val="left"/>
              <w:rPr>
                <w:color w:val="314364" w:themeColor="text2"/>
                <w:sz w:val="18"/>
                <w:szCs w:val="18"/>
              </w:rPr>
            </w:pPr>
            <w:r>
              <w:rPr>
                <w:color w:val="314364" w:themeColor="text2"/>
                <w:sz w:val="18"/>
                <w:szCs w:val="18"/>
              </w:rPr>
              <w:t>PO</w:t>
            </w:r>
          </w:p>
        </w:tc>
        <w:tc>
          <w:tcPr>
            <w:tcW w:w="1615" w:type="pct"/>
          </w:tcPr>
          <w:p w14:paraId="2DF24845" w14:textId="088654C2" w:rsidR="00B74DF2" w:rsidRPr="0022251D" w:rsidRDefault="00B74DF2" w:rsidP="00B74DF2">
            <w:pPr>
              <w:spacing w:after="0"/>
              <w:jc w:val="left"/>
              <w:rPr>
                <w:sz w:val="18"/>
                <w:szCs w:val="18"/>
              </w:rPr>
            </w:pPr>
            <w:r>
              <w:rPr>
                <w:sz w:val="18"/>
                <w:szCs w:val="18"/>
              </w:rPr>
              <w:t>programové obdobie</w:t>
            </w:r>
          </w:p>
        </w:tc>
      </w:tr>
      <w:tr w:rsidR="00B74DF2" w:rsidRPr="00B27577" w14:paraId="6C55B541" w14:textId="77777777" w:rsidTr="00963FF1">
        <w:trPr>
          <w:trHeight w:val="267"/>
          <w:jc w:val="center"/>
        </w:trPr>
        <w:tc>
          <w:tcPr>
            <w:tcW w:w="545" w:type="pct"/>
            <w:shd w:val="clear" w:color="auto" w:fill="auto"/>
          </w:tcPr>
          <w:p w14:paraId="375C59D5" w14:textId="246E5B30" w:rsidR="00B74DF2" w:rsidRPr="00E12B03" w:rsidRDefault="00B74DF2" w:rsidP="00B74DF2">
            <w:pPr>
              <w:spacing w:after="0"/>
              <w:jc w:val="left"/>
              <w:rPr>
                <w:color w:val="314364" w:themeColor="text2"/>
                <w:sz w:val="18"/>
                <w:szCs w:val="18"/>
              </w:rPr>
            </w:pPr>
            <w:r w:rsidRPr="00E12B03">
              <w:rPr>
                <w:color w:val="314364" w:themeColor="text2"/>
                <w:sz w:val="18"/>
                <w:szCs w:val="18"/>
              </w:rPr>
              <w:t>DPPO</w:t>
            </w:r>
          </w:p>
        </w:tc>
        <w:tc>
          <w:tcPr>
            <w:tcW w:w="2301" w:type="pct"/>
            <w:shd w:val="clear" w:color="auto" w:fill="auto"/>
          </w:tcPr>
          <w:p w14:paraId="6CEF1CB0" w14:textId="38AD0991" w:rsidR="00B74DF2" w:rsidRPr="00E12B03" w:rsidRDefault="00B74DF2" w:rsidP="00B74DF2">
            <w:pPr>
              <w:spacing w:after="0"/>
              <w:ind w:right="299"/>
              <w:jc w:val="left"/>
              <w:rPr>
                <w:sz w:val="18"/>
                <w:szCs w:val="18"/>
              </w:rPr>
            </w:pPr>
            <w:r w:rsidRPr="00E12B03">
              <w:rPr>
                <w:sz w:val="18"/>
                <w:szCs w:val="18"/>
              </w:rPr>
              <w:t>daň z príjmov právnických osôb</w:t>
            </w:r>
          </w:p>
        </w:tc>
        <w:tc>
          <w:tcPr>
            <w:tcW w:w="539" w:type="pct"/>
          </w:tcPr>
          <w:p w14:paraId="2C2C83C0" w14:textId="6154E44E" w:rsidR="00B74DF2" w:rsidRPr="00E348B1" w:rsidRDefault="00B74DF2" w:rsidP="00B74DF2">
            <w:pPr>
              <w:spacing w:after="0"/>
              <w:jc w:val="left"/>
              <w:rPr>
                <w:sz w:val="18"/>
                <w:szCs w:val="18"/>
              </w:rPr>
            </w:pPr>
            <w:r w:rsidRPr="00E348B1">
              <w:rPr>
                <w:color w:val="314364" w:themeColor="text2"/>
                <w:sz w:val="18"/>
                <w:szCs w:val="18"/>
              </w:rPr>
              <w:t>POO</w:t>
            </w:r>
          </w:p>
        </w:tc>
        <w:tc>
          <w:tcPr>
            <w:tcW w:w="1615" w:type="pct"/>
          </w:tcPr>
          <w:p w14:paraId="42C7214F" w14:textId="10C75C01" w:rsidR="00B74DF2" w:rsidRPr="00E348B1" w:rsidRDefault="00B74DF2" w:rsidP="00B74DF2">
            <w:pPr>
              <w:spacing w:after="0"/>
              <w:jc w:val="left"/>
              <w:rPr>
                <w:sz w:val="18"/>
                <w:szCs w:val="18"/>
              </w:rPr>
            </w:pPr>
            <w:r w:rsidRPr="00E348B1">
              <w:rPr>
                <w:sz w:val="18"/>
                <w:szCs w:val="18"/>
              </w:rPr>
              <w:t>Plán obnovy a odolnosti</w:t>
            </w:r>
          </w:p>
        </w:tc>
      </w:tr>
      <w:tr w:rsidR="00B74DF2" w:rsidRPr="00B27577" w14:paraId="365C3154" w14:textId="77777777" w:rsidTr="00963FF1">
        <w:trPr>
          <w:trHeight w:val="267"/>
          <w:jc w:val="center"/>
        </w:trPr>
        <w:tc>
          <w:tcPr>
            <w:tcW w:w="545" w:type="pct"/>
            <w:shd w:val="clear" w:color="auto" w:fill="auto"/>
          </w:tcPr>
          <w:p w14:paraId="2F176B7C" w14:textId="4B2159C5" w:rsidR="00B74DF2" w:rsidRPr="00E12B03" w:rsidRDefault="00B74DF2" w:rsidP="00B74DF2">
            <w:pPr>
              <w:spacing w:after="0"/>
              <w:jc w:val="left"/>
              <w:rPr>
                <w:color w:val="314364" w:themeColor="text2"/>
                <w:sz w:val="18"/>
                <w:szCs w:val="18"/>
              </w:rPr>
            </w:pPr>
            <w:r w:rsidRPr="00E12B03">
              <w:rPr>
                <w:color w:val="314364" w:themeColor="text2"/>
                <w:sz w:val="18"/>
                <w:szCs w:val="18"/>
              </w:rPr>
              <w:t>DPH</w:t>
            </w:r>
          </w:p>
        </w:tc>
        <w:tc>
          <w:tcPr>
            <w:tcW w:w="2301" w:type="pct"/>
            <w:shd w:val="clear" w:color="auto" w:fill="auto"/>
          </w:tcPr>
          <w:p w14:paraId="30834B0A" w14:textId="597DB860" w:rsidR="00B74DF2" w:rsidRPr="00E12B03" w:rsidRDefault="00B74DF2" w:rsidP="00B74DF2">
            <w:pPr>
              <w:spacing w:after="0"/>
              <w:ind w:right="299"/>
              <w:jc w:val="left"/>
              <w:rPr>
                <w:sz w:val="18"/>
                <w:szCs w:val="18"/>
              </w:rPr>
            </w:pPr>
            <w:r w:rsidRPr="00E12B03">
              <w:rPr>
                <w:sz w:val="18"/>
                <w:szCs w:val="18"/>
              </w:rPr>
              <w:t>daň z pridanej hodnoty</w:t>
            </w:r>
          </w:p>
        </w:tc>
        <w:tc>
          <w:tcPr>
            <w:tcW w:w="539" w:type="pct"/>
          </w:tcPr>
          <w:p w14:paraId="37E2940D" w14:textId="47172499" w:rsidR="00B74DF2" w:rsidRPr="00C87CB6" w:rsidRDefault="00B74DF2" w:rsidP="00B74DF2">
            <w:pPr>
              <w:spacing w:after="0"/>
              <w:jc w:val="left"/>
              <w:rPr>
                <w:sz w:val="18"/>
                <w:szCs w:val="18"/>
              </w:rPr>
            </w:pPr>
            <w:r w:rsidRPr="00523D20">
              <w:rPr>
                <w:color w:val="314364" w:themeColor="text2"/>
                <w:sz w:val="18"/>
                <w:szCs w:val="18"/>
              </w:rPr>
              <w:t>PSD</w:t>
            </w:r>
          </w:p>
        </w:tc>
        <w:tc>
          <w:tcPr>
            <w:tcW w:w="1615" w:type="pct"/>
          </w:tcPr>
          <w:p w14:paraId="0A569343" w14:textId="5DE3E6BC" w:rsidR="00B74DF2" w:rsidRPr="00C87CB6" w:rsidRDefault="00B74DF2" w:rsidP="00B74DF2">
            <w:pPr>
              <w:spacing w:after="0"/>
              <w:jc w:val="left"/>
              <w:rPr>
                <w:sz w:val="18"/>
                <w:szCs w:val="18"/>
              </w:rPr>
            </w:pPr>
            <w:r>
              <w:rPr>
                <w:sz w:val="18"/>
                <w:szCs w:val="18"/>
              </w:rPr>
              <w:t>predčasný starobný dôchodok</w:t>
            </w:r>
          </w:p>
        </w:tc>
      </w:tr>
      <w:tr w:rsidR="00B74DF2" w:rsidRPr="00B27577" w14:paraId="2D772BDF" w14:textId="77777777" w:rsidTr="00963FF1">
        <w:trPr>
          <w:trHeight w:val="267"/>
          <w:jc w:val="center"/>
        </w:trPr>
        <w:tc>
          <w:tcPr>
            <w:tcW w:w="545" w:type="pct"/>
            <w:shd w:val="clear" w:color="auto" w:fill="auto"/>
          </w:tcPr>
          <w:p w14:paraId="09DD4201" w14:textId="0B179C62" w:rsidR="00B74DF2" w:rsidRPr="00B27577" w:rsidRDefault="00B74DF2" w:rsidP="00B74DF2">
            <w:pPr>
              <w:spacing w:after="0"/>
              <w:jc w:val="left"/>
              <w:rPr>
                <w:color w:val="314364" w:themeColor="text2"/>
                <w:sz w:val="18"/>
                <w:szCs w:val="18"/>
                <w:highlight w:val="yellow"/>
              </w:rPr>
            </w:pPr>
            <w:r w:rsidRPr="0022251D">
              <w:rPr>
                <w:color w:val="314364" w:themeColor="text2"/>
                <w:sz w:val="18"/>
                <w:szCs w:val="18"/>
              </w:rPr>
              <w:t>EAO</w:t>
            </w:r>
          </w:p>
        </w:tc>
        <w:tc>
          <w:tcPr>
            <w:tcW w:w="2301" w:type="pct"/>
            <w:shd w:val="clear" w:color="auto" w:fill="auto"/>
          </w:tcPr>
          <w:p w14:paraId="0839D5B7" w14:textId="23D7062A" w:rsidR="00B74DF2" w:rsidRPr="00B27577" w:rsidRDefault="00B74DF2" w:rsidP="00B74DF2">
            <w:pPr>
              <w:spacing w:after="0"/>
              <w:ind w:right="299"/>
              <w:jc w:val="left"/>
              <w:rPr>
                <w:sz w:val="18"/>
                <w:szCs w:val="18"/>
                <w:highlight w:val="yellow"/>
              </w:rPr>
            </w:pPr>
            <w:r w:rsidRPr="0022251D">
              <w:rPr>
                <w:sz w:val="18"/>
                <w:szCs w:val="18"/>
              </w:rPr>
              <w:t xml:space="preserve">ekonomicky aktívne </w:t>
            </w:r>
            <w:r>
              <w:rPr>
                <w:sz w:val="18"/>
                <w:szCs w:val="18"/>
              </w:rPr>
              <w:t>obyvateľstvo</w:t>
            </w:r>
          </w:p>
        </w:tc>
        <w:tc>
          <w:tcPr>
            <w:tcW w:w="539" w:type="pct"/>
          </w:tcPr>
          <w:p w14:paraId="2DC88D8C" w14:textId="0B143355" w:rsidR="00B74DF2" w:rsidRPr="0022251D" w:rsidRDefault="00B74DF2" w:rsidP="00B74DF2">
            <w:pPr>
              <w:spacing w:after="0"/>
              <w:jc w:val="left"/>
              <w:rPr>
                <w:sz w:val="18"/>
                <w:szCs w:val="18"/>
              </w:rPr>
            </w:pPr>
            <w:r w:rsidRPr="00523D20">
              <w:rPr>
                <w:color w:val="314364" w:themeColor="text2"/>
                <w:sz w:val="18"/>
                <w:szCs w:val="18"/>
              </w:rPr>
              <w:t>PSD40+</w:t>
            </w:r>
          </w:p>
        </w:tc>
        <w:tc>
          <w:tcPr>
            <w:tcW w:w="1615" w:type="pct"/>
          </w:tcPr>
          <w:p w14:paraId="01EAF2F4" w14:textId="2101EE97" w:rsidR="00B74DF2" w:rsidRPr="0022251D" w:rsidRDefault="00B74DF2" w:rsidP="00B74DF2">
            <w:pPr>
              <w:spacing w:after="0"/>
              <w:jc w:val="left"/>
              <w:rPr>
                <w:sz w:val="18"/>
                <w:szCs w:val="18"/>
              </w:rPr>
            </w:pPr>
            <w:r>
              <w:rPr>
                <w:sz w:val="18"/>
                <w:szCs w:val="18"/>
              </w:rPr>
              <w:t>predčasný starobný dôchodok po odpracovaní 40 rokov</w:t>
            </w:r>
          </w:p>
        </w:tc>
      </w:tr>
      <w:tr w:rsidR="00B74DF2" w:rsidRPr="00B27577" w14:paraId="697C05D5" w14:textId="77777777" w:rsidTr="00963FF1">
        <w:trPr>
          <w:trHeight w:val="267"/>
          <w:jc w:val="center"/>
        </w:trPr>
        <w:tc>
          <w:tcPr>
            <w:tcW w:w="545" w:type="pct"/>
            <w:shd w:val="clear" w:color="auto" w:fill="auto"/>
          </w:tcPr>
          <w:p w14:paraId="4FDACA74" w14:textId="622ADEDC" w:rsidR="00B74DF2" w:rsidRPr="00B27577" w:rsidRDefault="00B74DF2" w:rsidP="00B74DF2">
            <w:pPr>
              <w:spacing w:after="0"/>
              <w:jc w:val="left"/>
              <w:rPr>
                <w:color w:val="314364" w:themeColor="text2"/>
                <w:sz w:val="18"/>
                <w:szCs w:val="18"/>
                <w:highlight w:val="yellow"/>
              </w:rPr>
            </w:pPr>
            <w:r w:rsidRPr="00091AF8">
              <w:rPr>
                <w:color w:val="314364" w:themeColor="text2"/>
                <w:sz w:val="18"/>
                <w:szCs w:val="18"/>
              </w:rPr>
              <w:t>EFSF</w:t>
            </w:r>
          </w:p>
        </w:tc>
        <w:tc>
          <w:tcPr>
            <w:tcW w:w="2301" w:type="pct"/>
            <w:shd w:val="clear" w:color="auto" w:fill="auto"/>
          </w:tcPr>
          <w:p w14:paraId="179596B7" w14:textId="269680A8" w:rsidR="00B74DF2" w:rsidRPr="00B27577" w:rsidRDefault="00B74DF2" w:rsidP="00B74DF2">
            <w:pPr>
              <w:spacing w:after="0"/>
              <w:ind w:right="299"/>
              <w:jc w:val="left"/>
              <w:rPr>
                <w:sz w:val="18"/>
                <w:szCs w:val="18"/>
                <w:highlight w:val="yellow"/>
              </w:rPr>
            </w:pPr>
            <w:r w:rsidRPr="00091AF8">
              <w:rPr>
                <w:sz w:val="18"/>
                <w:szCs w:val="18"/>
              </w:rPr>
              <w:t>Európsky nástroj finančnej stability</w:t>
            </w:r>
          </w:p>
        </w:tc>
        <w:tc>
          <w:tcPr>
            <w:tcW w:w="539" w:type="pct"/>
          </w:tcPr>
          <w:p w14:paraId="60C3A466" w14:textId="76D26ED1" w:rsidR="00B74DF2" w:rsidRPr="00E348B1" w:rsidRDefault="00B74DF2" w:rsidP="00B74DF2">
            <w:pPr>
              <w:spacing w:after="0"/>
              <w:jc w:val="left"/>
              <w:rPr>
                <w:sz w:val="18"/>
                <w:szCs w:val="18"/>
              </w:rPr>
            </w:pPr>
            <w:r w:rsidRPr="00C87CB6">
              <w:rPr>
                <w:color w:val="314364" w:themeColor="text2"/>
                <w:sz w:val="18"/>
                <w:szCs w:val="18"/>
              </w:rPr>
              <w:t>R</w:t>
            </w:r>
          </w:p>
        </w:tc>
        <w:tc>
          <w:tcPr>
            <w:tcW w:w="1615" w:type="pct"/>
          </w:tcPr>
          <w:p w14:paraId="4C86C68E" w14:textId="43C94E23" w:rsidR="00B74DF2" w:rsidRPr="00E348B1" w:rsidRDefault="00B74DF2" w:rsidP="00B74DF2">
            <w:pPr>
              <w:spacing w:after="0"/>
              <w:jc w:val="left"/>
              <w:rPr>
                <w:sz w:val="18"/>
                <w:szCs w:val="18"/>
              </w:rPr>
            </w:pPr>
            <w:r w:rsidRPr="00C87CB6">
              <w:rPr>
                <w:sz w:val="18"/>
                <w:szCs w:val="18"/>
              </w:rPr>
              <w:t>rozpočet</w:t>
            </w:r>
          </w:p>
        </w:tc>
      </w:tr>
      <w:tr w:rsidR="00B74DF2" w:rsidRPr="00B27577" w14:paraId="7F91AD23" w14:textId="77777777" w:rsidTr="00963FF1">
        <w:trPr>
          <w:trHeight w:val="267"/>
          <w:jc w:val="center"/>
        </w:trPr>
        <w:tc>
          <w:tcPr>
            <w:tcW w:w="545" w:type="pct"/>
            <w:shd w:val="clear" w:color="auto" w:fill="auto"/>
          </w:tcPr>
          <w:p w14:paraId="35631DE5" w14:textId="1CC764BE" w:rsidR="00B74DF2" w:rsidRPr="0022251D" w:rsidRDefault="00B74DF2" w:rsidP="00B74DF2">
            <w:pPr>
              <w:spacing w:after="0"/>
              <w:jc w:val="left"/>
              <w:rPr>
                <w:color w:val="314364" w:themeColor="text2"/>
                <w:sz w:val="18"/>
                <w:szCs w:val="18"/>
              </w:rPr>
            </w:pPr>
            <w:r>
              <w:rPr>
                <w:color w:val="314364" w:themeColor="text2"/>
                <w:sz w:val="18"/>
                <w:szCs w:val="18"/>
              </w:rPr>
              <w:t>EK</w:t>
            </w:r>
          </w:p>
        </w:tc>
        <w:tc>
          <w:tcPr>
            <w:tcW w:w="2301" w:type="pct"/>
            <w:shd w:val="clear" w:color="auto" w:fill="auto"/>
          </w:tcPr>
          <w:p w14:paraId="367EB8FA" w14:textId="28709734" w:rsidR="00B74DF2" w:rsidRPr="0022251D" w:rsidRDefault="00B74DF2" w:rsidP="00B74DF2">
            <w:pPr>
              <w:spacing w:after="0"/>
              <w:ind w:right="299"/>
              <w:jc w:val="left"/>
              <w:rPr>
                <w:sz w:val="18"/>
                <w:szCs w:val="18"/>
              </w:rPr>
            </w:pPr>
            <w:r>
              <w:rPr>
                <w:sz w:val="18"/>
                <w:szCs w:val="18"/>
              </w:rPr>
              <w:t>Európska komisia</w:t>
            </w:r>
          </w:p>
        </w:tc>
        <w:tc>
          <w:tcPr>
            <w:tcW w:w="539" w:type="pct"/>
          </w:tcPr>
          <w:p w14:paraId="368B200B" w14:textId="026578FD" w:rsidR="00B74DF2" w:rsidRPr="0022251D" w:rsidRDefault="00B74DF2" w:rsidP="00B74DF2">
            <w:pPr>
              <w:spacing w:after="0"/>
              <w:jc w:val="left"/>
              <w:rPr>
                <w:color w:val="314364" w:themeColor="text2"/>
                <w:sz w:val="18"/>
                <w:szCs w:val="18"/>
              </w:rPr>
            </w:pPr>
            <w:r w:rsidRPr="0022251D">
              <w:rPr>
                <w:color w:val="314364" w:themeColor="text2"/>
                <w:sz w:val="18"/>
                <w:szCs w:val="18"/>
              </w:rPr>
              <w:t>RIS</w:t>
            </w:r>
          </w:p>
        </w:tc>
        <w:tc>
          <w:tcPr>
            <w:tcW w:w="1615" w:type="pct"/>
          </w:tcPr>
          <w:p w14:paraId="12591BF1" w14:textId="09DF4640" w:rsidR="00B74DF2" w:rsidRPr="0022251D" w:rsidRDefault="00B74DF2" w:rsidP="00B74DF2">
            <w:pPr>
              <w:spacing w:after="0"/>
              <w:jc w:val="left"/>
              <w:rPr>
                <w:sz w:val="18"/>
                <w:szCs w:val="18"/>
              </w:rPr>
            </w:pPr>
            <w:r w:rsidRPr="0022251D">
              <w:rPr>
                <w:sz w:val="18"/>
                <w:szCs w:val="18"/>
              </w:rPr>
              <w:t>Rozpočtový informačný systém</w:t>
            </w:r>
          </w:p>
        </w:tc>
      </w:tr>
      <w:tr w:rsidR="00B74DF2" w:rsidRPr="00B27577" w14:paraId="46D0A0E4" w14:textId="77777777" w:rsidTr="00963FF1">
        <w:trPr>
          <w:trHeight w:val="267"/>
          <w:jc w:val="center"/>
        </w:trPr>
        <w:tc>
          <w:tcPr>
            <w:tcW w:w="545" w:type="pct"/>
            <w:shd w:val="clear" w:color="auto" w:fill="auto"/>
          </w:tcPr>
          <w:p w14:paraId="0B5D560D" w14:textId="5596AB8A" w:rsidR="00B74DF2" w:rsidRPr="00091AF8" w:rsidRDefault="00B74DF2" w:rsidP="00B74DF2">
            <w:pPr>
              <w:spacing w:after="0"/>
              <w:jc w:val="left"/>
              <w:rPr>
                <w:color w:val="314364" w:themeColor="text2"/>
                <w:sz w:val="18"/>
                <w:szCs w:val="18"/>
              </w:rPr>
            </w:pPr>
            <w:r w:rsidRPr="00091AF8">
              <w:rPr>
                <w:color w:val="314364" w:themeColor="text2"/>
                <w:sz w:val="18"/>
                <w:szCs w:val="18"/>
              </w:rPr>
              <w:t>EŠIF</w:t>
            </w:r>
          </w:p>
        </w:tc>
        <w:tc>
          <w:tcPr>
            <w:tcW w:w="2301" w:type="pct"/>
            <w:shd w:val="clear" w:color="auto" w:fill="auto"/>
          </w:tcPr>
          <w:p w14:paraId="16BAE15B" w14:textId="103FB700" w:rsidR="00B74DF2" w:rsidRPr="00091AF8" w:rsidRDefault="00B74DF2" w:rsidP="00B74DF2">
            <w:pPr>
              <w:spacing w:after="0"/>
              <w:ind w:right="299"/>
              <w:jc w:val="left"/>
              <w:rPr>
                <w:sz w:val="18"/>
                <w:szCs w:val="18"/>
              </w:rPr>
            </w:pPr>
            <w:r w:rsidRPr="00091AF8">
              <w:rPr>
                <w:sz w:val="18"/>
                <w:szCs w:val="18"/>
              </w:rPr>
              <w:t>Európske štrukturálne a investičné fondy</w:t>
            </w:r>
          </w:p>
        </w:tc>
        <w:tc>
          <w:tcPr>
            <w:tcW w:w="539" w:type="pct"/>
          </w:tcPr>
          <w:p w14:paraId="1A640F1E" w14:textId="775C3870" w:rsidR="00B74DF2" w:rsidRPr="00900559" w:rsidRDefault="00B74DF2" w:rsidP="00B74DF2">
            <w:pPr>
              <w:spacing w:after="0"/>
              <w:jc w:val="left"/>
              <w:rPr>
                <w:sz w:val="18"/>
                <w:szCs w:val="18"/>
              </w:rPr>
            </w:pPr>
            <w:r w:rsidRPr="00E348B1">
              <w:rPr>
                <w:color w:val="314364" w:themeColor="text2"/>
                <w:sz w:val="18"/>
                <w:szCs w:val="18"/>
              </w:rPr>
              <w:t>RO</w:t>
            </w:r>
          </w:p>
        </w:tc>
        <w:tc>
          <w:tcPr>
            <w:tcW w:w="1615" w:type="pct"/>
          </w:tcPr>
          <w:p w14:paraId="0BA4A813" w14:textId="27EE1ECB" w:rsidR="00B74DF2" w:rsidRPr="00900559" w:rsidRDefault="00B74DF2" w:rsidP="00B74DF2">
            <w:pPr>
              <w:spacing w:after="0"/>
              <w:jc w:val="left"/>
              <w:rPr>
                <w:sz w:val="18"/>
                <w:szCs w:val="18"/>
              </w:rPr>
            </w:pPr>
            <w:r w:rsidRPr="00E348B1">
              <w:rPr>
                <w:sz w:val="18"/>
                <w:szCs w:val="18"/>
              </w:rPr>
              <w:t>rozpočtové opatrenie</w:t>
            </w:r>
          </w:p>
        </w:tc>
      </w:tr>
      <w:tr w:rsidR="00B74DF2" w:rsidRPr="00B27577" w14:paraId="167ED4F8" w14:textId="77777777" w:rsidTr="00963FF1">
        <w:trPr>
          <w:trHeight w:val="267"/>
          <w:jc w:val="center"/>
        </w:trPr>
        <w:tc>
          <w:tcPr>
            <w:tcW w:w="545" w:type="pct"/>
            <w:shd w:val="clear" w:color="auto" w:fill="auto"/>
          </w:tcPr>
          <w:p w14:paraId="55F8AAD2" w14:textId="75202031" w:rsidR="00B74DF2" w:rsidRPr="00091AF8" w:rsidRDefault="00B74DF2" w:rsidP="00B74DF2">
            <w:pPr>
              <w:spacing w:after="0"/>
              <w:jc w:val="left"/>
              <w:rPr>
                <w:color w:val="314364" w:themeColor="text2"/>
                <w:sz w:val="18"/>
                <w:szCs w:val="18"/>
              </w:rPr>
            </w:pPr>
            <w:r w:rsidRPr="00E348B1">
              <w:rPr>
                <w:color w:val="314364" w:themeColor="text2"/>
                <w:sz w:val="18"/>
                <w:szCs w:val="18"/>
              </w:rPr>
              <w:t>EÚ</w:t>
            </w:r>
          </w:p>
        </w:tc>
        <w:tc>
          <w:tcPr>
            <w:tcW w:w="2301" w:type="pct"/>
            <w:shd w:val="clear" w:color="auto" w:fill="auto"/>
          </w:tcPr>
          <w:p w14:paraId="3FBE3074" w14:textId="6C7FFED2" w:rsidR="00B74DF2" w:rsidRPr="00091AF8" w:rsidRDefault="00B74DF2" w:rsidP="00B74DF2">
            <w:pPr>
              <w:spacing w:after="0"/>
              <w:ind w:right="299"/>
              <w:jc w:val="left"/>
              <w:rPr>
                <w:sz w:val="18"/>
                <w:szCs w:val="18"/>
              </w:rPr>
            </w:pPr>
            <w:r w:rsidRPr="00E348B1">
              <w:rPr>
                <w:sz w:val="18"/>
                <w:szCs w:val="18"/>
              </w:rPr>
              <w:t>Európska únia</w:t>
            </w:r>
          </w:p>
        </w:tc>
        <w:tc>
          <w:tcPr>
            <w:tcW w:w="539" w:type="pct"/>
          </w:tcPr>
          <w:p w14:paraId="7E5596C5" w14:textId="055FA46C" w:rsidR="00B74DF2" w:rsidRPr="00900559" w:rsidRDefault="00B74DF2" w:rsidP="00B74DF2">
            <w:pPr>
              <w:spacing w:after="0"/>
              <w:jc w:val="left"/>
              <w:rPr>
                <w:sz w:val="18"/>
                <w:szCs w:val="18"/>
              </w:rPr>
            </w:pPr>
            <w:r>
              <w:rPr>
                <w:color w:val="314364" w:themeColor="text2"/>
                <w:sz w:val="18"/>
                <w:szCs w:val="18"/>
              </w:rPr>
              <w:t>RRZ</w:t>
            </w:r>
          </w:p>
        </w:tc>
        <w:tc>
          <w:tcPr>
            <w:tcW w:w="1615" w:type="pct"/>
          </w:tcPr>
          <w:p w14:paraId="34861275" w14:textId="41336687" w:rsidR="00B74DF2" w:rsidRPr="00900559" w:rsidRDefault="00B74DF2" w:rsidP="00B74DF2">
            <w:pPr>
              <w:spacing w:after="0"/>
              <w:jc w:val="left"/>
              <w:rPr>
                <w:sz w:val="18"/>
                <w:szCs w:val="18"/>
              </w:rPr>
            </w:pPr>
            <w:r>
              <w:rPr>
                <w:sz w:val="18"/>
                <w:szCs w:val="18"/>
              </w:rPr>
              <w:t>Rada pre rozpočtovú zodpovednosť</w:t>
            </w:r>
          </w:p>
        </w:tc>
      </w:tr>
      <w:tr w:rsidR="00B74DF2" w:rsidRPr="00B27577" w14:paraId="259BD7AA" w14:textId="77777777" w:rsidTr="00963FF1">
        <w:trPr>
          <w:trHeight w:val="267"/>
          <w:jc w:val="center"/>
        </w:trPr>
        <w:tc>
          <w:tcPr>
            <w:tcW w:w="545" w:type="pct"/>
            <w:shd w:val="clear" w:color="auto" w:fill="auto"/>
          </w:tcPr>
          <w:p w14:paraId="1ABCE5FE" w14:textId="6BF111B9" w:rsidR="00B74DF2" w:rsidRPr="00B27577" w:rsidRDefault="00B74DF2" w:rsidP="00B74DF2">
            <w:pPr>
              <w:spacing w:after="0"/>
              <w:jc w:val="left"/>
              <w:rPr>
                <w:color w:val="314364" w:themeColor="text2"/>
                <w:sz w:val="18"/>
                <w:szCs w:val="18"/>
                <w:highlight w:val="yellow"/>
              </w:rPr>
            </w:pPr>
            <w:r>
              <w:rPr>
                <w:color w:val="314364" w:themeColor="text2"/>
                <w:sz w:val="18"/>
                <w:szCs w:val="18"/>
              </w:rPr>
              <w:t>EZ</w:t>
            </w:r>
          </w:p>
        </w:tc>
        <w:tc>
          <w:tcPr>
            <w:tcW w:w="2301" w:type="pct"/>
            <w:shd w:val="clear" w:color="auto" w:fill="auto"/>
          </w:tcPr>
          <w:p w14:paraId="5BD00814" w14:textId="1A41C764" w:rsidR="00B74DF2" w:rsidRPr="00B27577" w:rsidRDefault="00B74DF2" w:rsidP="00B74DF2">
            <w:pPr>
              <w:spacing w:after="0"/>
              <w:ind w:right="299"/>
              <w:jc w:val="left"/>
              <w:rPr>
                <w:sz w:val="18"/>
                <w:szCs w:val="18"/>
                <w:highlight w:val="yellow"/>
              </w:rPr>
            </w:pPr>
            <w:r>
              <w:rPr>
                <w:sz w:val="18"/>
                <w:szCs w:val="18"/>
              </w:rPr>
              <w:t>Environmentálna záťaž</w:t>
            </w:r>
          </w:p>
        </w:tc>
        <w:tc>
          <w:tcPr>
            <w:tcW w:w="539" w:type="pct"/>
          </w:tcPr>
          <w:p w14:paraId="56D2DA0E" w14:textId="688B116E" w:rsidR="00B74DF2" w:rsidRPr="00E348B1" w:rsidRDefault="00B74DF2" w:rsidP="00B74DF2">
            <w:pPr>
              <w:spacing w:after="0"/>
              <w:jc w:val="left"/>
              <w:rPr>
                <w:sz w:val="18"/>
                <w:szCs w:val="18"/>
              </w:rPr>
            </w:pPr>
            <w:r>
              <w:rPr>
                <w:color w:val="314364" w:themeColor="text2"/>
                <w:sz w:val="18"/>
                <w:szCs w:val="18"/>
              </w:rPr>
              <w:t>RVS</w:t>
            </w:r>
          </w:p>
        </w:tc>
        <w:tc>
          <w:tcPr>
            <w:tcW w:w="1615" w:type="pct"/>
          </w:tcPr>
          <w:p w14:paraId="72042F6A" w14:textId="42E07999" w:rsidR="00B74DF2" w:rsidRPr="00E348B1" w:rsidRDefault="00B74DF2" w:rsidP="00B74DF2">
            <w:pPr>
              <w:spacing w:after="0"/>
              <w:jc w:val="left"/>
              <w:rPr>
                <w:sz w:val="18"/>
                <w:szCs w:val="18"/>
              </w:rPr>
            </w:pPr>
            <w:r>
              <w:rPr>
                <w:sz w:val="18"/>
                <w:szCs w:val="18"/>
              </w:rPr>
              <w:t>rozpočet verejnej správy</w:t>
            </w:r>
          </w:p>
        </w:tc>
      </w:tr>
      <w:tr w:rsidR="00B74DF2" w:rsidRPr="00B27577" w14:paraId="13F6F7C1" w14:textId="77777777" w:rsidTr="00963FF1">
        <w:trPr>
          <w:trHeight w:val="267"/>
          <w:jc w:val="center"/>
        </w:trPr>
        <w:tc>
          <w:tcPr>
            <w:tcW w:w="545" w:type="pct"/>
            <w:shd w:val="clear" w:color="auto" w:fill="auto"/>
          </w:tcPr>
          <w:p w14:paraId="66AD6CCC" w14:textId="38A5AEDC" w:rsidR="00B74DF2" w:rsidRPr="00B27577" w:rsidRDefault="00B74DF2" w:rsidP="00B74DF2">
            <w:pPr>
              <w:spacing w:after="0"/>
              <w:jc w:val="left"/>
              <w:rPr>
                <w:color w:val="314364" w:themeColor="text2"/>
                <w:sz w:val="18"/>
                <w:szCs w:val="18"/>
                <w:highlight w:val="yellow"/>
              </w:rPr>
            </w:pPr>
            <w:r w:rsidRPr="00091AF8">
              <w:rPr>
                <w:color w:val="314364" w:themeColor="text2"/>
                <w:sz w:val="18"/>
                <w:szCs w:val="18"/>
              </w:rPr>
              <w:t>FNM</w:t>
            </w:r>
          </w:p>
        </w:tc>
        <w:tc>
          <w:tcPr>
            <w:tcW w:w="2301" w:type="pct"/>
            <w:shd w:val="clear" w:color="auto" w:fill="auto"/>
          </w:tcPr>
          <w:p w14:paraId="2633B85C" w14:textId="47320450" w:rsidR="00B74DF2" w:rsidRPr="00B27577" w:rsidRDefault="00B74DF2" w:rsidP="00B74DF2">
            <w:pPr>
              <w:spacing w:after="0"/>
              <w:ind w:right="299"/>
              <w:jc w:val="left"/>
              <w:rPr>
                <w:sz w:val="18"/>
                <w:szCs w:val="18"/>
                <w:highlight w:val="yellow"/>
              </w:rPr>
            </w:pPr>
            <w:r w:rsidRPr="00091AF8">
              <w:rPr>
                <w:sz w:val="18"/>
                <w:szCs w:val="18"/>
              </w:rPr>
              <w:t xml:space="preserve">Fond národného majetku </w:t>
            </w:r>
          </w:p>
        </w:tc>
        <w:tc>
          <w:tcPr>
            <w:tcW w:w="539" w:type="pct"/>
          </w:tcPr>
          <w:p w14:paraId="29346AA1" w14:textId="64DC5B75" w:rsidR="00B74DF2" w:rsidRPr="0022251D" w:rsidRDefault="00B74DF2" w:rsidP="00B74DF2">
            <w:pPr>
              <w:spacing w:after="0"/>
              <w:jc w:val="left"/>
              <w:rPr>
                <w:sz w:val="18"/>
                <w:szCs w:val="18"/>
              </w:rPr>
            </w:pPr>
            <w:r w:rsidRPr="0022251D">
              <w:rPr>
                <w:color w:val="314364" w:themeColor="text2"/>
                <w:sz w:val="18"/>
                <w:szCs w:val="18"/>
              </w:rPr>
              <w:t>S</w:t>
            </w:r>
          </w:p>
        </w:tc>
        <w:tc>
          <w:tcPr>
            <w:tcW w:w="1615" w:type="pct"/>
          </w:tcPr>
          <w:p w14:paraId="5AEB67B9" w14:textId="74AD9502" w:rsidR="00B74DF2" w:rsidRPr="0022251D" w:rsidRDefault="00B74DF2" w:rsidP="00B74DF2">
            <w:pPr>
              <w:spacing w:after="0"/>
              <w:jc w:val="left"/>
              <w:rPr>
                <w:sz w:val="18"/>
                <w:szCs w:val="18"/>
              </w:rPr>
            </w:pPr>
            <w:r w:rsidRPr="0022251D">
              <w:rPr>
                <w:sz w:val="18"/>
                <w:szCs w:val="18"/>
              </w:rPr>
              <w:t>skutočnosť</w:t>
            </w:r>
          </w:p>
        </w:tc>
      </w:tr>
      <w:tr w:rsidR="00B74DF2" w:rsidRPr="00B27577" w14:paraId="323001F9" w14:textId="77777777" w:rsidTr="00963FF1">
        <w:trPr>
          <w:trHeight w:val="267"/>
          <w:jc w:val="center"/>
        </w:trPr>
        <w:tc>
          <w:tcPr>
            <w:tcW w:w="545" w:type="pct"/>
            <w:shd w:val="clear" w:color="auto" w:fill="auto"/>
          </w:tcPr>
          <w:p w14:paraId="048B6EE6" w14:textId="423A5115" w:rsidR="00B74DF2" w:rsidRPr="00091AF8" w:rsidRDefault="00B74DF2" w:rsidP="00B74DF2">
            <w:pPr>
              <w:spacing w:after="0"/>
              <w:jc w:val="left"/>
              <w:rPr>
                <w:color w:val="314364" w:themeColor="text2"/>
                <w:sz w:val="18"/>
                <w:szCs w:val="18"/>
              </w:rPr>
            </w:pPr>
            <w:r w:rsidRPr="00091AF8">
              <w:rPr>
                <w:color w:val="314364" w:themeColor="text2"/>
                <w:sz w:val="18"/>
                <w:szCs w:val="18"/>
              </w:rPr>
              <w:t>HDP</w:t>
            </w:r>
          </w:p>
        </w:tc>
        <w:tc>
          <w:tcPr>
            <w:tcW w:w="2301" w:type="pct"/>
            <w:shd w:val="clear" w:color="auto" w:fill="auto"/>
          </w:tcPr>
          <w:p w14:paraId="742A217A" w14:textId="52456713" w:rsidR="00B74DF2" w:rsidRPr="00091AF8" w:rsidRDefault="00B74DF2" w:rsidP="00B74DF2">
            <w:pPr>
              <w:spacing w:after="0"/>
              <w:ind w:right="299"/>
              <w:jc w:val="left"/>
              <w:rPr>
                <w:sz w:val="18"/>
                <w:szCs w:val="18"/>
              </w:rPr>
            </w:pPr>
            <w:r w:rsidRPr="00091AF8">
              <w:rPr>
                <w:sz w:val="18"/>
                <w:szCs w:val="18"/>
              </w:rPr>
              <w:t>hrubý domáci produkt</w:t>
            </w:r>
          </w:p>
        </w:tc>
        <w:tc>
          <w:tcPr>
            <w:tcW w:w="539" w:type="pct"/>
          </w:tcPr>
          <w:p w14:paraId="0F5340CE" w14:textId="4B901294" w:rsidR="00B74DF2" w:rsidRPr="0022251D" w:rsidRDefault="00B74DF2" w:rsidP="00B74DF2">
            <w:pPr>
              <w:spacing w:after="0"/>
              <w:jc w:val="left"/>
              <w:rPr>
                <w:sz w:val="18"/>
                <w:szCs w:val="18"/>
              </w:rPr>
            </w:pPr>
            <w:r>
              <w:rPr>
                <w:color w:val="314364" w:themeColor="text2"/>
                <w:sz w:val="18"/>
                <w:szCs w:val="18"/>
              </w:rPr>
              <w:t>SD</w:t>
            </w:r>
          </w:p>
        </w:tc>
        <w:tc>
          <w:tcPr>
            <w:tcW w:w="1615" w:type="pct"/>
          </w:tcPr>
          <w:p w14:paraId="07E9DF81" w14:textId="712586F6" w:rsidR="00B74DF2" w:rsidRPr="0022251D" w:rsidRDefault="00B74DF2" w:rsidP="00B74DF2">
            <w:pPr>
              <w:spacing w:after="0"/>
              <w:jc w:val="left"/>
              <w:rPr>
                <w:sz w:val="18"/>
                <w:szCs w:val="18"/>
              </w:rPr>
            </w:pPr>
            <w:r>
              <w:rPr>
                <w:sz w:val="18"/>
                <w:szCs w:val="18"/>
              </w:rPr>
              <w:t>starobný dôchodok</w:t>
            </w:r>
          </w:p>
        </w:tc>
      </w:tr>
      <w:tr w:rsidR="00B74DF2" w:rsidRPr="00B27577" w14:paraId="0E5DAD3F" w14:textId="77777777" w:rsidTr="00963FF1">
        <w:trPr>
          <w:trHeight w:val="267"/>
          <w:jc w:val="center"/>
        </w:trPr>
        <w:tc>
          <w:tcPr>
            <w:tcW w:w="545" w:type="pct"/>
            <w:shd w:val="clear" w:color="auto" w:fill="auto"/>
          </w:tcPr>
          <w:p w14:paraId="76C88A71" w14:textId="47B78B58" w:rsidR="00B74DF2" w:rsidRPr="00E348B1" w:rsidRDefault="00B74DF2" w:rsidP="00B74DF2">
            <w:pPr>
              <w:spacing w:after="0"/>
              <w:jc w:val="left"/>
              <w:rPr>
                <w:color w:val="314364" w:themeColor="text2"/>
                <w:sz w:val="18"/>
                <w:szCs w:val="18"/>
              </w:rPr>
            </w:pPr>
            <w:r w:rsidRPr="0022251D">
              <w:rPr>
                <w:color w:val="314364" w:themeColor="text2"/>
                <w:sz w:val="18"/>
                <w:szCs w:val="18"/>
              </w:rPr>
              <w:t>IROP</w:t>
            </w:r>
          </w:p>
        </w:tc>
        <w:tc>
          <w:tcPr>
            <w:tcW w:w="2301" w:type="pct"/>
            <w:shd w:val="clear" w:color="auto" w:fill="auto"/>
          </w:tcPr>
          <w:p w14:paraId="0673FADA" w14:textId="67699219" w:rsidR="00B74DF2" w:rsidRPr="00E348B1" w:rsidRDefault="00B74DF2" w:rsidP="00B74DF2">
            <w:pPr>
              <w:spacing w:after="0"/>
              <w:ind w:right="299"/>
              <w:jc w:val="left"/>
              <w:rPr>
                <w:sz w:val="18"/>
                <w:szCs w:val="18"/>
              </w:rPr>
            </w:pPr>
            <w:r w:rsidRPr="0022251D">
              <w:rPr>
                <w:sz w:val="18"/>
                <w:szCs w:val="18"/>
              </w:rPr>
              <w:t>Integrovaný regionálny operačný program</w:t>
            </w:r>
          </w:p>
        </w:tc>
        <w:tc>
          <w:tcPr>
            <w:tcW w:w="539" w:type="pct"/>
          </w:tcPr>
          <w:p w14:paraId="2A6B42F5" w14:textId="5816AED5" w:rsidR="00B74DF2" w:rsidRPr="0022251D" w:rsidRDefault="00B74DF2" w:rsidP="00B74DF2">
            <w:pPr>
              <w:spacing w:after="0"/>
              <w:jc w:val="left"/>
              <w:rPr>
                <w:sz w:val="18"/>
                <w:szCs w:val="18"/>
              </w:rPr>
            </w:pPr>
            <w:r w:rsidRPr="00900559">
              <w:rPr>
                <w:color w:val="314364" w:themeColor="text2"/>
                <w:sz w:val="18"/>
                <w:szCs w:val="18"/>
              </w:rPr>
              <w:t>SP</w:t>
            </w:r>
          </w:p>
        </w:tc>
        <w:tc>
          <w:tcPr>
            <w:tcW w:w="1615" w:type="pct"/>
          </w:tcPr>
          <w:p w14:paraId="6FF46899" w14:textId="793E14D7" w:rsidR="00B74DF2" w:rsidRPr="0022251D" w:rsidRDefault="00B74DF2" w:rsidP="00B74DF2">
            <w:pPr>
              <w:spacing w:after="0"/>
              <w:jc w:val="left"/>
              <w:rPr>
                <w:sz w:val="18"/>
                <w:szCs w:val="18"/>
              </w:rPr>
            </w:pPr>
            <w:r w:rsidRPr="00900559">
              <w:rPr>
                <w:sz w:val="18"/>
                <w:szCs w:val="18"/>
              </w:rPr>
              <w:t>Sociálna poisťovňa</w:t>
            </w:r>
          </w:p>
        </w:tc>
      </w:tr>
      <w:tr w:rsidR="00B74DF2" w:rsidRPr="00B27577" w14:paraId="7A6C9775" w14:textId="77777777" w:rsidTr="00963FF1">
        <w:trPr>
          <w:trHeight w:val="267"/>
          <w:jc w:val="center"/>
        </w:trPr>
        <w:tc>
          <w:tcPr>
            <w:tcW w:w="545" w:type="pct"/>
            <w:shd w:val="clear" w:color="auto" w:fill="auto"/>
          </w:tcPr>
          <w:p w14:paraId="16562088" w14:textId="5DB278C9" w:rsidR="00B74DF2" w:rsidRPr="00091AF8" w:rsidRDefault="00B74DF2" w:rsidP="00B74DF2">
            <w:pPr>
              <w:spacing w:after="0"/>
              <w:jc w:val="left"/>
              <w:rPr>
                <w:color w:val="314364" w:themeColor="text2"/>
                <w:sz w:val="18"/>
                <w:szCs w:val="18"/>
              </w:rPr>
            </w:pPr>
            <w:r>
              <w:rPr>
                <w:color w:val="314364" w:themeColor="text2"/>
                <w:sz w:val="18"/>
                <w:szCs w:val="18"/>
              </w:rPr>
              <w:t>LFA</w:t>
            </w:r>
          </w:p>
        </w:tc>
        <w:tc>
          <w:tcPr>
            <w:tcW w:w="2301" w:type="pct"/>
            <w:shd w:val="clear" w:color="auto" w:fill="auto"/>
          </w:tcPr>
          <w:p w14:paraId="012ACF7C" w14:textId="22D09A74" w:rsidR="00B74DF2" w:rsidRPr="00091AF8" w:rsidRDefault="00B74DF2" w:rsidP="00B74DF2">
            <w:pPr>
              <w:spacing w:after="0"/>
              <w:ind w:right="299"/>
              <w:jc w:val="left"/>
              <w:rPr>
                <w:sz w:val="18"/>
                <w:szCs w:val="18"/>
              </w:rPr>
            </w:pPr>
            <w:r>
              <w:rPr>
                <w:sz w:val="18"/>
                <w:szCs w:val="18"/>
              </w:rPr>
              <w:t>likvidné finančné aktíva</w:t>
            </w:r>
          </w:p>
        </w:tc>
        <w:tc>
          <w:tcPr>
            <w:tcW w:w="539" w:type="pct"/>
          </w:tcPr>
          <w:p w14:paraId="626685DC" w14:textId="37C2090A" w:rsidR="00B74DF2" w:rsidRPr="0022251D" w:rsidRDefault="00B74DF2" w:rsidP="00B74DF2">
            <w:pPr>
              <w:spacing w:after="0"/>
              <w:jc w:val="left"/>
              <w:rPr>
                <w:color w:val="314364" w:themeColor="text2"/>
                <w:sz w:val="18"/>
                <w:szCs w:val="18"/>
              </w:rPr>
            </w:pPr>
            <w:r w:rsidRPr="00E348B1">
              <w:rPr>
                <w:color w:val="314364" w:themeColor="text2"/>
                <w:sz w:val="18"/>
                <w:szCs w:val="18"/>
              </w:rPr>
              <w:t>SR</w:t>
            </w:r>
          </w:p>
        </w:tc>
        <w:tc>
          <w:tcPr>
            <w:tcW w:w="1615" w:type="pct"/>
          </w:tcPr>
          <w:p w14:paraId="122A4382" w14:textId="29E1A79D" w:rsidR="00B74DF2" w:rsidRPr="0022251D" w:rsidRDefault="00B74DF2" w:rsidP="00B74DF2">
            <w:pPr>
              <w:spacing w:after="0"/>
              <w:jc w:val="left"/>
              <w:rPr>
                <w:sz w:val="18"/>
                <w:szCs w:val="18"/>
              </w:rPr>
            </w:pPr>
            <w:r w:rsidRPr="00E348B1">
              <w:rPr>
                <w:sz w:val="18"/>
                <w:szCs w:val="18"/>
              </w:rPr>
              <w:t>Slovenská republika</w:t>
            </w:r>
          </w:p>
        </w:tc>
      </w:tr>
      <w:tr w:rsidR="00B74DF2" w:rsidRPr="00B27577" w14:paraId="5C51E81F" w14:textId="77777777" w:rsidTr="00963FF1">
        <w:trPr>
          <w:trHeight w:val="267"/>
          <w:jc w:val="center"/>
        </w:trPr>
        <w:tc>
          <w:tcPr>
            <w:tcW w:w="545" w:type="pct"/>
            <w:shd w:val="clear" w:color="auto" w:fill="auto"/>
          </w:tcPr>
          <w:p w14:paraId="3ACC0083" w14:textId="50E809DA" w:rsidR="00B74DF2" w:rsidRPr="00B27577" w:rsidRDefault="00B74DF2" w:rsidP="00B74DF2">
            <w:pPr>
              <w:spacing w:after="0"/>
              <w:jc w:val="left"/>
              <w:rPr>
                <w:color w:val="314364" w:themeColor="text2"/>
                <w:sz w:val="18"/>
                <w:szCs w:val="18"/>
                <w:highlight w:val="yellow"/>
              </w:rPr>
            </w:pPr>
            <w:r>
              <w:rPr>
                <w:color w:val="314364" w:themeColor="text2"/>
                <w:sz w:val="18"/>
                <w:szCs w:val="18"/>
              </w:rPr>
              <w:t>LVV</w:t>
            </w:r>
          </w:p>
        </w:tc>
        <w:tc>
          <w:tcPr>
            <w:tcW w:w="2301" w:type="pct"/>
            <w:shd w:val="clear" w:color="auto" w:fill="auto"/>
          </w:tcPr>
          <w:p w14:paraId="3F3C6507" w14:textId="70CEC589" w:rsidR="00B74DF2" w:rsidRPr="00B27577" w:rsidRDefault="00B74DF2" w:rsidP="00B74DF2">
            <w:pPr>
              <w:spacing w:after="0"/>
              <w:ind w:right="299"/>
              <w:jc w:val="left"/>
              <w:rPr>
                <w:sz w:val="18"/>
                <w:szCs w:val="18"/>
                <w:highlight w:val="yellow"/>
              </w:rPr>
            </w:pPr>
            <w:r>
              <w:rPr>
                <w:sz w:val="18"/>
                <w:szCs w:val="18"/>
              </w:rPr>
              <w:t>limit verejných výdavkov</w:t>
            </w:r>
          </w:p>
        </w:tc>
        <w:tc>
          <w:tcPr>
            <w:tcW w:w="539" w:type="pct"/>
          </w:tcPr>
          <w:p w14:paraId="0AFC834E" w14:textId="477D14B3" w:rsidR="00B74DF2" w:rsidRPr="0022251D" w:rsidRDefault="00B74DF2" w:rsidP="00B74DF2">
            <w:pPr>
              <w:spacing w:after="0"/>
              <w:jc w:val="left"/>
              <w:rPr>
                <w:sz w:val="18"/>
                <w:szCs w:val="18"/>
              </w:rPr>
            </w:pPr>
            <w:r w:rsidRPr="0022251D">
              <w:rPr>
                <w:color w:val="314364" w:themeColor="text2"/>
                <w:sz w:val="18"/>
                <w:szCs w:val="18"/>
              </w:rPr>
              <w:t>SZČO</w:t>
            </w:r>
          </w:p>
        </w:tc>
        <w:tc>
          <w:tcPr>
            <w:tcW w:w="1615" w:type="pct"/>
          </w:tcPr>
          <w:p w14:paraId="1445FEF0" w14:textId="439C295A" w:rsidR="00B74DF2" w:rsidRPr="0022251D" w:rsidRDefault="00B74DF2" w:rsidP="00B74DF2">
            <w:pPr>
              <w:spacing w:after="0"/>
              <w:jc w:val="left"/>
              <w:rPr>
                <w:sz w:val="18"/>
                <w:szCs w:val="18"/>
              </w:rPr>
            </w:pPr>
            <w:r w:rsidRPr="0022251D">
              <w:rPr>
                <w:sz w:val="18"/>
                <w:szCs w:val="18"/>
              </w:rPr>
              <w:t>samostatne zárobkovo činná osoba</w:t>
            </w:r>
          </w:p>
        </w:tc>
      </w:tr>
      <w:tr w:rsidR="00B74DF2" w:rsidRPr="00B27577" w14:paraId="107E3E38" w14:textId="77777777" w:rsidTr="00963FF1">
        <w:trPr>
          <w:trHeight w:val="267"/>
          <w:jc w:val="center"/>
        </w:trPr>
        <w:tc>
          <w:tcPr>
            <w:tcW w:w="545" w:type="pct"/>
            <w:shd w:val="clear" w:color="auto" w:fill="auto"/>
          </w:tcPr>
          <w:p w14:paraId="30E662B7" w14:textId="58EB38B0" w:rsidR="00B74DF2" w:rsidRPr="00B27577" w:rsidRDefault="00B74DF2" w:rsidP="00B74DF2">
            <w:pPr>
              <w:spacing w:after="0"/>
              <w:jc w:val="left"/>
              <w:rPr>
                <w:color w:val="314364" w:themeColor="text2"/>
                <w:sz w:val="18"/>
                <w:szCs w:val="18"/>
                <w:highlight w:val="yellow"/>
              </w:rPr>
            </w:pPr>
            <w:r w:rsidRPr="0022251D">
              <w:rPr>
                <w:color w:val="314364" w:themeColor="text2"/>
                <w:sz w:val="18"/>
                <w:szCs w:val="18"/>
              </w:rPr>
              <w:t>MD SR</w:t>
            </w:r>
          </w:p>
        </w:tc>
        <w:tc>
          <w:tcPr>
            <w:tcW w:w="2301" w:type="pct"/>
            <w:shd w:val="clear" w:color="auto" w:fill="auto"/>
          </w:tcPr>
          <w:p w14:paraId="1165E0B3" w14:textId="52EA8D5B" w:rsidR="00B74DF2" w:rsidRPr="00B27577" w:rsidRDefault="00B74DF2" w:rsidP="00B74DF2">
            <w:pPr>
              <w:spacing w:after="0"/>
              <w:ind w:right="299"/>
              <w:jc w:val="left"/>
              <w:rPr>
                <w:sz w:val="18"/>
                <w:szCs w:val="18"/>
                <w:highlight w:val="yellow"/>
              </w:rPr>
            </w:pPr>
            <w:r w:rsidRPr="0022251D">
              <w:rPr>
                <w:sz w:val="18"/>
                <w:szCs w:val="18"/>
              </w:rPr>
              <w:t>Ministerstvo dopravy Slovenskej republiky</w:t>
            </w:r>
          </w:p>
        </w:tc>
        <w:tc>
          <w:tcPr>
            <w:tcW w:w="539" w:type="pct"/>
          </w:tcPr>
          <w:p w14:paraId="0C69DAD1" w14:textId="0B3DB899" w:rsidR="00B74DF2" w:rsidRPr="0022251D" w:rsidRDefault="00B74DF2" w:rsidP="00B74DF2">
            <w:pPr>
              <w:spacing w:after="0"/>
              <w:jc w:val="left"/>
              <w:rPr>
                <w:color w:val="314364" w:themeColor="text2"/>
                <w:sz w:val="18"/>
                <w:szCs w:val="18"/>
              </w:rPr>
            </w:pPr>
            <w:r w:rsidRPr="0022251D">
              <w:rPr>
                <w:color w:val="314364" w:themeColor="text2"/>
                <w:sz w:val="18"/>
                <w:szCs w:val="18"/>
              </w:rPr>
              <w:t>ŠFA</w:t>
            </w:r>
          </w:p>
        </w:tc>
        <w:tc>
          <w:tcPr>
            <w:tcW w:w="1615" w:type="pct"/>
          </w:tcPr>
          <w:p w14:paraId="53FC48B6" w14:textId="59DF8592" w:rsidR="00B74DF2" w:rsidRPr="0022251D" w:rsidRDefault="00B74DF2" w:rsidP="00B74DF2">
            <w:pPr>
              <w:spacing w:after="0"/>
              <w:jc w:val="left"/>
              <w:rPr>
                <w:sz w:val="18"/>
                <w:szCs w:val="18"/>
              </w:rPr>
            </w:pPr>
            <w:r w:rsidRPr="0022251D">
              <w:rPr>
                <w:sz w:val="18"/>
                <w:szCs w:val="18"/>
              </w:rPr>
              <w:t>štátne finančné aktíva</w:t>
            </w:r>
          </w:p>
        </w:tc>
      </w:tr>
      <w:tr w:rsidR="00B74DF2" w:rsidRPr="00B27577" w14:paraId="01F6CF0F" w14:textId="77777777" w:rsidTr="00963FF1">
        <w:trPr>
          <w:trHeight w:val="267"/>
          <w:jc w:val="center"/>
        </w:trPr>
        <w:tc>
          <w:tcPr>
            <w:tcW w:w="545" w:type="pct"/>
            <w:shd w:val="clear" w:color="auto" w:fill="auto"/>
          </w:tcPr>
          <w:p w14:paraId="4D42CA2C" w14:textId="6F141085" w:rsidR="00B74DF2" w:rsidRPr="00091AF8" w:rsidRDefault="00B74DF2" w:rsidP="00B74DF2">
            <w:pPr>
              <w:spacing w:after="0"/>
              <w:jc w:val="left"/>
              <w:rPr>
                <w:color w:val="314364" w:themeColor="text2"/>
                <w:sz w:val="18"/>
                <w:szCs w:val="18"/>
              </w:rPr>
            </w:pPr>
            <w:r w:rsidRPr="0022251D">
              <w:rPr>
                <w:color w:val="314364" w:themeColor="text2"/>
                <w:sz w:val="18"/>
                <w:szCs w:val="18"/>
              </w:rPr>
              <w:t>MF SR</w:t>
            </w:r>
          </w:p>
        </w:tc>
        <w:tc>
          <w:tcPr>
            <w:tcW w:w="2301" w:type="pct"/>
            <w:shd w:val="clear" w:color="auto" w:fill="auto"/>
          </w:tcPr>
          <w:p w14:paraId="1652DCD1" w14:textId="6FCAC064" w:rsidR="00B74DF2" w:rsidRPr="00091AF8" w:rsidRDefault="00B74DF2" w:rsidP="00B74DF2">
            <w:pPr>
              <w:spacing w:after="0"/>
              <w:ind w:right="299"/>
              <w:jc w:val="left"/>
              <w:rPr>
                <w:sz w:val="18"/>
                <w:szCs w:val="18"/>
              </w:rPr>
            </w:pPr>
            <w:r w:rsidRPr="0022251D">
              <w:rPr>
                <w:sz w:val="18"/>
                <w:szCs w:val="18"/>
              </w:rPr>
              <w:t>Ministerstvo financií Slovenskej republiky</w:t>
            </w:r>
          </w:p>
        </w:tc>
        <w:tc>
          <w:tcPr>
            <w:tcW w:w="539" w:type="pct"/>
          </w:tcPr>
          <w:p w14:paraId="03EE07CF" w14:textId="5043A2C1" w:rsidR="00B74DF2" w:rsidRPr="00E348B1" w:rsidRDefault="00B74DF2" w:rsidP="00B74DF2">
            <w:pPr>
              <w:spacing w:after="0"/>
              <w:jc w:val="left"/>
              <w:rPr>
                <w:sz w:val="18"/>
                <w:szCs w:val="18"/>
              </w:rPr>
            </w:pPr>
            <w:r w:rsidRPr="0022251D">
              <w:rPr>
                <w:color w:val="314364" w:themeColor="text2"/>
                <w:sz w:val="18"/>
                <w:szCs w:val="18"/>
              </w:rPr>
              <w:t>ŠFRB</w:t>
            </w:r>
          </w:p>
        </w:tc>
        <w:tc>
          <w:tcPr>
            <w:tcW w:w="1615" w:type="pct"/>
          </w:tcPr>
          <w:p w14:paraId="5DAE476B" w14:textId="4DC7ABA4" w:rsidR="00B74DF2" w:rsidRPr="00E348B1" w:rsidRDefault="00B74DF2" w:rsidP="00B74DF2">
            <w:pPr>
              <w:spacing w:after="0"/>
              <w:jc w:val="left"/>
              <w:rPr>
                <w:sz w:val="18"/>
                <w:szCs w:val="18"/>
              </w:rPr>
            </w:pPr>
            <w:r w:rsidRPr="0022251D">
              <w:rPr>
                <w:sz w:val="18"/>
                <w:szCs w:val="18"/>
              </w:rPr>
              <w:t>Štátny fond rozvoja bývania</w:t>
            </w:r>
          </w:p>
        </w:tc>
      </w:tr>
      <w:tr w:rsidR="00B74DF2" w:rsidRPr="00B27577" w14:paraId="247A2230" w14:textId="77777777" w:rsidTr="00963FF1">
        <w:trPr>
          <w:trHeight w:val="267"/>
          <w:jc w:val="center"/>
        </w:trPr>
        <w:tc>
          <w:tcPr>
            <w:tcW w:w="545" w:type="pct"/>
            <w:shd w:val="clear" w:color="auto" w:fill="auto"/>
          </w:tcPr>
          <w:p w14:paraId="7472173C" w14:textId="00109124" w:rsidR="00B74DF2" w:rsidRPr="0022251D" w:rsidRDefault="00B74DF2" w:rsidP="00B74DF2">
            <w:pPr>
              <w:spacing w:after="0"/>
              <w:jc w:val="left"/>
              <w:rPr>
                <w:color w:val="314364" w:themeColor="text2"/>
                <w:sz w:val="18"/>
                <w:szCs w:val="18"/>
              </w:rPr>
            </w:pPr>
            <w:r w:rsidRPr="0022251D">
              <w:rPr>
                <w:color w:val="314364" w:themeColor="text2"/>
                <w:sz w:val="18"/>
                <w:szCs w:val="18"/>
              </w:rPr>
              <w:t>MH SR</w:t>
            </w:r>
          </w:p>
        </w:tc>
        <w:tc>
          <w:tcPr>
            <w:tcW w:w="2301" w:type="pct"/>
            <w:shd w:val="clear" w:color="auto" w:fill="auto"/>
          </w:tcPr>
          <w:p w14:paraId="57F2601E" w14:textId="169CCE66" w:rsidR="00B74DF2" w:rsidRPr="0022251D" w:rsidRDefault="00B74DF2" w:rsidP="00B74DF2">
            <w:pPr>
              <w:spacing w:after="0"/>
              <w:ind w:right="299"/>
              <w:jc w:val="left"/>
              <w:rPr>
                <w:sz w:val="18"/>
                <w:szCs w:val="18"/>
              </w:rPr>
            </w:pPr>
            <w:r w:rsidRPr="0022251D">
              <w:rPr>
                <w:sz w:val="18"/>
                <w:szCs w:val="18"/>
              </w:rPr>
              <w:t>Ministerstvo hospodárstva Slovenskej republiky</w:t>
            </w:r>
          </w:p>
        </w:tc>
        <w:tc>
          <w:tcPr>
            <w:tcW w:w="539" w:type="pct"/>
          </w:tcPr>
          <w:p w14:paraId="085E5178" w14:textId="18A6DB00" w:rsidR="00B74DF2" w:rsidRPr="0022251D" w:rsidRDefault="00B74DF2" w:rsidP="00B74DF2">
            <w:pPr>
              <w:spacing w:after="0"/>
              <w:jc w:val="left"/>
              <w:rPr>
                <w:sz w:val="18"/>
                <w:szCs w:val="18"/>
              </w:rPr>
            </w:pPr>
            <w:r w:rsidRPr="0022251D">
              <w:rPr>
                <w:color w:val="314364" w:themeColor="text2"/>
                <w:sz w:val="18"/>
                <w:szCs w:val="18"/>
              </w:rPr>
              <w:t>ŠR</w:t>
            </w:r>
          </w:p>
        </w:tc>
        <w:tc>
          <w:tcPr>
            <w:tcW w:w="1615" w:type="pct"/>
          </w:tcPr>
          <w:p w14:paraId="256811A8" w14:textId="542C5C1E" w:rsidR="00B74DF2" w:rsidRPr="0022251D" w:rsidRDefault="00B74DF2" w:rsidP="00B74DF2">
            <w:pPr>
              <w:spacing w:after="0"/>
              <w:jc w:val="left"/>
              <w:rPr>
                <w:sz w:val="18"/>
                <w:szCs w:val="18"/>
              </w:rPr>
            </w:pPr>
            <w:r w:rsidRPr="0022251D">
              <w:rPr>
                <w:sz w:val="18"/>
                <w:szCs w:val="18"/>
              </w:rPr>
              <w:t>štátny rozpočet</w:t>
            </w:r>
          </w:p>
        </w:tc>
      </w:tr>
      <w:tr w:rsidR="00B74DF2" w:rsidRPr="00B27577" w14:paraId="71287A6C" w14:textId="77777777" w:rsidTr="00963FF1">
        <w:trPr>
          <w:trHeight w:val="267"/>
          <w:jc w:val="center"/>
        </w:trPr>
        <w:tc>
          <w:tcPr>
            <w:tcW w:w="545" w:type="pct"/>
            <w:shd w:val="clear" w:color="auto" w:fill="auto"/>
          </w:tcPr>
          <w:p w14:paraId="7C7E6233" w14:textId="44D6DFBB" w:rsidR="00B74DF2" w:rsidRPr="0022251D" w:rsidRDefault="00B74DF2" w:rsidP="00B74DF2">
            <w:pPr>
              <w:spacing w:after="0"/>
              <w:jc w:val="left"/>
              <w:rPr>
                <w:color w:val="314364" w:themeColor="text2"/>
                <w:sz w:val="18"/>
                <w:szCs w:val="18"/>
              </w:rPr>
            </w:pPr>
            <w:r w:rsidRPr="0022251D">
              <w:rPr>
                <w:color w:val="314364" w:themeColor="text2"/>
                <w:sz w:val="18"/>
                <w:szCs w:val="18"/>
              </w:rPr>
              <w:t>MIRRI SR</w:t>
            </w:r>
          </w:p>
        </w:tc>
        <w:tc>
          <w:tcPr>
            <w:tcW w:w="2301" w:type="pct"/>
            <w:shd w:val="clear" w:color="auto" w:fill="auto"/>
          </w:tcPr>
          <w:p w14:paraId="178A4BC5" w14:textId="1A4D596A" w:rsidR="00B74DF2" w:rsidRPr="0022251D" w:rsidRDefault="00B74DF2" w:rsidP="00B74DF2">
            <w:pPr>
              <w:spacing w:after="0"/>
              <w:ind w:right="299"/>
              <w:jc w:val="left"/>
              <w:rPr>
                <w:sz w:val="18"/>
                <w:szCs w:val="18"/>
              </w:rPr>
            </w:pPr>
            <w:r w:rsidRPr="0022251D">
              <w:rPr>
                <w:sz w:val="18"/>
                <w:szCs w:val="18"/>
              </w:rPr>
              <w:t>Ministerstvo investícií, regionálneho rozvoja a informatizácie Slovenskej republiky</w:t>
            </w:r>
          </w:p>
        </w:tc>
        <w:tc>
          <w:tcPr>
            <w:tcW w:w="539" w:type="pct"/>
          </w:tcPr>
          <w:p w14:paraId="2F89872E" w14:textId="246BFDDF" w:rsidR="00B74DF2" w:rsidRPr="00B27577" w:rsidRDefault="00B74DF2" w:rsidP="00B74DF2">
            <w:pPr>
              <w:spacing w:after="0"/>
              <w:jc w:val="left"/>
              <w:rPr>
                <w:color w:val="314364" w:themeColor="text2"/>
                <w:sz w:val="18"/>
                <w:szCs w:val="18"/>
                <w:highlight w:val="yellow"/>
              </w:rPr>
            </w:pPr>
            <w:r w:rsidRPr="0022251D">
              <w:rPr>
                <w:color w:val="314364" w:themeColor="text2"/>
                <w:sz w:val="18"/>
                <w:szCs w:val="18"/>
              </w:rPr>
              <w:t>ŠÚ SR</w:t>
            </w:r>
          </w:p>
        </w:tc>
        <w:tc>
          <w:tcPr>
            <w:tcW w:w="1615" w:type="pct"/>
          </w:tcPr>
          <w:p w14:paraId="4A13B58B" w14:textId="5DF70DA1" w:rsidR="00B74DF2" w:rsidRPr="00B27577" w:rsidRDefault="00B74DF2" w:rsidP="00B74DF2">
            <w:pPr>
              <w:spacing w:after="0"/>
              <w:jc w:val="left"/>
              <w:rPr>
                <w:sz w:val="18"/>
                <w:szCs w:val="18"/>
                <w:highlight w:val="yellow"/>
              </w:rPr>
            </w:pPr>
            <w:r w:rsidRPr="0022251D">
              <w:rPr>
                <w:sz w:val="18"/>
                <w:szCs w:val="18"/>
              </w:rPr>
              <w:t>Štatistický úrad Slovenskej republiky</w:t>
            </w:r>
          </w:p>
        </w:tc>
      </w:tr>
      <w:tr w:rsidR="00B74DF2" w:rsidRPr="00B27577" w14:paraId="3BCFDB82" w14:textId="77777777" w:rsidTr="00963FF1">
        <w:trPr>
          <w:trHeight w:val="267"/>
          <w:jc w:val="center"/>
        </w:trPr>
        <w:tc>
          <w:tcPr>
            <w:tcW w:w="545" w:type="pct"/>
            <w:shd w:val="clear" w:color="auto" w:fill="auto"/>
          </w:tcPr>
          <w:p w14:paraId="3B4532B9" w14:textId="69D2CD7A" w:rsidR="00B74DF2" w:rsidRPr="00B27577" w:rsidRDefault="00B74DF2" w:rsidP="00B74DF2">
            <w:pPr>
              <w:spacing w:after="0"/>
              <w:jc w:val="left"/>
              <w:rPr>
                <w:color w:val="314364" w:themeColor="text2"/>
                <w:sz w:val="18"/>
                <w:szCs w:val="18"/>
                <w:highlight w:val="yellow"/>
              </w:rPr>
            </w:pPr>
            <w:r w:rsidRPr="0022251D">
              <w:rPr>
                <w:color w:val="314364" w:themeColor="text2"/>
                <w:sz w:val="18"/>
                <w:szCs w:val="18"/>
              </w:rPr>
              <w:t>MK SR</w:t>
            </w:r>
          </w:p>
        </w:tc>
        <w:tc>
          <w:tcPr>
            <w:tcW w:w="2301" w:type="pct"/>
            <w:shd w:val="clear" w:color="auto" w:fill="auto"/>
          </w:tcPr>
          <w:p w14:paraId="68B7C270" w14:textId="5721A20D" w:rsidR="00B74DF2" w:rsidRPr="00B27577" w:rsidRDefault="00B74DF2" w:rsidP="00B74DF2">
            <w:pPr>
              <w:spacing w:after="0"/>
              <w:ind w:right="299"/>
              <w:jc w:val="left"/>
              <w:rPr>
                <w:sz w:val="18"/>
                <w:szCs w:val="18"/>
                <w:highlight w:val="yellow"/>
              </w:rPr>
            </w:pPr>
            <w:r w:rsidRPr="0022251D">
              <w:rPr>
                <w:sz w:val="18"/>
                <w:szCs w:val="18"/>
              </w:rPr>
              <w:t>Ministerstvo kultúry Slovenskej repliky</w:t>
            </w:r>
          </w:p>
        </w:tc>
        <w:tc>
          <w:tcPr>
            <w:tcW w:w="539" w:type="pct"/>
          </w:tcPr>
          <w:p w14:paraId="6CAB3DB8" w14:textId="4F0AB6DD" w:rsidR="00B74DF2" w:rsidRPr="00FF266A" w:rsidRDefault="00B74DF2" w:rsidP="00B74DF2">
            <w:pPr>
              <w:spacing w:after="0"/>
              <w:jc w:val="left"/>
              <w:rPr>
                <w:color w:val="314364" w:themeColor="text2"/>
                <w:sz w:val="18"/>
                <w:szCs w:val="18"/>
              </w:rPr>
            </w:pPr>
            <w:r w:rsidRPr="00E348B1">
              <w:rPr>
                <w:color w:val="314364" w:themeColor="text2"/>
                <w:sz w:val="18"/>
                <w:szCs w:val="18"/>
              </w:rPr>
              <w:t>ŠZÚ</w:t>
            </w:r>
          </w:p>
        </w:tc>
        <w:tc>
          <w:tcPr>
            <w:tcW w:w="1615" w:type="pct"/>
          </w:tcPr>
          <w:p w14:paraId="006B9F6D" w14:textId="69162E66" w:rsidR="00B74DF2" w:rsidRPr="00FF266A" w:rsidRDefault="00B74DF2" w:rsidP="00B74DF2">
            <w:pPr>
              <w:spacing w:after="0"/>
              <w:jc w:val="left"/>
              <w:rPr>
                <w:sz w:val="18"/>
                <w:szCs w:val="18"/>
              </w:rPr>
            </w:pPr>
            <w:r w:rsidRPr="00E348B1">
              <w:rPr>
                <w:sz w:val="18"/>
                <w:szCs w:val="18"/>
              </w:rPr>
              <w:t>štátny záverečný účet</w:t>
            </w:r>
          </w:p>
        </w:tc>
      </w:tr>
      <w:tr w:rsidR="00B74DF2" w:rsidRPr="00B27577" w14:paraId="35B97E2E" w14:textId="77777777" w:rsidTr="00963FF1">
        <w:trPr>
          <w:trHeight w:val="267"/>
          <w:jc w:val="center"/>
        </w:trPr>
        <w:tc>
          <w:tcPr>
            <w:tcW w:w="545" w:type="pct"/>
            <w:shd w:val="clear" w:color="auto" w:fill="auto"/>
          </w:tcPr>
          <w:p w14:paraId="38ED74C6" w14:textId="49451E0E" w:rsidR="00B74DF2" w:rsidRPr="0022251D" w:rsidRDefault="00B74DF2" w:rsidP="00B74DF2">
            <w:pPr>
              <w:spacing w:after="0"/>
              <w:jc w:val="left"/>
              <w:rPr>
                <w:color w:val="314364" w:themeColor="text2"/>
                <w:sz w:val="18"/>
                <w:szCs w:val="18"/>
              </w:rPr>
            </w:pPr>
            <w:r>
              <w:rPr>
                <w:color w:val="314364" w:themeColor="text2"/>
                <w:sz w:val="18"/>
                <w:szCs w:val="18"/>
              </w:rPr>
              <w:t>MMF</w:t>
            </w:r>
          </w:p>
        </w:tc>
        <w:tc>
          <w:tcPr>
            <w:tcW w:w="2301" w:type="pct"/>
            <w:shd w:val="clear" w:color="auto" w:fill="auto"/>
          </w:tcPr>
          <w:p w14:paraId="08A5AD5E" w14:textId="7B9EE01D" w:rsidR="00B74DF2" w:rsidRPr="0022251D" w:rsidRDefault="00B74DF2" w:rsidP="00B74DF2">
            <w:pPr>
              <w:spacing w:after="0"/>
              <w:ind w:right="299"/>
              <w:jc w:val="left"/>
              <w:rPr>
                <w:sz w:val="18"/>
                <w:szCs w:val="18"/>
              </w:rPr>
            </w:pPr>
            <w:r>
              <w:rPr>
                <w:sz w:val="18"/>
                <w:szCs w:val="18"/>
              </w:rPr>
              <w:t>Medzinárodný menový fond</w:t>
            </w:r>
          </w:p>
        </w:tc>
        <w:tc>
          <w:tcPr>
            <w:tcW w:w="539" w:type="pct"/>
          </w:tcPr>
          <w:p w14:paraId="56F8B608" w14:textId="12FEF166" w:rsidR="00B74DF2" w:rsidRPr="0022251D" w:rsidRDefault="00B74DF2" w:rsidP="00B74DF2">
            <w:pPr>
              <w:spacing w:after="0"/>
              <w:jc w:val="left"/>
              <w:rPr>
                <w:color w:val="314364" w:themeColor="text2"/>
                <w:sz w:val="18"/>
                <w:szCs w:val="18"/>
              </w:rPr>
            </w:pPr>
            <w:r w:rsidRPr="00FF266A">
              <w:rPr>
                <w:color w:val="314364" w:themeColor="text2"/>
                <w:sz w:val="18"/>
                <w:szCs w:val="18"/>
              </w:rPr>
              <w:t>ÚDZS</w:t>
            </w:r>
          </w:p>
        </w:tc>
        <w:tc>
          <w:tcPr>
            <w:tcW w:w="1615" w:type="pct"/>
          </w:tcPr>
          <w:p w14:paraId="1E6C244E" w14:textId="597F9093" w:rsidR="00B74DF2" w:rsidRPr="0022251D" w:rsidRDefault="00B74DF2" w:rsidP="00B74DF2">
            <w:pPr>
              <w:spacing w:after="0"/>
              <w:jc w:val="left"/>
              <w:rPr>
                <w:sz w:val="18"/>
                <w:szCs w:val="18"/>
              </w:rPr>
            </w:pPr>
            <w:r w:rsidRPr="00FF266A">
              <w:rPr>
                <w:sz w:val="18"/>
                <w:szCs w:val="18"/>
              </w:rPr>
              <w:t>Úrad pre dohľad nad zdravotnou starostlivosťou</w:t>
            </w:r>
          </w:p>
        </w:tc>
      </w:tr>
      <w:tr w:rsidR="00B74DF2" w:rsidRPr="00B27577" w14:paraId="63ED1062" w14:textId="77777777" w:rsidTr="00963FF1">
        <w:trPr>
          <w:trHeight w:val="267"/>
          <w:jc w:val="center"/>
        </w:trPr>
        <w:tc>
          <w:tcPr>
            <w:tcW w:w="545" w:type="pct"/>
            <w:shd w:val="clear" w:color="auto" w:fill="auto"/>
          </w:tcPr>
          <w:p w14:paraId="5691B56B" w14:textId="1B485A8B" w:rsidR="00B74DF2" w:rsidRPr="0022251D" w:rsidRDefault="00B74DF2" w:rsidP="00B74DF2">
            <w:pPr>
              <w:spacing w:after="0"/>
              <w:jc w:val="left"/>
              <w:rPr>
                <w:color w:val="314364" w:themeColor="text2"/>
                <w:sz w:val="18"/>
                <w:szCs w:val="18"/>
              </w:rPr>
            </w:pPr>
            <w:r w:rsidRPr="0022251D">
              <w:rPr>
                <w:color w:val="314364" w:themeColor="text2"/>
                <w:sz w:val="18"/>
                <w:szCs w:val="18"/>
              </w:rPr>
              <w:t>MO SR</w:t>
            </w:r>
          </w:p>
        </w:tc>
        <w:tc>
          <w:tcPr>
            <w:tcW w:w="2301" w:type="pct"/>
            <w:shd w:val="clear" w:color="auto" w:fill="auto"/>
          </w:tcPr>
          <w:p w14:paraId="2EE9A489" w14:textId="41C64BA8" w:rsidR="00B74DF2" w:rsidRPr="0022251D" w:rsidRDefault="00B74DF2" w:rsidP="00B74DF2">
            <w:pPr>
              <w:spacing w:after="0"/>
              <w:ind w:right="299"/>
              <w:jc w:val="left"/>
              <w:rPr>
                <w:sz w:val="18"/>
                <w:szCs w:val="18"/>
              </w:rPr>
            </w:pPr>
            <w:r w:rsidRPr="0022251D">
              <w:rPr>
                <w:sz w:val="18"/>
                <w:szCs w:val="18"/>
              </w:rPr>
              <w:t>Ministerstvo obrany Slovenskej republiky</w:t>
            </w:r>
          </w:p>
        </w:tc>
        <w:tc>
          <w:tcPr>
            <w:tcW w:w="539" w:type="pct"/>
          </w:tcPr>
          <w:p w14:paraId="5459ED5E" w14:textId="0DDA2BED" w:rsidR="00B74DF2" w:rsidRDefault="00B74DF2" w:rsidP="00B74DF2">
            <w:pPr>
              <w:spacing w:after="0"/>
              <w:jc w:val="left"/>
              <w:rPr>
                <w:color w:val="314364" w:themeColor="text2"/>
                <w:sz w:val="18"/>
                <w:szCs w:val="18"/>
              </w:rPr>
            </w:pPr>
            <w:r w:rsidRPr="0022251D">
              <w:rPr>
                <w:color w:val="314364" w:themeColor="text2"/>
                <w:sz w:val="18"/>
                <w:szCs w:val="18"/>
              </w:rPr>
              <w:t>ÚHP</w:t>
            </w:r>
          </w:p>
        </w:tc>
        <w:tc>
          <w:tcPr>
            <w:tcW w:w="1615" w:type="pct"/>
          </w:tcPr>
          <w:p w14:paraId="18F40193" w14:textId="05D3D262" w:rsidR="00B74DF2" w:rsidRDefault="00B74DF2" w:rsidP="00B74DF2">
            <w:pPr>
              <w:spacing w:after="0"/>
              <w:jc w:val="left"/>
              <w:rPr>
                <w:sz w:val="18"/>
                <w:szCs w:val="18"/>
              </w:rPr>
            </w:pPr>
            <w:r w:rsidRPr="0022251D">
              <w:rPr>
                <w:sz w:val="18"/>
                <w:szCs w:val="18"/>
              </w:rPr>
              <w:t>Útvar hodnoty za peniaze</w:t>
            </w:r>
          </w:p>
        </w:tc>
      </w:tr>
      <w:tr w:rsidR="00B74DF2" w:rsidRPr="00B27577" w14:paraId="1760D79E" w14:textId="77777777" w:rsidTr="00963FF1">
        <w:trPr>
          <w:trHeight w:val="267"/>
          <w:jc w:val="center"/>
        </w:trPr>
        <w:tc>
          <w:tcPr>
            <w:tcW w:w="545" w:type="pct"/>
            <w:shd w:val="clear" w:color="auto" w:fill="auto"/>
          </w:tcPr>
          <w:p w14:paraId="282A8D3E" w14:textId="7AEBD563" w:rsidR="00B74DF2" w:rsidRPr="0022251D" w:rsidRDefault="00B74DF2" w:rsidP="00B74DF2">
            <w:pPr>
              <w:spacing w:after="0"/>
              <w:jc w:val="left"/>
              <w:rPr>
                <w:color w:val="314364" w:themeColor="text2"/>
                <w:sz w:val="18"/>
                <w:szCs w:val="18"/>
              </w:rPr>
            </w:pPr>
            <w:r w:rsidRPr="0022251D">
              <w:rPr>
                <w:color w:val="314364" w:themeColor="text2"/>
                <w:sz w:val="18"/>
                <w:szCs w:val="18"/>
              </w:rPr>
              <w:t>MPRV SR</w:t>
            </w:r>
          </w:p>
        </w:tc>
        <w:tc>
          <w:tcPr>
            <w:tcW w:w="2301" w:type="pct"/>
            <w:shd w:val="clear" w:color="auto" w:fill="auto"/>
          </w:tcPr>
          <w:p w14:paraId="037957E6" w14:textId="44663CF0" w:rsidR="00B74DF2" w:rsidRPr="0022251D" w:rsidRDefault="00B74DF2" w:rsidP="00B74DF2">
            <w:pPr>
              <w:spacing w:after="0"/>
              <w:ind w:right="299"/>
              <w:jc w:val="left"/>
              <w:rPr>
                <w:sz w:val="18"/>
                <w:szCs w:val="18"/>
              </w:rPr>
            </w:pPr>
            <w:r w:rsidRPr="0022251D">
              <w:rPr>
                <w:sz w:val="18"/>
                <w:szCs w:val="18"/>
              </w:rPr>
              <w:t>Ministerstvo pôdohospodárstva a rozvoja vidieka Slovenskej republiky</w:t>
            </w:r>
          </w:p>
        </w:tc>
        <w:tc>
          <w:tcPr>
            <w:tcW w:w="539" w:type="pct"/>
          </w:tcPr>
          <w:p w14:paraId="612DB3E5" w14:textId="2A3A9E51" w:rsidR="00B74DF2" w:rsidRPr="00B27577" w:rsidRDefault="00B74DF2" w:rsidP="00B74DF2">
            <w:pPr>
              <w:spacing w:after="0"/>
              <w:jc w:val="left"/>
              <w:rPr>
                <w:sz w:val="18"/>
                <w:szCs w:val="18"/>
                <w:highlight w:val="yellow"/>
              </w:rPr>
            </w:pPr>
            <w:r>
              <w:rPr>
                <w:color w:val="314364" w:themeColor="text2"/>
                <w:sz w:val="18"/>
                <w:szCs w:val="18"/>
              </w:rPr>
              <w:t>VpDP</w:t>
            </w:r>
          </w:p>
        </w:tc>
        <w:tc>
          <w:tcPr>
            <w:tcW w:w="1615" w:type="pct"/>
          </w:tcPr>
          <w:p w14:paraId="315B51E0" w14:textId="25D8636B" w:rsidR="00B74DF2" w:rsidRPr="00B27577" w:rsidRDefault="00B74DF2" w:rsidP="00B74DF2">
            <w:pPr>
              <w:spacing w:after="0"/>
              <w:jc w:val="left"/>
              <w:rPr>
                <w:sz w:val="18"/>
                <w:szCs w:val="18"/>
                <w:highlight w:val="yellow"/>
              </w:rPr>
            </w:pPr>
            <w:r>
              <w:rPr>
                <w:sz w:val="18"/>
                <w:szCs w:val="18"/>
              </w:rPr>
              <w:t>Výbor pre daňové prognózy</w:t>
            </w:r>
          </w:p>
        </w:tc>
      </w:tr>
      <w:tr w:rsidR="00B74DF2" w:rsidRPr="00B27577" w14:paraId="3842D690" w14:textId="77777777" w:rsidTr="00963FF1">
        <w:trPr>
          <w:trHeight w:val="267"/>
          <w:jc w:val="center"/>
        </w:trPr>
        <w:tc>
          <w:tcPr>
            <w:tcW w:w="545" w:type="pct"/>
            <w:shd w:val="clear" w:color="auto" w:fill="auto"/>
          </w:tcPr>
          <w:p w14:paraId="793C88AF" w14:textId="01AB070F" w:rsidR="00B74DF2" w:rsidRPr="0022251D" w:rsidRDefault="00B74DF2" w:rsidP="00B74DF2">
            <w:pPr>
              <w:spacing w:after="0"/>
              <w:jc w:val="left"/>
              <w:rPr>
                <w:color w:val="314364" w:themeColor="text2"/>
                <w:sz w:val="18"/>
                <w:szCs w:val="18"/>
              </w:rPr>
            </w:pPr>
            <w:r w:rsidRPr="0022251D">
              <w:rPr>
                <w:color w:val="314364" w:themeColor="text2"/>
                <w:sz w:val="18"/>
                <w:szCs w:val="18"/>
              </w:rPr>
              <w:t>MPSVR SR</w:t>
            </w:r>
          </w:p>
        </w:tc>
        <w:tc>
          <w:tcPr>
            <w:tcW w:w="2301" w:type="pct"/>
            <w:shd w:val="clear" w:color="auto" w:fill="auto"/>
          </w:tcPr>
          <w:p w14:paraId="22549BEF" w14:textId="193A6D38" w:rsidR="00B74DF2" w:rsidRPr="0022251D" w:rsidRDefault="00B74DF2" w:rsidP="00B74DF2">
            <w:pPr>
              <w:spacing w:after="0"/>
              <w:ind w:right="299"/>
              <w:jc w:val="left"/>
              <w:rPr>
                <w:sz w:val="18"/>
                <w:szCs w:val="18"/>
              </w:rPr>
            </w:pPr>
            <w:r w:rsidRPr="0022251D">
              <w:rPr>
                <w:sz w:val="18"/>
                <w:szCs w:val="18"/>
              </w:rPr>
              <w:t>Ministerstvo práce, sociálnych vecí a rodiny Slovenskej republiky</w:t>
            </w:r>
          </w:p>
        </w:tc>
        <w:tc>
          <w:tcPr>
            <w:tcW w:w="539" w:type="pct"/>
          </w:tcPr>
          <w:p w14:paraId="22EEEB21" w14:textId="796AB91D" w:rsidR="00B74DF2" w:rsidRPr="0022251D" w:rsidRDefault="00B74DF2" w:rsidP="00B74DF2">
            <w:pPr>
              <w:spacing w:after="0"/>
              <w:jc w:val="left"/>
              <w:rPr>
                <w:sz w:val="18"/>
                <w:szCs w:val="18"/>
              </w:rPr>
            </w:pPr>
            <w:r>
              <w:rPr>
                <w:color w:val="314364" w:themeColor="text2"/>
                <w:sz w:val="18"/>
                <w:szCs w:val="18"/>
              </w:rPr>
              <w:t>VpMP</w:t>
            </w:r>
          </w:p>
        </w:tc>
        <w:tc>
          <w:tcPr>
            <w:tcW w:w="1615" w:type="pct"/>
          </w:tcPr>
          <w:p w14:paraId="42BF1985" w14:textId="0E4C850D" w:rsidR="00B74DF2" w:rsidRPr="0022251D" w:rsidRDefault="00B74DF2" w:rsidP="00B74DF2">
            <w:pPr>
              <w:spacing w:after="0"/>
              <w:jc w:val="left"/>
              <w:rPr>
                <w:sz w:val="18"/>
                <w:szCs w:val="18"/>
              </w:rPr>
            </w:pPr>
            <w:r>
              <w:rPr>
                <w:sz w:val="18"/>
                <w:szCs w:val="18"/>
              </w:rPr>
              <w:t>Výbor pre makroekonomické prognózy</w:t>
            </w:r>
          </w:p>
        </w:tc>
      </w:tr>
      <w:tr w:rsidR="00B74DF2" w:rsidRPr="00B27577" w14:paraId="11FB7D2A" w14:textId="77777777" w:rsidTr="00963FF1">
        <w:trPr>
          <w:trHeight w:val="267"/>
          <w:jc w:val="center"/>
        </w:trPr>
        <w:tc>
          <w:tcPr>
            <w:tcW w:w="545" w:type="pct"/>
            <w:shd w:val="clear" w:color="auto" w:fill="auto"/>
          </w:tcPr>
          <w:p w14:paraId="772E2495" w14:textId="2637B935" w:rsidR="00B74DF2" w:rsidRPr="0022251D" w:rsidRDefault="00B74DF2" w:rsidP="00B74DF2">
            <w:pPr>
              <w:spacing w:after="0"/>
              <w:jc w:val="left"/>
              <w:rPr>
                <w:color w:val="314364" w:themeColor="text2"/>
                <w:sz w:val="18"/>
                <w:szCs w:val="18"/>
              </w:rPr>
            </w:pPr>
            <w:r w:rsidRPr="0022251D">
              <w:rPr>
                <w:color w:val="314364" w:themeColor="text2"/>
                <w:sz w:val="18"/>
                <w:szCs w:val="18"/>
              </w:rPr>
              <w:t>MS SR</w:t>
            </w:r>
          </w:p>
        </w:tc>
        <w:tc>
          <w:tcPr>
            <w:tcW w:w="2301" w:type="pct"/>
            <w:shd w:val="clear" w:color="auto" w:fill="auto"/>
          </w:tcPr>
          <w:p w14:paraId="403E52E7" w14:textId="42C8E56B" w:rsidR="00B74DF2" w:rsidRPr="0022251D" w:rsidRDefault="00B74DF2" w:rsidP="00B74DF2">
            <w:pPr>
              <w:spacing w:after="0"/>
              <w:ind w:right="299"/>
              <w:jc w:val="left"/>
              <w:rPr>
                <w:sz w:val="18"/>
                <w:szCs w:val="18"/>
              </w:rPr>
            </w:pPr>
            <w:r w:rsidRPr="0022251D">
              <w:rPr>
                <w:sz w:val="18"/>
                <w:szCs w:val="18"/>
              </w:rPr>
              <w:t>Ministerstvo spravodlivosti Slovenskej republiky</w:t>
            </w:r>
          </w:p>
        </w:tc>
        <w:tc>
          <w:tcPr>
            <w:tcW w:w="539" w:type="pct"/>
          </w:tcPr>
          <w:p w14:paraId="31FF3B9D" w14:textId="2898EC69" w:rsidR="00B74DF2" w:rsidRPr="0022251D" w:rsidRDefault="00B74DF2" w:rsidP="00B74DF2">
            <w:pPr>
              <w:spacing w:after="0"/>
              <w:jc w:val="left"/>
              <w:rPr>
                <w:sz w:val="18"/>
                <w:szCs w:val="18"/>
              </w:rPr>
            </w:pPr>
            <w:r w:rsidRPr="00E348B1">
              <w:rPr>
                <w:color w:val="314364" w:themeColor="text2"/>
                <w:sz w:val="18"/>
                <w:szCs w:val="18"/>
              </w:rPr>
              <w:t>VPS</w:t>
            </w:r>
          </w:p>
        </w:tc>
        <w:tc>
          <w:tcPr>
            <w:tcW w:w="1615" w:type="pct"/>
          </w:tcPr>
          <w:p w14:paraId="279ECBC1" w14:textId="0DB243D3" w:rsidR="00B74DF2" w:rsidRPr="0022251D" w:rsidRDefault="00B74DF2" w:rsidP="00B74DF2">
            <w:pPr>
              <w:spacing w:after="0"/>
              <w:jc w:val="left"/>
              <w:rPr>
                <w:sz w:val="18"/>
                <w:szCs w:val="18"/>
              </w:rPr>
            </w:pPr>
            <w:r w:rsidRPr="00E348B1">
              <w:rPr>
                <w:sz w:val="18"/>
                <w:szCs w:val="18"/>
              </w:rPr>
              <w:t>Všeobecná pokladničná správa</w:t>
            </w:r>
          </w:p>
        </w:tc>
      </w:tr>
      <w:tr w:rsidR="00B74DF2" w:rsidRPr="00B27577" w14:paraId="4F0B8436" w14:textId="77777777" w:rsidTr="00963FF1">
        <w:trPr>
          <w:trHeight w:val="267"/>
          <w:jc w:val="center"/>
        </w:trPr>
        <w:tc>
          <w:tcPr>
            <w:tcW w:w="545" w:type="pct"/>
            <w:shd w:val="clear" w:color="auto" w:fill="auto"/>
          </w:tcPr>
          <w:p w14:paraId="77FD63C2" w14:textId="49D573E2" w:rsidR="00B74DF2" w:rsidRPr="0022251D" w:rsidRDefault="00B74DF2" w:rsidP="00B74DF2">
            <w:pPr>
              <w:spacing w:after="0"/>
              <w:jc w:val="left"/>
              <w:rPr>
                <w:color w:val="314364" w:themeColor="text2"/>
                <w:sz w:val="18"/>
                <w:szCs w:val="18"/>
              </w:rPr>
            </w:pPr>
          </w:p>
        </w:tc>
        <w:tc>
          <w:tcPr>
            <w:tcW w:w="2301" w:type="pct"/>
            <w:shd w:val="clear" w:color="auto" w:fill="auto"/>
          </w:tcPr>
          <w:p w14:paraId="4EE90FD3" w14:textId="1CCB8AEE" w:rsidR="00B74DF2" w:rsidRPr="0022251D" w:rsidRDefault="00B74DF2" w:rsidP="00B74DF2">
            <w:pPr>
              <w:spacing w:after="0"/>
              <w:ind w:right="299"/>
              <w:jc w:val="left"/>
              <w:rPr>
                <w:sz w:val="18"/>
                <w:szCs w:val="18"/>
              </w:rPr>
            </w:pPr>
          </w:p>
        </w:tc>
        <w:tc>
          <w:tcPr>
            <w:tcW w:w="539" w:type="pct"/>
          </w:tcPr>
          <w:p w14:paraId="5E10DF5A" w14:textId="0AE0BAAA" w:rsidR="00B74DF2" w:rsidRPr="00523D20" w:rsidRDefault="00B74DF2" w:rsidP="00B74DF2">
            <w:pPr>
              <w:spacing w:after="0"/>
              <w:jc w:val="left"/>
              <w:rPr>
                <w:color w:val="314364" w:themeColor="text2"/>
                <w:sz w:val="18"/>
                <w:szCs w:val="18"/>
              </w:rPr>
            </w:pPr>
            <w:r w:rsidRPr="00C87CB6">
              <w:rPr>
                <w:color w:val="314364" w:themeColor="text2"/>
                <w:sz w:val="18"/>
                <w:szCs w:val="18"/>
              </w:rPr>
              <w:t>VS</w:t>
            </w:r>
          </w:p>
        </w:tc>
        <w:tc>
          <w:tcPr>
            <w:tcW w:w="1615" w:type="pct"/>
          </w:tcPr>
          <w:p w14:paraId="0F6C7685" w14:textId="6A65CA65" w:rsidR="00B74DF2" w:rsidRPr="00E348B1" w:rsidRDefault="00B74DF2" w:rsidP="00B74DF2">
            <w:pPr>
              <w:spacing w:after="0"/>
              <w:jc w:val="left"/>
              <w:rPr>
                <w:sz w:val="18"/>
                <w:szCs w:val="18"/>
              </w:rPr>
            </w:pPr>
            <w:r w:rsidRPr="00C87CB6">
              <w:rPr>
                <w:sz w:val="18"/>
                <w:szCs w:val="18"/>
              </w:rPr>
              <w:t>verejná správa</w:t>
            </w:r>
          </w:p>
        </w:tc>
      </w:tr>
      <w:tr w:rsidR="00B74DF2" w:rsidRPr="00B27577" w14:paraId="311944D5" w14:textId="77777777" w:rsidTr="00963FF1">
        <w:trPr>
          <w:trHeight w:val="267"/>
          <w:jc w:val="center"/>
        </w:trPr>
        <w:tc>
          <w:tcPr>
            <w:tcW w:w="545" w:type="pct"/>
            <w:shd w:val="clear" w:color="auto" w:fill="auto"/>
          </w:tcPr>
          <w:p w14:paraId="7D049A10" w14:textId="3BB0F561" w:rsidR="00B74DF2" w:rsidRDefault="00B74DF2" w:rsidP="00B74DF2">
            <w:pPr>
              <w:spacing w:after="0"/>
              <w:jc w:val="left"/>
              <w:rPr>
                <w:color w:val="314364" w:themeColor="text2"/>
                <w:sz w:val="18"/>
                <w:szCs w:val="18"/>
              </w:rPr>
            </w:pPr>
            <w:r>
              <w:rPr>
                <w:color w:val="314364" w:themeColor="text2"/>
                <w:sz w:val="18"/>
                <w:szCs w:val="18"/>
              </w:rPr>
              <w:t>MŠ</w:t>
            </w:r>
          </w:p>
        </w:tc>
        <w:tc>
          <w:tcPr>
            <w:tcW w:w="2301" w:type="pct"/>
            <w:shd w:val="clear" w:color="auto" w:fill="auto"/>
          </w:tcPr>
          <w:p w14:paraId="34974EE0" w14:textId="0EC25D1D" w:rsidR="00B74DF2" w:rsidRDefault="00B74DF2" w:rsidP="00B74DF2">
            <w:pPr>
              <w:spacing w:after="0"/>
              <w:ind w:right="299"/>
              <w:jc w:val="left"/>
              <w:rPr>
                <w:sz w:val="18"/>
                <w:szCs w:val="18"/>
              </w:rPr>
            </w:pPr>
            <w:r>
              <w:rPr>
                <w:sz w:val="18"/>
                <w:szCs w:val="18"/>
              </w:rPr>
              <w:t>materské školy</w:t>
            </w:r>
          </w:p>
        </w:tc>
        <w:tc>
          <w:tcPr>
            <w:tcW w:w="539" w:type="pct"/>
          </w:tcPr>
          <w:p w14:paraId="2BB9B2FB" w14:textId="5E127F33" w:rsidR="00B74DF2" w:rsidRPr="00B112BC" w:rsidRDefault="00B74DF2" w:rsidP="00B74DF2">
            <w:pPr>
              <w:spacing w:after="0"/>
              <w:jc w:val="left"/>
              <w:rPr>
                <w:color w:val="314364" w:themeColor="text2"/>
                <w:sz w:val="18"/>
                <w:szCs w:val="18"/>
              </w:rPr>
            </w:pPr>
            <w:r w:rsidRPr="00523D20">
              <w:rPr>
                <w:color w:val="314364" w:themeColor="text2"/>
                <w:sz w:val="18"/>
                <w:szCs w:val="18"/>
              </w:rPr>
              <w:t>VŠ</w:t>
            </w:r>
          </w:p>
        </w:tc>
        <w:tc>
          <w:tcPr>
            <w:tcW w:w="1615" w:type="pct"/>
          </w:tcPr>
          <w:p w14:paraId="0E14053A" w14:textId="06A6A0B2" w:rsidR="00B74DF2" w:rsidRPr="00B112BC" w:rsidRDefault="00B74DF2" w:rsidP="00B74DF2">
            <w:pPr>
              <w:spacing w:after="0"/>
              <w:jc w:val="left"/>
              <w:rPr>
                <w:sz w:val="18"/>
                <w:szCs w:val="18"/>
              </w:rPr>
            </w:pPr>
            <w:r>
              <w:rPr>
                <w:sz w:val="18"/>
                <w:szCs w:val="18"/>
              </w:rPr>
              <w:t>v</w:t>
            </w:r>
            <w:r w:rsidRPr="0036463B">
              <w:rPr>
                <w:sz w:val="18"/>
                <w:szCs w:val="18"/>
              </w:rPr>
              <w:t>ysoké školy</w:t>
            </w:r>
          </w:p>
        </w:tc>
      </w:tr>
      <w:tr w:rsidR="00B74DF2" w:rsidRPr="00B27577" w14:paraId="1365C392" w14:textId="77777777" w:rsidTr="00963FF1">
        <w:trPr>
          <w:trHeight w:val="267"/>
          <w:jc w:val="center"/>
        </w:trPr>
        <w:tc>
          <w:tcPr>
            <w:tcW w:w="545" w:type="pct"/>
            <w:shd w:val="clear" w:color="auto" w:fill="auto"/>
          </w:tcPr>
          <w:p w14:paraId="07DBF8CB" w14:textId="77D745CA" w:rsidR="00B74DF2" w:rsidRPr="0022251D" w:rsidRDefault="00B74DF2" w:rsidP="00B74DF2">
            <w:pPr>
              <w:spacing w:after="0"/>
              <w:jc w:val="left"/>
              <w:rPr>
                <w:color w:val="314364" w:themeColor="text2"/>
                <w:sz w:val="18"/>
                <w:szCs w:val="18"/>
              </w:rPr>
            </w:pPr>
            <w:r w:rsidRPr="0022251D">
              <w:rPr>
                <w:color w:val="314364" w:themeColor="text2"/>
                <w:sz w:val="18"/>
                <w:szCs w:val="18"/>
              </w:rPr>
              <w:t>MŠVVa</w:t>
            </w:r>
            <w:r>
              <w:rPr>
                <w:color w:val="314364" w:themeColor="text2"/>
                <w:sz w:val="18"/>
                <w:szCs w:val="18"/>
              </w:rPr>
              <w:t xml:space="preserve">M </w:t>
            </w:r>
            <w:r w:rsidRPr="0022251D">
              <w:rPr>
                <w:color w:val="314364" w:themeColor="text2"/>
                <w:sz w:val="18"/>
                <w:szCs w:val="18"/>
              </w:rPr>
              <w:t>SR</w:t>
            </w:r>
          </w:p>
        </w:tc>
        <w:tc>
          <w:tcPr>
            <w:tcW w:w="2301" w:type="pct"/>
            <w:shd w:val="clear" w:color="auto" w:fill="auto"/>
          </w:tcPr>
          <w:p w14:paraId="1CE429D0" w14:textId="3F02424F" w:rsidR="00B74DF2" w:rsidRPr="0022251D" w:rsidRDefault="00B74DF2" w:rsidP="00B74DF2">
            <w:pPr>
              <w:spacing w:after="0"/>
              <w:ind w:right="299"/>
              <w:jc w:val="left"/>
              <w:rPr>
                <w:sz w:val="18"/>
                <w:szCs w:val="18"/>
              </w:rPr>
            </w:pPr>
            <w:r w:rsidRPr="0022251D">
              <w:rPr>
                <w:sz w:val="18"/>
                <w:szCs w:val="18"/>
              </w:rPr>
              <w:t>Ministerstvo školstva, vedy, výskumu a </w:t>
            </w:r>
            <w:r>
              <w:rPr>
                <w:sz w:val="18"/>
                <w:szCs w:val="18"/>
              </w:rPr>
              <w:t>mládeže</w:t>
            </w:r>
            <w:r w:rsidRPr="0022251D">
              <w:rPr>
                <w:sz w:val="18"/>
                <w:szCs w:val="18"/>
              </w:rPr>
              <w:t xml:space="preserve"> Slovenskej republiky</w:t>
            </w:r>
          </w:p>
        </w:tc>
        <w:tc>
          <w:tcPr>
            <w:tcW w:w="539" w:type="pct"/>
          </w:tcPr>
          <w:p w14:paraId="7824CE86" w14:textId="416F85FC" w:rsidR="00B74DF2" w:rsidRPr="00C87CB6" w:rsidRDefault="00B74DF2" w:rsidP="00B74DF2">
            <w:pPr>
              <w:spacing w:after="0"/>
              <w:jc w:val="left"/>
              <w:rPr>
                <w:sz w:val="18"/>
                <w:szCs w:val="18"/>
              </w:rPr>
            </w:pPr>
            <w:r>
              <w:rPr>
                <w:color w:val="314364" w:themeColor="text2"/>
                <w:sz w:val="18"/>
                <w:szCs w:val="18"/>
              </w:rPr>
              <w:t>VšZP</w:t>
            </w:r>
          </w:p>
        </w:tc>
        <w:tc>
          <w:tcPr>
            <w:tcW w:w="1615" w:type="pct"/>
          </w:tcPr>
          <w:p w14:paraId="3713F333" w14:textId="6E73ECA9" w:rsidR="00B74DF2" w:rsidRPr="00C87CB6" w:rsidRDefault="00B74DF2" w:rsidP="00B74DF2">
            <w:pPr>
              <w:spacing w:after="0"/>
              <w:jc w:val="left"/>
              <w:rPr>
                <w:sz w:val="18"/>
                <w:szCs w:val="18"/>
              </w:rPr>
            </w:pPr>
            <w:r>
              <w:rPr>
                <w:sz w:val="18"/>
                <w:szCs w:val="18"/>
              </w:rPr>
              <w:t>Všeobecná zdravotná poisťovňa</w:t>
            </w:r>
          </w:p>
        </w:tc>
      </w:tr>
      <w:tr w:rsidR="00B74DF2" w:rsidRPr="00B27577" w14:paraId="30151A93" w14:textId="77777777" w:rsidTr="00963FF1">
        <w:trPr>
          <w:trHeight w:val="267"/>
          <w:jc w:val="center"/>
        </w:trPr>
        <w:tc>
          <w:tcPr>
            <w:tcW w:w="545" w:type="pct"/>
            <w:shd w:val="clear" w:color="auto" w:fill="auto"/>
          </w:tcPr>
          <w:p w14:paraId="60958F56" w14:textId="48012325" w:rsidR="00B74DF2" w:rsidRPr="0022251D" w:rsidRDefault="00B74DF2" w:rsidP="00B74DF2">
            <w:pPr>
              <w:spacing w:after="0"/>
              <w:jc w:val="left"/>
              <w:rPr>
                <w:color w:val="314364" w:themeColor="text2"/>
                <w:sz w:val="18"/>
                <w:szCs w:val="18"/>
              </w:rPr>
            </w:pPr>
            <w:r w:rsidRPr="0022251D">
              <w:rPr>
                <w:color w:val="314364" w:themeColor="text2"/>
                <w:sz w:val="18"/>
                <w:szCs w:val="18"/>
              </w:rPr>
              <w:t>MŠVVa</w:t>
            </w:r>
            <w:r>
              <w:rPr>
                <w:color w:val="314364" w:themeColor="text2"/>
                <w:sz w:val="18"/>
                <w:szCs w:val="18"/>
              </w:rPr>
              <w:t>Š</w:t>
            </w:r>
            <w:r w:rsidRPr="0022251D">
              <w:rPr>
                <w:color w:val="314364" w:themeColor="text2"/>
                <w:sz w:val="18"/>
                <w:szCs w:val="18"/>
              </w:rPr>
              <w:t xml:space="preserve"> SR</w:t>
            </w:r>
          </w:p>
        </w:tc>
        <w:tc>
          <w:tcPr>
            <w:tcW w:w="2301" w:type="pct"/>
            <w:shd w:val="clear" w:color="auto" w:fill="auto"/>
          </w:tcPr>
          <w:p w14:paraId="64A8CA28" w14:textId="47E1AB72" w:rsidR="00B74DF2" w:rsidRPr="0022251D" w:rsidRDefault="00B74DF2" w:rsidP="00B74DF2">
            <w:pPr>
              <w:spacing w:after="0"/>
              <w:ind w:right="299"/>
              <w:jc w:val="left"/>
              <w:rPr>
                <w:sz w:val="18"/>
                <w:szCs w:val="18"/>
              </w:rPr>
            </w:pPr>
            <w:r w:rsidRPr="0022251D">
              <w:rPr>
                <w:sz w:val="18"/>
                <w:szCs w:val="18"/>
              </w:rPr>
              <w:t>Ministerstvo školstva, vedy, výskumu a </w:t>
            </w:r>
            <w:r>
              <w:rPr>
                <w:sz w:val="18"/>
                <w:szCs w:val="18"/>
              </w:rPr>
              <w:t>športu</w:t>
            </w:r>
            <w:r w:rsidRPr="0022251D">
              <w:rPr>
                <w:sz w:val="18"/>
                <w:szCs w:val="18"/>
              </w:rPr>
              <w:t xml:space="preserve"> Slovenskej republiky</w:t>
            </w:r>
          </w:p>
        </w:tc>
        <w:tc>
          <w:tcPr>
            <w:tcW w:w="539" w:type="pct"/>
          </w:tcPr>
          <w:p w14:paraId="3A603A4C" w14:textId="780976C1" w:rsidR="00B74DF2" w:rsidRPr="00B112BC" w:rsidRDefault="00B74DF2" w:rsidP="00B74DF2">
            <w:pPr>
              <w:spacing w:after="0"/>
              <w:jc w:val="left"/>
              <w:rPr>
                <w:color w:val="314364" w:themeColor="text2"/>
                <w:sz w:val="18"/>
                <w:szCs w:val="18"/>
              </w:rPr>
            </w:pPr>
            <w:r w:rsidRPr="00B112BC">
              <w:rPr>
                <w:color w:val="314364" w:themeColor="text2"/>
                <w:sz w:val="18"/>
                <w:szCs w:val="18"/>
              </w:rPr>
              <w:t>VZP</w:t>
            </w:r>
          </w:p>
        </w:tc>
        <w:tc>
          <w:tcPr>
            <w:tcW w:w="1615" w:type="pct"/>
          </w:tcPr>
          <w:p w14:paraId="18A94051" w14:textId="1E1DB8B6" w:rsidR="00B74DF2" w:rsidRPr="00B112BC" w:rsidRDefault="00B74DF2" w:rsidP="00B74DF2">
            <w:pPr>
              <w:spacing w:after="0"/>
              <w:jc w:val="left"/>
              <w:rPr>
                <w:sz w:val="18"/>
                <w:szCs w:val="18"/>
              </w:rPr>
            </w:pPr>
            <w:r w:rsidRPr="00B112BC">
              <w:rPr>
                <w:sz w:val="18"/>
                <w:szCs w:val="18"/>
              </w:rPr>
              <w:t>verejné zdravotné poistenie</w:t>
            </w:r>
          </w:p>
        </w:tc>
      </w:tr>
      <w:tr w:rsidR="00B74DF2" w:rsidRPr="00B27577" w14:paraId="49D26F59" w14:textId="77777777" w:rsidTr="00963FF1">
        <w:trPr>
          <w:trHeight w:val="267"/>
          <w:jc w:val="center"/>
        </w:trPr>
        <w:tc>
          <w:tcPr>
            <w:tcW w:w="545" w:type="pct"/>
            <w:shd w:val="clear" w:color="auto" w:fill="auto"/>
          </w:tcPr>
          <w:p w14:paraId="420C7BED" w14:textId="16685E55" w:rsidR="00B74DF2" w:rsidRPr="0022251D" w:rsidRDefault="00B74DF2" w:rsidP="00B74DF2">
            <w:pPr>
              <w:spacing w:after="0"/>
              <w:jc w:val="left"/>
              <w:rPr>
                <w:color w:val="314364" w:themeColor="text2"/>
                <w:sz w:val="18"/>
                <w:szCs w:val="18"/>
              </w:rPr>
            </w:pPr>
            <w:r w:rsidRPr="0022251D">
              <w:rPr>
                <w:color w:val="314364" w:themeColor="text2"/>
                <w:sz w:val="18"/>
                <w:szCs w:val="18"/>
              </w:rPr>
              <w:t>MV SR</w:t>
            </w:r>
          </w:p>
        </w:tc>
        <w:tc>
          <w:tcPr>
            <w:tcW w:w="2301" w:type="pct"/>
            <w:shd w:val="clear" w:color="auto" w:fill="auto"/>
          </w:tcPr>
          <w:p w14:paraId="73FAFC4D" w14:textId="3CF79156" w:rsidR="00B74DF2" w:rsidRPr="0022251D" w:rsidRDefault="00B74DF2" w:rsidP="00B74DF2">
            <w:pPr>
              <w:spacing w:after="0"/>
              <w:ind w:right="299"/>
              <w:jc w:val="left"/>
              <w:rPr>
                <w:sz w:val="18"/>
                <w:szCs w:val="18"/>
              </w:rPr>
            </w:pPr>
            <w:r w:rsidRPr="0022251D">
              <w:rPr>
                <w:sz w:val="18"/>
                <w:szCs w:val="18"/>
              </w:rPr>
              <w:t>Ministerstvo vnútra Slovenskej republiky</w:t>
            </w:r>
          </w:p>
        </w:tc>
        <w:tc>
          <w:tcPr>
            <w:tcW w:w="539" w:type="pct"/>
          </w:tcPr>
          <w:p w14:paraId="7EAE0191" w14:textId="7543D57C" w:rsidR="00B74DF2" w:rsidRPr="00B112BC" w:rsidRDefault="00B74DF2" w:rsidP="00B74DF2">
            <w:pPr>
              <w:spacing w:after="0"/>
              <w:jc w:val="left"/>
              <w:rPr>
                <w:sz w:val="18"/>
                <w:szCs w:val="18"/>
              </w:rPr>
            </w:pPr>
            <w:r w:rsidRPr="00C87CB6">
              <w:rPr>
                <w:color w:val="314364" w:themeColor="text2"/>
                <w:sz w:val="18"/>
                <w:szCs w:val="18"/>
              </w:rPr>
              <w:t>V4</w:t>
            </w:r>
          </w:p>
        </w:tc>
        <w:tc>
          <w:tcPr>
            <w:tcW w:w="1615" w:type="pct"/>
          </w:tcPr>
          <w:p w14:paraId="747F1195" w14:textId="4661FF2A" w:rsidR="00B74DF2" w:rsidRPr="00B112BC" w:rsidRDefault="00B74DF2" w:rsidP="00B74DF2">
            <w:pPr>
              <w:spacing w:after="0"/>
              <w:jc w:val="left"/>
              <w:rPr>
                <w:sz w:val="18"/>
                <w:szCs w:val="18"/>
              </w:rPr>
            </w:pPr>
            <w:r w:rsidRPr="00C87CB6">
              <w:rPr>
                <w:sz w:val="18"/>
                <w:szCs w:val="18"/>
              </w:rPr>
              <w:t>Vyšehradská skupina</w:t>
            </w:r>
          </w:p>
        </w:tc>
      </w:tr>
      <w:tr w:rsidR="00B74DF2" w:rsidRPr="00B27577" w14:paraId="6FC31A63" w14:textId="77777777" w:rsidTr="00963FF1">
        <w:trPr>
          <w:trHeight w:val="267"/>
          <w:jc w:val="center"/>
        </w:trPr>
        <w:tc>
          <w:tcPr>
            <w:tcW w:w="545" w:type="pct"/>
            <w:shd w:val="clear" w:color="auto" w:fill="auto"/>
          </w:tcPr>
          <w:p w14:paraId="29068AAA" w14:textId="488245CB" w:rsidR="00B74DF2" w:rsidRPr="0022251D" w:rsidRDefault="00B74DF2" w:rsidP="00B74DF2">
            <w:pPr>
              <w:spacing w:after="0"/>
              <w:jc w:val="left"/>
              <w:rPr>
                <w:color w:val="314364" w:themeColor="text2"/>
                <w:sz w:val="18"/>
                <w:szCs w:val="18"/>
              </w:rPr>
            </w:pPr>
            <w:r w:rsidRPr="0022251D">
              <w:rPr>
                <w:color w:val="314364" w:themeColor="text2"/>
                <w:sz w:val="18"/>
                <w:szCs w:val="18"/>
              </w:rPr>
              <w:t>MZ SR</w:t>
            </w:r>
          </w:p>
        </w:tc>
        <w:tc>
          <w:tcPr>
            <w:tcW w:w="2301" w:type="pct"/>
            <w:shd w:val="clear" w:color="auto" w:fill="auto"/>
          </w:tcPr>
          <w:p w14:paraId="7B0273B8" w14:textId="48BC59C5" w:rsidR="00B74DF2" w:rsidRPr="0022251D" w:rsidRDefault="00B74DF2" w:rsidP="00B74DF2">
            <w:pPr>
              <w:spacing w:after="0"/>
              <w:ind w:right="299"/>
              <w:jc w:val="left"/>
              <w:rPr>
                <w:sz w:val="18"/>
                <w:szCs w:val="18"/>
              </w:rPr>
            </w:pPr>
            <w:r w:rsidRPr="0022251D">
              <w:rPr>
                <w:sz w:val="18"/>
                <w:szCs w:val="18"/>
              </w:rPr>
              <w:t>Ministerstvo zdravotníctva Slovenskej republiky</w:t>
            </w:r>
          </w:p>
        </w:tc>
        <w:tc>
          <w:tcPr>
            <w:tcW w:w="539" w:type="pct"/>
          </w:tcPr>
          <w:p w14:paraId="281E637D" w14:textId="3886D7AF" w:rsidR="00B74DF2" w:rsidRPr="00B112BC" w:rsidRDefault="00B74DF2" w:rsidP="00B74DF2">
            <w:pPr>
              <w:spacing w:after="0"/>
              <w:jc w:val="left"/>
              <w:rPr>
                <w:sz w:val="18"/>
                <w:szCs w:val="18"/>
              </w:rPr>
            </w:pPr>
            <w:r w:rsidRPr="00C87CB6">
              <w:rPr>
                <w:color w:val="314364" w:themeColor="text2"/>
                <w:sz w:val="18"/>
                <w:szCs w:val="18"/>
              </w:rPr>
              <w:t>ZP</w:t>
            </w:r>
          </w:p>
        </w:tc>
        <w:tc>
          <w:tcPr>
            <w:tcW w:w="1615" w:type="pct"/>
          </w:tcPr>
          <w:p w14:paraId="30DB7FD0" w14:textId="280D1DDB" w:rsidR="00B74DF2" w:rsidRPr="00B112BC" w:rsidRDefault="00B74DF2" w:rsidP="00B74DF2">
            <w:pPr>
              <w:spacing w:after="0"/>
              <w:jc w:val="left"/>
              <w:rPr>
                <w:sz w:val="18"/>
                <w:szCs w:val="18"/>
              </w:rPr>
            </w:pPr>
            <w:r w:rsidRPr="00C87CB6">
              <w:rPr>
                <w:sz w:val="18"/>
                <w:szCs w:val="18"/>
              </w:rPr>
              <w:t>zdravotná poisťovňa</w:t>
            </w:r>
          </w:p>
        </w:tc>
      </w:tr>
      <w:tr w:rsidR="00B74DF2" w:rsidRPr="00B27577" w14:paraId="644F710E" w14:textId="77777777" w:rsidTr="00963FF1">
        <w:trPr>
          <w:trHeight w:val="267"/>
          <w:jc w:val="center"/>
        </w:trPr>
        <w:tc>
          <w:tcPr>
            <w:tcW w:w="545" w:type="pct"/>
            <w:shd w:val="clear" w:color="auto" w:fill="auto"/>
          </w:tcPr>
          <w:p w14:paraId="2AD84146" w14:textId="602A3846" w:rsidR="00B74DF2" w:rsidRPr="0022251D" w:rsidRDefault="00B74DF2" w:rsidP="00B74DF2">
            <w:pPr>
              <w:spacing w:after="0"/>
              <w:jc w:val="left"/>
              <w:rPr>
                <w:color w:val="314364" w:themeColor="text2"/>
                <w:sz w:val="18"/>
                <w:szCs w:val="18"/>
              </w:rPr>
            </w:pPr>
            <w:r w:rsidRPr="0022251D">
              <w:rPr>
                <w:color w:val="314364" w:themeColor="text2"/>
                <w:sz w:val="18"/>
                <w:szCs w:val="18"/>
              </w:rPr>
              <w:t>MŽP SR</w:t>
            </w:r>
          </w:p>
        </w:tc>
        <w:tc>
          <w:tcPr>
            <w:tcW w:w="2301" w:type="pct"/>
            <w:shd w:val="clear" w:color="auto" w:fill="auto"/>
          </w:tcPr>
          <w:p w14:paraId="454CF744" w14:textId="63325F9A" w:rsidR="00B74DF2" w:rsidRPr="0022251D" w:rsidRDefault="00B74DF2" w:rsidP="00B74DF2">
            <w:pPr>
              <w:spacing w:after="0"/>
              <w:ind w:right="299"/>
              <w:jc w:val="left"/>
              <w:rPr>
                <w:sz w:val="18"/>
                <w:szCs w:val="18"/>
              </w:rPr>
            </w:pPr>
            <w:r w:rsidRPr="0022251D">
              <w:rPr>
                <w:sz w:val="18"/>
                <w:szCs w:val="18"/>
              </w:rPr>
              <w:t>Ministerstvo životného prostredia Slovenskej republiky</w:t>
            </w:r>
          </w:p>
        </w:tc>
        <w:tc>
          <w:tcPr>
            <w:tcW w:w="539" w:type="pct"/>
          </w:tcPr>
          <w:p w14:paraId="34B6C791" w14:textId="1A3F26C3" w:rsidR="00B74DF2" w:rsidRPr="0036463B" w:rsidRDefault="00B74DF2" w:rsidP="00B74DF2">
            <w:pPr>
              <w:spacing w:after="0"/>
              <w:jc w:val="left"/>
              <w:rPr>
                <w:sz w:val="18"/>
                <w:szCs w:val="18"/>
              </w:rPr>
            </w:pPr>
            <w:r w:rsidRPr="00B112BC">
              <w:rPr>
                <w:color w:val="314364" w:themeColor="text2"/>
                <w:sz w:val="18"/>
                <w:szCs w:val="18"/>
              </w:rPr>
              <w:t>ZZ</w:t>
            </w:r>
          </w:p>
        </w:tc>
        <w:tc>
          <w:tcPr>
            <w:tcW w:w="1615" w:type="pct"/>
          </w:tcPr>
          <w:p w14:paraId="6312D3AD" w14:textId="03BED645" w:rsidR="00B74DF2" w:rsidRPr="0036463B" w:rsidRDefault="00B74DF2" w:rsidP="00B74DF2">
            <w:pPr>
              <w:spacing w:after="0"/>
              <w:jc w:val="left"/>
              <w:rPr>
                <w:sz w:val="18"/>
                <w:szCs w:val="18"/>
              </w:rPr>
            </w:pPr>
            <w:r w:rsidRPr="00B112BC">
              <w:rPr>
                <w:sz w:val="18"/>
                <w:szCs w:val="18"/>
              </w:rPr>
              <w:t>zdravotnícke zariadenia</w:t>
            </w:r>
          </w:p>
        </w:tc>
      </w:tr>
      <w:tr w:rsidR="00B74DF2" w:rsidRPr="00B27577" w14:paraId="070B83BC" w14:textId="77777777" w:rsidTr="00963FF1">
        <w:trPr>
          <w:trHeight w:val="267"/>
          <w:jc w:val="center"/>
        </w:trPr>
        <w:tc>
          <w:tcPr>
            <w:tcW w:w="545" w:type="pct"/>
            <w:shd w:val="clear" w:color="auto" w:fill="auto"/>
          </w:tcPr>
          <w:p w14:paraId="56B124CA" w14:textId="47FC5B9D" w:rsidR="00B74DF2" w:rsidRPr="0022251D" w:rsidRDefault="00B74DF2" w:rsidP="00B74DF2">
            <w:pPr>
              <w:spacing w:after="0"/>
              <w:jc w:val="left"/>
              <w:rPr>
                <w:color w:val="314364" w:themeColor="text2"/>
                <w:sz w:val="18"/>
                <w:szCs w:val="18"/>
              </w:rPr>
            </w:pPr>
            <w:r>
              <w:rPr>
                <w:color w:val="314364" w:themeColor="text2"/>
                <w:sz w:val="18"/>
                <w:szCs w:val="18"/>
              </w:rPr>
              <w:t>NATO</w:t>
            </w:r>
          </w:p>
        </w:tc>
        <w:tc>
          <w:tcPr>
            <w:tcW w:w="2301" w:type="pct"/>
            <w:shd w:val="clear" w:color="auto" w:fill="auto"/>
          </w:tcPr>
          <w:p w14:paraId="64DD3924" w14:textId="37536B61" w:rsidR="00B74DF2" w:rsidRPr="0022251D" w:rsidRDefault="00B74DF2" w:rsidP="00B74DF2">
            <w:pPr>
              <w:spacing w:after="0"/>
              <w:ind w:right="299"/>
              <w:jc w:val="left"/>
              <w:rPr>
                <w:sz w:val="18"/>
                <w:szCs w:val="18"/>
              </w:rPr>
            </w:pPr>
            <w:r>
              <w:rPr>
                <w:sz w:val="18"/>
                <w:szCs w:val="18"/>
              </w:rPr>
              <w:t>Organizácia Severoatlantickej zmluvy</w:t>
            </w:r>
          </w:p>
        </w:tc>
        <w:tc>
          <w:tcPr>
            <w:tcW w:w="539" w:type="pct"/>
          </w:tcPr>
          <w:p w14:paraId="15E5F92A" w14:textId="4A8BA67C" w:rsidR="00B74DF2" w:rsidRPr="00B112BC" w:rsidRDefault="00B74DF2" w:rsidP="00B74DF2">
            <w:pPr>
              <w:spacing w:after="0"/>
              <w:jc w:val="left"/>
              <w:rPr>
                <w:sz w:val="18"/>
                <w:szCs w:val="18"/>
              </w:rPr>
            </w:pPr>
          </w:p>
        </w:tc>
        <w:tc>
          <w:tcPr>
            <w:tcW w:w="1615" w:type="pct"/>
          </w:tcPr>
          <w:p w14:paraId="329486FE" w14:textId="360A7733" w:rsidR="00B74DF2" w:rsidRPr="00B112BC" w:rsidRDefault="00B74DF2" w:rsidP="00B74DF2">
            <w:pPr>
              <w:spacing w:after="0"/>
              <w:jc w:val="left"/>
              <w:rPr>
                <w:sz w:val="18"/>
                <w:szCs w:val="18"/>
              </w:rPr>
            </w:pPr>
          </w:p>
        </w:tc>
      </w:tr>
    </w:tbl>
    <w:p w14:paraId="35A08F4D" w14:textId="14AFD695" w:rsidR="001609D9" w:rsidRDefault="001609D9" w:rsidP="002C027A">
      <w:pPr>
        <w:pStyle w:val="vodZverZhrnutie"/>
      </w:pPr>
      <w:bookmarkStart w:id="2" w:name="_Toc168567176"/>
      <w:r>
        <w:lastRenderedPageBreak/>
        <w:t>Zhrnutie</w:t>
      </w:r>
      <w:bookmarkEnd w:id="2"/>
    </w:p>
    <w:p w14:paraId="6B55CB4C" w14:textId="1FA11C9A" w:rsidR="00F54413" w:rsidRPr="00AF7E26" w:rsidRDefault="00F54413" w:rsidP="00F54413">
      <w:pPr>
        <w:spacing w:line="259" w:lineRule="auto"/>
        <w:rPr>
          <w:rFonts w:eastAsia="Calibri" w:cs="Segoe UI"/>
          <w:i/>
        </w:rPr>
      </w:pPr>
      <w:bookmarkStart w:id="3" w:name="_Toc53475707"/>
      <w:bookmarkEnd w:id="1"/>
      <w:r w:rsidRPr="00AF7E26">
        <w:rPr>
          <w:rFonts w:eastAsia="Calibri" w:cs="Segoe UI"/>
          <w:i/>
        </w:rPr>
        <w:t>Stanovisko NKÚ SR k návrhu ŠZÚ SR za rok 202</w:t>
      </w:r>
      <w:r>
        <w:rPr>
          <w:rFonts w:eastAsia="Calibri" w:cs="Segoe UI"/>
          <w:i/>
        </w:rPr>
        <w:t>3</w:t>
      </w:r>
      <w:r w:rsidRPr="00AF7E26">
        <w:rPr>
          <w:rFonts w:eastAsia="Calibri" w:cs="Segoe UI"/>
          <w:i/>
        </w:rPr>
        <w:t xml:space="preserve"> je vypracované v súlade s ustanovením § 5 ods. 1 zákona o NKÚ SR a vychádza z kontrol</w:t>
      </w:r>
      <w:r>
        <w:rPr>
          <w:rFonts w:eastAsia="Calibri" w:cs="Segoe UI"/>
          <w:i/>
        </w:rPr>
        <w:t xml:space="preserve"> a analýz vykonaných v rokoch 2023</w:t>
      </w:r>
      <w:r w:rsidRPr="00AF7E26">
        <w:rPr>
          <w:rFonts w:eastAsia="Calibri" w:cs="Segoe UI"/>
          <w:i/>
        </w:rPr>
        <w:t xml:space="preserve"> a 202</w:t>
      </w:r>
      <w:r>
        <w:rPr>
          <w:rFonts w:eastAsia="Calibri" w:cs="Segoe UI"/>
          <w:i/>
        </w:rPr>
        <w:t>4</w:t>
      </w:r>
      <w:r w:rsidRPr="00AF7E26">
        <w:rPr>
          <w:rFonts w:eastAsia="Calibri" w:cs="Segoe UI"/>
          <w:i/>
        </w:rPr>
        <w:t xml:space="preserve"> v kapitolách </w:t>
      </w:r>
      <w:r w:rsidR="00714075">
        <w:rPr>
          <w:rFonts w:eastAsia="Calibri" w:cs="Segoe UI"/>
          <w:i/>
        </w:rPr>
        <w:t xml:space="preserve">štátneho rozpočtu </w:t>
      </w:r>
      <w:r w:rsidRPr="00AF7E26">
        <w:rPr>
          <w:rFonts w:eastAsia="Calibri" w:cs="Segoe UI"/>
          <w:i/>
        </w:rPr>
        <w:t xml:space="preserve">a v </w:t>
      </w:r>
      <w:r w:rsidRPr="00170159">
        <w:rPr>
          <w:rFonts w:eastAsia="Calibri" w:cs="Segoe UI"/>
          <w:i/>
        </w:rPr>
        <w:t xml:space="preserve">ostatných subjektoch </w:t>
      </w:r>
      <w:r w:rsidR="00714075">
        <w:rPr>
          <w:rFonts w:eastAsia="Calibri" w:cs="Segoe UI"/>
          <w:i/>
        </w:rPr>
        <w:t>verejnej správy</w:t>
      </w:r>
      <w:r w:rsidRPr="00170159">
        <w:rPr>
          <w:rFonts w:eastAsia="Calibri" w:cs="Segoe UI"/>
          <w:i/>
        </w:rPr>
        <w:t xml:space="preserve">. Pri príprave stanoviska boli </w:t>
      </w:r>
      <w:r w:rsidR="0031039E">
        <w:rPr>
          <w:rFonts w:eastAsia="Calibri" w:cs="Segoe UI"/>
          <w:i/>
        </w:rPr>
        <w:t>k dispozícii</w:t>
      </w:r>
      <w:r w:rsidRPr="00170159">
        <w:rPr>
          <w:rFonts w:eastAsia="Calibri" w:cs="Segoe UI"/>
          <w:i/>
        </w:rPr>
        <w:t xml:space="preserve"> pracovné verzie návrhov </w:t>
      </w:r>
      <w:r w:rsidR="00714075">
        <w:rPr>
          <w:rFonts w:eastAsia="Calibri" w:cs="Segoe UI"/>
          <w:i/>
        </w:rPr>
        <w:t>záverečných účtov kapitol</w:t>
      </w:r>
      <w:r w:rsidRPr="00170159">
        <w:rPr>
          <w:rFonts w:eastAsia="Calibri" w:cs="Segoe UI"/>
          <w:i/>
        </w:rPr>
        <w:t xml:space="preserve"> za rok 2023</w:t>
      </w:r>
      <w:r w:rsidR="00714075">
        <w:rPr>
          <w:rFonts w:eastAsia="Calibri" w:cs="Segoe UI"/>
          <w:i/>
        </w:rPr>
        <w:t>, a to</w:t>
      </w:r>
      <w:r w:rsidRPr="00170159">
        <w:rPr>
          <w:rFonts w:eastAsia="Calibri" w:cs="Segoe UI"/>
          <w:i/>
        </w:rPr>
        <w:t xml:space="preserve"> z dôvodu termín</w:t>
      </w:r>
      <w:r w:rsidR="0031039E">
        <w:rPr>
          <w:rFonts w:eastAsia="Calibri" w:cs="Segoe UI"/>
          <w:i/>
        </w:rPr>
        <w:t>u</w:t>
      </w:r>
      <w:r w:rsidRPr="00170159">
        <w:rPr>
          <w:rFonts w:eastAsia="Calibri" w:cs="Segoe UI"/>
          <w:i/>
        </w:rPr>
        <w:t xml:space="preserve"> na </w:t>
      </w:r>
      <w:r w:rsidR="00714075">
        <w:rPr>
          <w:rFonts w:eastAsia="Calibri" w:cs="Segoe UI"/>
          <w:i/>
        </w:rPr>
        <w:t xml:space="preserve">ich </w:t>
      </w:r>
      <w:r w:rsidRPr="00170159">
        <w:rPr>
          <w:rFonts w:eastAsia="Calibri" w:cs="Segoe UI"/>
          <w:i/>
        </w:rPr>
        <w:t>spracovanie</w:t>
      </w:r>
      <w:r w:rsidR="0031039E">
        <w:rPr>
          <w:rFonts w:eastAsia="Calibri" w:cs="Segoe UI"/>
          <w:i/>
        </w:rPr>
        <w:t>, ktorý bol</w:t>
      </w:r>
      <w:r w:rsidRPr="00170159">
        <w:rPr>
          <w:rFonts w:eastAsia="Calibri" w:cs="Segoe UI"/>
          <w:i/>
        </w:rPr>
        <w:t xml:space="preserve">  31. 5. 2024.</w:t>
      </w:r>
    </w:p>
    <w:p w14:paraId="7B99F10B" w14:textId="5561EAF8" w:rsidR="005F261C" w:rsidRDefault="004C4495" w:rsidP="008419F0">
      <w:pPr>
        <w:rPr>
          <w:noProof/>
          <w:lang w:eastAsia="sk-SK"/>
        </w:rPr>
      </w:pPr>
      <w:r w:rsidRPr="00E344A9">
        <w:rPr>
          <w:b/>
          <w:noProof/>
          <w:lang w:eastAsia="sk-SK"/>
        </w:rPr>
        <w:t>V ro</w:t>
      </w:r>
      <w:r w:rsidR="005F261C" w:rsidRPr="00E344A9">
        <w:rPr>
          <w:b/>
          <w:noProof/>
          <w:lang w:eastAsia="sk-SK"/>
        </w:rPr>
        <w:t>k</w:t>
      </w:r>
      <w:r w:rsidRPr="00E344A9">
        <w:rPr>
          <w:b/>
          <w:noProof/>
          <w:lang w:eastAsia="sk-SK"/>
        </w:rPr>
        <w:t>u</w:t>
      </w:r>
      <w:r w:rsidR="005F261C" w:rsidRPr="00E344A9">
        <w:rPr>
          <w:b/>
          <w:noProof/>
          <w:lang w:eastAsia="sk-SK"/>
        </w:rPr>
        <w:t xml:space="preserve"> 2023 </w:t>
      </w:r>
      <w:r w:rsidRPr="00E344A9">
        <w:rPr>
          <w:b/>
          <w:noProof/>
          <w:lang w:eastAsia="sk-SK"/>
        </w:rPr>
        <w:t>čelila slovenská ekonomika viacerým výzvam</w:t>
      </w:r>
      <w:r w:rsidR="005F261C" w:rsidRPr="00E344A9">
        <w:rPr>
          <w:b/>
          <w:noProof/>
          <w:lang w:eastAsia="sk-SK"/>
        </w:rPr>
        <w:t xml:space="preserve">, ktoré sa prejavili </w:t>
      </w:r>
      <w:r w:rsidR="00D10AF5" w:rsidRPr="00E344A9">
        <w:rPr>
          <w:b/>
          <w:noProof/>
          <w:lang w:eastAsia="sk-SK"/>
        </w:rPr>
        <w:t xml:space="preserve">aj </w:t>
      </w:r>
      <w:r w:rsidR="005F261C" w:rsidRPr="00E344A9">
        <w:rPr>
          <w:b/>
          <w:noProof/>
          <w:lang w:eastAsia="sk-SK"/>
        </w:rPr>
        <w:t>v ekonomickom vývoji a ovplyvnili plnenie rozpočtu.</w:t>
      </w:r>
      <w:r w:rsidR="005F261C" w:rsidRPr="004C4495">
        <w:rPr>
          <w:noProof/>
          <w:lang w:eastAsia="sk-SK"/>
        </w:rPr>
        <w:t xml:space="preserve"> Rastúca cenová hladina</w:t>
      </w:r>
      <w:r w:rsidRPr="004C4495">
        <w:rPr>
          <w:noProof/>
          <w:lang w:eastAsia="sk-SK"/>
        </w:rPr>
        <w:t xml:space="preserve">, </w:t>
      </w:r>
      <w:r w:rsidR="005F261C" w:rsidRPr="004C4495">
        <w:rPr>
          <w:noProof/>
          <w:lang w:eastAsia="sk-SK"/>
        </w:rPr>
        <w:t>pretrvávajúci konflikt na Ukrajine a</w:t>
      </w:r>
      <w:r w:rsidRPr="004C4495">
        <w:rPr>
          <w:noProof/>
          <w:lang w:eastAsia="sk-SK"/>
        </w:rPr>
        <w:t> politické zmeny</w:t>
      </w:r>
      <w:r w:rsidR="005F261C" w:rsidRPr="004C4495">
        <w:rPr>
          <w:noProof/>
          <w:lang w:eastAsia="sk-SK"/>
        </w:rPr>
        <w:t xml:space="preserve"> zmenili predpoklady a</w:t>
      </w:r>
      <w:r w:rsidRPr="004C4495">
        <w:rPr>
          <w:noProof/>
          <w:lang w:eastAsia="sk-SK"/>
        </w:rPr>
        <w:t>j</w:t>
      </w:r>
      <w:r w:rsidR="005F261C" w:rsidRPr="004C4495">
        <w:rPr>
          <w:noProof/>
          <w:lang w:eastAsia="sk-SK"/>
        </w:rPr>
        <w:t xml:space="preserve"> čerpanie </w:t>
      </w:r>
      <w:r w:rsidRPr="004C4495">
        <w:rPr>
          <w:noProof/>
          <w:lang w:eastAsia="sk-SK"/>
        </w:rPr>
        <w:t xml:space="preserve">prostriedkov </w:t>
      </w:r>
      <w:r w:rsidRPr="00A46257">
        <w:rPr>
          <w:noProof/>
          <w:lang w:eastAsia="sk-SK"/>
        </w:rPr>
        <w:t>schvále</w:t>
      </w:r>
      <w:r w:rsidR="00F042B6" w:rsidRPr="00A46257">
        <w:rPr>
          <w:noProof/>
          <w:lang w:eastAsia="sk-SK"/>
        </w:rPr>
        <w:t>n</w:t>
      </w:r>
      <w:r w:rsidRPr="00A46257">
        <w:rPr>
          <w:noProof/>
          <w:lang w:eastAsia="sk-SK"/>
        </w:rPr>
        <w:t xml:space="preserve">ých v návrhu </w:t>
      </w:r>
      <w:r w:rsidR="00714075">
        <w:rPr>
          <w:noProof/>
          <w:lang w:eastAsia="sk-SK"/>
        </w:rPr>
        <w:t>rozpočtu</w:t>
      </w:r>
      <w:r w:rsidRPr="00A46257">
        <w:rPr>
          <w:noProof/>
          <w:lang w:eastAsia="sk-SK"/>
        </w:rPr>
        <w:t>.</w:t>
      </w:r>
    </w:p>
    <w:p w14:paraId="53593DB9" w14:textId="6B651339" w:rsidR="00E344A9" w:rsidRDefault="00E344A9" w:rsidP="00E344A9">
      <w:pPr>
        <w:rPr>
          <w:noProof/>
          <w:lang w:eastAsia="sk-SK"/>
        </w:rPr>
      </w:pPr>
      <w:r w:rsidRPr="00113ACD">
        <w:rPr>
          <w:b/>
          <w:noProof/>
          <w:lang w:eastAsia="sk-SK"/>
        </w:rPr>
        <w:t>Oproti očakávaniam s</w:t>
      </w:r>
      <w:r w:rsidR="008A4BCF">
        <w:rPr>
          <w:b/>
          <w:noProof/>
          <w:lang w:eastAsia="sk-SK"/>
        </w:rPr>
        <w:t>a SR</w:t>
      </w:r>
      <w:r w:rsidRPr="00113ACD">
        <w:rPr>
          <w:b/>
          <w:noProof/>
          <w:lang w:eastAsia="sk-SK"/>
        </w:rPr>
        <w:t xml:space="preserve"> v roku 2023 </w:t>
      </w:r>
      <w:r w:rsidR="008A4BCF">
        <w:rPr>
          <w:b/>
          <w:noProof/>
          <w:lang w:eastAsia="sk-SK"/>
        </w:rPr>
        <w:t>darilo</w:t>
      </w:r>
      <w:r w:rsidRPr="00113ACD">
        <w:rPr>
          <w:b/>
          <w:noProof/>
          <w:lang w:eastAsia="sk-SK"/>
        </w:rPr>
        <w:t xml:space="preserve"> lepšie.</w:t>
      </w:r>
      <w:r>
        <w:rPr>
          <w:noProof/>
          <w:lang w:eastAsia="sk-SK"/>
        </w:rPr>
        <w:t xml:space="preserve"> </w:t>
      </w:r>
      <w:r w:rsidRPr="00A46257">
        <w:rPr>
          <w:noProof/>
          <w:lang w:eastAsia="sk-SK"/>
        </w:rPr>
        <w:t>Reáln</w:t>
      </w:r>
      <w:r w:rsidR="008625E6">
        <w:rPr>
          <w:noProof/>
          <w:lang w:eastAsia="sk-SK"/>
        </w:rPr>
        <w:t>y</w:t>
      </w:r>
      <w:r w:rsidRPr="00A46257">
        <w:rPr>
          <w:noProof/>
          <w:lang w:eastAsia="sk-SK"/>
        </w:rPr>
        <w:t xml:space="preserve"> HDP vzrást</w:t>
      </w:r>
      <w:r w:rsidR="008625E6">
        <w:rPr>
          <w:noProof/>
          <w:lang w:eastAsia="sk-SK"/>
        </w:rPr>
        <w:t>o</w:t>
      </w:r>
      <w:r w:rsidRPr="00A46257">
        <w:rPr>
          <w:noProof/>
          <w:lang w:eastAsia="sk-SK"/>
        </w:rPr>
        <w:t xml:space="preserve">l o 1,6 %, čo bol narýchlejší rast v rámci krajín </w:t>
      </w:r>
      <w:r w:rsidRPr="00A46257">
        <w:t>V4</w:t>
      </w:r>
      <w:r w:rsidRPr="00A46257">
        <w:rPr>
          <w:noProof/>
          <w:lang w:eastAsia="sk-SK"/>
        </w:rPr>
        <w:t>. Inflácia počas roka klesala, najviac klesli ceny potravín a rast cien energií bol tlm</w:t>
      </w:r>
      <w:r>
        <w:rPr>
          <w:noProof/>
          <w:lang w:eastAsia="sk-SK"/>
        </w:rPr>
        <w:t>ený najmä vládnymi opatreniami.</w:t>
      </w:r>
      <w:r w:rsidRPr="0079468C">
        <w:rPr>
          <w:noProof/>
          <w:lang w:eastAsia="sk-SK"/>
        </w:rPr>
        <w:t xml:space="preserve"> </w:t>
      </w:r>
      <w:r w:rsidRPr="00A46257">
        <w:rPr>
          <w:noProof/>
          <w:lang w:eastAsia="sk-SK"/>
        </w:rPr>
        <w:t xml:space="preserve">Rastu HDP </w:t>
      </w:r>
      <w:r>
        <w:rPr>
          <w:noProof/>
          <w:lang w:eastAsia="sk-SK"/>
        </w:rPr>
        <w:t xml:space="preserve">(a poklesu inflácie) </w:t>
      </w:r>
      <w:r w:rsidRPr="00A46257">
        <w:rPr>
          <w:noProof/>
          <w:lang w:eastAsia="sk-SK"/>
        </w:rPr>
        <w:t>pomohlo aj zaúčtovanie celej energopomoci do roku 2023.</w:t>
      </w:r>
      <w:r w:rsidRPr="0079468C">
        <w:rPr>
          <w:noProof/>
          <w:lang w:eastAsia="sk-SK"/>
        </w:rPr>
        <w:t xml:space="preserve"> </w:t>
      </w:r>
      <w:r w:rsidRPr="00A46257">
        <w:rPr>
          <w:noProof/>
          <w:lang w:eastAsia="sk-SK"/>
        </w:rPr>
        <w:t>Vďaka dočerpávaniu fondov EÚ</w:t>
      </w:r>
      <w:r>
        <w:rPr>
          <w:noProof/>
          <w:lang w:eastAsia="sk-SK"/>
        </w:rPr>
        <w:t xml:space="preserve"> z končiaceho programového obdobia 2014 – 2020</w:t>
      </w:r>
      <w:r w:rsidRPr="00A46257">
        <w:rPr>
          <w:noProof/>
          <w:lang w:eastAsia="sk-SK"/>
        </w:rPr>
        <w:t>, ako aj čerpaniu z</w:t>
      </w:r>
      <w:r>
        <w:rPr>
          <w:noProof/>
          <w:lang w:eastAsia="sk-SK"/>
        </w:rPr>
        <w:t> plánu obnovy,</w:t>
      </w:r>
      <w:r w:rsidRPr="00A46257">
        <w:rPr>
          <w:noProof/>
          <w:lang w:eastAsia="sk-SK"/>
        </w:rPr>
        <w:t xml:space="preserve"> zahŕňal rozpočet väčšie množstvo prostriedkov určených na investície. </w:t>
      </w:r>
      <w:r w:rsidRPr="00E344A9">
        <w:rPr>
          <w:noProof/>
          <w:lang w:eastAsia="sk-SK"/>
        </w:rPr>
        <w:t>Aj napriek tomu, že investície rástli pomalšie oproti očakávani</w:t>
      </w:r>
      <w:r>
        <w:rPr>
          <w:noProof/>
          <w:lang w:eastAsia="sk-SK"/>
        </w:rPr>
        <w:t>a</w:t>
      </w:r>
      <w:r w:rsidRPr="00E344A9">
        <w:rPr>
          <w:noProof/>
          <w:lang w:eastAsia="sk-SK"/>
        </w:rPr>
        <w:t>m rozpočtu, potiahli slovenskú ekonomiku najmä v 2. polovici minulého roka</w:t>
      </w:r>
      <w:r>
        <w:rPr>
          <w:noProof/>
          <w:lang w:eastAsia="sk-SK"/>
        </w:rPr>
        <w:t>.</w:t>
      </w:r>
      <w:r w:rsidRPr="0079468C">
        <w:t xml:space="preserve"> </w:t>
      </w:r>
      <w:r>
        <w:t>Z</w:t>
      </w:r>
      <w:r w:rsidRPr="00A46257">
        <w:t xml:space="preserve">amestnávatelia čelili </w:t>
      </w:r>
      <w:r w:rsidR="00D43C48" w:rsidRPr="00A46257">
        <w:t xml:space="preserve">v roku 2023 </w:t>
      </w:r>
      <w:r w:rsidRPr="00A46257">
        <w:t>problémom s obsadením voľných pracovných miest a</w:t>
      </w:r>
      <w:r>
        <w:t> </w:t>
      </w:r>
      <w:r w:rsidRPr="00A46257">
        <w:t>predčasným odchodom do dôchodku</w:t>
      </w:r>
      <w:r w:rsidR="00D43C48">
        <w:t>, a tak</w:t>
      </w:r>
      <w:r w:rsidRPr="00A46257">
        <w:t xml:space="preserve"> zamestnanosť </w:t>
      </w:r>
      <w:r w:rsidR="00D43C48">
        <w:t>potiahli cudzinci</w:t>
      </w:r>
      <w:r w:rsidRPr="00A46257">
        <w:t>.</w:t>
      </w:r>
    </w:p>
    <w:p w14:paraId="7C4B1781" w14:textId="39CF8BDF" w:rsidR="00372A88" w:rsidRDefault="00FB2B27" w:rsidP="00372A88">
      <w:pPr>
        <w:rPr>
          <w:b/>
          <w:noProof/>
          <w:lang w:eastAsia="sk-SK"/>
        </w:rPr>
      </w:pPr>
      <w:r w:rsidRPr="00113ACD">
        <w:rPr>
          <w:b/>
          <w:noProof/>
          <w:lang w:eastAsia="sk-SK"/>
        </w:rPr>
        <w:t>Štedré a necielené opatrenia na zmiernenie dopadov rastúcich cien energií a na zlepšenie sociálneho štandardu si vyžiadali vyššiu potrebu financovania a rast dlhu.</w:t>
      </w:r>
      <w:r>
        <w:rPr>
          <w:noProof/>
          <w:lang w:eastAsia="sk-SK"/>
        </w:rPr>
        <w:t xml:space="preserve"> </w:t>
      </w:r>
      <w:r w:rsidRPr="00A46257">
        <w:rPr>
          <w:noProof/>
          <w:lang w:eastAsia="sk-SK"/>
        </w:rPr>
        <w:t xml:space="preserve">Deficit </w:t>
      </w:r>
      <w:r>
        <w:rPr>
          <w:noProof/>
          <w:lang w:eastAsia="sk-SK"/>
        </w:rPr>
        <w:t>verejnej správy</w:t>
      </w:r>
      <w:r w:rsidRPr="00A46257">
        <w:rPr>
          <w:noProof/>
          <w:lang w:eastAsia="sk-SK"/>
        </w:rPr>
        <w:t xml:space="preserve"> sa medziročne výrazne zvýšil, keď v roku 2023 presiahol</w:t>
      </w:r>
      <w:r w:rsidRPr="00113ACD">
        <w:rPr>
          <w:noProof/>
          <w:lang w:eastAsia="sk-SK"/>
        </w:rPr>
        <w:t xml:space="preserve"> hranicu 6 mld. eur</w:t>
      </w:r>
      <w:r>
        <w:rPr>
          <w:noProof/>
          <w:lang w:eastAsia="sk-SK"/>
        </w:rPr>
        <w:t xml:space="preserve"> a ako </w:t>
      </w:r>
      <w:r>
        <w:t>podiel na HDP stúpol z 1,7 % v roku 2022 na 4,9 % v roku 2023. Z</w:t>
      </w:r>
      <w:r w:rsidRPr="00E554D8">
        <w:t xml:space="preserve"> hľadiska medzinárodného porovnania hospodárenia </w:t>
      </w:r>
      <w:r>
        <w:t>verejnej správy</w:t>
      </w:r>
      <w:r w:rsidRPr="00E554D8">
        <w:t xml:space="preserve"> bolo v roku 2023 Slovensko </w:t>
      </w:r>
      <w:r>
        <w:t>pod</w:t>
      </w:r>
      <w:r w:rsidRPr="00E554D8">
        <w:t xml:space="preserve"> priemerom EÚ a len päť krajín dosiahlo horší výsledok</w:t>
      </w:r>
      <w:r>
        <w:t xml:space="preserve">. </w:t>
      </w:r>
      <w:r w:rsidRPr="00113ACD">
        <w:rPr>
          <w:noProof/>
          <w:lang w:eastAsia="sk-SK"/>
        </w:rPr>
        <w:t xml:space="preserve">Dlh </w:t>
      </w:r>
      <w:r>
        <w:rPr>
          <w:noProof/>
          <w:lang w:eastAsia="sk-SK"/>
        </w:rPr>
        <w:t>verejnej správy</w:t>
      </w:r>
      <w:r w:rsidRPr="00113ACD">
        <w:rPr>
          <w:noProof/>
          <w:lang w:eastAsia="sk-SK"/>
        </w:rPr>
        <w:t xml:space="preserve"> </w:t>
      </w:r>
      <w:r>
        <w:rPr>
          <w:noProof/>
          <w:lang w:eastAsia="sk-SK"/>
        </w:rPr>
        <w:t xml:space="preserve">v roku 2023 </w:t>
      </w:r>
      <w:r w:rsidRPr="00113ACD">
        <w:rPr>
          <w:noProof/>
          <w:lang w:eastAsia="sk-SK"/>
        </w:rPr>
        <w:t>dosiahol 68,83 mld. eur, čo predstavuje 56 % HDP</w:t>
      </w:r>
      <w:r>
        <w:rPr>
          <w:noProof/>
          <w:lang w:eastAsia="sk-SK"/>
        </w:rPr>
        <w:t xml:space="preserve"> a medziročne sa zvýšil o 5,45 mld. eur.</w:t>
      </w:r>
      <w:r w:rsidRPr="002031B6">
        <w:t xml:space="preserve"> Zvýšenie maastrichtského dlhu oproti roku 2022 negatívne ovplyvnil najmä schodok </w:t>
      </w:r>
      <w:r>
        <w:t>štátneho rozpočtu</w:t>
      </w:r>
      <w:r w:rsidRPr="002031B6">
        <w:t xml:space="preserve"> vo výške 7,68 mld. eur a ďalšie požiadavky na cudzie zdroje</w:t>
      </w:r>
      <w:r w:rsidR="00B44AC3">
        <w:t>,</w:t>
      </w:r>
      <w:r w:rsidRPr="002031B6">
        <w:t xml:space="preserve"> vyplývajúce z riadenia dlhu a likvidity, ktoré vyvolali potrebu emitovať štátne dlhopisy. Medziročne </w:t>
      </w:r>
      <w:r>
        <w:t xml:space="preserve">vzrástli aj </w:t>
      </w:r>
      <w:r w:rsidRPr="002031B6">
        <w:t>výdavky na obsluhu štátneho dlhu</w:t>
      </w:r>
      <w:r>
        <w:t xml:space="preserve"> a </w:t>
      </w:r>
      <w:r w:rsidRPr="002031B6">
        <w:t>postupne rastúc</w:t>
      </w:r>
      <w:r>
        <w:t>e</w:t>
      </w:r>
      <w:r w:rsidRPr="002031B6">
        <w:t xml:space="preserve"> úrokov</w:t>
      </w:r>
      <w:r>
        <w:t>é</w:t>
      </w:r>
      <w:r w:rsidRPr="002031B6">
        <w:t xml:space="preserve"> náklad</w:t>
      </w:r>
      <w:r>
        <w:t>y</w:t>
      </w:r>
      <w:r w:rsidRPr="002031B6">
        <w:rPr>
          <w:noProof/>
          <w:lang w:eastAsia="sk-SK"/>
        </w:rPr>
        <w:t xml:space="preserve"> majú vplyv na vyššie náklady riadenia dlhu v</w:t>
      </w:r>
      <w:r>
        <w:rPr>
          <w:noProof/>
          <w:lang w:eastAsia="sk-SK"/>
        </w:rPr>
        <w:t> </w:t>
      </w:r>
      <w:r w:rsidRPr="002031B6">
        <w:rPr>
          <w:noProof/>
          <w:lang w:eastAsia="sk-SK"/>
        </w:rPr>
        <w:t>budúcnosti</w:t>
      </w:r>
      <w:r>
        <w:rPr>
          <w:noProof/>
          <w:lang w:eastAsia="sk-SK"/>
        </w:rPr>
        <w:t>.</w:t>
      </w:r>
      <w:r w:rsidRPr="00432BC1">
        <w:t xml:space="preserve"> </w:t>
      </w:r>
      <w:r w:rsidRPr="00113ACD">
        <w:rPr>
          <w:b/>
          <w:noProof/>
          <w:lang w:eastAsia="sk-SK"/>
        </w:rPr>
        <w:t>NKÚ SR dlhodobo upozorňuje na potrebné zlepšenie udržateľnosti verejných financií.</w:t>
      </w:r>
      <w:r>
        <w:rPr>
          <w:b/>
          <w:noProof/>
          <w:lang w:eastAsia="sk-SK"/>
        </w:rPr>
        <w:t xml:space="preserve"> </w:t>
      </w:r>
      <w:r w:rsidR="00721E51" w:rsidRPr="00FB2B27">
        <w:rPr>
          <w:b/>
          <w:noProof/>
          <w:lang w:eastAsia="sk-SK"/>
        </w:rPr>
        <w:t xml:space="preserve">V tejto súvislosti </w:t>
      </w:r>
      <w:r w:rsidR="00372A88" w:rsidRPr="00FB2B27">
        <w:rPr>
          <w:b/>
          <w:noProof/>
          <w:lang w:eastAsia="sk-SK"/>
        </w:rPr>
        <w:t xml:space="preserve">považuje </w:t>
      </w:r>
      <w:r w:rsidR="00721E51" w:rsidRPr="00FB2B27">
        <w:rPr>
          <w:b/>
          <w:noProof/>
          <w:lang w:eastAsia="sk-SK"/>
        </w:rPr>
        <w:t>za významný nástroj riadenia verejných financií limit verejných výdavkov, pričom</w:t>
      </w:r>
      <w:r w:rsidR="00372A88" w:rsidRPr="00FB2B27">
        <w:rPr>
          <w:b/>
          <w:noProof/>
          <w:lang w:eastAsia="sk-SK"/>
        </w:rPr>
        <w:t xml:space="preserve"> </w:t>
      </w:r>
      <w:r w:rsidR="00721E51" w:rsidRPr="00FB2B27">
        <w:rPr>
          <w:b/>
          <w:noProof/>
          <w:lang w:eastAsia="sk-SK"/>
        </w:rPr>
        <w:t>n</w:t>
      </w:r>
      <w:r w:rsidR="00372A88" w:rsidRPr="00FB2B27">
        <w:rPr>
          <w:b/>
          <w:noProof/>
          <w:lang w:eastAsia="sk-SK"/>
        </w:rPr>
        <w:t>ávrh ŠZÚ SR za rok 2023 neobsahuje zmienku o</w:t>
      </w:r>
      <w:r w:rsidR="00B63C8B" w:rsidRPr="00FB2B27">
        <w:rPr>
          <w:b/>
          <w:noProof/>
          <w:lang w:eastAsia="sk-SK"/>
        </w:rPr>
        <w:t xml:space="preserve"> jeho </w:t>
      </w:r>
      <w:r w:rsidR="00372A88" w:rsidRPr="00FB2B27">
        <w:rPr>
          <w:b/>
          <w:noProof/>
          <w:lang w:eastAsia="sk-SK"/>
        </w:rPr>
        <w:t>plnení.</w:t>
      </w:r>
    </w:p>
    <w:p w14:paraId="306DE15E" w14:textId="5464FFA0" w:rsidR="00FB2B27" w:rsidRDefault="00FB2B27" w:rsidP="00FB2B27">
      <w:pPr>
        <w:rPr>
          <w:noProof/>
          <w:lang w:eastAsia="sk-SK"/>
        </w:rPr>
      </w:pPr>
      <w:r w:rsidRPr="00113ACD">
        <w:rPr>
          <w:b/>
        </w:rPr>
        <w:t>Rozpočtové hospodárenie SR bolo na výdavkovej strane výrazne ovplyvnené okrem energopomoci aj viacerými legislatívnymi zmenami bez jasného rozpočtového krytia a s dopadom aj na ďalšie roky.</w:t>
      </w:r>
      <w:r>
        <w:t xml:space="preserve"> Celkové hotovostné výdavky ŠR vzrástli medziročne o 7,8 mld. eur. </w:t>
      </w:r>
      <w:r>
        <w:rPr>
          <w:noProof/>
          <w:lang w:eastAsia="sk-SK"/>
        </w:rPr>
        <w:t>N</w:t>
      </w:r>
      <w:r w:rsidRPr="00C02840">
        <w:rPr>
          <w:noProof/>
          <w:lang w:eastAsia="sk-SK"/>
        </w:rPr>
        <w:t>a schémy pomoci súvisiace s nárastom cien energií</w:t>
      </w:r>
      <w:r>
        <w:rPr>
          <w:noProof/>
          <w:lang w:eastAsia="sk-SK"/>
        </w:rPr>
        <w:t xml:space="preserve"> išlo</w:t>
      </w:r>
      <w:r w:rsidRPr="00C02840">
        <w:rPr>
          <w:noProof/>
          <w:lang w:eastAsia="sk-SK"/>
        </w:rPr>
        <w:t xml:space="preserve"> 2,92 mld. eu</w:t>
      </w:r>
      <w:r>
        <w:rPr>
          <w:noProof/>
          <w:lang w:eastAsia="sk-SK"/>
        </w:rPr>
        <w:t>r (9,3 % výdavkov štátneho rozpočtu).</w:t>
      </w:r>
      <w:r w:rsidRPr="0008770A">
        <w:t xml:space="preserve"> </w:t>
      </w:r>
      <w:r w:rsidRPr="00432BC1">
        <w:t xml:space="preserve">Na financovanie </w:t>
      </w:r>
      <w:r>
        <w:t>takýchto a ďalších výziev</w:t>
      </w:r>
      <w:r w:rsidRPr="00432BC1">
        <w:t xml:space="preserve"> boli v rozpočte pripravené rezervy</w:t>
      </w:r>
      <w:r>
        <w:t xml:space="preserve"> vo výške 2,4 mld. eur</w:t>
      </w:r>
      <w:r w:rsidRPr="00432BC1">
        <w:t xml:space="preserve">, ktorých </w:t>
      </w:r>
      <w:r>
        <w:t xml:space="preserve">skutočné </w:t>
      </w:r>
      <w:r w:rsidRPr="00432BC1">
        <w:t xml:space="preserve">čerpanie dosiahlo 4,3 mld. eur, čo zodpovedá 13,7 % celkových výdavkov </w:t>
      </w:r>
      <w:r>
        <w:t>štátneho rozpočtu</w:t>
      </w:r>
      <w:r w:rsidRPr="00432BC1">
        <w:t xml:space="preserve"> vo výške 31,4 mld. eur.</w:t>
      </w:r>
      <w:r>
        <w:t xml:space="preserve"> N</w:t>
      </w:r>
      <w:r w:rsidRPr="00DB623D">
        <w:t xml:space="preserve">ajväčšou položkou </w:t>
      </w:r>
      <w:r>
        <w:t xml:space="preserve">financovanou z rezerv bolo, pôvodne nerozpočtované, </w:t>
      </w:r>
      <w:r w:rsidRPr="00DB623D">
        <w:t xml:space="preserve">dofinancovanie </w:t>
      </w:r>
      <w:r>
        <w:t>Sociálnej poisťovne</w:t>
      </w:r>
      <w:r w:rsidRPr="00DB623D">
        <w:t xml:space="preserve"> </w:t>
      </w:r>
      <w:r w:rsidRPr="0008770A">
        <w:rPr>
          <w:noProof/>
          <w:lang w:eastAsia="sk-SK"/>
        </w:rPr>
        <w:t xml:space="preserve">v historicky najvyššej sume </w:t>
      </w:r>
      <w:r w:rsidRPr="00DB623D">
        <w:t>1,16 mld. eur a</w:t>
      </w:r>
      <w:r>
        <w:t xml:space="preserve"> tiež </w:t>
      </w:r>
      <w:r w:rsidRPr="00DB623D">
        <w:t>pokrytie 13. dôchodk</w:t>
      </w:r>
      <w:r>
        <w:t>ov</w:t>
      </w:r>
      <w:r w:rsidRPr="00DB623D">
        <w:t xml:space="preserve"> </w:t>
      </w:r>
      <w:r>
        <w:t xml:space="preserve">vo výške </w:t>
      </w:r>
      <w:r w:rsidRPr="00DB623D">
        <w:t>439 mil. eur.</w:t>
      </w:r>
      <w:r>
        <w:t xml:space="preserve"> </w:t>
      </w:r>
      <w:r w:rsidRPr="008419F0">
        <w:rPr>
          <w:noProof/>
          <w:lang w:eastAsia="sk-SK"/>
        </w:rPr>
        <w:t xml:space="preserve">Približne polovica z finančne významnejších programov jednotlivých ministerstiev mala skutočné výdavky väčšie ako boli pôvodne rozpočtované. Najväčší rozdiel v čerpaní oproti rozpočtu bol </w:t>
      </w:r>
      <w:r>
        <w:rPr>
          <w:noProof/>
          <w:lang w:eastAsia="sk-SK"/>
        </w:rPr>
        <w:t>na</w:t>
      </w:r>
      <w:r w:rsidRPr="008419F0">
        <w:rPr>
          <w:noProof/>
          <w:lang w:eastAsia="sk-SK"/>
        </w:rPr>
        <w:t xml:space="preserve"> MPSVR SR</w:t>
      </w:r>
      <w:r>
        <w:rPr>
          <w:noProof/>
          <w:lang w:eastAsia="sk-SK"/>
        </w:rPr>
        <w:t>, k</w:t>
      </w:r>
      <w:r w:rsidR="00B44AC3">
        <w:rPr>
          <w:noProof/>
          <w:lang w:eastAsia="sk-SK"/>
        </w:rPr>
        <w:t>torý</w:t>
      </w:r>
      <w:r>
        <w:rPr>
          <w:noProof/>
          <w:lang w:eastAsia="sk-SK"/>
        </w:rPr>
        <w:t xml:space="preserve"> sa prejavil</w:t>
      </w:r>
      <w:r w:rsidR="00B44AC3">
        <w:rPr>
          <w:noProof/>
          <w:lang w:eastAsia="sk-SK"/>
        </w:rPr>
        <w:t xml:space="preserve"> výrazným</w:t>
      </w:r>
      <w:r>
        <w:rPr>
          <w:noProof/>
          <w:lang w:eastAsia="sk-SK"/>
        </w:rPr>
        <w:t xml:space="preserve"> čerpan</w:t>
      </w:r>
      <w:r w:rsidR="00B44AC3">
        <w:rPr>
          <w:noProof/>
          <w:lang w:eastAsia="sk-SK"/>
        </w:rPr>
        <w:t>ím</w:t>
      </w:r>
      <w:r>
        <w:rPr>
          <w:noProof/>
          <w:lang w:eastAsia="sk-SK"/>
        </w:rPr>
        <w:t xml:space="preserve"> výdavkov aj na podporu rodiny (2 mld. eur).</w:t>
      </w:r>
    </w:p>
    <w:p w14:paraId="77A51F77" w14:textId="77777777" w:rsidR="00FB2B27" w:rsidRPr="00FB2B27" w:rsidRDefault="00FB2B27" w:rsidP="00372A88">
      <w:pPr>
        <w:rPr>
          <w:b/>
          <w:noProof/>
          <w:lang w:eastAsia="sk-SK"/>
        </w:rPr>
      </w:pPr>
    </w:p>
    <w:p w14:paraId="4A43B72C" w14:textId="0E43694C" w:rsidR="000B757D" w:rsidRDefault="000B757D" w:rsidP="000B757D">
      <w:pPr>
        <w:rPr>
          <w:noProof/>
          <w:lang w:eastAsia="sk-SK"/>
        </w:rPr>
      </w:pPr>
      <w:r w:rsidRPr="00113ACD">
        <w:rPr>
          <w:b/>
          <w:noProof/>
          <w:lang w:eastAsia="sk-SK"/>
        </w:rPr>
        <w:lastRenderedPageBreak/>
        <w:t>Nezanedbateľný vplyv na trh prá</w:t>
      </w:r>
      <w:r>
        <w:rPr>
          <w:b/>
          <w:noProof/>
          <w:lang w:eastAsia="sk-SK"/>
        </w:rPr>
        <w:t>ce aj hospodárenie Sociálnej poisťovne mali zmeny</w:t>
      </w:r>
      <w:r w:rsidRPr="00113ACD">
        <w:rPr>
          <w:b/>
          <w:noProof/>
          <w:lang w:eastAsia="sk-SK"/>
        </w:rPr>
        <w:t xml:space="preserve"> pri predčasných </w:t>
      </w:r>
      <w:r w:rsidR="00B44AC3">
        <w:rPr>
          <w:b/>
          <w:noProof/>
          <w:lang w:eastAsia="sk-SK"/>
        </w:rPr>
        <w:t xml:space="preserve">starobných </w:t>
      </w:r>
      <w:r w:rsidRPr="00113ACD">
        <w:rPr>
          <w:b/>
          <w:noProof/>
          <w:lang w:eastAsia="sk-SK"/>
        </w:rPr>
        <w:t xml:space="preserve">dôchodkoch, keď sa z prispievateľov </w:t>
      </w:r>
      <w:r>
        <w:rPr>
          <w:b/>
          <w:noProof/>
          <w:lang w:eastAsia="sk-SK"/>
        </w:rPr>
        <w:t>stali</w:t>
      </w:r>
      <w:r w:rsidRPr="00113ACD">
        <w:rPr>
          <w:b/>
          <w:noProof/>
          <w:lang w:eastAsia="sk-SK"/>
        </w:rPr>
        <w:t xml:space="preserve"> poberatelia.</w:t>
      </w:r>
      <w:r>
        <w:rPr>
          <w:noProof/>
          <w:lang w:eastAsia="sk-SK"/>
        </w:rPr>
        <w:t xml:space="preserve"> </w:t>
      </w:r>
      <w:r w:rsidR="00B44AC3" w:rsidRPr="00B44AC3">
        <w:rPr>
          <w:noProof/>
          <w:lang w:eastAsia="sk-SK"/>
        </w:rPr>
        <w:t>Celkové výdavky na starobné dôchodky vzrástli v roku 2023 medziročne o 21,3 % (o 1,4 mld. eur), čo bolo najviac za posledných desať rokov.</w:t>
      </w:r>
      <w:r w:rsidR="00B44AC3" w:rsidRPr="00456490">
        <w:rPr>
          <w:noProof/>
          <w:lang w:eastAsia="sk-SK"/>
        </w:rPr>
        <w:t xml:space="preserve"> Prispela k tomu mimoriadna valorizácia </w:t>
      </w:r>
      <w:r w:rsidR="00B44AC3" w:rsidRPr="00B9284C">
        <w:rPr>
          <w:noProof/>
          <w:lang w:eastAsia="sk-SK"/>
        </w:rPr>
        <w:t>dôchodkových dávok</w:t>
      </w:r>
      <w:r w:rsidR="00B44AC3" w:rsidRPr="00456490">
        <w:rPr>
          <w:noProof/>
          <w:lang w:eastAsia="sk-SK"/>
        </w:rPr>
        <w:t>, rodičovský dôchodok a rozmrazenie minimálnych dôchodkov.</w:t>
      </w:r>
      <w:r w:rsidR="00B44AC3">
        <w:rPr>
          <w:noProof/>
          <w:lang w:eastAsia="sk-SK"/>
        </w:rPr>
        <w:t xml:space="preserve"> </w:t>
      </w:r>
      <w:r w:rsidRPr="00B9284C">
        <w:rPr>
          <w:noProof/>
          <w:lang w:eastAsia="sk-SK"/>
        </w:rPr>
        <w:t>Možnosť získať predčasné starobné dôchodky</w:t>
      </w:r>
      <w:r>
        <w:rPr>
          <w:noProof/>
          <w:lang w:eastAsia="sk-SK"/>
        </w:rPr>
        <w:t xml:space="preserve"> </w:t>
      </w:r>
      <w:r w:rsidRPr="00B9284C">
        <w:rPr>
          <w:noProof/>
          <w:lang w:eastAsia="sk-SK"/>
        </w:rPr>
        <w:t>po odpracovaní 40 rokov</w:t>
      </w:r>
      <w:r w:rsidR="00B44AC3">
        <w:rPr>
          <w:noProof/>
          <w:lang w:eastAsia="sk-SK"/>
        </w:rPr>
        <w:t xml:space="preserve"> </w:t>
      </w:r>
      <w:r w:rsidRPr="00B9284C">
        <w:rPr>
          <w:noProof/>
          <w:lang w:eastAsia="sk-SK"/>
        </w:rPr>
        <w:t xml:space="preserve">zvýhodnila </w:t>
      </w:r>
      <w:r>
        <w:rPr>
          <w:noProof/>
          <w:lang w:eastAsia="sk-SK"/>
        </w:rPr>
        <w:t xml:space="preserve">týchto </w:t>
      </w:r>
      <w:r w:rsidRPr="00B9284C">
        <w:rPr>
          <w:noProof/>
          <w:lang w:eastAsia="sk-SK"/>
        </w:rPr>
        <w:t xml:space="preserve">žiadateľov a spôsobila veľký záujem zo strany </w:t>
      </w:r>
      <w:r>
        <w:rPr>
          <w:noProof/>
          <w:lang w:eastAsia="sk-SK"/>
        </w:rPr>
        <w:t xml:space="preserve">poistencov. </w:t>
      </w:r>
      <w:r w:rsidRPr="00737494">
        <w:rPr>
          <w:rFonts w:cs="Segoe UI"/>
          <w:szCs w:val="20"/>
        </w:rPr>
        <w:t xml:space="preserve">Počet novopriznaných </w:t>
      </w:r>
      <w:r>
        <w:rPr>
          <w:rFonts w:cs="Segoe UI"/>
          <w:szCs w:val="20"/>
        </w:rPr>
        <w:t xml:space="preserve">predčasných starobných dôchodkov v roku 2023 </w:t>
      </w:r>
      <w:r w:rsidRPr="00A51405">
        <w:rPr>
          <w:rFonts w:cs="Segoe UI"/>
          <w:szCs w:val="20"/>
        </w:rPr>
        <w:t xml:space="preserve">stúpol </w:t>
      </w:r>
      <w:r w:rsidRPr="00737494">
        <w:rPr>
          <w:rFonts w:cs="Segoe UI"/>
          <w:szCs w:val="20"/>
        </w:rPr>
        <w:t>medziročne</w:t>
      </w:r>
      <w:r>
        <w:rPr>
          <w:rFonts w:cs="Segoe UI"/>
          <w:b/>
          <w:szCs w:val="20"/>
        </w:rPr>
        <w:t xml:space="preserve"> </w:t>
      </w:r>
      <w:r w:rsidRPr="00A51405">
        <w:rPr>
          <w:rFonts w:cs="Segoe UI"/>
          <w:szCs w:val="20"/>
        </w:rPr>
        <w:t>o 41,2 %</w:t>
      </w:r>
      <w:r>
        <w:rPr>
          <w:rFonts w:cs="Segoe UI"/>
          <w:szCs w:val="20"/>
        </w:rPr>
        <w:t>, pričom sa zmenila</w:t>
      </w:r>
      <w:r w:rsidRPr="00B9284C">
        <w:rPr>
          <w:rFonts w:cs="Segoe UI"/>
          <w:szCs w:val="20"/>
        </w:rPr>
        <w:t xml:space="preserve"> aj priemern</w:t>
      </w:r>
      <w:r>
        <w:rPr>
          <w:rFonts w:cs="Segoe UI"/>
          <w:szCs w:val="20"/>
        </w:rPr>
        <w:t>á</w:t>
      </w:r>
      <w:r w:rsidRPr="00B9284C">
        <w:rPr>
          <w:rFonts w:cs="Segoe UI"/>
          <w:szCs w:val="20"/>
        </w:rPr>
        <w:t xml:space="preserve"> výšk</w:t>
      </w:r>
      <w:r>
        <w:rPr>
          <w:rFonts w:cs="Segoe UI"/>
          <w:szCs w:val="20"/>
        </w:rPr>
        <w:t>a</w:t>
      </w:r>
      <w:r w:rsidRPr="00B9284C">
        <w:rPr>
          <w:rFonts w:cs="Segoe UI"/>
          <w:szCs w:val="20"/>
        </w:rPr>
        <w:t xml:space="preserve"> dôchodkových dávok</w:t>
      </w:r>
      <w:r>
        <w:rPr>
          <w:rFonts w:cs="Segoe UI"/>
          <w:szCs w:val="20"/>
        </w:rPr>
        <w:t>.</w:t>
      </w:r>
      <w:r w:rsidRPr="00B9284C">
        <w:rPr>
          <w:rFonts w:cs="Segoe UI"/>
          <w:szCs w:val="20"/>
        </w:rPr>
        <w:t xml:space="preserve"> P</w:t>
      </w:r>
      <w:r>
        <w:rPr>
          <w:rFonts w:cs="Segoe UI"/>
          <w:szCs w:val="20"/>
        </w:rPr>
        <w:t xml:space="preserve">redčasný starobný dôchodok </w:t>
      </w:r>
      <w:r w:rsidRPr="00B9284C">
        <w:rPr>
          <w:rFonts w:cs="Segoe UI"/>
          <w:szCs w:val="20"/>
        </w:rPr>
        <w:t>začína od roku 20</w:t>
      </w:r>
      <w:r>
        <w:rPr>
          <w:rFonts w:cs="Segoe UI"/>
          <w:szCs w:val="20"/>
        </w:rPr>
        <w:t>23 presahovať priemernú výšku starobných dôchodkov</w:t>
      </w:r>
      <w:r w:rsidRPr="00B9284C">
        <w:rPr>
          <w:rFonts w:cs="Segoe UI"/>
          <w:szCs w:val="20"/>
        </w:rPr>
        <w:t xml:space="preserve"> o</w:t>
      </w:r>
      <w:r>
        <w:rPr>
          <w:rFonts w:cs="Segoe UI"/>
          <w:szCs w:val="20"/>
        </w:rPr>
        <w:t> </w:t>
      </w:r>
      <w:r w:rsidRPr="00B9284C">
        <w:rPr>
          <w:rFonts w:cs="Segoe UI"/>
          <w:szCs w:val="20"/>
        </w:rPr>
        <w:t>29,3 eur/mesiac.</w:t>
      </w:r>
    </w:p>
    <w:p w14:paraId="269409FA" w14:textId="5A08AA94" w:rsidR="008625E6" w:rsidRPr="008625E6" w:rsidRDefault="005F261C" w:rsidP="008625E6">
      <w:pPr>
        <w:rPr>
          <w:b/>
          <w:noProof/>
          <w:lang w:eastAsia="sk-SK"/>
        </w:rPr>
      </w:pPr>
      <w:r w:rsidRPr="000B757D">
        <w:rPr>
          <w:b/>
          <w:noProof/>
          <w:lang w:eastAsia="sk-SK"/>
        </w:rPr>
        <w:t xml:space="preserve">Výdavky </w:t>
      </w:r>
      <w:r w:rsidR="003C67BD" w:rsidRPr="000B757D">
        <w:rPr>
          <w:b/>
          <w:noProof/>
          <w:lang w:eastAsia="sk-SK"/>
        </w:rPr>
        <w:t>podporili výraznou mierou aj príjmy z EÚ, ktoré</w:t>
      </w:r>
      <w:r w:rsidR="00EA50D3" w:rsidRPr="000B757D">
        <w:rPr>
          <w:b/>
          <w:noProof/>
          <w:lang w:eastAsia="sk-SK"/>
        </w:rPr>
        <w:t xml:space="preserve"> boli</w:t>
      </w:r>
      <w:r w:rsidR="003C67BD" w:rsidRPr="000B757D">
        <w:rPr>
          <w:b/>
          <w:noProof/>
          <w:lang w:eastAsia="sk-SK"/>
        </w:rPr>
        <w:t xml:space="preserve"> </w:t>
      </w:r>
      <w:r w:rsidR="00D640DB" w:rsidRPr="000B757D">
        <w:rPr>
          <w:b/>
          <w:noProof/>
          <w:lang w:eastAsia="sk-SK"/>
        </w:rPr>
        <w:t xml:space="preserve">v roku 2023 </w:t>
      </w:r>
      <w:r w:rsidR="00EA50D3" w:rsidRPr="000B757D">
        <w:rPr>
          <w:b/>
          <w:noProof/>
          <w:lang w:eastAsia="sk-SK"/>
        </w:rPr>
        <w:t xml:space="preserve">medziročne dvakrát vyššie a </w:t>
      </w:r>
      <w:r w:rsidR="003C67BD" w:rsidRPr="000B757D">
        <w:rPr>
          <w:b/>
          <w:noProof/>
          <w:lang w:eastAsia="sk-SK"/>
        </w:rPr>
        <w:t>predstavovali 4,5 mld. eur.</w:t>
      </w:r>
      <w:r w:rsidR="003C67BD">
        <w:rPr>
          <w:noProof/>
          <w:lang w:eastAsia="sk-SK"/>
        </w:rPr>
        <w:t xml:space="preserve"> Z</w:t>
      </w:r>
      <w:r w:rsidRPr="00CC2B42">
        <w:rPr>
          <w:noProof/>
          <w:lang w:eastAsia="sk-SK"/>
        </w:rPr>
        <w:t>ásadn</w:t>
      </w:r>
      <w:r w:rsidR="003C67BD">
        <w:rPr>
          <w:noProof/>
          <w:lang w:eastAsia="sk-SK"/>
        </w:rPr>
        <w:t>ú časť z toho tvorilo dočerpávanie prostriedkov z</w:t>
      </w:r>
      <w:r w:rsidR="00456490">
        <w:rPr>
          <w:noProof/>
          <w:lang w:eastAsia="sk-SK"/>
        </w:rPr>
        <w:t> programového obdobia</w:t>
      </w:r>
      <w:r w:rsidR="003C67BD">
        <w:rPr>
          <w:noProof/>
          <w:lang w:eastAsia="sk-SK"/>
        </w:rPr>
        <w:t xml:space="preserve"> 2014 – 2020 (3,5 mld. eur), pričom ku koncu roka 2023 sa vyčerpalo 85</w:t>
      </w:r>
      <w:r w:rsidR="00F965B0">
        <w:rPr>
          <w:noProof/>
          <w:lang w:eastAsia="sk-SK"/>
        </w:rPr>
        <w:t>,4</w:t>
      </w:r>
      <w:r w:rsidR="003C67BD">
        <w:rPr>
          <w:noProof/>
          <w:lang w:eastAsia="sk-SK"/>
        </w:rPr>
        <w:t xml:space="preserve"> % ce</w:t>
      </w:r>
      <w:r w:rsidR="00F965B0">
        <w:rPr>
          <w:noProof/>
          <w:lang w:eastAsia="sk-SK"/>
        </w:rPr>
        <w:t>lkovej</w:t>
      </w:r>
      <w:r w:rsidR="00456490">
        <w:rPr>
          <w:noProof/>
          <w:lang w:eastAsia="sk-SK"/>
        </w:rPr>
        <w:t xml:space="preserve"> alokácie</w:t>
      </w:r>
      <w:r w:rsidR="003C67BD">
        <w:rPr>
          <w:noProof/>
          <w:lang w:eastAsia="sk-SK"/>
        </w:rPr>
        <w:t xml:space="preserve">. </w:t>
      </w:r>
      <w:r w:rsidR="0031039E">
        <w:rPr>
          <w:noProof/>
          <w:lang w:eastAsia="sk-SK"/>
        </w:rPr>
        <w:t>Dočerpávaniu výrazne pomohlo</w:t>
      </w:r>
      <w:r w:rsidR="0031039E" w:rsidRPr="0031039E">
        <w:rPr>
          <w:noProof/>
          <w:lang w:eastAsia="sk-SK"/>
        </w:rPr>
        <w:t xml:space="preserve"> </w:t>
      </w:r>
      <w:r w:rsidR="0031039E">
        <w:rPr>
          <w:noProof/>
          <w:lang w:eastAsia="sk-SK"/>
        </w:rPr>
        <w:t xml:space="preserve">aj </w:t>
      </w:r>
      <w:r w:rsidR="0031039E" w:rsidRPr="0031039E">
        <w:rPr>
          <w:noProof/>
          <w:lang w:eastAsia="sk-SK"/>
        </w:rPr>
        <w:t>presmerovani</w:t>
      </w:r>
      <w:r w:rsidR="0031039E">
        <w:rPr>
          <w:noProof/>
          <w:lang w:eastAsia="sk-SK"/>
        </w:rPr>
        <w:t>e</w:t>
      </w:r>
      <w:r w:rsidR="0031039E" w:rsidRPr="0031039E">
        <w:rPr>
          <w:noProof/>
          <w:lang w:eastAsia="sk-SK"/>
        </w:rPr>
        <w:t xml:space="preserve"> na energopomoc</w:t>
      </w:r>
      <w:r w:rsidR="0031039E">
        <w:rPr>
          <w:noProof/>
          <w:lang w:eastAsia="sk-SK"/>
        </w:rPr>
        <w:t>.</w:t>
      </w:r>
      <w:r w:rsidR="0031039E" w:rsidRPr="0031039E">
        <w:rPr>
          <w:noProof/>
          <w:lang w:eastAsia="sk-SK"/>
        </w:rPr>
        <w:t xml:space="preserve"> </w:t>
      </w:r>
      <w:r w:rsidR="0031039E">
        <w:rPr>
          <w:noProof/>
          <w:lang w:eastAsia="sk-SK"/>
        </w:rPr>
        <w:t>Č</w:t>
      </w:r>
      <w:r w:rsidR="003C67BD">
        <w:rPr>
          <w:noProof/>
          <w:lang w:eastAsia="sk-SK"/>
        </w:rPr>
        <w:t xml:space="preserve">erpanie z nového </w:t>
      </w:r>
      <w:r w:rsidR="00456490">
        <w:rPr>
          <w:noProof/>
          <w:lang w:eastAsia="sk-SK"/>
        </w:rPr>
        <w:t>programového obdobia</w:t>
      </w:r>
      <w:r w:rsidR="003C67BD">
        <w:rPr>
          <w:noProof/>
          <w:lang w:eastAsia="sk-SK"/>
        </w:rPr>
        <w:t xml:space="preserve"> 2021 – 2027 bolo stále zanedbateľné, s 0,02 % celkovej alokácie ku koncu roka a aj čerpanie z</w:t>
      </w:r>
      <w:r w:rsidR="00456490">
        <w:rPr>
          <w:noProof/>
          <w:lang w:eastAsia="sk-SK"/>
        </w:rPr>
        <w:t xml:space="preserve"> plánu obnovy </w:t>
      </w:r>
      <w:r w:rsidR="003C67BD">
        <w:rPr>
          <w:noProof/>
          <w:lang w:eastAsia="sk-SK"/>
        </w:rPr>
        <w:t xml:space="preserve">sa </w:t>
      </w:r>
      <w:r w:rsidR="00D640DB">
        <w:rPr>
          <w:noProof/>
          <w:lang w:eastAsia="sk-SK"/>
        </w:rPr>
        <w:t xml:space="preserve">zatiaľ </w:t>
      </w:r>
      <w:r w:rsidR="003C67BD">
        <w:rPr>
          <w:noProof/>
          <w:lang w:eastAsia="sk-SK"/>
        </w:rPr>
        <w:t>dostatočne nenaštartovalo</w:t>
      </w:r>
      <w:r w:rsidR="008B70E4">
        <w:rPr>
          <w:noProof/>
          <w:lang w:eastAsia="sk-SK"/>
        </w:rPr>
        <w:t>,</w:t>
      </w:r>
      <w:r w:rsidR="00EA50D3" w:rsidRPr="00EA50D3">
        <w:rPr>
          <w:noProof/>
          <w:lang w:eastAsia="sk-SK"/>
        </w:rPr>
        <w:t xml:space="preserve"> </w:t>
      </w:r>
      <w:r w:rsidR="008A030B">
        <w:rPr>
          <w:noProof/>
          <w:lang w:eastAsia="sk-SK"/>
        </w:rPr>
        <w:t xml:space="preserve">keď </w:t>
      </w:r>
      <w:r w:rsidR="00EA50D3" w:rsidRPr="0027200C">
        <w:rPr>
          <w:noProof/>
          <w:lang w:eastAsia="sk-SK"/>
        </w:rPr>
        <w:t>nedosiahl</w:t>
      </w:r>
      <w:r w:rsidR="008A030B">
        <w:rPr>
          <w:noProof/>
          <w:lang w:eastAsia="sk-SK"/>
        </w:rPr>
        <w:t>o</w:t>
      </w:r>
      <w:r w:rsidR="00EA50D3" w:rsidRPr="0027200C">
        <w:rPr>
          <w:noProof/>
          <w:lang w:eastAsia="sk-SK"/>
        </w:rPr>
        <w:t xml:space="preserve"> ani pätinu </w:t>
      </w:r>
      <w:r w:rsidR="00EA50D3">
        <w:rPr>
          <w:noProof/>
          <w:lang w:eastAsia="sk-SK"/>
        </w:rPr>
        <w:t xml:space="preserve">plánovaného </w:t>
      </w:r>
      <w:r w:rsidR="00EA50D3" w:rsidRPr="00A81877">
        <w:rPr>
          <w:noProof/>
          <w:lang w:eastAsia="sk-SK"/>
        </w:rPr>
        <w:t>čerpania</w:t>
      </w:r>
      <w:r w:rsidR="00D62C7E">
        <w:rPr>
          <w:noProof/>
          <w:lang w:eastAsia="sk-SK"/>
        </w:rPr>
        <w:t xml:space="preserve"> ku koncu roka</w:t>
      </w:r>
      <w:r w:rsidR="008B70E4" w:rsidRPr="00A81877">
        <w:rPr>
          <w:noProof/>
          <w:lang w:eastAsia="sk-SK"/>
        </w:rPr>
        <w:t xml:space="preserve"> (</w:t>
      </w:r>
      <w:r w:rsidR="00A81877" w:rsidRPr="00A81877">
        <w:rPr>
          <w:noProof/>
          <w:lang w:eastAsia="sk-SK"/>
        </w:rPr>
        <w:t>6</w:t>
      </w:r>
      <w:r w:rsidR="008B70E4" w:rsidRPr="00A81877">
        <w:rPr>
          <w:noProof/>
          <w:lang w:eastAsia="sk-SK"/>
        </w:rPr>
        <w:t>,</w:t>
      </w:r>
      <w:r w:rsidR="00A81877" w:rsidRPr="00A81877">
        <w:rPr>
          <w:noProof/>
          <w:lang w:eastAsia="sk-SK"/>
        </w:rPr>
        <w:t>7</w:t>
      </w:r>
      <w:r w:rsidR="008B70E4" w:rsidRPr="00A81877">
        <w:rPr>
          <w:noProof/>
          <w:lang w:eastAsia="sk-SK"/>
        </w:rPr>
        <w:t xml:space="preserve"> %</w:t>
      </w:r>
      <w:r w:rsidR="002272FA">
        <w:rPr>
          <w:noProof/>
          <w:lang w:eastAsia="sk-SK"/>
        </w:rPr>
        <w:t xml:space="preserve"> z </w:t>
      </w:r>
      <w:r w:rsidR="00D62C7E">
        <w:rPr>
          <w:noProof/>
          <w:lang w:eastAsia="sk-SK"/>
        </w:rPr>
        <w:t>celkov</w:t>
      </w:r>
      <w:r w:rsidR="002272FA">
        <w:rPr>
          <w:noProof/>
          <w:lang w:eastAsia="sk-SK"/>
        </w:rPr>
        <w:t>ej alokácie</w:t>
      </w:r>
      <w:r w:rsidR="008B70E4" w:rsidRPr="00A81877">
        <w:rPr>
          <w:noProof/>
          <w:lang w:eastAsia="sk-SK"/>
        </w:rPr>
        <w:t>)</w:t>
      </w:r>
      <w:r w:rsidR="00EA50D3" w:rsidRPr="00A81877">
        <w:rPr>
          <w:noProof/>
          <w:lang w:eastAsia="sk-SK"/>
        </w:rPr>
        <w:t>.</w:t>
      </w:r>
      <w:r w:rsidR="0008770A" w:rsidRPr="0008770A">
        <w:t xml:space="preserve"> </w:t>
      </w:r>
      <w:r w:rsidR="0008770A">
        <w:t>P</w:t>
      </w:r>
      <w:r w:rsidR="00456490">
        <w:t>lán obnovy</w:t>
      </w:r>
      <w:r w:rsidR="0008770A">
        <w:t xml:space="preserve"> m</w:t>
      </w:r>
      <w:r w:rsidR="000B757D">
        <w:t>á</w:t>
      </w:r>
      <w:r w:rsidR="0008770A">
        <w:t xml:space="preserve"> riešiť aj nedostatočnú kapacitu </w:t>
      </w:r>
      <w:r w:rsidR="00456490">
        <w:t>materských škôl</w:t>
      </w:r>
      <w:r w:rsidR="0008770A">
        <w:t xml:space="preserve"> či odliv mozgov. </w:t>
      </w:r>
      <w:r w:rsidR="0008770A" w:rsidRPr="008625E6">
        <w:rPr>
          <w:b/>
          <w:noProof/>
          <w:lang w:eastAsia="sk-SK"/>
        </w:rPr>
        <w:t xml:space="preserve">NKÚ SR zdôrazňuje, že ak nedôjde k výraznému zvýšeniu tempa čerpania prostriedkov </w:t>
      </w:r>
      <w:r w:rsidR="008625E6" w:rsidRPr="008625E6">
        <w:rPr>
          <w:b/>
          <w:noProof/>
          <w:lang w:eastAsia="sk-SK"/>
        </w:rPr>
        <w:t xml:space="preserve">plánu obnovy, SR stratí možnosť riešiť </w:t>
      </w:r>
      <w:r w:rsidR="00B44AC3">
        <w:rPr>
          <w:b/>
          <w:noProof/>
          <w:lang w:eastAsia="sk-SK"/>
        </w:rPr>
        <w:t xml:space="preserve">týmto spôsobom </w:t>
      </w:r>
      <w:r w:rsidR="008625E6" w:rsidRPr="008625E6">
        <w:rPr>
          <w:b/>
          <w:noProof/>
          <w:lang w:eastAsia="sk-SK"/>
        </w:rPr>
        <w:t>svoj modernizačný dlh.</w:t>
      </w:r>
    </w:p>
    <w:p w14:paraId="14C86734" w14:textId="0CAC2C92" w:rsidR="005F261C" w:rsidRDefault="00A134ED" w:rsidP="008419F0">
      <w:pPr>
        <w:rPr>
          <w:noProof/>
          <w:lang w:eastAsia="sk-SK"/>
        </w:rPr>
      </w:pPr>
      <w:r w:rsidRPr="00113ACD">
        <w:rPr>
          <w:b/>
          <w:noProof/>
          <w:lang w:eastAsia="sk-SK"/>
        </w:rPr>
        <w:t>Zadlžovanie zdravotníckych zariadení sa nedarí systematicky uchopiť vyše 20 rokov. Ri</w:t>
      </w:r>
      <w:r>
        <w:rPr>
          <w:b/>
          <w:noProof/>
          <w:lang w:eastAsia="sk-SK"/>
        </w:rPr>
        <w:t>e</w:t>
      </w:r>
      <w:r w:rsidRPr="00113ACD">
        <w:rPr>
          <w:b/>
          <w:noProof/>
          <w:lang w:eastAsia="sk-SK"/>
        </w:rPr>
        <w:t>šením roku 2023 je zvýšenie platby za poistenc</w:t>
      </w:r>
      <w:r w:rsidR="00B44AC3">
        <w:rPr>
          <w:b/>
          <w:noProof/>
          <w:lang w:eastAsia="sk-SK"/>
        </w:rPr>
        <w:t>ov</w:t>
      </w:r>
      <w:r w:rsidRPr="00113ACD">
        <w:rPr>
          <w:b/>
          <w:noProof/>
          <w:lang w:eastAsia="sk-SK"/>
        </w:rPr>
        <w:t xml:space="preserve"> štátu, ktor</w:t>
      </w:r>
      <w:r w:rsidR="00B44AC3">
        <w:rPr>
          <w:b/>
          <w:noProof/>
          <w:lang w:eastAsia="sk-SK"/>
        </w:rPr>
        <w:t>ej</w:t>
      </w:r>
      <w:r w:rsidRPr="00113ACD">
        <w:rPr>
          <w:b/>
          <w:noProof/>
          <w:lang w:eastAsia="sk-SK"/>
        </w:rPr>
        <w:t xml:space="preserve"> </w:t>
      </w:r>
      <w:r w:rsidR="00B44AC3">
        <w:rPr>
          <w:b/>
          <w:noProof/>
          <w:lang w:eastAsia="sk-SK"/>
        </w:rPr>
        <w:t xml:space="preserve">výška </w:t>
      </w:r>
      <w:r w:rsidRPr="00113ACD">
        <w:rPr>
          <w:b/>
          <w:noProof/>
          <w:lang w:eastAsia="sk-SK"/>
        </w:rPr>
        <w:t xml:space="preserve">však stále predstavuje </w:t>
      </w:r>
      <w:r w:rsidR="00B44AC3">
        <w:rPr>
          <w:b/>
          <w:noProof/>
          <w:lang w:eastAsia="sk-SK"/>
        </w:rPr>
        <w:t xml:space="preserve">len </w:t>
      </w:r>
      <w:r w:rsidRPr="00113ACD">
        <w:rPr>
          <w:b/>
          <w:noProof/>
          <w:lang w:eastAsia="sk-SK"/>
        </w:rPr>
        <w:t>tretinu platby</w:t>
      </w:r>
      <w:r>
        <w:rPr>
          <w:b/>
          <w:noProof/>
          <w:lang w:eastAsia="sk-SK"/>
        </w:rPr>
        <w:t xml:space="preserve"> za ekonomicky aktívne obyvateľstvo</w:t>
      </w:r>
      <w:r w:rsidRPr="00113ACD">
        <w:rPr>
          <w:b/>
          <w:noProof/>
          <w:lang w:eastAsia="sk-SK"/>
        </w:rPr>
        <w:t>.</w:t>
      </w:r>
      <w:r>
        <w:rPr>
          <w:noProof/>
          <w:lang w:eastAsia="sk-SK"/>
        </w:rPr>
        <w:t xml:space="preserve"> </w:t>
      </w:r>
      <w:r w:rsidRPr="00E44B76">
        <w:rPr>
          <w:noProof/>
          <w:lang w:eastAsia="sk-SK"/>
        </w:rPr>
        <w:t xml:space="preserve">Zadlženosť 13 najväčších </w:t>
      </w:r>
      <w:r>
        <w:rPr>
          <w:noProof/>
          <w:lang w:eastAsia="sk-SK"/>
        </w:rPr>
        <w:t>nemocníc</w:t>
      </w:r>
      <w:r w:rsidRPr="00E44B76">
        <w:rPr>
          <w:noProof/>
          <w:lang w:eastAsia="sk-SK"/>
        </w:rPr>
        <w:t xml:space="preserve"> v pôsobností MZ SR je obzvlášť vážna, </w:t>
      </w:r>
      <w:r w:rsidR="00B44AC3">
        <w:rPr>
          <w:noProof/>
          <w:lang w:eastAsia="sk-SK"/>
        </w:rPr>
        <w:t>pretože</w:t>
      </w:r>
      <w:r w:rsidRPr="00E44B76">
        <w:rPr>
          <w:noProof/>
          <w:lang w:eastAsia="sk-SK"/>
        </w:rPr>
        <w:t xml:space="preserve"> tieto </w:t>
      </w:r>
      <w:r>
        <w:rPr>
          <w:noProof/>
          <w:lang w:eastAsia="sk-SK"/>
        </w:rPr>
        <w:t>nemocnice</w:t>
      </w:r>
      <w:r w:rsidRPr="00E44B76">
        <w:rPr>
          <w:noProof/>
          <w:lang w:eastAsia="sk-SK"/>
        </w:rPr>
        <w:t xml:space="preserve"> poskytujú najširší rozsah finančne náročných výkonov.</w:t>
      </w:r>
      <w:r>
        <w:rPr>
          <w:noProof/>
          <w:lang w:eastAsia="sk-SK"/>
        </w:rPr>
        <w:t xml:space="preserve"> </w:t>
      </w:r>
      <w:r w:rsidRPr="00E44B76">
        <w:rPr>
          <w:noProof/>
          <w:lang w:eastAsia="sk-SK"/>
        </w:rPr>
        <w:t xml:space="preserve">Celková zadlženosť </w:t>
      </w:r>
      <w:r>
        <w:rPr>
          <w:noProof/>
          <w:lang w:eastAsia="sk-SK"/>
        </w:rPr>
        <w:t>najväčších nemocníc</w:t>
      </w:r>
      <w:r w:rsidRPr="00E44B76">
        <w:rPr>
          <w:noProof/>
          <w:lang w:eastAsia="sk-SK"/>
        </w:rPr>
        <w:t xml:space="preserve"> dosiahla v roku 2023 úroveň 1,02 mld. eur a</w:t>
      </w:r>
      <w:r>
        <w:rPr>
          <w:noProof/>
          <w:lang w:eastAsia="sk-SK"/>
        </w:rPr>
        <w:t xml:space="preserve"> vďaka dobiehajúcemu oddlžovaniu sa </w:t>
      </w:r>
      <w:r w:rsidRPr="00E44B76">
        <w:rPr>
          <w:noProof/>
          <w:lang w:eastAsia="sk-SK"/>
        </w:rPr>
        <w:t xml:space="preserve">medziročne zvýšila </w:t>
      </w:r>
      <w:r>
        <w:rPr>
          <w:noProof/>
          <w:lang w:eastAsia="sk-SK"/>
        </w:rPr>
        <w:t xml:space="preserve">len </w:t>
      </w:r>
      <w:r w:rsidRPr="00E44B76">
        <w:rPr>
          <w:noProof/>
          <w:lang w:eastAsia="sk-SK"/>
        </w:rPr>
        <w:t>o 13,8 mil. eur.</w:t>
      </w:r>
      <w:r w:rsidRPr="00F97D1C">
        <w:rPr>
          <w:noProof/>
          <w:lang w:eastAsia="sk-SK"/>
        </w:rPr>
        <w:t xml:space="preserve"> </w:t>
      </w:r>
      <w:r w:rsidR="005F261C" w:rsidRPr="00731805">
        <w:rPr>
          <w:noProof/>
          <w:lang w:eastAsia="sk-SK"/>
        </w:rPr>
        <w:t>V</w:t>
      </w:r>
      <w:r w:rsidR="00456490">
        <w:rPr>
          <w:noProof/>
          <w:lang w:eastAsia="sk-SK"/>
        </w:rPr>
        <w:t> </w:t>
      </w:r>
      <w:r w:rsidR="005F261C" w:rsidRPr="00731805">
        <w:rPr>
          <w:noProof/>
          <w:lang w:eastAsia="sk-SK"/>
        </w:rPr>
        <w:t>posledn</w:t>
      </w:r>
      <w:r w:rsidR="00456490">
        <w:rPr>
          <w:noProof/>
          <w:lang w:eastAsia="sk-SK"/>
        </w:rPr>
        <w:t>om období rastie aj</w:t>
      </w:r>
      <w:r w:rsidR="005F261C" w:rsidRPr="00731805">
        <w:rPr>
          <w:noProof/>
          <w:lang w:eastAsia="sk-SK"/>
        </w:rPr>
        <w:t xml:space="preserve"> celkov</w:t>
      </w:r>
      <w:r w:rsidR="00456490">
        <w:rPr>
          <w:noProof/>
          <w:lang w:eastAsia="sk-SK"/>
        </w:rPr>
        <w:t>ý</w:t>
      </w:r>
      <w:r w:rsidR="005F261C" w:rsidRPr="00731805">
        <w:rPr>
          <w:noProof/>
          <w:lang w:eastAsia="sk-SK"/>
        </w:rPr>
        <w:t xml:space="preserve"> objem výdavkov </w:t>
      </w:r>
      <w:r w:rsidR="00456490">
        <w:rPr>
          <w:noProof/>
          <w:lang w:eastAsia="sk-SK"/>
        </w:rPr>
        <w:t>verejného zdravotného poistenia</w:t>
      </w:r>
      <w:r w:rsidR="005F261C" w:rsidRPr="00731805">
        <w:rPr>
          <w:noProof/>
          <w:lang w:eastAsia="sk-SK"/>
        </w:rPr>
        <w:t xml:space="preserve">. </w:t>
      </w:r>
      <w:r w:rsidR="007963F6" w:rsidRPr="007963F6">
        <w:rPr>
          <w:noProof/>
          <w:lang w:eastAsia="sk-SK"/>
        </w:rPr>
        <w:t xml:space="preserve">Kým v roku 2015 pretieklo cez </w:t>
      </w:r>
      <w:r w:rsidR="007963F6">
        <w:rPr>
          <w:noProof/>
          <w:lang w:eastAsia="sk-SK"/>
        </w:rPr>
        <w:t>verejné zdravotné poistenie</w:t>
      </w:r>
      <w:r w:rsidR="007963F6" w:rsidRPr="007963F6">
        <w:rPr>
          <w:noProof/>
          <w:lang w:eastAsia="sk-SK"/>
        </w:rPr>
        <w:t xml:space="preserve"> celkovo 4,2 mld. eur, v roku 2023 to bolo 7,2 mld.</w:t>
      </w:r>
      <w:r w:rsidR="007963F6">
        <w:rPr>
          <w:noProof/>
          <w:lang w:eastAsia="sk-SK"/>
        </w:rPr>
        <w:t xml:space="preserve"> eur. </w:t>
      </w:r>
      <w:r w:rsidR="005F261C" w:rsidRPr="00731805">
        <w:rPr>
          <w:noProof/>
          <w:lang w:eastAsia="sk-SK"/>
        </w:rPr>
        <w:t>Z</w:t>
      </w:r>
      <w:r w:rsidR="00A02F10">
        <w:rPr>
          <w:noProof/>
          <w:lang w:eastAsia="sk-SK"/>
        </w:rPr>
        <w:t xml:space="preserve"> hodnotených </w:t>
      </w:r>
      <w:r w:rsidR="005F261C" w:rsidRPr="00731805">
        <w:rPr>
          <w:noProof/>
          <w:lang w:eastAsia="sk-SK"/>
        </w:rPr>
        <w:t>plánovaných úspor vo výdavkoch na lieky vo výške 60 mil. eur sa v roku 2023 skutočne usporilo</w:t>
      </w:r>
      <w:r w:rsidR="005F261C">
        <w:rPr>
          <w:noProof/>
          <w:lang w:eastAsia="sk-SK"/>
        </w:rPr>
        <w:t xml:space="preserve"> </w:t>
      </w:r>
      <w:r w:rsidR="00456490">
        <w:rPr>
          <w:noProof/>
          <w:lang w:eastAsia="sk-SK"/>
        </w:rPr>
        <w:t xml:space="preserve">len </w:t>
      </w:r>
      <w:r w:rsidR="005F261C">
        <w:rPr>
          <w:noProof/>
          <w:lang w:eastAsia="sk-SK"/>
        </w:rPr>
        <w:t xml:space="preserve">22,3 mil. eur. </w:t>
      </w:r>
      <w:r w:rsidR="005F261C" w:rsidRPr="00731805">
        <w:rPr>
          <w:noProof/>
          <w:lang w:eastAsia="sk-SK"/>
        </w:rPr>
        <w:t xml:space="preserve">Podľa návrhu </w:t>
      </w:r>
      <w:r w:rsidR="0008770A">
        <w:rPr>
          <w:noProof/>
          <w:lang w:eastAsia="sk-SK"/>
        </w:rPr>
        <w:t xml:space="preserve">rozpočtu </w:t>
      </w:r>
      <w:r w:rsidR="00456490">
        <w:rPr>
          <w:noProof/>
          <w:lang w:eastAsia="sk-SK"/>
        </w:rPr>
        <w:t xml:space="preserve">však </w:t>
      </w:r>
      <w:r w:rsidR="005F261C" w:rsidRPr="00731805">
        <w:rPr>
          <w:noProof/>
          <w:lang w:eastAsia="sk-SK"/>
        </w:rPr>
        <w:t>mali byť v roku 2023 realizované úsporné o</w:t>
      </w:r>
      <w:r w:rsidR="00456490">
        <w:rPr>
          <w:noProof/>
          <w:lang w:eastAsia="sk-SK"/>
        </w:rPr>
        <w:t>patrenia vo výške 127 mil. eur.</w:t>
      </w:r>
    </w:p>
    <w:p w14:paraId="1CAFC345" w14:textId="112D2A5C" w:rsidR="00A134ED" w:rsidRPr="00A134ED" w:rsidRDefault="00A134ED" w:rsidP="00A134ED">
      <w:pPr>
        <w:rPr>
          <w:b/>
          <w:noProof/>
          <w:lang w:eastAsia="sk-SK"/>
        </w:rPr>
      </w:pPr>
      <w:r w:rsidRPr="00113ACD">
        <w:rPr>
          <w:b/>
          <w:noProof/>
          <w:lang w:eastAsia="sk-SK"/>
        </w:rPr>
        <w:t xml:space="preserve">Podiel dlhu samosprávy na nekonsolidovanom dlhu </w:t>
      </w:r>
      <w:r>
        <w:rPr>
          <w:b/>
          <w:noProof/>
          <w:lang w:eastAsia="sk-SK"/>
        </w:rPr>
        <w:t>verejnej správy</w:t>
      </w:r>
      <w:r w:rsidRPr="00113ACD">
        <w:rPr>
          <w:b/>
          <w:noProof/>
          <w:lang w:eastAsia="sk-SK"/>
        </w:rPr>
        <w:t xml:space="preserve"> dosiahol 3,6 % a predstavuje tak malú časť v porovnaní s dlhom </w:t>
      </w:r>
      <w:r>
        <w:rPr>
          <w:b/>
          <w:noProof/>
          <w:lang w:eastAsia="sk-SK"/>
        </w:rPr>
        <w:t>štátneho rozpočtu</w:t>
      </w:r>
      <w:r w:rsidRPr="00113ACD">
        <w:rPr>
          <w:b/>
          <w:noProof/>
          <w:lang w:eastAsia="sk-SK"/>
        </w:rPr>
        <w:t>.</w:t>
      </w:r>
      <w:r w:rsidRPr="005D7C0D">
        <w:rPr>
          <w:noProof/>
          <w:lang w:eastAsia="sk-SK"/>
        </w:rPr>
        <w:t xml:space="preserve"> Územná samospráva dosiahla v roku 2023 </w:t>
      </w:r>
      <w:r>
        <w:rPr>
          <w:noProof/>
          <w:lang w:eastAsia="sk-SK"/>
        </w:rPr>
        <w:t xml:space="preserve">v metodike </w:t>
      </w:r>
      <w:r w:rsidRPr="005D7C0D">
        <w:rPr>
          <w:noProof/>
          <w:lang w:eastAsia="sk-SK"/>
        </w:rPr>
        <w:t>ESA</w:t>
      </w:r>
      <w:r>
        <w:rPr>
          <w:noProof/>
          <w:lang w:eastAsia="sk-SK"/>
        </w:rPr>
        <w:t xml:space="preserve"> 2010</w:t>
      </w:r>
      <w:r w:rsidRPr="005D7C0D">
        <w:rPr>
          <w:noProof/>
          <w:lang w:eastAsia="sk-SK"/>
        </w:rPr>
        <w:t xml:space="preserve"> prebytok 97,7 mil. eur, čo je oproti rozpočtu viac o 420,3 mil. eur</w:t>
      </w:r>
      <w:r>
        <w:rPr>
          <w:noProof/>
          <w:lang w:eastAsia="sk-SK"/>
        </w:rPr>
        <w:t>. Bola dofinancovaná transferom v objeme 2,6 mld. eur, predovšetkým na prenesený výkon štátnej správy</w:t>
      </w:r>
      <w:r w:rsidR="00B44AC3">
        <w:rPr>
          <w:noProof/>
          <w:lang w:eastAsia="sk-SK"/>
        </w:rPr>
        <w:t>,</w:t>
      </w:r>
      <w:r>
        <w:rPr>
          <w:noProof/>
          <w:lang w:eastAsia="sk-SK"/>
        </w:rPr>
        <w:t xml:space="preserve"> a tiež obciam a VÚC boli odpustené aj splátky návratných finančných výpomocí vo výške 152 mil. eur. </w:t>
      </w:r>
      <w:r w:rsidRPr="00A134ED">
        <w:rPr>
          <w:b/>
          <w:noProof/>
          <w:lang w:eastAsia="sk-SK"/>
        </w:rPr>
        <w:t xml:space="preserve">NKÚ SR opakovane apeluje na potrebu reformy miestnej samosprávy a zvýšenie jej celkovej efektívnosti. </w:t>
      </w:r>
    </w:p>
    <w:p w14:paraId="4B48B548" w14:textId="687591E7" w:rsidR="007A72D5" w:rsidRPr="00113ACD" w:rsidRDefault="007A72D5" w:rsidP="007A72D5">
      <w:pPr>
        <w:rPr>
          <w:i/>
          <w:noProof/>
          <w:lang w:eastAsia="sk-SK"/>
        </w:rPr>
      </w:pPr>
      <w:r w:rsidRPr="00113ACD">
        <w:rPr>
          <w:i/>
          <w:noProof/>
          <w:lang w:eastAsia="sk-SK"/>
        </w:rPr>
        <w:t xml:space="preserve">NKÚ SR </w:t>
      </w:r>
      <w:r>
        <w:rPr>
          <w:i/>
          <w:noProof/>
          <w:lang w:eastAsia="sk-SK"/>
        </w:rPr>
        <w:t xml:space="preserve">poznamenáva, že návrh ŠZÚ za rok 2022 nebol schválený v NR SR. </w:t>
      </w:r>
      <w:r w:rsidRPr="00740542">
        <w:rPr>
          <w:i/>
          <w:noProof/>
          <w:lang w:eastAsia="sk-SK"/>
        </w:rPr>
        <w:t>Údaje zo ŠZÚ k 31.</w:t>
      </w:r>
      <w:r>
        <w:rPr>
          <w:i/>
          <w:noProof/>
          <w:lang w:eastAsia="sk-SK"/>
        </w:rPr>
        <w:t xml:space="preserve"> </w:t>
      </w:r>
      <w:r w:rsidRPr="00740542">
        <w:rPr>
          <w:i/>
          <w:noProof/>
          <w:lang w:eastAsia="sk-SK"/>
        </w:rPr>
        <w:t>12.</w:t>
      </w:r>
      <w:r>
        <w:rPr>
          <w:i/>
          <w:noProof/>
          <w:lang w:eastAsia="sk-SK"/>
        </w:rPr>
        <w:t xml:space="preserve"> </w:t>
      </w:r>
      <w:r w:rsidRPr="00740542">
        <w:rPr>
          <w:i/>
          <w:noProof/>
          <w:lang w:eastAsia="sk-SK"/>
        </w:rPr>
        <w:t>2022</w:t>
      </w:r>
      <w:r>
        <w:rPr>
          <w:i/>
          <w:noProof/>
          <w:lang w:eastAsia="sk-SK"/>
        </w:rPr>
        <w:t xml:space="preserve"> však</w:t>
      </w:r>
      <w:r w:rsidRPr="00740542">
        <w:rPr>
          <w:i/>
          <w:noProof/>
          <w:lang w:eastAsia="sk-SK"/>
        </w:rPr>
        <w:t xml:space="preserve"> tvoria východiskový stav hospodárenia SR k 1.</w:t>
      </w:r>
      <w:r>
        <w:rPr>
          <w:i/>
          <w:noProof/>
          <w:lang w:eastAsia="sk-SK"/>
        </w:rPr>
        <w:t xml:space="preserve"> </w:t>
      </w:r>
      <w:r w:rsidRPr="00740542">
        <w:rPr>
          <w:i/>
          <w:noProof/>
          <w:lang w:eastAsia="sk-SK"/>
        </w:rPr>
        <w:t>1.</w:t>
      </w:r>
      <w:r>
        <w:rPr>
          <w:i/>
          <w:noProof/>
          <w:lang w:eastAsia="sk-SK"/>
        </w:rPr>
        <w:t xml:space="preserve"> </w:t>
      </w:r>
      <w:r w:rsidRPr="00740542">
        <w:rPr>
          <w:i/>
          <w:noProof/>
          <w:lang w:eastAsia="sk-SK"/>
        </w:rPr>
        <w:t xml:space="preserve">2023. Pre porovnanie údajov súvisiacich so skutočným vývojom </w:t>
      </w:r>
      <w:r>
        <w:rPr>
          <w:i/>
          <w:noProof/>
          <w:lang w:eastAsia="sk-SK"/>
        </w:rPr>
        <w:t>rozpočtu v rokoch</w:t>
      </w:r>
      <w:r w:rsidRPr="00740542">
        <w:rPr>
          <w:i/>
          <w:noProof/>
          <w:lang w:eastAsia="sk-SK"/>
        </w:rPr>
        <w:t xml:space="preserve"> 2022 a 2023 </w:t>
      </w:r>
      <w:r>
        <w:rPr>
          <w:i/>
          <w:noProof/>
          <w:lang w:eastAsia="sk-SK"/>
        </w:rPr>
        <w:t xml:space="preserve">tak </w:t>
      </w:r>
      <w:r w:rsidRPr="00740542">
        <w:rPr>
          <w:i/>
          <w:noProof/>
          <w:lang w:eastAsia="sk-SK"/>
        </w:rPr>
        <w:t xml:space="preserve">musel NKÚ SR zobrať do úvahy aj údaje z </w:t>
      </w:r>
      <w:r>
        <w:rPr>
          <w:i/>
          <w:noProof/>
          <w:lang w:eastAsia="sk-SK"/>
        </w:rPr>
        <w:t> </w:t>
      </w:r>
      <w:r w:rsidRPr="00740542">
        <w:rPr>
          <w:i/>
          <w:noProof/>
          <w:lang w:eastAsia="sk-SK"/>
        </w:rPr>
        <w:t xml:space="preserve">neschváleného </w:t>
      </w:r>
      <w:r>
        <w:rPr>
          <w:i/>
          <w:noProof/>
          <w:lang w:eastAsia="sk-SK"/>
        </w:rPr>
        <w:t xml:space="preserve">návrhu </w:t>
      </w:r>
      <w:r w:rsidRPr="00740542">
        <w:rPr>
          <w:i/>
          <w:noProof/>
          <w:lang w:eastAsia="sk-SK"/>
        </w:rPr>
        <w:t>ŠZÚ SR za rok 2022.</w:t>
      </w:r>
    </w:p>
    <w:p w14:paraId="0B00EC30" w14:textId="77777777" w:rsidR="00F974EA" w:rsidRDefault="00452C79" w:rsidP="00452C79">
      <w:pPr>
        <w:rPr>
          <w:i/>
          <w:noProof/>
          <w:lang w:eastAsia="sk-SK"/>
        </w:rPr>
        <w:sectPr w:rsidR="00F974EA" w:rsidSect="00962F36">
          <w:headerReference w:type="default" r:id="rId9"/>
          <w:footerReference w:type="default" r:id="rId10"/>
          <w:pgSz w:w="11906" w:h="16838"/>
          <w:pgMar w:top="1418" w:right="1418" w:bottom="1134" w:left="1418" w:header="0" w:footer="709" w:gutter="0"/>
          <w:cols w:space="708"/>
          <w:docGrid w:linePitch="360"/>
        </w:sectPr>
      </w:pPr>
      <w:r w:rsidRPr="00452C79">
        <w:rPr>
          <w:i/>
          <w:noProof/>
          <w:lang w:eastAsia="sk-SK"/>
        </w:rPr>
        <w:t xml:space="preserve">NKÚ SR upozorňuje na nejasnosti v texte Návrhu ŠZÚ za rok 2023, ktoré sú výsledkom aplikovania dvoch rôznych postupov. Kapitola 2.2 Saldo verejnej správy uvádza tabuľku a komentár ku konsolidovaným príjmom a výdavkom </w:t>
      </w:r>
      <w:r w:rsidR="00721E51">
        <w:rPr>
          <w:i/>
          <w:noProof/>
          <w:lang w:eastAsia="sk-SK"/>
        </w:rPr>
        <w:t>verejnej správy</w:t>
      </w:r>
      <w:r w:rsidRPr="00452C79">
        <w:rPr>
          <w:i/>
          <w:noProof/>
          <w:lang w:eastAsia="sk-SK"/>
        </w:rPr>
        <w:t xml:space="preserve"> v metodike ESA 2010 podľa ŠÚ SR. Úvod kapitoly používa hodnoty z </w:t>
      </w:r>
      <w:r w:rsidR="00721E51">
        <w:rPr>
          <w:i/>
          <w:noProof/>
          <w:lang w:eastAsia="sk-SK"/>
        </w:rPr>
        <w:t> </w:t>
      </w:r>
      <w:r w:rsidRPr="00452C79">
        <w:rPr>
          <w:i/>
          <w:noProof/>
          <w:lang w:eastAsia="sk-SK"/>
        </w:rPr>
        <w:t xml:space="preserve">jarnej notifikácie len na prvej strane a ďalší text a tabuľky uvádzajú hodnoty podľa </w:t>
      </w:r>
      <w:r w:rsidR="00721E51">
        <w:rPr>
          <w:i/>
          <w:noProof/>
          <w:lang w:eastAsia="sk-SK"/>
        </w:rPr>
        <w:t xml:space="preserve">postupu </w:t>
      </w:r>
      <w:r w:rsidRPr="00452C79">
        <w:rPr>
          <w:i/>
          <w:noProof/>
          <w:lang w:eastAsia="sk-SK"/>
        </w:rPr>
        <w:t>MF SR.</w:t>
      </w:r>
    </w:p>
    <w:p w14:paraId="394BC179" w14:textId="348FE88C" w:rsidR="00F974EA" w:rsidRDefault="008A4BCF" w:rsidP="00F54413">
      <w:pPr>
        <w:spacing w:after="160" w:line="259" w:lineRule="auto"/>
        <w:jc w:val="left"/>
        <w:rPr>
          <w:rFonts w:eastAsiaTheme="majorEastAsia" w:cstheme="majorBidi"/>
          <w:b/>
          <w:color w:val="314364"/>
          <w:position w:val="10"/>
          <w:sz w:val="32"/>
          <w:szCs w:val="32"/>
        </w:rPr>
        <w:sectPr w:rsidR="00F974EA" w:rsidSect="00962F36">
          <w:headerReference w:type="default" r:id="rId11"/>
          <w:pgSz w:w="11906" w:h="16838"/>
          <w:pgMar w:top="1418" w:right="1418" w:bottom="1134" w:left="1418" w:header="0" w:footer="709" w:gutter="0"/>
          <w:cols w:space="708"/>
          <w:docGrid w:linePitch="360"/>
        </w:sectPr>
      </w:pPr>
      <w:r>
        <w:rPr>
          <w:rFonts w:eastAsiaTheme="majorEastAsia" w:cstheme="majorBidi"/>
          <w:b/>
          <w:noProof/>
          <w:color w:val="314364"/>
          <w:position w:val="10"/>
          <w:sz w:val="32"/>
          <w:szCs w:val="32"/>
          <w:lang w:eastAsia="sk-SK"/>
        </w:rPr>
        <w:lastRenderedPageBreak/>
        <w:drawing>
          <wp:anchor distT="0" distB="0" distL="114300" distR="114300" simplePos="0" relativeHeight="251658240" behindDoc="0" locked="0" layoutInCell="1" allowOverlap="1" wp14:anchorId="1A5B8E2A" wp14:editId="7DB9E4CD">
            <wp:simplePos x="0" y="0"/>
            <wp:positionH relativeFrom="margin">
              <wp:align>center</wp:align>
            </wp:positionH>
            <wp:positionV relativeFrom="paragraph">
              <wp:posOffset>286385</wp:posOffset>
            </wp:positionV>
            <wp:extent cx="5991225" cy="8058785"/>
            <wp:effectExtent l="0" t="0" r="9525" b="0"/>
            <wp:wrapSquare wrapText="bothSides"/>
            <wp:docPr id="50" name="Obrázo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nfografika SZU 2023.png"/>
                    <pic:cNvPicPr/>
                  </pic:nvPicPr>
                  <pic:blipFill rotWithShape="1">
                    <a:blip r:embed="rId12" cstate="print">
                      <a:extLst>
                        <a:ext uri="{28A0092B-C50C-407E-A947-70E740481C1C}">
                          <a14:useLocalDpi xmlns:a14="http://schemas.microsoft.com/office/drawing/2010/main" val="0"/>
                        </a:ext>
                      </a:extLst>
                    </a:blip>
                    <a:srcRect l="3142" t="10991" r="3252"/>
                    <a:stretch/>
                  </pic:blipFill>
                  <pic:spPr bwMode="auto">
                    <a:xfrm>
                      <a:off x="0" y="0"/>
                      <a:ext cx="5991225" cy="805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69E41A6" w14:textId="786739B9" w:rsidR="00B10EC5" w:rsidRDefault="0042475D" w:rsidP="00611F98">
      <w:pPr>
        <w:pStyle w:val="Nadpis1"/>
      </w:pPr>
      <w:bookmarkStart w:id="4" w:name="_Toc168567177"/>
      <w:r w:rsidRPr="00611F98">
        <w:lastRenderedPageBreak/>
        <w:t>Ekonomický rámec rozpočtového hospodárenia</w:t>
      </w:r>
      <w:r w:rsidR="00382271" w:rsidRPr="00611F98">
        <w:t xml:space="preserve"> SR</w:t>
      </w:r>
      <w:bookmarkEnd w:id="4"/>
    </w:p>
    <w:p w14:paraId="3AB8D709" w14:textId="144DFB09" w:rsidR="00BB71F6" w:rsidRDefault="00BB71F6" w:rsidP="00BB71F6">
      <w:r w:rsidRPr="00B672B5">
        <w:rPr>
          <w:b/>
        </w:rPr>
        <w:t xml:space="preserve">Investície potiahli slovenskú ekonomiku </w:t>
      </w:r>
      <w:r>
        <w:rPr>
          <w:b/>
        </w:rPr>
        <w:t xml:space="preserve">najmä </w:t>
      </w:r>
      <w:r w:rsidRPr="00B672B5">
        <w:rPr>
          <w:b/>
        </w:rPr>
        <w:t xml:space="preserve">v závere minulého roka, </w:t>
      </w:r>
      <w:r>
        <w:rPr>
          <w:b/>
        </w:rPr>
        <w:t>vďaka čomu vzrásto</w:t>
      </w:r>
      <w:r w:rsidR="00FF3AE5">
        <w:rPr>
          <w:b/>
        </w:rPr>
        <w:t>l</w:t>
      </w:r>
      <w:r w:rsidRPr="00B672B5">
        <w:rPr>
          <w:b/>
        </w:rPr>
        <w:t xml:space="preserve"> </w:t>
      </w:r>
      <w:r w:rsidR="00215066">
        <w:rPr>
          <w:b/>
        </w:rPr>
        <w:t>reáln</w:t>
      </w:r>
      <w:r w:rsidR="00FF3AE5">
        <w:rPr>
          <w:b/>
        </w:rPr>
        <w:t>y</w:t>
      </w:r>
      <w:r w:rsidR="00215066">
        <w:rPr>
          <w:b/>
        </w:rPr>
        <w:t xml:space="preserve"> </w:t>
      </w:r>
      <w:r w:rsidRPr="00B672B5">
        <w:rPr>
          <w:b/>
        </w:rPr>
        <w:t>HDP o 1,6 %</w:t>
      </w:r>
      <w:r>
        <w:t xml:space="preserve"> (graf 1). </w:t>
      </w:r>
      <w:r w:rsidR="00215066">
        <w:t xml:space="preserve">Pôvodný medziročný rast HDP za rok 2023 zverejnený v marci </w:t>
      </w:r>
      <w:r w:rsidR="00EA50D3">
        <w:t xml:space="preserve">2024 </w:t>
      </w:r>
      <w:r w:rsidR="00215066">
        <w:t xml:space="preserve">dosahoval 1,1 % </w:t>
      </w:r>
      <w:r>
        <w:t>HDP</w:t>
      </w:r>
      <w:r w:rsidR="00215066">
        <w:t xml:space="preserve"> v stálych cenách, ale aprílová revízia ho upravila smerom nahor.</w:t>
      </w:r>
      <w:r>
        <w:t xml:space="preserve"> </w:t>
      </w:r>
      <w:r w:rsidR="00215066">
        <w:t xml:space="preserve">HDP </w:t>
      </w:r>
      <w:r>
        <w:t xml:space="preserve">rástol </w:t>
      </w:r>
      <w:r w:rsidR="00215066">
        <w:t>najmä</w:t>
      </w:r>
      <w:r>
        <w:t xml:space="preserve"> vďaka povinnému dočerpaniu fondov EÚ z predošlého PO</w:t>
      </w:r>
      <w:r w:rsidR="00215066">
        <w:t xml:space="preserve"> v 2. polroku 2023</w:t>
      </w:r>
      <w:r>
        <w:t xml:space="preserve">. </w:t>
      </w:r>
      <w:r w:rsidR="00262424">
        <w:t>Konečná</w:t>
      </w:r>
      <w:r w:rsidR="001615BD">
        <w:t xml:space="preserve"> s</w:t>
      </w:r>
      <w:r>
        <w:t xml:space="preserve">potreba </w:t>
      </w:r>
      <w:r w:rsidR="00262424">
        <w:t>domácnost</w:t>
      </w:r>
      <w:r w:rsidR="00EA50D3">
        <w:t>í</w:t>
      </w:r>
      <w:r w:rsidR="00262424">
        <w:t xml:space="preserve"> a </w:t>
      </w:r>
      <w:r w:rsidR="00F042B6">
        <w:t>VS</w:t>
      </w:r>
      <w:r w:rsidR="00262424">
        <w:t xml:space="preserve"> </w:t>
      </w:r>
      <w:r w:rsidR="00215066">
        <w:t xml:space="preserve">síce </w:t>
      </w:r>
      <w:r>
        <w:t xml:space="preserve">tlmila rast HDP, </w:t>
      </w:r>
      <w:r w:rsidR="00215066">
        <w:t>ale saldo zahraničného obchodu ho podporilo</w:t>
      </w:r>
      <w:r w:rsidR="006B5831">
        <w:t>.</w:t>
      </w:r>
      <w:r w:rsidR="00215066">
        <w:t xml:space="preserve"> </w:t>
      </w:r>
      <w:r w:rsidR="006B5831">
        <w:t xml:space="preserve">A to aj napriek poklesu exportu, </w:t>
      </w:r>
      <w:r w:rsidR="00215066">
        <w:t xml:space="preserve">keďže </w:t>
      </w:r>
      <w:r w:rsidR="006B5831">
        <w:t>dovoz medziročne výraznejšie poklesol</w:t>
      </w:r>
      <w:r w:rsidR="00215066">
        <w:t>.</w:t>
      </w:r>
      <w:r>
        <w:t xml:space="preserve"> Rast </w:t>
      </w:r>
      <w:r w:rsidR="006B5831">
        <w:t xml:space="preserve">spotrebiteľských </w:t>
      </w:r>
      <w:r>
        <w:t xml:space="preserve">cien dosiahol svoj vrchol vo februári </w:t>
      </w:r>
      <w:r w:rsidR="006B5831">
        <w:t xml:space="preserve">2023 </w:t>
      </w:r>
      <w:r>
        <w:t>na úrovni 15,4 % a odvtedy medziročná inflácia postupne klesala až k 5,9 %</w:t>
      </w:r>
      <w:r w:rsidR="006B5831">
        <w:t xml:space="preserve"> na konci roka</w:t>
      </w:r>
      <w:r>
        <w:t xml:space="preserve">. </w:t>
      </w:r>
      <w:r w:rsidR="007232EA">
        <w:t>Počas roka k</w:t>
      </w:r>
      <w:r w:rsidR="006B5831">
        <w:t>lesali všetky zložky i</w:t>
      </w:r>
      <w:r>
        <w:t>nfláci</w:t>
      </w:r>
      <w:r w:rsidR="006B5831">
        <w:t>e</w:t>
      </w:r>
      <w:r>
        <w:t xml:space="preserve">, no najviac </w:t>
      </w:r>
      <w:r w:rsidR="007A47BE">
        <w:t>spomalil rast</w:t>
      </w:r>
      <w:r w:rsidR="006B5831">
        <w:t xml:space="preserve"> c</w:t>
      </w:r>
      <w:r w:rsidR="007A47BE">
        <w:t>i</w:t>
      </w:r>
      <w:r w:rsidR="006B5831">
        <w:t>en</w:t>
      </w:r>
      <w:r>
        <w:t xml:space="preserve"> potravín, </w:t>
      </w:r>
      <w:r w:rsidR="008A2D1A">
        <w:t>a</w:t>
      </w:r>
      <w:r w:rsidR="00EA50D3">
        <w:t> </w:t>
      </w:r>
      <w:r w:rsidR="008A2D1A">
        <w:t>to</w:t>
      </w:r>
      <w:r w:rsidR="00EA50D3">
        <w:t xml:space="preserve"> z </w:t>
      </w:r>
      <w:r w:rsidR="008A2D1A">
        <w:t xml:space="preserve">viac ako 28 % </w:t>
      </w:r>
      <w:r>
        <w:t>na 6,5 %. Rast regulovaných cien energií bol tlm</w:t>
      </w:r>
      <w:r w:rsidR="00BE10BD">
        <w:t>ený najmä vládnymi opatreniami.</w:t>
      </w:r>
    </w:p>
    <w:p w14:paraId="6DF85404" w14:textId="48FD815B" w:rsidR="007A5D69" w:rsidRPr="00BC3CA3" w:rsidRDefault="007A5D69" w:rsidP="007A5D69">
      <w:pPr>
        <w:pStyle w:val="Popis"/>
        <w:keepNext/>
        <w:rPr>
          <w:color w:val="314364"/>
        </w:rPr>
      </w:pPr>
      <w:r w:rsidRPr="00121099">
        <w:rPr>
          <w:color w:val="314364"/>
        </w:rPr>
        <w:t xml:space="preserve">Graf </w:t>
      </w:r>
      <w:r w:rsidRPr="00121099">
        <w:rPr>
          <w:color w:val="314364"/>
        </w:rPr>
        <w:fldChar w:fldCharType="begin"/>
      </w:r>
      <w:r w:rsidRPr="00121099">
        <w:rPr>
          <w:color w:val="314364"/>
        </w:rPr>
        <w:instrText xml:space="preserve"> SEQ Graf \* ARABIC </w:instrText>
      </w:r>
      <w:r w:rsidRPr="00121099">
        <w:rPr>
          <w:color w:val="314364"/>
        </w:rPr>
        <w:fldChar w:fldCharType="separate"/>
      </w:r>
      <w:r w:rsidR="002A46D9">
        <w:rPr>
          <w:noProof/>
          <w:color w:val="314364"/>
        </w:rPr>
        <w:t>1</w:t>
      </w:r>
      <w:r w:rsidRPr="00121099">
        <w:rPr>
          <w:color w:val="314364"/>
        </w:rPr>
        <w:fldChar w:fldCharType="end"/>
      </w:r>
      <w:r w:rsidRPr="00121099">
        <w:rPr>
          <w:color w:val="314364"/>
        </w:rPr>
        <w:t>: Porovnanie prog</w:t>
      </w:r>
      <w:r w:rsidRPr="00AF5A13">
        <w:rPr>
          <w:color w:val="314364"/>
        </w:rPr>
        <w:t>nózy VpMP a skutočnosti za rok 20</w:t>
      </w:r>
      <w:r>
        <w:rPr>
          <w:color w:val="314364"/>
        </w:rPr>
        <w:t>23 (medziročná zmena v %)</w:t>
      </w:r>
    </w:p>
    <w:tbl>
      <w:tblPr>
        <w:tblStyle w:val="Mriekatabuky"/>
        <w:tblW w:w="500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9140"/>
      </w:tblGrid>
      <w:tr w:rsidR="007A5D69" w:rsidRPr="00C75134" w14:paraId="4901FEDF" w14:textId="77777777" w:rsidTr="00D8654E">
        <w:trPr>
          <w:trHeight w:val="3402"/>
        </w:trPr>
        <w:tc>
          <w:tcPr>
            <w:tcW w:w="9074" w:type="dxa"/>
            <w:tcBorders>
              <w:top w:val="single" w:sz="4" w:space="0" w:color="314364"/>
              <w:bottom w:val="single" w:sz="4" w:space="0" w:color="314364"/>
            </w:tcBorders>
            <w:shd w:val="clear" w:color="auto" w:fill="FFFFFF" w:themeFill="background1"/>
            <w:vAlign w:val="center"/>
          </w:tcPr>
          <w:p w14:paraId="6ABBFDBC" w14:textId="77777777" w:rsidR="007A5D69" w:rsidRPr="00C75134" w:rsidRDefault="007A5D69" w:rsidP="00D8654E">
            <w:pPr>
              <w:spacing w:after="0"/>
              <w:rPr>
                <w:b/>
                <w:color w:val="576431"/>
              </w:rPr>
            </w:pPr>
            <w:r>
              <w:rPr>
                <w:noProof/>
                <w:lang w:eastAsia="sk-SK"/>
              </w:rPr>
              <w:drawing>
                <wp:inline distT="0" distB="0" distL="0" distR="0" wp14:anchorId="25C60365" wp14:editId="387D09F1">
                  <wp:extent cx="5715000" cy="2171700"/>
                  <wp:effectExtent l="0" t="0" r="0" b="0"/>
                  <wp:docPr id="6" name="Graf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bl>
    <w:p w14:paraId="6C9B883A" w14:textId="77777777" w:rsidR="007A5D69" w:rsidRDefault="007A5D69" w:rsidP="007A5D69">
      <w:pPr>
        <w:pStyle w:val="Zdroj"/>
      </w:pPr>
      <w:r w:rsidRPr="00627D87">
        <w:t xml:space="preserve">Zdroj: </w:t>
      </w:r>
      <w:r>
        <w:t xml:space="preserve">Návrh RVS 2023 – 2025 – prognóza VpMP zo septembra 2022, Návrh </w:t>
      </w:r>
      <w:r w:rsidRPr="00AC02EC">
        <w:t>ŠZÚ</w:t>
      </w:r>
      <w:r>
        <w:t xml:space="preserve"> 2023</w:t>
      </w:r>
      <w:r w:rsidRPr="00AC02EC">
        <w:t xml:space="preserve">, </w:t>
      </w:r>
      <w:r>
        <w:t xml:space="preserve">MF SR, </w:t>
      </w:r>
      <w:r w:rsidRPr="00AC02EC">
        <w:t>ŠÚ SR</w:t>
      </w:r>
      <w:r>
        <w:t>.</w:t>
      </w:r>
    </w:p>
    <w:p w14:paraId="3FC0154B" w14:textId="74C8AA2C" w:rsidR="00BE10BD" w:rsidRDefault="007232EA" w:rsidP="00BE10BD">
      <w:r>
        <w:rPr>
          <w:b/>
        </w:rPr>
        <w:t>V porovnaní s rozpočtom bol r</w:t>
      </w:r>
      <w:r w:rsidR="00BE10BD" w:rsidRPr="00C71959">
        <w:rPr>
          <w:b/>
        </w:rPr>
        <w:t>ast reálnej ekonomiky vyšší</w:t>
      </w:r>
      <w:r w:rsidR="00FF3AE5">
        <w:rPr>
          <w:b/>
        </w:rPr>
        <w:t>, pričom</w:t>
      </w:r>
      <w:r w:rsidR="00BE10BD" w:rsidRPr="00C71959">
        <w:rPr>
          <w:b/>
        </w:rPr>
        <w:t xml:space="preserve"> nižšia než očakávaná inflácia </w:t>
      </w:r>
      <w:r w:rsidR="00AC02DD">
        <w:rPr>
          <w:b/>
        </w:rPr>
        <w:t>zobrala</w:t>
      </w:r>
      <w:r w:rsidR="00BE10BD" w:rsidRPr="00C71959">
        <w:rPr>
          <w:b/>
        </w:rPr>
        <w:t xml:space="preserve"> z rastu reáln</w:t>
      </w:r>
      <w:r w:rsidR="00BD7C11">
        <w:rPr>
          <w:b/>
        </w:rPr>
        <w:t>ej spotreby</w:t>
      </w:r>
      <w:r w:rsidR="00BE10BD" w:rsidRPr="00C71959">
        <w:rPr>
          <w:b/>
        </w:rPr>
        <w:t xml:space="preserve"> menej</w:t>
      </w:r>
      <w:r w:rsidR="00BE10BD">
        <w:t xml:space="preserve"> (graf 1). Vďaka nižšej inflácii klesla </w:t>
      </w:r>
      <w:r>
        <w:t xml:space="preserve">aj </w:t>
      </w:r>
      <w:r w:rsidR="00BE10BD">
        <w:t xml:space="preserve">reálna mzda </w:t>
      </w:r>
      <w:r w:rsidR="00FF3AE5">
        <w:t xml:space="preserve">o </w:t>
      </w:r>
      <w:r w:rsidR="00BE10BD">
        <w:t xml:space="preserve">menej ako sa predpokladalo </w:t>
      </w:r>
      <w:r w:rsidR="00BD7C11">
        <w:t xml:space="preserve">(medziročne o 0,8 %) </w:t>
      </w:r>
      <w:r w:rsidR="00BE10BD">
        <w:t>a výrazne pomalšie rástli aj fixné investície. Zamestnanosť stúpla v roku 2023 len mierne</w:t>
      </w:r>
      <w:r w:rsidR="00BD7C11">
        <w:t xml:space="preserve"> (o 0,3 %)</w:t>
      </w:r>
      <w:r w:rsidR="00BE10BD">
        <w:t>, pričom zamestnávatelia čelili problémom s obsadením voľných pracovných miest</w:t>
      </w:r>
      <w:r w:rsidR="00AC02DD" w:rsidRPr="00AC02DD">
        <w:t xml:space="preserve"> </w:t>
      </w:r>
      <w:r w:rsidR="00AC02DD">
        <w:t xml:space="preserve">a </w:t>
      </w:r>
      <w:r w:rsidR="00AC02DD" w:rsidRPr="00AC02DD">
        <w:t>predčasným odchodom do dôchodku</w:t>
      </w:r>
      <w:r w:rsidR="00BE10BD">
        <w:t>. K nárastu zamestnanosti výrazne prispeli zahraniční pracovníci, ktorých bolo</w:t>
      </w:r>
      <w:r w:rsidR="00D419E8">
        <w:t xml:space="preserve"> viac ako</w:t>
      </w:r>
      <w:r w:rsidR="00BE10BD">
        <w:t xml:space="preserve"> 100-tisíc, z čoho pätinu tvorili odídenci z Ukrajiny. </w:t>
      </w:r>
    </w:p>
    <w:p w14:paraId="50EABD35" w14:textId="7539F3B1" w:rsidR="00BB71F6" w:rsidRPr="009D2F88" w:rsidRDefault="00BB71F6" w:rsidP="00BB71F6">
      <w:r w:rsidRPr="008642AE">
        <w:rPr>
          <w:b/>
        </w:rPr>
        <w:t xml:space="preserve">V rámci medzinárodného porovnania rastu reálneho HDP v roku </w:t>
      </w:r>
      <w:r>
        <w:rPr>
          <w:b/>
        </w:rPr>
        <w:t>2023 bolo Slovensko</w:t>
      </w:r>
      <w:r w:rsidRPr="008642AE">
        <w:rPr>
          <w:b/>
        </w:rPr>
        <w:t xml:space="preserve"> nad priemerom EÚ</w:t>
      </w:r>
      <w:r>
        <w:t xml:space="preserve"> (graf 2). Slovenská ekonomika rástla v porovnaní s ostatnými krajinami V</w:t>
      </w:r>
      <w:r w:rsidR="00C87CB6">
        <w:t>4</w:t>
      </w:r>
      <w:r>
        <w:t xml:space="preserve"> najvýraznejšie.</w:t>
      </w:r>
    </w:p>
    <w:bookmarkEnd w:id="3"/>
    <w:p w14:paraId="06BF30EF" w14:textId="0CCD8F81" w:rsidR="00285E47" w:rsidRPr="00BC3CA3" w:rsidRDefault="00285E47" w:rsidP="00285E47">
      <w:pPr>
        <w:pStyle w:val="Popis"/>
        <w:keepNext/>
        <w:rPr>
          <w:color w:val="314364"/>
        </w:rPr>
      </w:pPr>
      <w:r w:rsidRPr="00BC3CA3">
        <w:rPr>
          <w:color w:val="314364"/>
        </w:rPr>
        <w:t xml:space="preserve">Graf </w:t>
      </w:r>
      <w:r w:rsidRPr="00BC3CA3">
        <w:rPr>
          <w:color w:val="314364"/>
        </w:rPr>
        <w:fldChar w:fldCharType="begin"/>
      </w:r>
      <w:r w:rsidRPr="00BC3CA3">
        <w:rPr>
          <w:color w:val="314364"/>
        </w:rPr>
        <w:instrText xml:space="preserve"> SEQ Graf \* ARABIC </w:instrText>
      </w:r>
      <w:r w:rsidRPr="00BC3CA3">
        <w:rPr>
          <w:color w:val="314364"/>
        </w:rPr>
        <w:fldChar w:fldCharType="separate"/>
      </w:r>
      <w:r w:rsidR="002A46D9">
        <w:rPr>
          <w:noProof/>
          <w:color w:val="314364"/>
        </w:rPr>
        <w:t>2</w:t>
      </w:r>
      <w:r w:rsidRPr="00BC3CA3">
        <w:rPr>
          <w:color w:val="314364"/>
        </w:rPr>
        <w:fldChar w:fldCharType="end"/>
      </w:r>
      <w:r w:rsidRPr="00BC3CA3">
        <w:rPr>
          <w:color w:val="314364"/>
        </w:rPr>
        <w:t>:</w:t>
      </w:r>
      <w:r>
        <w:rPr>
          <w:color w:val="314364"/>
        </w:rPr>
        <w:t xml:space="preserve"> </w:t>
      </w:r>
      <w:r w:rsidRPr="00AF5A13">
        <w:rPr>
          <w:color w:val="314364"/>
        </w:rPr>
        <w:t>Medzinárodné porovn</w:t>
      </w:r>
      <w:r>
        <w:rPr>
          <w:color w:val="314364"/>
        </w:rPr>
        <w:t>anie temp rastu reálneho HDP v roku 2023 (medziročná zmena v %)</w:t>
      </w:r>
    </w:p>
    <w:tbl>
      <w:tblPr>
        <w:tblStyle w:val="Mriekatabuky"/>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9152"/>
      </w:tblGrid>
      <w:tr w:rsidR="00285E47" w:rsidRPr="00C75134" w14:paraId="731C1149" w14:textId="77777777" w:rsidTr="0019343E">
        <w:trPr>
          <w:trHeight w:val="3288"/>
        </w:trPr>
        <w:tc>
          <w:tcPr>
            <w:tcW w:w="9072" w:type="dxa"/>
            <w:tcBorders>
              <w:top w:val="single" w:sz="4" w:space="0" w:color="314364"/>
              <w:bottom w:val="single" w:sz="4" w:space="0" w:color="314364"/>
            </w:tcBorders>
            <w:vAlign w:val="center"/>
          </w:tcPr>
          <w:p w14:paraId="6FC4FC9D" w14:textId="77777777" w:rsidR="00285E47" w:rsidRPr="00C75134" w:rsidRDefault="00285E47" w:rsidP="0019343E">
            <w:pPr>
              <w:spacing w:after="0"/>
              <w:rPr>
                <w:b/>
                <w:color w:val="576431"/>
              </w:rPr>
            </w:pPr>
            <w:r>
              <w:rPr>
                <w:noProof/>
                <w:lang w:eastAsia="sk-SK"/>
              </w:rPr>
              <w:drawing>
                <wp:inline distT="0" distB="0" distL="0" distR="0" wp14:anchorId="4972CF8E" wp14:editId="54916848">
                  <wp:extent cx="5722620" cy="2065020"/>
                  <wp:effectExtent l="0" t="0" r="0" b="0"/>
                  <wp:docPr id="30" name="Graf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bl>
    <w:p w14:paraId="16D02046" w14:textId="77777777" w:rsidR="00285E47" w:rsidRDefault="00285E47" w:rsidP="00285E47">
      <w:pPr>
        <w:pStyle w:val="Zdroj"/>
      </w:pPr>
      <w:r w:rsidRPr="00627D87">
        <w:t xml:space="preserve">Zdroj: </w:t>
      </w:r>
      <w:r w:rsidRPr="007426EA">
        <w:t>Eurostat</w:t>
      </w:r>
      <w:r>
        <w:t>.</w:t>
      </w:r>
    </w:p>
    <w:p w14:paraId="7F2C20E8" w14:textId="24597BB5" w:rsidR="00BD3507" w:rsidRDefault="0042475D" w:rsidP="002C027A">
      <w:pPr>
        <w:pStyle w:val="Nadpis1"/>
      </w:pPr>
      <w:bookmarkStart w:id="5" w:name="_Toc168567178"/>
      <w:r>
        <w:lastRenderedPageBreak/>
        <w:t xml:space="preserve">Hospodárenie verejnej správy </w:t>
      </w:r>
      <w:r w:rsidR="00FF3AE5">
        <w:t>v</w:t>
      </w:r>
      <w:r>
        <w:t> metodike ESA 2010</w:t>
      </w:r>
      <w:bookmarkEnd w:id="5"/>
    </w:p>
    <w:p w14:paraId="2830081B" w14:textId="2C8B89CC" w:rsidR="00CC7863" w:rsidRDefault="00611F98" w:rsidP="00CC7863">
      <w:r>
        <w:t>V</w:t>
      </w:r>
      <w:r w:rsidR="00CC7863">
        <w:t xml:space="preserve"> </w:t>
      </w:r>
      <w:r w:rsidR="00CC7863" w:rsidRPr="00E51868">
        <w:t>stanovisk</w:t>
      </w:r>
      <w:r>
        <w:t>u</w:t>
      </w:r>
      <w:r w:rsidR="00CC7863" w:rsidRPr="00E51868">
        <w:t xml:space="preserve"> </w:t>
      </w:r>
      <w:r>
        <w:t xml:space="preserve">k návrhu ŠZÚ </w:t>
      </w:r>
      <w:r w:rsidR="00CC7863">
        <w:t>hodnotil</w:t>
      </w:r>
      <w:r w:rsidR="00CC7863" w:rsidRPr="00E51868">
        <w:t xml:space="preserve"> </w:t>
      </w:r>
      <w:r>
        <w:t xml:space="preserve">NKÚ SR </w:t>
      </w:r>
      <w:r w:rsidR="00CC7863" w:rsidRPr="00E51868">
        <w:t xml:space="preserve">hospodárenie </w:t>
      </w:r>
      <w:r w:rsidR="00CC7863">
        <w:t>VS</w:t>
      </w:r>
      <w:r w:rsidR="00CC7863" w:rsidRPr="00E51868">
        <w:t xml:space="preserve"> na základe pr</w:t>
      </w:r>
      <w:r w:rsidR="00CC7863">
        <w:t>edbežných výsledkov</w:t>
      </w:r>
      <w:r w:rsidR="00CC7863" w:rsidRPr="00E51868">
        <w:t xml:space="preserve">, ktoré </w:t>
      </w:r>
      <w:r w:rsidR="00CC7863">
        <w:t>v čase tvorby tohto stanoviska boli k dispozícii.</w:t>
      </w:r>
      <w:r w:rsidR="00CC7863">
        <w:rPr>
          <w:rStyle w:val="Odkaznapoznmkupodiarou"/>
        </w:rPr>
        <w:footnoteReference w:id="1"/>
      </w:r>
      <w:r w:rsidR="00CC7863">
        <w:t xml:space="preserve"> </w:t>
      </w:r>
      <w:r w:rsidR="00CC7863" w:rsidRPr="00E51868">
        <w:t>Pre definitívne výsledky hospodárenia</w:t>
      </w:r>
      <w:r w:rsidR="00CC7863">
        <w:t xml:space="preserve"> VS</w:t>
      </w:r>
      <w:r w:rsidR="00CC7863" w:rsidRPr="00E51868">
        <w:t xml:space="preserve"> za predchádzajúci rok bude </w:t>
      </w:r>
      <w:r w:rsidR="000637F1">
        <w:t xml:space="preserve">však </w:t>
      </w:r>
      <w:r w:rsidR="00CC7863" w:rsidRPr="00E51868">
        <w:t>rozhodujúce stanovisko a notifikácia Eurostatu k výsledko</w:t>
      </w:r>
      <w:r w:rsidR="00CC7863">
        <w:t>m predloženým do 1. októbra 202</w:t>
      </w:r>
      <w:r w:rsidR="00D03A72">
        <w:t>4</w:t>
      </w:r>
      <w:r w:rsidR="00CC7863" w:rsidRPr="00E51868">
        <w:t>.</w:t>
      </w:r>
    </w:p>
    <w:p w14:paraId="6A09D752" w14:textId="5A34FF9C" w:rsidR="00750A6E" w:rsidRDefault="00750A6E" w:rsidP="00750A6E">
      <w:pPr>
        <w:rPr>
          <w:b/>
        </w:rPr>
      </w:pPr>
      <w:r>
        <w:rPr>
          <w:b/>
        </w:rPr>
        <w:t xml:space="preserve">NKÚ SR </w:t>
      </w:r>
      <w:r w:rsidR="005F261C">
        <w:rPr>
          <w:b/>
        </w:rPr>
        <w:t>upozorňuje, že</w:t>
      </w:r>
      <w:r>
        <w:rPr>
          <w:b/>
        </w:rPr>
        <w:t xml:space="preserve"> návrh ŠZÚ </w:t>
      </w:r>
      <w:r w:rsidR="005F261C">
        <w:rPr>
          <w:b/>
        </w:rPr>
        <w:t xml:space="preserve">za rok </w:t>
      </w:r>
      <w:r>
        <w:rPr>
          <w:b/>
        </w:rPr>
        <w:t>2023</w:t>
      </w:r>
      <w:r w:rsidR="005F261C">
        <w:rPr>
          <w:b/>
        </w:rPr>
        <w:t xml:space="preserve"> v k</w:t>
      </w:r>
      <w:r>
        <w:rPr>
          <w:b/>
        </w:rPr>
        <w:t>apitol</w:t>
      </w:r>
      <w:r w:rsidR="005F261C">
        <w:rPr>
          <w:b/>
        </w:rPr>
        <w:t>e</w:t>
      </w:r>
      <w:r>
        <w:rPr>
          <w:b/>
        </w:rPr>
        <w:t xml:space="preserve"> </w:t>
      </w:r>
      <w:r w:rsidRPr="00113ACD">
        <w:rPr>
          <w:b/>
          <w:i/>
        </w:rPr>
        <w:t>2.2 Saldo verejnej správy</w:t>
      </w:r>
      <w:r>
        <w:rPr>
          <w:b/>
        </w:rPr>
        <w:t xml:space="preserve"> nekonzistentne prezentuje informácie spracované dvoma rôznymi postupmi a môže tak uviesť čitateľa, užívateľa uvedených informácií, do omylu </w:t>
      </w:r>
      <w:r>
        <w:t>(box 1)</w:t>
      </w:r>
      <w:r w:rsidRPr="004969F3">
        <w:t>.</w:t>
      </w:r>
    </w:p>
    <w:tbl>
      <w:tblPr>
        <w:tblStyle w:val="Mriekatabuky"/>
        <w:tblW w:w="0" w:type="auto"/>
        <w:tblBorders>
          <w:top w:val="single" w:sz="4" w:space="0" w:color="314364" w:themeColor="text2"/>
          <w:left w:val="single" w:sz="4" w:space="0" w:color="314364" w:themeColor="text2"/>
          <w:bottom w:val="single" w:sz="4" w:space="0" w:color="314364" w:themeColor="text2"/>
          <w:right w:val="single" w:sz="4" w:space="0" w:color="314364" w:themeColor="text2"/>
          <w:insideH w:val="none" w:sz="0" w:space="0" w:color="auto"/>
          <w:insideV w:val="none" w:sz="0" w:space="0" w:color="auto"/>
        </w:tblBorders>
        <w:shd w:val="clear" w:color="auto" w:fill="EBF0FB" w:themeFill="background2" w:themeFillTint="33"/>
        <w:tblLook w:val="04A0" w:firstRow="1" w:lastRow="0" w:firstColumn="1" w:lastColumn="0" w:noHBand="0" w:noVBand="1"/>
      </w:tblPr>
      <w:tblGrid>
        <w:gridCol w:w="9060"/>
      </w:tblGrid>
      <w:tr w:rsidR="00750A6E" w:rsidRPr="00AC3675" w14:paraId="16578D7C" w14:textId="77777777" w:rsidTr="00A650EB">
        <w:tc>
          <w:tcPr>
            <w:tcW w:w="9060" w:type="dxa"/>
            <w:shd w:val="clear" w:color="auto" w:fill="EBF0FB" w:themeFill="background2" w:themeFillTint="33"/>
          </w:tcPr>
          <w:p w14:paraId="40049292" w14:textId="2E7A4B09" w:rsidR="00750A6E" w:rsidRPr="00767017" w:rsidRDefault="00750A6E" w:rsidP="00A650EB">
            <w:pPr>
              <w:spacing w:before="120" w:line="240" w:lineRule="auto"/>
              <w:rPr>
                <w:b/>
                <w:szCs w:val="18"/>
              </w:rPr>
            </w:pPr>
            <w:r w:rsidRPr="00767017">
              <w:rPr>
                <w:b/>
                <w:szCs w:val="18"/>
              </w:rPr>
              <w:t xml:space="preserve">BOX </w:t>
            </w:r>
            <w:r>
              <w:rPr>
                <w:b/>
                <w:szCs w:val="18"/>
              </w:rPr>
              <w:t>1</w:t>
            </w:r>
            <w:r w:rsidRPr="00767017">
              <w:rPr>
                <w:b/>
                <w:szCs w:val="18"/>
              </w:rPr>
              <w:t xml:space="preserve">: </w:t>
            </w:r>
            <w:r w:rsidRPr="00B90949">
              <w:rPr>
                <w:b/>
                <w:szCs w:val="18"/>
              </w:rPr>
              <w:t>Neprehľadný a metodicky ne</w:t>
            </w:r>
            <w:r w:rsidR="009D2DF2">
              <w:rPr>
                <w:b/>
                <w:szCs w:val="18"/>
              </w:rPr>
              <w:t>jasný</w:t>
            </w:r>
            <w:r w:rsidRPr="00B90949">
              <w:rPr>
                <w:b/>
                <w:szCs w:val="18"/>
              </w:rPr>
              <w:t xml:space="preserve"> text kapitoly 2.2 Saldo verejnej správy</w:t>
            </w:r>
          </w:p>
          <w:p w14:paraId="0A77C7F4" w14:textId="37FC80F2" w:rsidR="00750A6E" w:rsidRPr="00B90949" w:rsidRDefault="00750A6E" w:rsidP="00A650EB">
            <w:pPr>
              <w:pStyle w:val="Zkladntext0"/>
              <w:spacing w:after="120"/>
              <w:jc w:val="both"/>
              <w:rPr>
                <w:rFonts w:ascii="Segoe UI" w:eastAsia="Times New Roman" w:hAnsi="Segoe UI" w:cs="Segoe UI"/>
                <w:sz w:val="18"/>
                <w:szCs w:val="18"/>
              </w:rPr>
            </w:pPr>
            <w:r w:rsidRPr="00B90949">
              <w:rPr>
                <w:rFonts w:ascii="Segoe UI" w:eastAsia="Times New Roman" w:hAnsi="Segoe UI" w:cs="Segoe UI"/>
                <w:b/>
                <w:sz w:val="18"/>
                <w:szCs w:val="18"/>
              </w:rPr>
              <w:t xml:space="preserve">MF SR pri spracovávaní návrhu ŠZÚ 2023 zmenilo prístup k uvádzaniu konsolidovaných príjmov a výdavkov </w:t>
            </w:r>
            <w:r>
              <w:rPr>
                <w:rFonts w:ascii="Segoe UI" w:eastAsia="Times New Roman" w:hAnsi="Segoe UI" w:cs="Segoe UI"/>
                <w:b/>
                <w:sz w:val="18"/>
                <w:szCs w:val="18"/>
              </w:rPr>
              <w:t>VS</w:t>
            </w:r>
            <w:r w:rsidRPr="00B90949">
              <w:rPr>
                <w:rFonts w:ascii="Segoe UI" w:eastAsia="Times New Roman" w:hAnsi="Segoe UI" w:cs="Segoe UI"/>
                <w:b/>
                <w:sz w:val="18"/>
                <w:szCs w:val="18"/>
              </w:rPr>
              <w:t>, ktorý považuje NKÚ SR za menej prehľadný.</w:t>
            </w:r>
            <w:r w:rsidRPr="00B90949">
              <w:rPr>
                <w:rFonts w:ascii="Segoe UI" w:eastAsia="Times New Roman" w:hAnsi="Segoe UI" w:cs="Segoe UI"/>
                <w:sz w:val="18"/>
                <w:szCs w:val="18"/>
              </w:rPr>
              <w:t xml:space="preserve"> Prvá strana kapitoly </w:t>
            </w:r>
            <w:r w:rsidRPr="00B90949">
              <w:rPr>
                <w:rFonts w:ascii="Segoe UI" w:eastAsia="Times New Roman" w:hAnsi="Segoe UI" w:cs="Segoe UI"/>
                <w:i/>
                <w:sz w:val="18"/>
                <w:szCs w:val="18"/>
              </w:rPr>
              <w:t>2.2 Saldo verejnej správy</w:t>
            </w:r>
            <w:r w:rsidRPr="00B90949">
              <w:rPr>
                <w:rFonts w:ascii="Segoe UI" w:eastAsia="Times New Roman" w:hAnsi="Segoe UI" w:cs="Segoe UI"/>
                <w:sz w:val="18"/>
                <w:szCs w:val="18"/>
              </w:rPr>
              <w:t xml:space="preserve"> (s. 10 návrhu ŠZÚ) uvádza údaje podľa metodiky ESA 2010 spracovávané ŠÚ SR a komentuje ich vo viacerých odsekoch. Nasledujúci text na šiestich stranách (od s. 11 po s. 16) bez </w:t>
            </w:r>
            <w:r>
              <w:rPr>
                <w:rFonts w:ascii="Segoe UI" w:eastAsia="Times New Roman" w:hAnsi="Segoe UI" w:cs="Segoe UI"/>
                <w:sz w:val="18"/>
                <w:szCs w:val="18"/>
              </w:rPr>
              <w:t>uvedenia</w:t>
            </w:r>
            <w:r w:rsidRPr="00B90949">
              <w:rPr>
                <w:rFonts w:ascii="Segoe UI" w:eastAsia="Times New Roman" w:hAnsi="Segoe UI" w:cs="Segoe UI"/>
                <w:sz w:val="18"/>
                <w:szCs w:val="18"/>
              </w:rPr>
              <w:t xml:space="preserve"> </w:t>
            </w:r>
            <w:r>
              <w:rPr>
                <w:rFonts w:ascii="Segoe UI" w:eastAsia="Times New Roman" w:hAnsi="Segoe UI" w:cs="Segoe UI"/>
                <w:sz w:val="18"/>
                <w:szCs w:val="18"/>
              </w:rPr>
              <w:t>s</w:t>
            </w:r>
            <w:r w:rsidRPr="00B90949">
              <w:rPr>
                <w:rFonts w:ascii="Segoe UI" w:eastAsia="Times New Roman" w:hAnsi="Segoe UI" w:cs="Segoe UI"/>
                <w:sz w:val="18"/>
                <w:szCs w:val="18"/>
              </w:rPr>
              <w:t>presňuje a ďalej vysvetľuje odlišné hodnoty spracovávané MF SR. Sumy salda podľa ESA 2010 sú totožné, no ostatné hodnoty, vrátane celkových príjmov a výdavkov sa líšia</w:t>
            </w:r>
            <w:r>
              <w:rPr>
                <w:rFonts w:ascii="Segoe UI" w:eastAsia="Times New Roman" w:hAnsi="Segoe UI" w:cs="Segoe UI"/>
                <w:sz w:val="18"/>
                <w:szCs w:val="18"/>
              </w:rPr>
              <w:t>.</w:t>
            </w:r>
          </w:p>
          <w:p w14:paraId="74FFB44E" w14:textId="77777777" w:rsidR="00750A6E" w:rsidRPr="00963FF1" w:rsidRDefault="00750A6E" w:rsidP="00963FF1">
            <w:pPr>
              <w:pStyle w:val="Popis"/>
              <w:keepNext/>
              <w:rPr>
                <w:b w:val="0"/>
                <w:color w:val="314364"/>
              </w:rPr>
            </w:pPr>
            <w:r w:rsidRPr="00963FF1">
              <w:rPr>
                <w:color w:val="314364"/>
              </w:rPr>
              <w:t>Obrázok 1: Tabuľka 6 z návrhu ŠZÚ za rok 2023 schváleného vládou</w:t>
            </w:r>
          </w:p>
          <w:p w14:paraId="10B50F99" w14:textId="77777777" w:rsidR="00750A6E" w:rsidRPr="00B44557" w:rsidRDefault="00750A6E" w:rsidP="00A650EB">
            <w:pPr>
              <w:pStyle w:val="Zkladntext0"/>
              <w:spacing w:after="120"/>
              <w:jc w:val="both"/>
              <w:rPr>
                <w:rFonts w:ascii="Segoe UI" w:eastAsia="Times New Roman" w:hAnsi="Segoe UI" w:cs="Segoe UI"/>
                <w:i/>
                <w:sz w:val="14"/>
                <w:szCs w:val="16"/>
              </w:rPr>
            </w:pPr>
            <w:r w:rsidRPr="00C91FCE">
              <w:rPr>
                <w:rFonts w:ascii="Segoe UI" w:eastAsia="Times New Roman" w:hAnsi="Segoe UI" w:cs="Segoe UI"/>
                <w:noProof/>
                <w:sz w:val="20"/>
                <w:lang w:eastAsia="sk-SK"/>
              </w:rPr>
              <w:drawing>
                <wp:inline distT="0" distB="0" distL="0" distR="0" wp14:anchorId="37DB7A7B" wp14:editId="1B3D2A99">
                  <wp:extent cx="5596878" cy="2924175"/>
                  <wp:effectExtent l="0" t="0" r="0" b="0"/>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596878" cy="2924175"/>
                          </a:xfrm>
                          <a:prstGeom prst="rect">
                            <a:avLst/>
                          </a:prstGeom>
                        </pic:spPr>
                      </pic:pic>
                    </a:graphicData>
                  </a:graphic>
                </wp:inline>
              </w:drawing>
            </w:r>
            <w:r>
              <w:rPr>
                <w:rFonts w:ascii="Segoe UI" w:eastAsia="Times New Roman" w:hAnsi="Segoe UI" w:cs="Segoe UI"/>
                <w:i/>
                <w:sz w:val="14"/>
                <w:szCs w:val="16"/>
              </w:rPr>
              <w:t>Zdroj: Návrh ŠZÚ 2023.</w:t>
            </w:r>
          </w:p>
          <w:p w14:paraId="6C681AB7" w14:textId="6966B9D9" w:rsidR="00750A6E" w:rsidRPr="00B90949" w:rsidRDefault="00750A6E" w:rsidP="00750A6E">
            <w:pPr>
              <w:pStyle w:val="Zkladntext0"/>
              <w:spacing w:after="120"/>
              <w:jc w:val="both"/>
              <w:rPr>
                <w:rFonts w:ascii="Segoe UI" w:eastAsia="Times New Roman" w:hAnsi="Segoe UI" w:cs="Segoe UI"/>
                <w:sz w:val="18"/>
                <w:szCs w:val="18"/>
              </w:rPr>
            </w:pPr>
            <w:r w:rsidRPr="00B90949">
              <w:rPr>
                <w:rFonts w:ascii="Segoe UI" w:eastAsia="Times New Roman" w:hAnsi="Segoe UI" w:cs="Segoe UI"/>
                <w:b/>
                <w:sz w:val="18"/>
                <w:szCs w:val="18"/>
              </w:rPr>
              <w:t>Ne</w:t>
            </w:r>
            <w:r w:rsidR="009D2DF2">
              <w:rPr>
                <w:rFonts w:ascii="Segoe UI" w:eastAsia="Times New Roman" w:hAnsi="Segoe UI" w:cs="Segoe UI"/>
                <w:b/>
                <w:sz w:val="18"/>
                <w:szCs w:val="18"/>
              </w:rPr>
              <w:t>prehľadnosť</w:t>
            </w:r>
            <w:r w:rsidRPr="00B90949">
              <w:rPr>
                <w:rFonts w:ascii="Segoe UI" w:eastAsia="Times New Roman" w:hAnsi="Segoe UI" w:cs="Segoe UI"/>
                <w:b/>
                <w:sz w:val="18"/>
                <w:szCs w:val="18"/>
              </w:rPr>
              <w:t xml:space="preserve"> kapitoly </w:t>
            </w:r>
            <w:r w:rsidRPr="00B90949">
              <w:rPr>
                <w:rFonts w:ascii="Segoe UI" w:eastAsia="Times New Roman" w:hAnsi="Segoe UI" w:cs="Segoe UI"/>
                <w:b/>
                <w:i/>
                <w:sz w:val="18"/>
                <w:szCs w:val="18"/>
              </w:rPr>
              <w:t>2.2 Saldo verejnej správy</w:t>
            </w:r>
            <w:r w:rsidRPr="00B90949">
              <w:rPr>
                <w:rFonts w:ascii="Segoe UI" w:eastAsia="Times New Roman" w:hAnsi="Segoe UI" w:cs="Segoe UI"/>
                <w:b/>
                <w:sz w:val="18"/>
                <w:szCs w:val="18"/>
              </w:rPr>
              <w:t xml:space="preserve"> môžeme ilustrovať na príklade textu ku grantom a transferom.</w:t>
            </w:r>
            <w:r w:rsidRPr="00B90949">
              <w:rPr>
                <w:rFonts w:ascii="Segoe UI" w:eastAsia="Times New Roman" w:hAnsi="Segoe UI" w:cs="Segoe UI"/>
                <w:sz w:val="18"/>
                <w:szCs w:val="18"/>
              </w:rPr>
              <w:t xml:space="preserve"> Posledný odsek ŠZÚ na s. 10 uvádza, že v metodike ESA 2010 oproti rozpočtu na rok 2023 </w:t>
            </w:r>
            <w:r w:rsidRPr="00B90949">
              <w:rPr>
                <w:rFonts w:ascii="Segoe UI" w:eastAsia="Times New Roman" w:hAnsi="Segoe UI" w:cs="Segoe UI"/>
                <w:i/>
                <w:sz w:val="18"/>
                <w:szCs w:val="18"/>
              </w:rPr>
              <w:t>granty a transfery poklesli o 444 387 tis. eur.</w:t>
            </w:r>
            <w:r w:rsidRPr="00B90949">
              <w:rPr>
                <w:rFonts w:ascii="Segoe UI" w:eastAsia="Times New Roman" w:hAnsi="Segoe UI" w:cs="Segoe UI"/>
                <w:sz w:val="18"/>
                <w:szCs w:val="18"/>
              </w:rPr>
              <w:t xml:space="preserve"> Ďalej na s. 15 je v prvom odseku uvedené, že </w:t>
            </w:r>
            <w:r w:rsidRPr="00B90949">
              <w:rPr>
                <w:rFonts w:ascii="Segoe UI" w:eastAsia="Times New Roman" w:hAnsi="Segoe UI" w:cs="Segoe UI"/>
                <w:i/>
                <w:sz w:val="18"/>
                <w:szCs w:val="18"/>
              </w:rPr>
              <w:t>v porovnaní s rozpočtom bola hodnota konsolidovaných grantov a transferov v súlade s metodikou ESA 2010 vyššia o 2 765 776 tis. eur</w:t>
            </w:r>
            <w:r w:rsidRPr="00B90949">
              <w:rPr>
                <w:rFonts w:ascii="Segoe UI" w:eastAsia="Times New Roman" w:hAnsi="Segoe UI" w:cs="Segoe UI"/>
                <w:sz w:val="18"/>
                <w:szCs w:val="18"/>
              </w:rPr>
              <w:t xml:space="preserve">. Z textu ŠZÚ nie je zrejmé, či granty a transfery oproti rozpočtu poklesli o 444 mil. eur alebo stúpli o 2 766 mil. eur. </w:t>
            </w:r>
          </w:p>
          <w:p w14:paraId="70D5E01B" w14:textId="380B03B5" w:rsidR="00750A6E" w:rsidRDefault="00BD7C11" w:rsidP="00750A6E">
            <w:pPr>
              <w:pStyle w:val="Zkladntext0"/>
              <w:spacing w:after="120"/>
              <w:jc w:val="both"/>
              <w:rPr>
                <w:rFonts w:ascii="Segoe UI" w:eastAsia="Times New Roman" w:hAnsi="Segoe UI" w:cs="Segoe UI"/>
                <w:sz w:val="18"/>
                <w:szCs w:val="18"/>
              </w:rPr>
            </w:pPr>
            <w:r>
              <w:rPr>
                <w:rFonts w:ascii="Segoe UI" w:eastAsia="Times New Roman" w:hAnsi="Segoe UI" w:cs="Segoe UI"/>
                <w:b/>
                <w:sz w:val="18"/>
                <w:szCs w:val="18"/>
              </w:rPr>
              <w:t>Použitie údajov podľa dvoch rôznych metodík, metodiky ŠÚ SR a metodiky MF SR, malo byť v návrhu ŠZÚ za rok 2023 uvedené jasnejšie</w:t>
            </w:r>
            <w:r w:rsidR="00750A6E" w:rsidRPr="00B90949">
              <w:rPr>
                <w:rFonts w:ascii="Segoe UI" w:eastAsia="Times New Roman" w:hAnsi="Segoe UI" w:cs="Segoe UI"/>
                <w:b/>
                <w:sz w:val="18"/>
                <w:szCs w:val="18"/>
              </w:rPr>
              <w:t>.</w:t>
            </w:r>
            <w:r w:rsidR="00750A6E" w:rsidRPr="00B90949">
              <w:rPr>
                <w:rFonts w:ascii="Segoe UI" w:eastAsia="Times New Roman" w:hAnsi="Segoe UI" w:cs="Segoe UI"/>
                <w:sz w:val="18"/>
                <w:szCs w:val="18"/>
              </w:rPr>
              <w:t xml:space="preserve"> Pre úplnosť a zrozumiteľnosť uvádzame obe tabuľky, údaje ktorých sú nekonzistentne interpretované v</w:t>
            </w:r>
            <w:r w:rsidR="00750A6E">
              <w:rPr>
                <w:rFonts w:ascii="Segoe UI" w:eastAsia="Times New Roman" w:hAnsi="Segoe UI" w:cs="Segoe UI"/>
                <w:sz w:val="18"/>
                <w:szCs w:val="18"/>
              </w:rPr>
              <w:t xml:space="preserve"> návrhu </w:t>
            </w:r>
            <w:r w:rsidR="00750A6E" w:rsidRPr="00B90949">
              <w:rPr>
                <w:rFonts w:ascii="Segoe UI" w:eastAsia="Times New Roman" w:hAnsi="Segoe UI" w:cs="Segoe UI"/>
                <w:sz w:val="18"/>
                <w:szCs w:val="18"/>
              </w:rPr>
              <w:t xml:space="preserve">ŠZÚ 2023. Prvá tabuľka </w:t>
            </w:r>
            <w:r w:rsidR="001E11FE">
              <w:rPr>
                <w:rFonts w:ascii="Segoe UI" w:eastAsia="Times New Roman" w:hAnsi="Segoe UI" w:cs="Segoe UI"/>
                <w:sz w:val="18"/>
                <w:szCs w:val="18"/>
              </w:rPr>
              <w:t>(</w:t>
            </w:r>
            <w:r w:rsidR="00750A6E">
              <w:rPr>
                <w:rFonts w:ascii="Segoe UI" w:eastAsia="Times New Roman" w:hAnsi="Segoe UI" w:cs="Segoe UI"/>
                <w:sz w:val="18"/>
                <w:szCs w:val="18"/>
              </w:rPr>
              <w:t>obrázok 1</w:t>
            </w:r>
            <w:r w:rsidR="00750A6E" w:rsidRPr="00B90949">
              <w:rPr>
                <w:rFonts w:ascii="Segoe UI" w:eastAsia="Times New Roman" w:hAnsi="Segoe UI" w:cs="Segoe UI"/>
                <w:sz w:val="18"/>
                <w:szCs w:val="18"/>
              </w:rPr>
              <w:t xml:space="preserve">) je súčasťou predloženého návrhu ŠZÚ 2023 ako tabuľka 6 na strane 10. Druhá tabuľka </w:t>
            </w:r>
            <w:r w:rsidR="00750A6E">
              <w:rPr>
                <w:rFonts w:ascii="Segoe UI" w:eastAsia="Times New Roman" w:hAnsi="Segoe UI" w:cs="Segoe UI"/>
                <w:sz w:val="18"/>
                <w:szCs w:val="18"/>
              </w:rPr>
              <w:t>(obrázok 2</w:t>
            </w:r>
            <w:r w:rsidR="00750A6E" w:rsidRPr="00B90949">
              <w:rPr>
                <w:rFonts w:ascii="Segoe UI" w:eastAsia="Times New Roman" w:hAnsi="Segoe UI" w:cs="Segoe UI"/>
                <w:sz w:val="18"/>
                <w:szCs w:val="18"/>
              </w:rPr>
              <w:t xml:space="preserve">) je zostavená rovnakým spôsobom ako po minulé </w:t>
            </w:r>
            <w:r w:rsidR="00750A6E" w:rsidRPr="00B90949">
              <w:rPr>
                <w:rFonts w:ascii="Segoe UI" w:eastAsia="Times New Roman" w:hAnsi="Segoe UI" w:cs="Segoe UI"/>
                <w:sz w:val="18"/>
                <w:szCs w:val="18"/>
              </w:rPr>
              <w:lastRenderedPageBreak/>
              <w:t>roky</w:t>
            </w:r>
            <w:r w:rsidR="00750A6E" w:rsidRPr="00B90949">
              <w:rPr>
                <w:rStyle w:val="Odkaznapoznmkupodiarou"/>
                <w:rFonts w:ascii="Segoe UI" w:eastAsia="Times New Roman" w:hAnsi="Segoe UI" w:cs="Segoe UI"/>
                <w:sz w:val="18"/>
                <w:szCs w:val="18"/>
              </w:rPr>
              <w:footnoteReference w:id="2"/>
            </w:r>
            <w:r w:rsidR="00750A6E" w:rsidRPr="00B90949">
              <w:rPr>
                <w:rFonts w:ascii="Segoe UI" w:eastAsia="Times New Roman" w:hAnsi="Segoe UI" w:cs="Segoe UI"/>
                <w:sz w:val="18"/>
                <w:szCs w:val="18"/>
              </w:rPr>
              <w:t xml:space="preserve"> a zodpovedá údajom a informáciám uvedeným od druhého odseku na strane 11 predloženého návrhu ŠZÚ 2023.</w:t>
            </w:r>
          </w:p>
          <w:p w14:paraId="0D240C6B" w14:textId="77777777" w:rsidR="00750A6E" w:rsidRPr="00B90949" w:rsidRDefault="00750A6E" w:rsidP="00A650EB">
            <w:pPr>
              <w:pStyle w:val="Zkladntext0"/>
              <w:spacing w:after="120"/>
              <w:jc w:val="both"/>
              <w:rPr>
                <w:rFonts w:ascii="Segoe UI" w:eastAsia="Times New Roman" w:hAnsi="Segoe UI" w:cs="Segoe UI"/>
                <w:sz w:val="18"/>
                <w:szCs w:val="18"/>
              </w:rPr>
            </w:pPr>
            <w:r w:rsidRPr="00B90949">
              <w:rPr>
                <w:rFonts w:ascii="Segoe UI" w:eastAsia="Times New Roman" w:hAnsi="Segoe UI" w:cs="Segoe UI"/>
                <w:sz w:val="18"/>
                <w:szCs w:val="18"/>
              </w:rPr>
              <w:t xml:space="preserve">Príjmy podľa </w:t>
            </w:r>
            <w:r>
              <w:rPr>
                <w:rFonts w:ascii="Segoe UI" w:eastAsia="Times New Roman" w:hAnsi="Segoe UI" w:cs="Segoe UI"/>
                <w:sz w:val="18"/>
                <w:szCs w:val="18"/>
              </w:rPr>
              <w:t>prvej</w:t>
            </w:r>
            <w:r w:rsidRPr="00B90949">
              <w:rPr>
                <w:rFonts w:ascii="Segoe UI" w:eastAsia="Times New Roman" w:hAnsi="Segoe UI" w:cs="Segoe UI"/>
                <w:sz w:val="18"/>
                <w:szCs w:val="18"/>
              </w:rPr>
              <w:t xml:space="preserve"> tabuľky, ktorá je súčasťou ŠZÚ 2023 a uvádza údaje v metodike ESA 2010 spracované ŠÚ SR, dosiahli 52,8 mld. eur. Príjmy podľa </w:t>
            </w:r>
            <w:r>
              <w:rPr>
                <w:rFonts w:ascii="Segoe UI" w:eastAsia="Times New Roman" w:hAnsi="Segoe UI" w:cs="Segoe UI"/>
                <w:sz w:val="18"/>
                <w:szCs w:val="18"/>
              </w:rPr>
              <w:t>druhej</w:t>
            </w:r>
            <w:r w:rsidRPr="00B90949">
              <w:rPr>
                <w:rFonts w:ascii="Segoe UI" w:eastAsia="Times New Roman" w:hAnsi="Segoe UI" w:cs="Segoe UI"/>
                <w:sz w:val="18"/>
                <w:szCs w:val="18"/>
              </w:rPr>
              <w:t xml:space="preserve"> tabuľky, ktorá je v rovnakej štruktúre a metodike MF SR ako v predchádzajúcich rokoch, dosiahli 55,6 mld. eur. Rovnako je rozdiel v celkových výdavkoch, keď podľa tabuľky ŠÚ SR boli 58,9 mld. eur a podľa MF SR dosiahli 61,6 mld. eur. Saldo 6,0 mld. eur je v oboch prípadoch rovnaké. </w:t>
            </w:r>
          </w:p>
          <w:p w14:paraId="3AFD2250" w14:textId="77777777" w:rsidR="00750A6E" w:rsidRPr="00B90949" w:rsidRDefault="00750A6E" w:rsidP="00A650EB">
            <w:pPr>
              <w:pStyle w:val="Zkladntext0"/>
              <w:spacing w:after="120"/>
              <w:jc w:val="both"/>
              <w:rPr>
                <w:rFonts w:ascii="Segoe UI" w:eastAsia="Times New Roman" w:hAnsi="Segoe UI" w:cs="Segoe UI"/>
                <w:sz w:val="18"/>
                <w:szCs w:val="18"/>
              </w:rPr>
            </w:pPr>
            <w:r w:rsidRPr="00AD284E">
              <w:rPr>
                <w:rFonts w:ascii="Segoe UI" w:eastAsia="Times New Roman" w:hAnsi="Segoe UI" w:cs="Segoe UI"/>
                <w:b/>
                <w:sz w:val="18"/>
                <w:szCs w:val="18"/>
              </w:rPr>
              <w:t>Finančne najvýznamnejšie rozdiely medzi tabuľkami sú pri nedaňových príjmoch a bežných výdavkoch.</w:t>
            </w:r>
            <w:r>
              <w:rPr>
                <w:rFonts w:ascii="Segoe UI" w:eastAsia="Times New Roman" w:hAnsi="Segoe UI" w:cs="Segoe UI"/>
                <w:sz w:val="18"/>
                <w:szCs w:val="18"/>
              </w:rPr>
              <w:t xml:space="preserve"> </w:t>
            </w:r>
            <w:r w:rsidRPr="00B90949">
              <w:rPr>
                <w:rFonts w:ascii="Segoe UI" w:eastAsia="Times New Roman" w:hAnsi="Segoe UI" w:cs="Segoe UI"/>
                <w:sz w:val="18"/>
                <w:szCs w:val="18"/>
              </w:rPr>
              <w:t xml:space="preserve">Pri porovnaní rozpočtovaných a skutočných hodnôt sa k nim pridávajú aj granty a transfery. Bežné výdavky podľa </w:t>
            </w:r>
            <w:r>
              <w:rPr>
                <w:rFonts w:ascii="Segoe UI" w:eastAsia="Times New Roman" w:hAnsi="Segoe UI" w:cs="Segoe UI"/>
                <w:sz w:val="18"/>
                <w:szCs w:val="18"/>
              </w:rPr>
              <w:t>prvej</w:t>
            </w:r>
            <w:r w:rsidRPr="00B90949">
              <w:rPr>
                <w:rFonts w:ascii="Segoe UI" w:eastAsia="Times New Roman" w:hAnsi="Segoe UI" w:cs="Segoe UI"/>
                <w:sz w:val="18"/>
                <w:szCs w:val="18"/>
              </w:rPr>
              <w:t xml:space="preserve"> tabuľky (ŠÚ SR) klesli oproti rozpočtu o 0,7 mld. eur a podľa </w:t>
            </w:r>
            <w:r>
              <w:rPr>
                <w:rFonts w:ascii="Segoe UI" w:eastAsia="Times New Roman" w:hAnsi="Segoe UI" w:cs="Segoe UI"/>
                <w:sz w:val="18"/>
                <w:szCs w:val="18"/>
              </w:rPr>
              <w:t xml:space="preserve">druhej </w:t>
            </w:r>
            <w:r w:rsidRPr="00B90949">
              <w:rPr>
                <w:rFonts w:ascii="Segoe UI" w:eastAsia="Times New Roman" w:hAnsi="Segoe UI" w:cs="Segoe UI"/>
                <w:sz w:val="18"/>
                <w:szCs w:val="18"/>
              </w:rPr>
              <w:t xml:space="preserve">tabuľky (MF SR) stúpli o 2,5 mld. eur. Obdobne granty a transfery podľa </w:t>
            </w:r>
            <w:r>
              <w:rPr>
                <w:rFonts w:ascii="Segoe UI" w:eastAsia="Times New Roman" w:hAnsi="Segoe UI" w:cs="Segoe UI"/>
                <w:sz w:val="18"/>
                <w:szCs w:val="18"/>
              </w:rPr>
              <w:t>prvej</w:t>
            </w:r>
            <w:r w:rsidRPr="00B90949">
              <w:rPr>
                <w:rFonts w:ascii="Segoe UI" w:eastAsia="Times New Roman" w:hAnsi="Segoe UI" w:cs="Segoe UI"/>
                <w:sz w:val="18"/>
                <w:szCs w:val="18"/>
              </w:rPr>
              <w:t xml:space="preserve"> tabuľky klesli o 0,4 mld. eur a podľa </w:t>
            </w:r>
            <w:r>
              <w:rPr>
                <w:rFonts w:ascii="Segoe UI" w:eastAsia="Times New Roman" w:hAnsi="Segoe UI" w:cs="Segoe UI"/>
                <w:sz w:val="18"/>
                <w:szCs w:val="18"/>
              </w:rPr>
              <w:t>druhej</w:t>
            </w:r>
            <w:r w:rsidRPr="00B90949">
              <w:rPr>
                <w:rFonts w:ascii="Segoe UI" w:eastAsia="Times New Roman" w:hAnsi="Segoe UI" w:cs="Segoe UI"/>
                <w:sz w:val="18"/>
                <w:szCs w:val="18"/>
              </w:rPr>
              <w:t xml:space="preserve"> stúpli o 2,8 mld. eur. </w:t>
            </w:r>
          </w:p>
          <w:p w14:paraId="1C1A2ECE" w14:textId="22C78E8D" w:rsidR="00750A6E" w:rsidRDefault="00750A6E" w:rsidP="00A650EB">
            <w:pPr>
              <w:pStyle w:val="Zkladntext0"/>
              <w:spacing w:after="120"/>
              <w:jc w:val="both"/>
              <w:rPr>
                <w:rFonts w:ascii="Segoe UI" w:eastAsia="Times New Roman" w:hAnsi="Segoe UI" w:cs="Segoe UI"/>
                <w:sz w:val="18"/>
                <w:szCs w:val="18"/>
              </w:rPr>
            </w:pPr>
            <w:r w:rsidRPr="00B90949">
              <w:rPr>
                <w:rFonts w:ascii="Segoe UI" w:eastAsia="Times New Roman" w:hAnsi="Segoe UI" w:cs="Segoe UI"/>
                <w:b/>
                <w:sz w:val="18"/>
                <w:szCs w:val="18"/>
              </w:rPr>
              <w:t>Rozdiely medzi tabuľkami sú zapríčinené použitou metodikou, spôsobom výpočtu a obe sú v princípe správne.</w:t>
            </w:r>
            <w:r w:rsidRPr="00B90949">
              <w:rPr>
                <w:rFonts w:ascii="Segoe UI" w:eastAsia="Times New Roman" w:hAnsi="Segoe UI" w:cs="Segoe UI"/>
                <w:sz w:val="18"/>
                <w:szCs w:val="18"/>
              </w:rPr>
              <w:t xml:space="preserve"> Odlišnosti sú napríklad v prístupe k</w:t>
            </w:r>
            <w:r>
              <w:rPr>
                <w:rFonts w:ascii="Segoe UI" w:eastAsia="Times New Roman" w:hAnsi="Segoe UI" w:cs="Segoe UI"/>
                <w:sz w:val="18"/>
                <w:szCs w:val="18"/>
              </w:rPr>
              <w:t>u</w:t>
            </w:r>
            <w:r w:rsidRPr="00B90949">
              <w:rPr>
                <w:rFonts w:ascii="Segoe UI" w:eastAsia="Times New Roman" w:hAnsi="Segoe UI" w:cs="Segoe UI"/>
                <w:sz w:val="18"/>
                <w:szCs w:val="18"/>
              </w:rPr>
              <w:t xml:space="preserve"> akrualizácii </w:t>
            </w:r>
            <w:r>
              <w:rPr>
                <w:rFonts w:ascii="Segoe UI" w:eastAsia="Times New Roman" w:hAnsi="Segoe UI" w:cs="Segoe UI"/>
                <w:sz w:val="18"/>
                <w:szCs w:val="18"/>
              </w:rPr>
              <w:t xml:space="preserve">ako </w:t>
            </w:r>
            <w:r w:rsidRPr="00B90949">
              <w:rPr>
                <w:rFonts w:ascii="Segoe UI" w:eastAsia="Times New Roman" w:hAnsi="Segoe UI" w:cs="Segoe UI"/>
                <w:sz w:val="18"/>
                <w:szCs w:val="18"/>
              </w:rPr>
              <w:t>časovo posunutom hotovostnom plnení príjmov, vykazovaní zmen</w:t>
            </w:r>
            <w:r>
              <w:rPr>
                <w:rFonts w:ascii="Segoe UI" w:eastAsia="Times New Roman" w:hAnsi="Segoe UI" w:cs="Segoe UI"/>
                <w:sz w:val="18"/>
                <w:szCs w:val="18"/>
              </w:rPr>
              <w:t>y</w:t>
            </w:r>
            <w:r w:rsidRPr="00B90949">
              <w:rPr>
                <w:rFonts w:ascii="Segoe UI" w:eastAsia="Times New Roman" w:hAnsi="Segoe UI" w:cs="Segoe UI"/>
                <w:sz w:val="18"/>
                <w:szCs w:val="18"/>
              </w:rPr>
              <w:t xml:space="preserve"> stavu pohľadávok, zaznamenávaní výdavkov spojených s výskumo</w:t>
            </w:r>
            <w:r>
              <w:rPr>
                <w:rFonts w:ascii="Segoe UI" w:eastAsia="Times New Roman" w:hAnsi="Segoe UI" w:cs="Segoe UI"/>
                <w:sz w:val="18"/>
                <w:szCs w:val="18"/>
              </w:rPr>
              <w:t>m a vývojom alebo v konsolidácii</w:t>
            </w:r>
            <w:r w:rsidRPr="00B90949">
              <w:rPr>
                <w:rFonts w:ascii="Segoe UI" w:eastAsia="Times New Roman" w:hAnsi="Segoe UI" w:cs="Segoe UI"/>
                <w:sz w:val="18"/>
                <w:szCs w:val="18"/>
              </w:rPr>
              <w:t xml:space="preserve"> v rámci </w:t>
            </w:r>
            <w:r>
              <w:rPr>
                <w:rFonts w:ascii="Segoe UI" w:eastAsia="Times New Roman" w:hAnsi="Segoe UI" w:cs="Segoe UI"/>
                <w:sz w:val="18"/>
                <w:szCs w:val="18"/>
              </w:rPr>
              <w:t>VS</w:t>
            </w:r>
            <w:r w:rsidRPr="00B90949">
              <w:rPr>
                <w:rFonts w:ascii="Segoe UI" w:eastAsia="Times New Roman" w:hAnsi="Segoe UI" w:cs="Segoe UI"/>
                <w:sz w:val="18"/>
                <w:szCs w:val="18"/>
              </w:rPr>
              <w:t xml:space="preserve">. Počas roka 2023 sa to prejavilo napríklad pri energopomoci a vykazovaní jej financovania aj napríklad pomocou dvoch nových daní alebo pri transferoch do systémov sociálneho poistenia a dofinancovaní </w:t>
            </w:r>
            <w:r>
              <w:rPr>
                <w:rFonts w:ascii="Segoe UI" w:eastAsia="Times New Roman" w:hAnsi="Segoe UI" w:cs="Segoe UI"/>
                <w:sz w:val="18"/>
                <w:szCs w:val="18"/>
              </w:rPr>
              <w:t>VZP</w:t>
            </w:r>
            <w:r w:rsidRPr="00B90949">
              <w:rPr>
                <w:rFonts w:ascii="Segoe UI" w:eastAsia="Times New Roman" w:hAnsi="Segoe UI" w:cs="Segoe UI"/>
                <w:sz w:val="18"/>
                <w:szCs w:val="18"/>
              </w:rPr>
              <w:t xml:space="preserve"> cez zvýšené platby za poistencov štátu, či ďalšie oddlžovanie. </w:t>
            </w:r>
          </w:p>
          <w:p w14:paraId="33826336" w14:textId="1A613DE8" w:rsidR="00750A6E" w:rsidRPr="00963FF1" w:rsidRDefault="00750A6E" w:rsidP="00963FF1">
            <w:pPr>
              <w:pStyle w:val="Popis"/>
              <w:keepNext/>
              <w:rPr>
                <w:b w:val="0"/>
                <w:color w:val="314364"/>
              </w:rPr>
            </w:pPr>
            <w:r w:rsidRPr="00963FF1">
              <w:rPr>
                <w:color w:val="314364"/>
              </w:rPr>
              <w:t>Obrázok 2: Tabuľka 6 z pracovnej verzie návrhu ŠZÚ za rok 2023 predloženej NKÚ SR</w:t>
            </w:r>
          </w:p>
          <w:p w14:paraId="2C24E84F" w14:textId="77777777" w:rsidR="00750A6E" w:rsidRPr="00B44557" w:rsidRDefault="00750A6E" w:rsidP="00A650EB">
            <w:pPr>
              <w:pStyle w:val="Zkladntext0"/>
              <w:spacing w:after="0"/>
              <w:jc w:val="both"/>
              <w:rPr>
                <w:rFonts w:ascii="Segoe UI" w:eastAsia="Times New Roman" w:hAnsi="Segoe UI" w:cs="Segoe UI"/>
                <w:b/>
                <w:sz w:val="18"/>
                <w:szCs w:val="18"/>
              </w:rPr>
            </w:pPr>
            <w:r w:rsidRPr="00E20917">
              <w:rPr>
                <w:rFonts w:ascii="Segoe UI" w:eastAsia="Times New Roman" w:hAnsi="Segoe UI" w:cs="Segoe UI"/>
                <w:noProof/>
                <w:sz w:val="20"/>
                <w:lang w:eastAsia="sk-SK"/>
              </w:rPr>
              <w:drawing>
                <wp:inline distT="0" distB="0" distL="0" distR="0" wp14:anchorId="02EC4B5E" wp14:editId="525EF8EE">
                  <wp:extent cx="5604556" cy="2619375"/>
                  <wp:effectExtent l="0" t="0" r="0" b="1270"/>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604556" cy="2619375"/>
                          </a:xfrm>
                          <a:prstGeom prst="rect">
                            <a:avLst/>
                          </a:prstGeom>
                        </pic:spPr>
                      </pic:pic>
                    </a:graphicData>
                  </a:graphic>
                </wp:inline>
              </w:drawing>
            </w:r>
          </w:p>
          <w:p w14:paraId="1EF0E270" w14:textId="77777777" w:rsidR="00750A6E" w:rsidRPr="00B44557" w:rsidRDefault="00750A6E" w:rsidP="00A650EB">
            <w:pPr>
              <w:pStyle w:val="Zkladntext0"/>
              <w:spacing w:after="120"/>
              <w:jc w:val="both"/>
              <w:rPr>
                <w:rFonts w:ascii="Segoe UI" w:eastAsia="Times New Roman" w:hAnsi="Segoe UI" w:cs="Segoe UI"/>
                <w:i/>
                <w:sz w:val="14"/>
                <w:szCs w:val="16"/>
              </w:rPr>
            </w:pPr>
            <w:r w:rsidRPr="00B44557">
              <w:rPr>
                <w:rFonts w:ascii="Segoe UI" w:eastAsia="Times New Roman" w:hAnsi="Segoe UI" w:cs="Segoe UI"/>
                <w:i/>
                <w:sz w:val="14"/>
                <w:szCs w:val="16"/>
              </w:rPr>
              <w:t>Zdroj: MF SR</w:t>
            </w:r>
          </w:p>
          <w:p w14:paraId="1A2B9DF5" w14:textId="6AEB116E" w:rsidR="00750A6E" w:rsidRPr="00780954" w:rsidRDefault="00750A6E" w:rsidP="00105C46">
            <w:pPr>
              <w:pStyle w:val="Zkladntext0"/>
              <w:spacing w:after="120"/>
              <w:jc w:val="both"/>
              <w:rPr>
                <w:rFonts w:ascii="Segoe UI" w:eastAsia="Times New Roman" w:hAnsi="Segoe UI" w:cs="Segoe UI"/>
                <w:sz w:val="18"/>
                <w:szCs w:val="18"/>
              </w:rPr>
            </w:pPr>
            <w:r w:rsidRPr="00B90949">
              <w:rPr>
                <w:rFonts w:ascii="Segoe UI" w:eastAsia="Times New Roman" w:hAnsi="Segoe UI" w:cs="Segoe UI"/>
                <w:b/>
                <w:sz w:val="18"/>
                <w:szCs w:val="18"/>
              </w:rPr>
              <w:t xml:space="preserve">NKÚ SR konštatuje, že touto zmenou bola narušená medziročná kontinuita </w:t>
            </w:r>
            <w:r w:rsidR="00105C46">
              <w:rPr>
                <w:rFonts w:ascii="Segoe UI" w:eastAsia="Times New Roman" w:hAnsi="Segoe UI" w:cs="Segoe UI"/>
                <w:b/>
                <w:sz w:val="18"/>
                <w:szCs w:val="18"/>
              </w:rPr>
              <w:t xml:space="preserve">a porovnateľnosť </w:t>
            </w:r>
            <w:r w:rsidRPr="00B90949">
              <w:rPr>
                <w:rFonts w:ascii="Segoe UI" w:eastAsia="Times New Roman" w:hAnsi="Segoe UI" w:cs="Segoe UI"/>
                <w:b/>
                <w:sz w:val="18"/>
                <w:szCs w:val="18"/>
              </w:rPr>
              <w:t xml:space="preserve">údajov a informácií uvádzaných v jednotlivých </w:t>
            </w:r>
            <w:r>
              <w:rPr>
                <w:rFonts w:ascii="Segoe UI" w:eastAsia="Times New Roman" w:hAnsi="Segoe UI" w:cs="Segoe UI"/>
                <w:b/>
                <w:sz w:val="18"/>
                <w:szCs w:val="18"/>
              </w:rPr>
              <w:t>návrhoch ŠZÚ</w:t>
            </w:r>
            <w:r w:rsidRPr="00B90949">
              <w:rPr>
                <w:rFonts w:ascii="Segoe UI" w:eastAsia="Times New Roman" w:hAnsi="Segoe UI" w:cs="Segoe UI"/>
                <w:b/>
                <w:sz w:val="18"/>
                <w:szCs w:val="18"/>
              </w:rPr>
              <w:t xml:space="preserve">. </w:t>
            </w:r>
            <w:r w:rsidRPr="00B90949">
              <w:rPr>
                <w:rFonts w:ascii="Segoe UI" w:eastAsia="Times New Roman" w:hAnsi="Segoe UI" w:cs="Segoe UI"/>
                <w:sz w:val="18"/>
                <w:szCs w:val="18"/>
              </w:rPr>
              <w:t xml:space="preserve">Zároveň je text </w:t>
            </w:r>
            <w:r>
              <w:rPr>
                <w:rFonts w:ascii="Segoe UI" w:eastAsia="Times New Roman" w:hAnsi="Segoe UI" w:cs="Segoe UI"/>
                <w:sz w:val="18"/>
                <w:szCs w:val="18"/>
              </w:rPr>
              <w:t xml:space="preserve">menej </w:t>
            </w:r>
            <w:r w:rsidRPr="00B90949">
              <w:rPr>
                <w:rFonts w:ascii="Segoe UI" w:eastAsia="Times New Roman" w:hAnsi="Segoe UI" w:cs="Segoe UI"/>
                <w:sz w:val="18"/>
                <w:szCs w:val="18"/>
              </w:rPr>
              <w:t>zrozumiteľný až zmätočný pre nepoučeného čitateľa.</w:t>
            </w:r>
            <w:r w:rsidRPr="00B90949">
              <w:rPr>
                <w:rFonts w:ascii="Segoe UI" w:eastAsia="Times New Roman" w:hAnsi="Segoe UI" w:cs="Segoe UI"/>
                <w:b/>
                <w:sz w:val="18"/>
                <w:szCs w:val="18"/>
              </w:rPr>
              <w:t xml:space="preserve"> NKÚ SR odporúča MF SR </w:t>
            </w:r>
            <w:r w:rsidR="00105C46">
              <w:rPr>
                <w:rFonts w:ascii="Segoe UI" w:eastAsia="Times New Roman" w:hAnsi="Segoe UI" w:cs="Segoe UI"/>
                <w:b/>
                <w:sz w:val="18"/>
                <w:szCs w:val="18"/>
              </w:rPr>
              <w:t xml:space="preserve">používať jednotný finančný rámce pre zostavovanie ŠZÚ a </w:t>
            </w:r>
            <w:r w:rsidRPr="00B90949">
              <w:rPr>
                <w:rFonts w:ascii="Segoe UI" w:eastAsia="Times New Roman" w:hAnsi="Segoe UI" w:cs="Segoe UI"/>
                <w:b/>
                <w:sz w:val="18"/>
                <w:szCs w:val="18"/>
              </w:rPr>
              <w:t xml:space="preserve">konzistentne uvádzať v jednej kapitole údaje spracované na základe jednej metodiky a pri použití odlišnej na </w:t>
            </w:r>
            <w:r>
              <w:rPr>
                <w:rFonts w:ascii="Segoe UI" w:eastAsia="Times New Roman" w:hAnsi="Segoe UI" w:cs="Segoe UI"/>
                <w:b/>
                <w:sz w:val="18"/>
                <w:szCs w:val="18"/>
              </w:rPr>
              <w:t>to primerane upozorniť v texte.</w:t>
            </w:r>
          </w:p>
        </w:tc>
      </w:tr>
    </w:tbl>
    <w:p w14:paraId="73F0C860" w14:textId="45CE69B2" w:rsidR="00FF3AE5" w:rsidRPr="00946B24" w:rsidRDefault="00FF3AE5" w:rsidP="00FF3AE5">
      <w:pPr>
        <w:pStyle w:val="Nadpis2"/>
      </w:pPr>
      <w:bookmarkStart w:id="6" w:name="_Toc168070795"/>
      <w:bookmarkStart w:id="7" w:name="_Toc168567179"/>
      <w:r w:rsidRPr="00946B24">
        <w:lastRenderedPageBreak/>
        <w:t xml:space="preserve">2.1 </w:t>
      </w:r>
      <w:r>
        <w:t xml:space="preserve"> </w:t>
      </w:r>
      <w:r w:rsidRPr="00946B24">
        <w:t>Saldo verejnej správy</w:t>
      </w:r>
      <w:bookmarkEnd w:id="6"/>
      <w:bookmarkEnd w:id="7"/>
    </w:p>
    <w:p w14:paraId="54B41656" w14:textId="3E9B38AB" w:rsidR="00BB71F6" w:rsidRDefault="00BB71F6" w:rsidP="00BB71F6">
      <w:r w:rsidRPr="001F0A72">
        <w:rPr>
          <w:b/>
        </w:rPr>
        <w:t>Deficit VS sa medziročne výrazne zvýšil, keď v</w:t>
      </w:r>
      <w:r>
        <w:rPr>
          <w:b/>
        </w:rPr>
        <w:t> </w:t>
      </w:r>
      <w:r w:rsidRPr="001F0A72">
        <w:rPr>
          <w:b/>
        </w:rPr>
        <w:t>roku</w:t>
      </w:r>
      <w:r>
        <w:rPr>
          <w:b/>
        </w:rPr>
        <w:t xml:space="preserve"> 2023</w:t>
      </w:r>
      <w:r w:rsidRPr="001F0A72">
        <w:rPr>
          <w:b/>
        </w:rPr>
        <w:t xml:space="preserve"> presiahol hranicu 6 mld. eur</w:t>
      </w:r>
      <w:r>
        <w:t xml:space="preserve"> (tabuľka 1). V podiele z HDP stúpol deficit z 1,7 % v roku 2022 na 4,9 % v roku 2023. Aj napriek medziročnému nárastu hospodárilo Slovensko v minulom roku s nižším deficitom ako sa pôvodne očakávalo. Oproti rozpočtu bola zaznamenaná pozitívna odchýlka na úrovni 1,5 p. b., čo predstavuje takmer 1,9 mld. eur. Dôvodom bol najmä nižší hotovostný schodok ŠR a vyšší prebytok niektorých </w:t>
      </w:r>
      <w:r w:rsidR="003B32A2">
        <w:t xml:space="preserve">subjektov </w:t>
      </w:r>
      <w:r>
        <w:t xml:space="preserve">VS, ako sú obce, </w:t>
      </w:r>
      <w:r>
        <w:lastRenderedPageBreak/>
        <w:t>Sociálna poisťovňa či zdravotné poisťovne</w:t>
      </w:r>
      <w:r w:rsidR="003B32A2">
        <w:t xml:space="preserve"> (bližšie v kapitolách 3.5 a 3.6)</w:t>
      </w:r>
      <w:r>
        <w:t>. Vplyv na lepší výsledok mal aj dosiahnutý ekonomický rast, ktorý bol po revízii vyšší ako očakávaný o 0,5 p. b.</w:t>
      </w:r>
      <w:r>
        <w:rPr>
          <w:rStyle w:val="Odkaznapoznmkupodiarou"/>
        </w:rPr>
        <w:footnoteReference w:id="3"/>
      </w:r>
    </w:p>
    <w:p w14:paraId="59D1BB19" w14:textId="257877E5" w:rsidR="00B90949" w:rsidRDefault="00B90949" w:rsidP="00B90949">
      <w:pPr>
        <w:pStyle w:val="Popis"/>
        <w:keepNext/>
      </w:pPr>
      <w:r>
        <w:t xml:space="preserve">Tabuľka </w:t>
      </w:r>
      <w:fldSimple w:instr=" SEQ Tabuľka \* ARABIC ">
        <w:r w:rsidR="002A46D9">
          <w:rPr>
            <w:noProof/>
          </w:rPr>
          <w:t>1</w:t>
        </w:r>
      </w:fldSimple>
      <w:r>
        <w:t xml:space="preserve">: </w:t>
      </w:r>
      <w:r w:rsidRPr="001D2976">
        <w:t>Vývoj schodku VS na akruálnej báze v rokoch 20</w:t>
      </w:r>
      <w:r>
        <w:t>22</w:t>
      </w:r>
      <w:r w:rsidRPr="001D2976">
        <w:t xml:space="preserve"> a</w:t>
      </w:r>
      <w:r>
        <w:t> </w:t>
      </w:r>
      <w:r w:rsidRPr="001D2976">
        <w:t>20</w:t>
      </w:r>
      <w:r>
        <w:t>23</w:t>
      </w:r>
      <w:r w:rsidR="001E11FE">
        <w:rPr>
          <w:rStyle w:val="Odkaznapoznmkupodiarou"/>
        </w:rPr>
        <w:footnoteReference w:id="4"/>
      </w:r>
      <w:r>
        <w:t xml:space="preserve"> </w:t>
      </w:r>
    </w:p>
    <w:tbl>
      <w:tblPr>
        <w:tblpPr w:leftFromText="141" w:rightFromText="141" w:vertAnchor="text" w:horzAnchor="margin" w:tblpXSpec="right" w:tblpY="118"/>
        <w:tblOverlap w:val="never"/>
        <w:tblW w:w="5000" w:type="pct"/>
        <w:tblCellMar>
          <w:top w:w="28" w:type="dxa"/>
        </w:tblCellMar>
        <w:tblLook w:val="04A0" w:firstRow="1" w:lastRow="0" w:firstColumn="1" w:lastColumn="0" w:noHBand="0" w:noVBand="1"/>
      </w:tblPr>
      <w:tblGrid>
        <w:gridCol w:w="3964"/>
        <w:gridCol w:w="1087"/>
        <w:gridCol w:w="1087"/>
        <w:gridCol w:w="1087"/>
        <w:gridCol w:w="1845"/>
      </w:tblGrid>
      <w:tr w:rsidR="00B90949" w14:paraId="3349607A" w14:textId="77777777" w:rsidTr="00127A20">
        <w:trPr>
          <w:trHeight w:val="20"/>
        </w:trPr>
        <w:tc>
          <w:tcPr>
            <w:tcW w:w="2185" w:type="pct"/>
            <w:tcBorders>
              <w:bottom w:val="single" w:sz="4" w:space="0" w:color="314364"/>
            </w:tcBorders>
            <w:shd w:val="clear" w:color="auto" w:fill="314364"/>
            <w:vAlign w:val="center"/>
          </w:tcPr>
          <w:p w14:paraId="5E038320" w14:textId="77777777" w:rsidR="00B90949" w:rsidRPr="00AA159B" w:rsidRDefault="00B90949" w:rsidP="00127A20">
            <w:pPr>
              <w:spacing w:after="0" w:line="259" w:lineRule="auto"/>
              <w:jc w:val="left"/>
            </w:pPr>
            <w:r>
              <w:rPr>
                <w:b/>
                <w:color w:val="FFFFFF" w:themeColor="background1"/>
                <w:sz w:val="18"/>
              </w:rPr>
              <w:t>Ukazovateľ</w:t>
            </w:r>
          </w:p>
        </w:tc>
        <w:tc>
          <w:tcPr>
            <w:tcW w:w="599" w:type="pct"/>
            <w:tcBorders>
              <w:bottom w:val="single" w:sz="4" w:space="0" w:color="314364"/>
            </w:tcBorders>
            <w:shd w:val="clear" w:color="auto" w:fill="314364"/>
            <w:vAlign w:val="center"/>
          </w:tcPr>
          <w:p w14:paraId="47CA42AF" w14:textId="77777777" w:rsidR="00B90949" w:rsidRDefault="00B90949" w:rsidP="00127A20">
            <w:pPr>
              <w:spacing w:after="0" w:line="259" w:lineRule="auto"/>
              <w:jc w:val="right"/>
              <w:rPr>
                <w:b/>
                <w:color w:val="FFFFFF" w:themeColor="background1"/>
                <w:sz w:val="18"/>
              </w:rPr>
            </w:pPr>
            <w:r>
              <w:rPr>
                <w:b/>
                <w:color w:val="FFFFFF" w:themeColor="background1"/>
                <w:sz w:val="18"/>
              </w:rPr>
              <w:t>2022 S</w:t>
            </w:r>
          </w:p>
        </w:tc>
        <w:tc>
          <w:tcPr>
            <w:tcW w:w="599" w:type="pct"/>
            <w:tcBorders>
              <w:bottom w:val="single" w:sz="4" w:space="0" w:color="314364"/>
            </w:tcBorders>
            <w:shd w:val="clear" w:color="auto" w:fill="314364"/>
            <w:vAlign w:val="center"/>
          </w:tcPr>
          <w:p w14:paraId="356D082B" w14:textId="77777777" w:rsidR="00B90949" w:rsidRPr="0032280E" w:rsidRDefault="00B90949" w:rsidP="00127A20">
            <w:pPr>
              <w:spacing w:after="0" w:line="259" w:lineRule="auto"/>
              <w:jc w:val="right"/>
              <w:rPr>
                <w:b/>
                <w:color w:val="FFFFFF" w:themeColor="background1"/>
                <w:sz w:val="18"/>
              </w:rPr>
            </w:pPr>
            <w:r>
              <w:rPr>
                <w:b/>
                <w:color w:val="FFFFFF" w:themeColor="background1"/>
                <w:sz w:val="18"/>
              </w:rPr>
              <w:t>2023 R</w:t>
            </w:r>
          </w:p>
        </w:tc>
        <w:tc>
          <w:tcPr>
            <w:tcW w:w="599" w:type="pct"/>
            <w:tcBorders>
              <w:bottom w:val="single" w:sz="4" w:space="0" w:color="314364"/>
            </w:tcBorders>
            <w:shd w:val="clear" w:color="auto" w:fill="314364"/>
            <w:vAlign w:val="center"/>
          </w:tcPr>
          <w:p w14:paraId="32DF363C" w14:textId="77777777" w:rsidR="00B90949" w:rsidRPr="0032280E" w:rsidRDefault="00B90949" w:rsidP="00127A20">
            <w:pPr>
              <w:spacing w:after="0" w:line="259" w:lineRule="auto"/>
              <w:jc w:val="right"/>
              <w:rPr>
                <w:b/>
                <w:color w:val="FFFFFF" w:themeColor="background1"/>
                <w:sz w:val="18"/>
              </w:rPr>
            </w:pPr>
            <w:r>
              <w:rPr>
                <w:b/>
                <w:color w:val="FFFFFF" w:themeColor="background1"/>
                <w:sz w:val="18"/>
              </w:rPr>
              <w:t>2023 S</w:t>
            </w:r>
          </w:p>
        </w:tc>
        <w:tc>
          <w:tcPr>
            <w:tcW w:w="1017" w:type="pct"/>
            <w:tcBorders>
              <w:bottom w:val="single" w:sz="4" w:space="0" w:color="314364"/>
            </w:tcBorders>
            <w:shd w:val="clear" w:color="auto" w:fill="314364"/>
            <w:vAlign w:val="center"/>
          </w:tcPr>
          <w:p w14:paraId="383062C1" w14:textId="77777777" w:rsidR="00B90949" w:rsidRDefault="00B90949" w:rsidP="00127A20">
            <w:pPr>
              <w:spacing w:after="0" w:line="259" w:lineRule="auto"/>
              <w:jc w:val="right"/>
              <w:rPr>
                <w:b/>
                <w:color w:val="FFFFFF" w:themeColor="background1"/>
                <w:sz w:val="18"/>
              </w:rPr>
            </w:pPr>
            <w:r>
              <w:rPr>
                <w:b/>
                <w:color w:val="FFFFFF" w:themeColor="background1"/>
                <w:sz w:val="18"/>
              </w:rPr>
              <w:t>2023 S - 2023 R</w:t>
            </w:r>
          </w:p>
        </w:tc>
      </w:tr>
      <w:tr w:rsidR="00B90949" w14:paraId="7348E827" w14:textId="77777777" w:rsidTr="00127A20">
        <w:trPr>
          <w:trHeight w:val="20"/>
        </w:trPr>
        <w:tc>
          <w:tcPr>
            <w:tcW w:w="2185" w:type="pct"/>
            <w:tcBorders>
              <w:top w:val="single" w:sz="4" w:space="0" w:color="314364"/>
            </w:tcBorders>
            <w:vAlign w:val="center"/>
          </w:tcPr>
          <w:p w14:paraId="21070469" w14:textId="77777777" w:rsidR="00B90949" w:rsidRPr="00480C81" w:rsidRDefault="00B90949" w:rsidP="00127A20">
            <w:pPr>
              <w:spacing w:after="0" w:line="259" w:lineRule="auto"/>
              <w:jc w:val="left"/>
              <w:rPr>
                <w:sz w:val="18"/>
              </w:rPr>
            </w:pPr>
            <w:r>
              <w:rPr>
                <w:sz w:val="18"/>
              </w:rPr>
              <w:t>Príjmy spolu (v mil. eur)</w:t>
            </w:r>
          </w:p>
        </w:tc>
        <w:tc>
          <w:tcPr>
            <w:tcW w:w="599" w:type="pct"/>
            <w:tcBorders>
              <w:top w:val="single" w:sz="4" w:space="0" w:color="314364"/>
            </w:tcBorders>
            <w:vAlign w:val="center"/>
          </w:tcPr>
          <w:p w14:paraId="2540ECB0" w14:textId="77777777" w:rsidR="00B90949" w:rsidRPr="00480C81" w:rsidRDefault="00B90949" w:rsidP="00127A20">
            <w:pPr>
              <w:spacing w:after="0" w:line="259" w:lineRule="auto"/>
              <w:jc w:val="right"/>
              <w:rPr>
                <w:sz w:val="18"/>
              </w:rPr>
            </w:pPr>
            <w:r>
              <w:rPr>
                <w:sz w:val="18"/>
              </w:rPr>
              <w:t>44 654,7</w:t>
            </w:r>
          </w:p>
        </w:tc>
        <w:tc>
          <w:tcPr>
            <w:tcW w:w="599" w:type="pct"/>
            <w:tcBorders>
              <w:top w:val="single" w:sz="4" w:space="0" w:color="314364"/>
            </w:tcBorders>
            <w:shd w:val="clear" w:color="auto" w:fill="auto"/>
            <w:vAlign w:val="center"/>
          </w:tcPr>
          <w:p w14:paraId="46C4ECC9" w14:textId="77777777" w:rsidR="00B90949" w:rsidRPr="00480C81" w:rsidRDefault="00B90949" w:rsidP="00127A20">
            <w:pPr>
              <w:spacing w:after="0" w:line="259" w:lineRule="auto"/>
              <w:jc w:val="right"/>
              <w:rPr>
                <w:sz w:val="18"/>
              </w:rPr>
            </w:pPr>
            <w:r>
              <w:rPr>
                <w:sz w:val="18"/>
              </w:rPr>
              <w:t>51 094,5</w:t>
            </w:r>
          </w:p>
        </w:tc>
        <w:tc>
          <w:tcPr>
            <w:tcW w:w="599" w:type="pct"/>
            <w:tcBorders>
              <w:top w:val="single" w:sz="4" w:space="0" w:color="314364"/>
            </w:tcBorders>
            <w:vAlign w:val="center"/>
          </w:tcPr>
          <w:p w14:paraId="0BBCB47D" w14:textId="77777777" w:rsidR="00B90949" w:rsidRPr="00480C81" w:rsidRDefault="00B90949" w:rsidP="00127A20">
            <w:pPr>
              <w:spacing w:after="0" w:line="259" w:lineRule="auto"/>
              <w:jc w:val="right"/>
              <w:rPr>
                <w:sz w:val="18"/>
              </w:rPr>
            </w:pPr>
            <w:r>
              <w:rPr>
                <w:sz w:val="18"/>
              </w:rPr>
              <w:t>52 842,8</w:t>
            </w:r>
          </w:p>
        </w:tc>
        <w:tc>
          <w:tcPr>
            <w:tcW w:w="1017" w:type="pct"/>
            <w:tcBorders>
              <w:top w:val="single" w:sz="4" w:space="0" w:color="314364"/>
            </w:tcBorders>
            <w:vAlign w:val="center"/>
          </w:tcPr>
          <w:p w14:paraId="6164CE3D" w14:textId="77777777" w:rsidR="00B90949" w:rsidRPr="00480C81" w:rsidRDefault="00B90949" w:rsidP="00127A20">
            <w:pPr>
              <w:spacing w:after="0" w:line="259" w:lineRule="auto"/>
              <w:ind w:right="459"/>
              <w:jc w:val="right"/>
              <w:rPr>
                <w:sz w:val="18"/>
              </w:rPr>
            </w:pPr>
            <w:r>
              <w:rPr>
                <w:sz w:val="18"/>
              </w:rPr>
              <w:t>1 748,3</w:t>
            </w:r>
          </w:p>
        </w:tc>
      </w:tr>
      <w:tr w:rsidR="00B90949" w14:paraId="199E7D2B" w14:textId="77777777" w:rsidTr="00127A20">
        <w:trPr>
          <w:trHeight w:val="20"/>
        </w:trPr>
        <w:tc>
          <w:tcPr>
            <w:tcW w:w="2185" w:type="pct"/>
            <w:tcBorders>
              <w:bottom w:val="single" w:sz="4" w:space="0" w:color="314364" w:themeColor="text2"/>
            </w:tcBorders>
            <w:vAlign w:val="center"/>
          </w:tcPr>
          <w:p w14:paraId="4EFF12E2" w14:textId="77777777" w:rsidR="00B90949" w:rsidRPr="00480C81" w:rsidRDefault="00B90949" w:rsidP="00127A20">
            <w:pPr>
              <w:spacing w:after="0" w:line="259" w:lineRule="auto"/>
              <w:jc w:val="left"/>
              <w:rPr>
                <w:sz w:val="18"/>
              </w:rPr>
            </w:pPr>
            <w:r>
              <w:rPr>
                <w:sz w:val="18"/>
              </w:rPr>
              <w:t>Výdavky spolu (v mil. eur)</w:t>
            </w:r>
          </w:p>
        </w:tc>
        <w:tc>
          <w:tcPr>
            <w:tcW w:w="599" w:type="pct"/>
            <w:tcBorders>
              <w:bottom w:val="single" w:sz="4" w:space="0" w:color="314364" w:themeColor="text2"/>
            </w:tcBorders>
            <w:vAlign w:val="center"/>
          </w:tcPr>
          <w:p w14:paraId="2A84458A" w14:textId="77777777" w:rsidR="00B90949" w:rsidRPr="00480C81" w:rsidRDefault="00B90949" w:rsidP="00127A20">
            <w:pPr>
              <w:spacing w:after="0" w:line="259" w:lineRule="auto"/>
              <w:jc w:val="right"/>
              <w:rPr>
                <w:sz w:val="18"/>
              </w:rPr>
            </w:pPr>
            <w:r>
              <w:rPr>
                <w:sz w:val="18"/>
              </w:rPr>
              <w:t>46 490,7</w:t>
            </w:r>
          </w:p>
        </w:tc>
        <w:tc>
          <w:tcPr>
            <w:tcW w:w="599" w:type="pct"/>
            <w:tcBorders>
              <w:bottom w:val="single" w:sz="4" w:space="0" w:color="314364" w:themeColor="text2"/>
            </w:tcBorders>
            <w:shd w:val="clear" w:color="auto" w:fill="auto"/>
            <w:vAlign w:val="center"/>
          </w:tcPr>
          <w:p w14:paraId="2F6C8604" w14:textId="77777777" w:rsidR="00B90949" w:rsidRPr="00480C81" w:rsidRDefault="00B90949" w:rsidP="00127A20">
            <w:pPr>
              <w:spacing w:after="0" w:line="259" w:lineRule="auto"/>
              <w:jc w:val="right"/>
              <w:rPr>
                <w:sz w:val="18"/>
              </w:rPr>
            </w:pPr>
            <w:r>
              <w:rPr>
                <w:sz w:val="18"/>
              </w:rPr>
              <w:t>58 965,7</w:t>
            </w:r>
          </w:p>
        </w:tc>
        <w:tc>
          <w:tcPr>
            <w:tcW w:w="599" w:type="pct"/>
            <w:tcBorders>
              <w:bottom w:val="single" w:sz="4" w:space="0" w:color="314364" w:themeColor="text2"/>
            </w:tcBorders>
            <w:vAlign w:val="center"/>
          </w:tcPr>
          <w:p w14:paraId="715E1AD8" w14:textId="77777777" w:rsidR="00B90949" w:rsidRPr="00480C81" w:rsidRDefault="00B90949" w:rsidP="00127A20">
            <w:pPr>
              <w:spacing w:after="0" w:line="259" w:lineRule="auto"/>
              <w:jc w:val="right"/>
              <w:rPr>
                <w:sz w:val="18"/>
              </w:rPr>
            </w:pPr>
            <w:r>
              <w:rPr>
                <w:sz w:val="18"/>
              </w:rPr>
              <w:t>58 852,6</w:t>
            </w:r>
          </w:p>
        </w:tc>
        <w:tc>
          <w:tcPr>
            <w:tcW w:w="1017" w:type="pct"/>
            <w:tcBorders>
              <w:bottom w:val="single" w:sz="4" w:space="0" w:color="314364" w:themeColor="text2"/>
            </w:tcBorders>
            <w:vAlign w:val="center"/>
          </w:tcPr>
          <w:p w14:paraId="4238D70A" w14:textId="77777777" w:rsidR="00B90949" w:rsidRPr="00480C81" w:rsidRDefault="00B90949" w:rsidP="00127A20">
            <w:pPr>
              <w:spacing w:after="0" w:line="259" w:lineRule="auto"/>
              <w:ind w:right="459"/>
              <w:jc w:val="right"/>
              <w:rPr>
                <w:sz w:val="18"/>
              </w:rPr>
            </w:pPr>
            <w:r>
              <w:rPr>
                <w:sz w:val="18"/>
              </w:rPr>
              <w:t>-113,1</w:t>
            </w:r>
          </w:p>
        </w:tc>
      </w:tr>
      <w:tr w:rsidR="00B90949" w:rsidRPr="00325BDA" w14:paraId="227F1A42" w14:textId="77777777" w:rsidTr="00127A20">
        <w:trPr>
          <w:trHeight w:val="20"/>
        </w:trPr>
        <w:tc>
          <w:tcPr>
            <w:tcW w:w="2185" w:type="pct"/>
            <w:tcBorders>
              <w:top w:val="single" w:sz="4" w:space="0" w:color="314364" w:themeColor="text2"/>
            </w:tcBorders>
            <w:vAlign w:val="center"/>
          </w:tcPr>
          <w:p w14:paraId="703488A0" w14:textId="77777777" w:rsidR="00B90949" w:rsidRPr="00DD6B66" w:rsidRDefault="00B90949" w:rsidP="00127A20">
            <w:pPr>
              <w:spacing w:after="0" w:line="259" w:lineRule="auto"/>
              <w:jc w:val="left"/>
              <w:rPr>
                <w:b/>
                <w:sz w:val="18"/>
              </w:rPr>
            </w:pPr>
            <w:r>
              <w:rPr>
                <w:b/>
                <w:sz w:val="18"/>
              </w:rPr>
              <w:t xml:space="preserve">Schodok podľa ESA 2010 (v </w:t>
            </w:r>
            <w:r w:rsidRPr="00DD6B66">
              <w:rPr>
                <w:b/>
                <w:sz w:val="18"/>
              </w:rPr>
              <w:t>mil. eur)</w:t>
            </w:r>
          </w:p>
        </w:tc>
        <w:tc>
          <w:tcPr>
            <w:tcW w:w="599" w:type="pct"/>
            <w:tcBorders>
              <w:top w:val="single" w:sz="4" w:space="0" w:color="314364" w:themeColor="text2"/>
            </w:tcBorders>
            <w:vAlign w:val="center"/>
          </w:tcPr>
          <w:p w14:paraId="2A6A5032" w14:textId="77777777" w:rsidR="00B90949" w:rsidRPr="00DD6B66" w:rsidRDefault="00B90949" w:rsidP="00127A20">
            <w:pPr>
              <w:spacing w:after="0" w:line="259" w:lineRule="auto"/>
              <w:jc w:val="right"/>
              <w:rPr>
                <w:b/>
                <w:sz w:val="18"/>
              </w:rPr>
            </w:pPr>
            <w:r>
              <w:rPr>
                <w:b/>
                <w:sz w:val="18"/>
              </w:rPr>
              <w:t>-1 836,0</w:t>
            </w:r>
          </w:p>
        </w:tc>
        <w:tc>
          <w:tcPr>
            <w:tcW w:w="599" w:type="pct"/>
            <w:tcBorders>
              <w:top w:val="single" w:sz="4" w:space="0" w:color="314364" w:themeColor="text2"/>
            </w:tcBorders>
            <w:shd w:val="clear" w:color="auto" w:fill="auto"/>
            <w:vAlign w:val="center"/>
          </w:tcPr>
          <w:p w14:paraId="4B93618F" w14:textId="77777777" w:rsidR="00B90949" w:rsidRPr="00DD6B66" w:rsidRDefault="00B90949" w:rsidP="00127A20">
            <w:pPr>
              <w:spacing w:after="0" w:line="259" w:lineRule="auto"/>
              <w:jc w:val="right"/>
              <w:rPr>
                <w:b/>
                <w:sz w:val="18"/>
              </w:rPr>
            </w:pPr>
            <w:r>
              <w:rPr>
                <w:b/>
                <w:sz w:val="18"/>
              </w:rPr>
              <w:t>-7 871,2</w:t>
            </w:r>
          </w:p>
        </w:tc>
        <w:tc>
          <w:tcPr>
            <w:tcW w:w="599" w:type="pct"/>
            <w:tcBorders>
              <w:top w:val="single" w:sz="4" w:space="0" w:color="314364" w:themeColor="text2"/>
            </w:tcBorders>
            <w:vAlign w:val="center"/>
          </w:tcPr>
          <w:p w14:paraId="70128B28" w14:textId="77777777" w:rsidR="00B90949" w:rsidRPr="00DD6B66" w:rsidRDefault="00B90949" w:rsidP="00127A20">
            <w:pPr>
              <w:spacing w:after="0" w:line="259" w:lineRule="auto"/>
              <w:jc w:val="right"/>
              <w:rPr>
                <w:b/>
                <w:sz w:val="18"/>
              </w:rPr>
            </w:pPr>
            <w:r>
              <w:rPr>
                <w:b/>
                <w:sz w:val="18"/>
              </w:rPr>
              <w:t>-6 009,8</w:t>
            </w:r>
          </w:p>
        </w:tc>
        <w:tc>
          <w:tcPr>
            <w:tcW w:w="1017" w:type="pct"/>
            <w:tcBorders>
              <w:top w:val="single" w:sz="4" w:space="0" w:color="314364" w:themeColor="text2"/>
            </w:tcBorders>
            <w:vAlign w:val="center"/>
          </w:tcPr>
          <w:p w14:paraId="12716011" w14:textId="77777777" w:rsidR="00B90949" w:rsidRPr="00DD6B66" w:rsidRDefault="00B90949" w:rsidP="00127A20">
            <w:pPr>
              <w:spacing w:after="0" w:line="259" w:lineRule="auto"/>
              <w:ind w:right="459"/>
              <w:jc w:val="right"/>
              <w:rPr>
                <w:b/>
                <w:sz w:val="18"/>
              </w:rPr>
            </w:pPr>
            <w:r>
              <w:rPr>
                <w:b/>
                <w:sz w:val="18"/>
              </w:rPr>
              <w:t>1 861,4</w:t>
            </w:r>
          </w:p>
        </w:tc>
      </w:tr>
      <w:tr w:rsidR="00B90949" w:rsidRPr="00480C81" w14:paraId="5B1BB296" w14:textId="77777777" w:rsidTr="00127A20">
        <w:trPr>
          <w:trHeight w:val="20"/>
        </w:trPr>
        <w:tc>
          <w:tcPr>
            <w:tcW w:w="2185" w:type="pct"/>
            <w:tcBorders>
              <w:bottom w:val="single" w:sz="4" w:space="0" w:color="314364" w:themeColor="text2"/>
            </w:tcBorders>
            <w:vAlign w:val="center"/>
          </w:tcPr>
          <w:p w14:paraId="011F24A8" w14:textId="77777777" w:rsidR="00B90949" w:rsidRPr="00DD6B66" w:rsidRDefault="00B90949" w:rsidP="00127A20">
            <w:pPr>
              <w:spacing w:after="0" w:line="259" w:lineRule="auto"/>
              <w:jc w:val="left"/>
              <w:rPr>
                <w:b/>
                <w:sz w:val="18"/>
              </w:rPr>
            </w:pPr>
            <w:r w:rsidRPr="00DD6B66">
              <w:rPr>
                <w:b/>
                <w:sz w:val="18"/>
              </w:rPr>
              <w:t>Schodok podľa ESA 2010 (% HDP)</w:t>
            </w:r>
          </w:p>
        </w:tc>
        <w:tc>
          <w:tcPr>
            <w:tcW w:w="599" w:type="pct"/>
            <w:tcBorders>
              <w:bottom w:val="single" w:sz="4" w:space="0" w:color="314364" w:themeColor="text2"/>
            </w:tcBorders>
            <w:vAlign w:val="center"/>
          </w:tcPr>
          <w:p w14:paraId="22CDE9DF" w14:textId="77777777" w:rsidR="00B90949" w:rsidRPr="00DD6B66" w:rsidRDefault="00B90949" w:rsidP="00127A20">
            <w:pPr>
              <w:spacing w:after="0" w:line="259" w:lineRule="auto"/>
              <w:jc w:val="right"/>
              <w:rPr>
                <w:b/>
                <w:sz w:val="18"/>
              </w:rPr>
            </w:pPr>
            <w:r>
              <w:rPr>
                <w:b/>
                <w:sz w:val="18"/>
              </w:rPr>
              <w:t>-1,7</w:t>
            </w:r>
          </w:p>
        </w:tc>
        <w:tc>
          <w:tcPr>
            <w:tcW w:w="599" w:type="pct"/>
            <w:tcBorders>
              <w:bottom w:val="single" w:sz="4" w:space="0" w:color="314364" w:themeColor="text2"/>
            </w:tcBorders>
            <w:shd w:val="clear" w:color="auto" w:fill="auto"/>
            <w:vAlign w:val="center"/>
          </w:tcPr>
          <w:p w14:paraId="5091C343" w14:textId="77777777" w:rsidR="00B90949" w:rsidRPr="00DD6B66" w:rsidRDefault="00B90949" w:rsidP="00127A20">
            <w:pPr>
              <w:spacing w:after="0" w:line="259" w:lineRule="auto"/>
              <w:jc w:val="right"/>
              <w:rPr>
                <w:b/>
                <w:sz w:val="18"/>
              </w:rPr>
            </w:pPr>
            <w:r>
              <w:rPr>
                <w:b/>
                <w:sz w:val="18"/>
              </w:rPr>
              <w:t>-6,4</w:t>
            </w:r>
          </w:p>
        </w:tc>
        <w:tc>
          <w:tcPr>
            <w:tcW w:w="599" w:type="pct"/>
            <w:tcBorders>
              <w:bottom w:val="single" w:sz="4" w:space="0" w:color="314364" w:themeColor="text2"/>
            </w:tcBorders>
            <w:vAlign w:val="center"/>
          </w:tcPr>
          <w:p w14:paraId="02FCCFFA" w14:textId="77777777" w:rsidR="00B90949" w:rsidRPr="00DD6B66" w:rsidRDefault="00B90949" w:rsidP="00127A20">
            <w:pPr>
              <w:spacing w:after="0" w:line="259" w:lineRule="auto"/>
              <w:jc w:val="right"/>
              <w:rPr>
                <w:b/>
                <w:sz w:val="18"/>
              </w:rPr>
            </w:pPr>
            <w:r>
              <w:rPr>
                <w:b/>
                <w:sz w:val="18"/>
              </w:rPr>
              <w:t>-4,9</w:t>
            </w:r>
          </w:p>
        </w:tc>
        <w:tc>
          <w:tcPr>
            <w:tcW w:w="1017" w:type="pct"/>
            <w:tcBorders>
              <w:bottom w:val="single" w:sz="4" w:space="0" w:color="314364" w:themeColor="text2"/>
            </w:tcBorders>
            <w:vAlign w:val="center"/>
          </w:tcPr>
          <w:p w14:paraId="37C35188" w14:textId="77777777" w:rsidR="00B90949" w:rsidRPr="00DD6B66" w:rsidRDefault="00B90949" w:rsidP="00127A20">
            <w:pPr>
              <w:spacing w:after="0" w:line="259" w:lineRule="auto"/>
              <w:ind w:right="459"/>
              <w:jc w:val="right"/>
              <w:rPr>
                <w:b/>
                <w:sz w:val="18"/>
              </w:rPr>
            </w:pPr>
            <w:r>
              <w:rPr>
                <w:b/>
                <w:sz w:val="18"/>
              </w:rPr>
              <w:t>1,5</w:t>
            </w:r>
          </w:p>
        </w:tc>
      </w:tr>
    </w:tbl>
    <w:p w14:paraId="509F0FB7" w14:textId="34D110A0" w:rsidR="00B90949" w:rsidRDefault="00B90949" w:rsidP="00B90949">
      <w:pPr>
        <w:pStyle w:val="Zdroj"/>
      </w:pPr>
      <w:r>
        <w:t>Zdroj: Návrh ŠZÚ 2023.</w:t>
      </w:r>
    </w:p>
    <w:p w14:paraId="2DEB31E9" w14:textId="40ECF011" w:rsidR="00BB71F6" w:rsidRDefault="00BB71F6" w:rsidP="00BB71F6">
      <w:r w:rsidRPr="00B80EF3">
        <w:rPr>
          <w:b/>
        </w:rPr>
        <w:t xml:space="preserve">Z hľadiska medzinárodného porovnania hospodárenia VS bolo </w:t>
      </w:r>
      <w:r w:rsidR="00720294">
        <w:rPr>
          <w:b/>
        </w:rPr>
        <w:t xml:space="preserve">v roku 2023 </w:t>
      </w:r>
      <w:r w:rsidRPr="00B80EF3">
        <w:rPr>
          <w:b/>
        </w:rPr>
        <w:t xml:space="preserve">Slovensko </w:t>
      </w:r>
      <w:r w:rsidR="00604012">
        <w:rPr>
          <w:b/>
        </w:rPr>
        <w:t>pod</w:t>
      </w:r>
      <w:r w:rsidRPr="00B80EF3">
        <w:rPr>
          <w:b/>
        </w:rPr>
        <w:t xml:space="preserve"> priemerom EÚ a len päť krajín dosiahlo horší výsledok</w:t>
      </w:r>
      <w:r>
        <w:t xml:space="preserve"> (graf 3). Najvyšší deficit zaznamenalo druhý rok po sebe Taliansko (-7,4 %) a naopak pozitívne saldo dosiahli štyri krajiny (Cyprus, Dánsko</w:t>
      </w:r>
      <w:r w:rsidR="001E11FE">
        <w:t>,</w:t>
      </w:r>
      <w:r>
        <w:t xml:space="preserve"> Írsko a Portugalsko).</w:t>
      </w:r>
    </w:p>
    <w:p w14:paraId="276A39D4" w14:textId="4FBCDF02" w:rsidR="00285E47" w:rsidRPr="00BC3CA3" w:rsidRDefault="00285E47" w:rsidP="00285E47">
      <w:pPr>
        <w:pStyle w:val="Popis"/>
        <w:keepNext/>
        <w:rPr>
          <w:color w:val="314364"/>
        </w:rPr>
      </w:pPr>
      <w:r w:rsidRPr="00BC3CA3">
        <w:rPr>
          <w:color w:val="314364"/>
        </w:rPr>
        <w:t xml:space="preserve">Graf </w:t>
      </w:r>
      <w:r w:rsidRPr="00BC3CA3">
        <w:rPr>
          <w:color w:val="314364"/>
        </w:rPr>
        <w:fldChar w:fldCharType="begin"/>
      </w:r>
      <w:r w:rsidRPr="00BC3CA3">
        <w:rPr>
          <w:color w:val="314364"/>
        </w:rPr>
        <w:instrText xml:space="preserve"> SEQ Graf \* ARABIC </w:instrText>
      </w:r>
      <w:r w:rsidRPr="00BC3CA3">
        <w:rPr>
          <w:color w:val="314364"/>
        </w:rPr>
        <w:fldChar w:fldCharType="separate"/>
      </w:r>
      <w:r w:rsidR="002A46D9">
        <w:rPr>
          <w:noProof/>
          <w:color w:val="314364"/>
        </w:rPr>
        <w:t>3</w:t>
      </w:r>
      <w:r w:rsidRPr="00BC3CA3">
        <w:rPr>
          <w:color w:val="314364"/>
        </w:rPr>
        <w:fldChar w:fldCharType="end"/>
      </w:r>
      <w:r w:rsidRPr="00BC3CA3">
        <w:rPr>
          <w:color w:val="314364"/>
        </w:rPr>
        <w:t>:</w:t>
      </w:r>
      <w:r>
        <w:rPr>
          <w:color w:val="314364"/>
        </w:rPr>
        <w:t xml:space="preserve"> </w:t>
      </w:r>
      <w:r w:rsidRPr="001D2976">
        <w:rPr>
          <w:color w:val="314364"/>
        </w:rPr>
        <w:t>Medzinárodn</w:t>
      </w:r>
      <w:r>
        <w:rPr>
          <w:color w:val="314364"/>
        </w:rPr>
        <w:t>é porovnanie sáld VS v roku 2023 (% HDP)</w:t>
      </w:r>
    </w:p>
    <w:tbl>
      <w:tblPr>
        <w:tblStyle w:val="Mriekatabuky"/>
        <w:tblW w:w="50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9320"/>
      </w:tblGrid>
      <w:tr w:rsidR="00285E47" w:rsidRPr="00C75134" w14:paraId="7CA988E1" w14:textId="77777777" w:rsidTr="0019343E">
        <w:trPr>
          <w:trHeight w:val="3402"/>
        </w:trPr>
        <w:tc>
          <w:tcPr>
            <w:tcW w:w="9250" w:type="dxa"/>
            <w:tcBorders>
              <w:top w:val="single" w:sz="4" w:space="0" w:color="314364"/>
              <w:bottom w:val="single" w:sz="4" w:space="0" w:color="314364"/>
            </w:tcBorders>
            <w:vAlign w:val="center"/>
          </w:tcPr>
          <w:p w14:paraId="31394219" w14:textId="77777777" w:rsidR="00285E47" w:rsidRPr="00C75134" w:rsidRDefault="00285E47" w:rsidP="0019343E">
            <w:pPr>
              <w:spacing w:after="0"/>
              <w:rPr>
                <w:b/>
                <w:color w:val="576431"/>
              </w:rPr>
            </w:pPr>
            <w:r>
              <w:rPr>
                <w:noProof/>
                <w:lang w:eastAsia="sk-SK"/>
              </w:rPr>
              <w:drawing>
                <wp:inline distT="0" distB="0" distL="0" distR="0" wp14:anchorId="69A9B6D2" wp14:editId="2ED77F0A">
                  <wp:extent cx="5829300" cy="2152650"/>
                  <wp:effectExtent l="0" t="0" r="0" b="0"/>
                  <wp:docPr id="32" name="Graf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bl>
    <w:p w14:paraId="0EF50ABD" w14:textId="42E5EB24" w:rsidR="00285E47" w:rsidRDefault="00285E47" w:rsidP="00285E47">
      <w:pPr>
        <w:pStyle w:val="Zdroj"/>
      </w:pPr>
      <w:r w:rsidRPr="00CD7042">
        <w:t xml:space="preserve">Zdroj: </w:t>
      </w:r>
      <w:r>
        <w:t>Eurostat.</w:t>
      </w:r>
    </w:p>
    <w:p w14:paraId="51E10220" w14:textId="17B4BA6C" w:rsidR="000D05F7" w:rsidRDefault="002C027A" w:rsidP="00946B24">
      <w:pPr>
        <w:pStyle w:val="Nadpis2"/>
      </w:pPr>
      <w:bookmarkStart w:id="8" w:name="_Toc168567180"/>
      <w:r>
        <w:t xml:space="preserve">2.2 </w:t>
      </w:r>
      <w:r w:rsidR="00E43045">
        <w:t xml:space="preserve"> </w:t>
      </w:r>
      <w:r w:rsidR="001209F4">
        <w:t>Príjmy verejnej správy</w:t>
      </w:r>
      <w:bookmarkEnd w:id="8"/>
    </w:p>
    <w:p w14:paraId="5B11CECD" w14:textId="5BB2964C" w:rsidR="007A5D69" w:rsidRDefault="007A5D69" w:rsidP="007A5D69">
      <w:r w:rsidRPr="00C539AE">
        <w:rPr>
          <w:b/>
        </w:rPr>
        <w:t>Celkové daňové a odvodové príjmy VS boli oproti rozpočtu vyššie aj vďaka zavedeniu solidárneho príspevku z činnosti v odvetviach ropy, zemného plynu, uhl</w:t>
      </w:r>
      <w:r>
        <w:rPr>
          <w:b/>
        </w:rPr>
        <w:t>ia a rafinérií</w:t>
      </w:r>
      <w:r w:rsidRPr="00C539AE">
        <w:rPr>
          <w:b/>
        </w:rPr>
        <w:t>.</w:t>
      </w:r>
      <w:r>
        <w:t xml:space="preserve"> Ten priniesol v minulom roku do rozpočtu v akruálnom vyjadrení približne 330 mil. eur. Ani DPH a DPFO nedosiahli v roku 2023 prognózované výnosy a spôsobili výpadok príjmov na úrovni takmer 300 mil. eur (graf 4).</w:t>
      </w:r>
    </w:p>
    <w:p w14:paraId="72E2B934" w14:textId="0A1D8289" w:rsidR="007A5D69" w:rsidRDefault="007A5D69" w:rsidP="007A5D69">
      <w:r w:rsidRPr="0033369E">
        <w:rPr>
          <w:b/>
        </w:rPr>
        <w:t xml:space="preserve">Výnos DPH </w:t>
      </w:r>
      <w:r>
        <w:rPr>
          <w:b/>
        </w:rPr>
        <w:t>bol</w:t>
      </w:r>
      <w:r w:rsidRPr="0033369E">
        <w:rPr>
          <w:b/>
        </w:rPr>
        <w:t xml:space="preserve"> oproti rozpočtu nižší o 83,9 mil. eur, </w:t>
      </w:r>
      <w:r>
        <w:rPr>
          <w:b/>
        </w:rPr>
        <w:t>a to</w:t>
      </w:r>
      <w:r w:rsidRPr="0033369E">
        <w:rPr>
          <w:b/>
        </w:rPr>
        <w:t xml:space="preserve"> vplyvom viacerých faktorov. </w:t>
      </w:r>
      <w:r>
        <w:t>Výber DPH negatívne ovplyvnila legislatíva schválená v decembri 2022, ktorá znížila sadzby na 10 % pre podniky poskytujúce gastronomické služby a</w:t>
      </w:r>
      <w:r w:rsidR="00FF3AE5">
        <w:t>j</w:t>
      </w:r>
      <w:r>
        <w:t xml:space="preserve"> športoviská. Na druhej strane korigovala negatívny vplyv energopomoc udelená domácnostiam.</w:t>
      </w:r>
      <w:r>
        <w:rPr>
          <w:rStyle w:val="Odkaznapoznmkupodiarou"/>
        </w:rPr>
        <w:footnoteReference w:id="5"/>
      </w:r>
      <w:r>
        <w:t xml:space="preserve"> Aj napriek tomu, že efektívna daňová sadzba DPH od roku 2012 narástla o viac ako štvrtinu (z 12,3 % na 15,6 %), svoje maximum z roku 2005 ešte nedosiahla (16,6 %). </w:t>
      </w:r>
    </w:p>
    <w:p w14:paraId="359E78DC" w14:textId="77777777" w:rsidR="00E63F7E" w:rsidRPr="00BC3CA3" w:rsidRDefault="00E63F7E" w:rsidP="00E63F7E">
      <w:pPr>
        <w:pStyle w:val="Popis"/>
        <w:keepNext/>
        <w:rPr>
          <w:color w:val="314364"/>
        </w:rPr>
      </w:pPr>
      <w:r w:rsidRPr="00BC3CA3">
        <w:rPr>
          <w:color w:val="314364"/>
        </w:rPr>
        <w:lastRenderedPageBreak/>
        <w:t>Graf</w:t>
      </w:r>
      <w:r>
        <w:rPr>
          <w:color w:val="314364"/>
        </w:rPr>
        <w:t xml:space="preserve"> 4</w:t>
      </w:r>
      <w:r w:rsidRPr="00BC3CA3">
        <w:rPr>
          <w:color w:val="314364"/>
        </w:rPr>
        <w:t>:</w:t>
      </w:r>
      <w:r>
        <w:rPr>
          <w:color w:val="314364"/>
        </w:rPr>
        <w:t xml:space="preserve"> </w:t>
      </w:r>
      <w:r w:rsidRPr="00121099">
        <w:rPr>
          <w:color w:val="314364"/>
        </w:rPr>
        <w:t>Porovnanie prog</w:t>
      </w:r>
      <w:r>
        <w:rPr>
          <w:color w:val="314364"/>
        </w:rPr>
        <w:t>nózy VpD</w:t>
      </w:r>
      <w:r w:rsidRPr="00AF5A13">
        <w:rPr>
          <w:color w:val="314364"/>
        </w:rPr>
        <w:t>P a</w:t>
      </w:r>
      <w:r>
        <w:rPr>
          <w:color w:val="314364"/>
        </w:rPr>
        <w:t xml:space="preserve"> očakávanej </w:t>
      </w:r>
      <w:r w:rsidRPr="00AF5A13">
        <w:rPr>
          <w:color w:val="314364"/>
        </w:rPr>
        <w:t>skutočnosti za rok 20</w:t>
      </w:r>
      <w:r>
        <w:rPr>
          <w:color w:val="314364"/>
        </w:rPr>
        <w:t>23 (v mil. eur)</w:t>
      </w:r>
    </w:p>
    <w:tbl>
      <w:tblPr>
        <w:tblStyle w:val="Mriekatabuky"/>
        <w:tblW w:w="508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9230"/>
      </w:tblGrid>
      <w:tr w:rsidR="00E63F7E" w:rsidRPr="00C75134" w14:paraId="681B4C89" w14:textId="77777777" w:rsidTr="00A81877">
        <w:trPr>
          <w:trHeight w:val="3222"/>
        </w:trPr>
        <w:tc>
          <w:tcPr>
            <w:tcW w:w="9230" w:type="dxa"/>
            <w:tcBorders>
              <w:top w:val="single" w:sz="4" w:space="0" w:color="314364"/>
              <w:bottom w:val="single" w:sz="4" w:space="0" w:color="314364"/>
            </w:tcBorders>
            <w:vAlign w:val="center"/>
          </w:tcPr>
          <w:p w14:paraId="1B8F6B7D" w14:textId="77777777" w:rsidR="00E63F7E" w:rsidRPr="00C75134" w:rsidRDefault="00E63F7E" w:rsidP="00A81877">
            <w:pPr>
              <w:spacing w:after="0"/>
              <w:rPr>
                <w:b/>
                <w:color w:val="576431"/>
              </w:rPr>
            </w:pPr>
            <w:r>
              <w:rPr>
                <w:noProof/>
                <w:lang w:eastAsia="sk-SK"/>
              </w:rPr>
              <w:drawing>
                <wp:inline distT="0" distB="0" distL="0" distR="0" wp14:anchorId="062ED914" wp14:editId="4E4A7575">
                  <wp:extent cx="5715000" cy="2038350"/>
                  <wp:effectExtent l="0" t="0" r="0" b="0"/>
                  <wp:docPr id="31" name="Graf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bl>
    <w:p w14:paraId="7A541176" w14:textId="19DD9B4D" w:rsidR="00E63F7E" w:rsidRDefault="00E63F7E" w:rsidP="00E63F7E">
      <w:pPr>
        <w:pStyle w:val="Zdroj"/>
        <w:jc w:val="both"/>
      </w:pPr>
      <w:r w:rsidRPr="00CD7042">
        <w:t xml:space="preserve">Zdroj: </w:t>
      </w:r>
      <w:r w:rsidR="00FF3AE5">
        <w:t>Návrh RVS 2023 – 202</w:t>
      </w:r>
      <w:r w:rsidR="00FF3AE5">
        <w:rPr>
          <w:lang w:val="en-US"/>
        </w:rPr>
        <w:t>;</w:t>
      </w:r>
      <w:r>
        <w:t xml:space="preserve"> Návrh </w:t>
      </w:r>
      <w:r w:rsidRPr="00AC02EC">
        <w:t>ŠZÚ</w:t>
      </w:r>
      <w:r>
        <w:t xml:space="preserve"> 2023</w:t>
      </w:r>
      <w:r w:rsidRPr="00AC02EC">
        <w:t xml:space="preserve">, </w:t>
      </w:r>
      <w:r>
        <w:t>MF SR.</w:t>
      </w:r>
    </w:p>
    <w:p w14:paraId="552BAD80" w14:textId="0C0C1E22" w:rsidR="007A5D69" w:rsidRDefault="007A5D69" w:rsidP="007A5D69">
      <w:pPr>
        <w:pStyle w:val="Zkladntext0"/>
        <w:spacing w:after="120"/>
        <w:jc w:val="both"/>
        <w:rPr>
          <w:rFonts w:ascii="Segoe UI" w:eastAsia="Times New Roman" w:hAnsi="Segoe UI" w:cs="Segoe UI"/>
          <w:sz w:val="20"/>
        </w:rPr>
      </w:pPr>
      <w:r w:rsidRPr="009A3EBE">
        <w:rPr>
          <w:rFonts w:ascii="Segoe UI" w:eastAsia="Times New Roman" w:hAnsi="Segoe UI" w:cs="Segoe UI"/>
          <w:b/>
          <w:sz w:val="20"/>
        </w:rPr>
        <w:t xml:space="preserve">NKÚ SR </w:t>
      </w:r>
      <w:r>
        <w:rPr>
          <w:rFonts w:ascii="Segoe UI" w:eastAsia="Times New Roman" w:hAnsi="Segoe UI" w:cs="Segoe UI"/>
          <w:b/>
          <w:sz w:val="20"/>
        </w:rPr>
        <w:t>vníma</w:t>
      </w:r>
      <w:r w:rsidRPr="009A3EBE">
        <w:rPr>
          <w:rFonts w:ascii="Segoe UI" w:eastAsia="Times New Roman" w:hAnsi="Segoe UI" w:cs="Segoe UI"/>
          <w:b/>
          <w:sz w:val="20"/>
        </w:rPr>
        <w:t xml:space="preserve"> rezervy v efektívnosti výberu DPH a odporúča MF SR spolu s</w:t>
      </w:r>
      <w:r>
        <w:rPr>
          <w:rFonts w:ascii="Segoe UI" w:eastAsia="Times New Roman" w:hAnsi="Segoe UI" w:cs="Segoe UI"/>
          <w:b/>
          <w:sz w:val="20"/>
        </w:rPr>
        <w:t> </w:t>
      </w:r>
      <w:r w:rsidRPr="009A3EBE">
        <w:rPr>
          <w:rFonts w:ascii="Segoe UI" w:eastAsia="Times New Roman" w:hAnsi="Segoe UI" w:cs="Segoe UI"/>
          <w:b/>
          <w:sz w:val="20"/>
        </w:rPr>
        <w:t>F</w:t>
      </w:r>
      <w:r>
        <w:rPr>
          <w:rFonts w:ascii="Segoe UI" w:eastAsia="Times New Roman" w:hAnsi="Segoe UI" w:cs="Segoe UI"/>
          <w:b/>
          <w:sz w:val="20"/>
        </w:rPr>
        <w:t>inančnou správou</w:t>
      </w:r>
      <w:r w:rsidRPr="009A3EBE">
        <w:rPr>
          <w:rFonts w:ascii="Segoe UI" w:eastAsia="Times New Roman" w:hAnsi="Segoe UI" w:cs="Segoe UI"/>
          <w:b/>
          <w:sz w:val="20"/>
        </w:rPr>
        <w:t xml:space="preserve"> SR zamerať </w:t>
      </w:r>
      <w:r>
        <w:rPr>
          <w:rFonts w:ascii="Segoe UI" w:eastAsia="Times New Roman" w:hAnsi="Segoe UI" w:cs="Segoe UI"/>
          <w:b/>
          <w:sz w:val="20"/>
        </w:rPr>
        <w:t xml:space="preserve">sa </w:t>
      </w:r>
      <w:r w:rsidRPr="009A3EBE">
        <w:rPr>
          <w:rFonts w:ascii="Segoe UI" w:eastAsia="Times New Roman" w:hAnsi="Segoe UI" w:cs="Segoe UI"/>
          <w:b/>
          <w:sz w:val="20"/>
        </w:rPr>
        <w:t>na zvýšenie úspešnosti výberu DPH ako</w:t>
      </w:r>
      <w:r>
        <w:rPr>
          <w:rFonts w:ascii="Segoe UI" w:eastAsia="Times New Roman" w:hAnsi="Segoe UI" w:cs="Segoe UI"/>
          <w:b/>
          <w:sz w:val="20"/>
        </w:rPr>
        <w:t xml:space="preserve"> dane s najvyšším výnosom</w:t>
      </w:r>
      <w:r w:rsidRPr="009A3EBE">
        <w:rPr>
          <w:rFonts w:ascii="Segoe UI" w:eastAsia="Times New Roman" w:hAnsi="Segoe UI" w:cs="Segoe UI"/>
          <w:b/>
          <w:sz w:val="20"/>
        </w:rPr>
        <w:t>.</w:t>
      </w:r>
      <w:r>
        <w:rPr>
          <w:rFonts w:ascii="Segoe UI" w:eastAsia="Times New Roman" w:hAnsi="Segoe UI" w:cs="Segoe UI"/>
          <w:b/>
          <w:sz w:val="20"/>
        </w:rPr>
        <w:t xml:space="preserve"> Na </w:t>
      </w:r>
      <w:r w:rsidRPr="00155528">
        <w:rPr>
          <w:rFonts w:ascii="Segoe UI" w:eastAsia="Times New Roman" w:hAnsi="Segoe UI" w:cs="Segoe UI"/>
          <w:b/>
          <w:sz w:val="20"/>
        </w:rPr>
        <w:t xml:space="preserve">DPH v roku 2023 pripadalo </w:t>
      </w:r>
      <w:r>
        <w:rPr>
          <w:rFonts w:ascii="Segoe UI" w:eastAsia="Times New Roman" w:hAnsi="Segoe UI" w:cs="Segoe UI"/>
          <w:b/>
          <w:sz w:val="20"/>
        </w:rPr>
        <w:t>41,8</w:t>
      </w:r>
      <w:r w:rsidRPr="00155528">
        <w:rPr>
          <w:rFonts w:ascii="Segoe UI" w:eastAsia="Times New Roman" w:hAnsi="Segoe UI" w:cs="Segoe UI"/>
          <w:b/>
          <w:sz w:val="20"/>
        </w:rPr>
        <w:t xml:space="preserve"> % celkových </w:t>
      </w:r>
      <w:r>
        <w:rPr>
          <w:rFonts w:ascii="Segoe UI" w:eastAsia="Times New Roman" w:hAnsi="Segoe UI" w:cs="Segoe UI"/>
          <w:b/>
          <w:sz w:val="20"/>
        </w:rPr>
        <w:t xml:space="preserve">daňových </w:t>
      </w:r>
      <w:r w:rsidRPr="00155528">
        <w:rPr>
          <w:rFonts w:ascii="Segoe UI" w:eastAsia="Times New Roman" w:hAnsi="Segoe UI" w:cs="Segoe UI"/>
          <w:b/>
          <w:sz w:val="20"/>
        </w:rPr>
        <w:t>príjmov</w:t>
      </w:r>
      <w:r>
        <w:rPr>
          <w:rFonts w:ascii="Segoe UI" w:eastAsia="Times New Roman" w:hAnsi="Segoe UI" w:cs="Segoe UI"/>
          <w:sz w:val="20"/>
        </w:rPr>
        <w:t>. Aj napriek nižšiemu než rozpočtovanému výberu DPH sa jej celkový výnos vďaka nárastu ekonomickej aktivity medziročne zvýšil o 1,36 mld. eur. Pre ďalšie zvýšenie výberu môžu byť využité osvedčené opatrenia z predchádzajúceho akčného plánu boja proti daňovým podvodom, vrátane nových behaviorálnych, nástrojov s naviazaním na eKasu, či prepojením aplikácie ePeňaženka na on-line overovanie pravosti pokladničných dokladov.</w:t>
      </w:r>
      <w:r w:rsidR="00452C79" w:rsidRPr="00452C79">
        <w:t xml:space="preserve"> </w:t>
      </w:r>
      <w:r w:rsidR="00452C79" w:rsidRPr="00452C79">
        <w:rPr>
          <w:rFonts w:ascii="Segoe UI" w:eastAsia="Times New Roman" w:hAnsi="Segoe UI" w:cs="Segoe UI"/>
          <w:sz w:val="20"/>
        </w:rPr>
        <w:t>Potenciál na ďalšie zlepšenie výberu a uzavieranie daňovej medzery DPH má aj pripravovaný systém zaručenej elektronickej fakturácie, tzv. eFaktúra.</w:t>
      </w:r>
    </w:p>
    <w:p w14:paraId="708FEA7D" w14:textId="32EC57AA" w:rsidR="00BB71F6" w:rsidRDefault="00FB0F3F" w:rsidP="00BB71F6">
      <w:r>
        <w:rPr>
          <w:b/>
        </w:rPr>
        <w:t>Odhad</w:t>
      </w:r>
      <w:r w:rsidRPr="00FB0F3F">
        <w:rPr>
          <w:rStyle w:val="Odkaznapoznmkupodiarou"/>
        </w:rPr>
        <w:footnoteReference w:id="6"/>
      </w:r>
      <w:r>
        <w:rPr>
          <w:b/>
        </w:rPr>
        <w:t xml:space="preserve"> </w:t>
      </w:r>
      <w:r w:rsidRPr="00C539AE">
        <w:rPr>
          <w:b/>
        </w:rPr>
        <w:t>výber</w:t>
      </w:r>
      <w:r>
        <w:rPr>
          <w:b/>
        </w:rPr>
        <w:t>u</w:t>
      </w:r>
      <w:r w:rsidRPr="00C539AE">
        <w:rPr>
          <w:b/>
        </w:rPr>
        <w:t xml:space="preserve"> DPFO z podnikania prekonal </w:t>
      </w:r>
      <w:r>
        <w:rPr>
          <w:b/>
        </w:rPr>
        <w:t>p</w:t>
      </w:r>
      <w:r w:rsidRPr="00C539AE">
        <w:rPr>
          <w:b/>
        </w:rPr>
        <w:t>rognózované výnosy</w:t>
      </w:r>
      <w:r w:rsidR="00054A22">
        <w:rPr>
          <w:b/>
        </w:rPr>
        <w:t xml:space="preserve"> o ta</w:t>
      </w:r>
      <w:r w:rsidRPr="00C539AE">
        <w:rPr>
          <w:b/>
        </w:rPr>
        <w:t>kmer 29 mil. eur.</w:t>
      </w:r>
      <w:r>
        <w:t xml:space="preserve"> Hlavným dôvodom môže byť vyšší medziročný nárast živnostníkov najmä v druhej polovici roka 2023, ktorý bol na úrovni 7,4 %, pričom rozpočet rátal s rastom na úrovni 1 až 2 %. </w:t>
      </w:r>
      <w:r w:rsidR="00BB71F6">
        <w:t>Spotrebné dane v metodike ESA 2010 priniesli do rozpočtu vyšší výnos o 52 mil. eur. Na výnos mal</w:t>
      </w:r>
      <w:r w:rsidR="00C539AE">
        <w:t>o</w:t>
      </w:r>
      <w:r w:rsidR="00BB71F6">
        <w:t xml:space="preserve"> pozitívny vplyv plnenie SD z minerálneho oleja, ako aj výnos SD z liehu, kde sa zvyšovala sadzba od 1. apríla 2023 o 30 %.</w:t>
      </w:r>
      <w:r w:rsidR="005C4B63">
        <w:t xml:space="preserve"> </w:t>
      </w:r>
    </w:p>
    <w:p w14:paraId="7C36EF07" w14:textId="0370FDF9" w:rsidR="009C7A1A" w:rsidRDefault="009C7A1A" w:rsidP="009C7A1A">
      <w:r w:rsidRPr="00C539AE">
        <w:rPr>
          <w:b/>
        </w:rPr>
        <w:t>Výnos sociálnych a zdravotných odvodov bol negatívne ovplyvnený slabším vývojom na trhu práce.</w:t>
      </w:r>
      <w:r>
        <w:t xml:space="preserve"> Rovnako negatívne ovplyvnila výnos aj legislatíva, ktorá v druhom polroku 2023 odpustila časť odvodov na sociálne poistenie v potravinárskej výrobe. Na druhej strane negatívny vplyv legislatívy kompenzovalo zmrazenie rastu odvodov do druhého piliera na úrovni 5,5 %.</w:t>
      </w:r>
    </w:p>
    <w:p w14:paraId="21B3C9C7" w14:textId="79023722" w:rsidR="0065477C" w:rsidRDefault="0065477C" w:rsidP="0065477C">
      <w:pPr>
        <w:pStyle w:val="Popis"/>
        <w:keepNext/>
      </w:pPr>
      <w:r>
        <w:t xml:space="preserve">Tabuľka </w:t>
      </w:r>
      <w:fldSimple w:instr=" SEQ Tabuľka \* ARABIC ">
        <w:r w:rsidR="002A46D9">
          <w:rPr>
            <w:noProof/>
          </w:rPr>
          <w:t>2</w:t>
        </w:r>
      </w:fldSimple>
      <w:r>
        <w:t>: Vývoj príjmov VS na akruálnej báze v rokoch 2022 a 2023 (v mil. eur)</w:t>
      </w:r>
      <w:r w:rsidR="00D64728">
        <w:rPr>
          <w:rStyle w:val="Odkaznapoznmkupodiarou"/>
        </w:rPr>
        <w:footnoteReference w:id="7"/>
      </w:r>
    </w:p>
    <w:tbl>
      <w:tblPr>
        <w:tblpPr w:leftFromText="141" w:rightFromText="141" w:vertAnchor="text" w:horzAnchor="margin" w:tblpXSpec="right" w:tblpY="118"/>
        <w:tblOverlap w:val="never"/>
        <w:tblW w:w="5000" w:type="pct"/>
        <w:tblCellMar>
          <w:top w:w="28" w:type="dxa"/>
        </w:tblCellMar>
        <w:tblLook w:val="04A0" w:firstRow="1" w:lastRow="0" w:firstColumn="1" w:lastColumn="0" w:noHBand="0" w:noVBand="1"/>
      </w:tblPr>
      <w:tblGrid>
        <w:gridCol w:w="3716"/>
        <w:gridCol w:w="1154"/>
        <w:gridCol w:w="1154"/>
        <w:gridCol w:w="1154"/>
        <w:gridCol w:w="1892"/>
      </w:tblGrid>
      <w:tr w:rsidR="0065477C" w14:paraId="489EFF47" w14:textId="77777777" w:rsidTr="00127A20">
        <w:trPr>
          <w:trHeight w:val="20"/>
        </w:trPr>
        <w:tc>
          <w:tcPr>
            <w:tcW w:w="2049" w:type="pct"/>
            <w:tcBorders>
              <w:bottom w:val="single" w:sz="4" w:space="0" w:color="314364"/>
            </w:tcBorders>
            <w:shd w:val="clear" w:color="auto" w:fill="314364"/>
            <w:vAlign w:val="center"/>
          </w:tcPr>
          <w:p w14:paraId="0950A5E5" w14:textId="77777777" w:rsidR="0065477C" w:rsidRPr="0032280E" w:rsidRDefault="0065477C" w:rsidP="00127A20">
            <w:pPr>
              <w:spacing w:after="0" w:line="259" w:lineRule="auto"/>
              <w:jc w:val="left"/>
              <w:rPr>
                <w:b/>
                <w:color w:val="FFFFFF" w:themeColor="background1"/>
                <w:sz w:val="18"/>
              </w:rPr>
            </w:pPr>
            <w:r>
              <w:rPr>
                <w:b/>
                <w:color w:val="FFFFFF" w:themeColor="background1"/>
                <w:sz w:val="18"/>
              </w:rPr>
              <w:t>Ukazovateľ</w:t>
            </w:r>
          </w:p>
        </w:tc>
        <w:tc>
          <w:tcPr>
            <w:tcW w:w="636" w:type="pct"/>
            <w:tcBorders>
              <w:bottom w:val="single" w:sz="4" w:space="0" w:color="314364"/>
            </w:tcBorders>
            <w:shd w:val="clear" w:color="auto" w:fill="314364"/>
            <w:vAlign w:val="center"/>
          </w:tcPr>
          <w:p w14:paraId="75F90A6B" w14:textId="77777777" w:rsidR="0065477C" w:rsidRDefault="0065477C" w:rsidP="00127A20">
            <w:pPr>
              <w:spacing w:after="0" w:line="259" w:lineRule="auto"/>
              <w:jc w:val="right"/>
              <w:rPr>
                <w:b/>
                <w:color w:val="FFFFFF" w:themeColor="background1"/>
                <w:sz w:val="18"/>
              </w:rPr>
            </w:pPr>
            <w:r>
              <w:rPr>
                <w:b/>
                <w:color w:val="FFFFFF" w:themeColor="background1"/>
                <w:sz w:val="18"/>
              </w:rPr>
              <w:t>2022 S</w:t>
            </w:r>
          </w:p>
        </w:tc>
        <w:tc>
          <w:tcPr>
            <w:tcW w:w="636" w:type="pct"/>
            <w:tcBorders>
              <w:bottom w:val="single" w:sz="4" w:space="0" w:color="314364"/>
            </w:tcBorders>
            <w:shd w:val="clear" w:color="auto" w:fill="314364"/>
            <w:vAlign w:val="center"/>
          </w:tcPr>
          <w:p w14:paraId="6E11AEF8" w14:textId="77777777" w:rsidR="0065477C" w:rsidRPr="0032280E" w:rsidRDefault="0065477C" w:rsidP="00127A20">
            <w:pPr>
              <w:spacing w:after="0" w:line="259" w:lineRule="auto"/>
              <w:jc w:val="right"/>
              <w:rPr>
                <w:b/>
                <w:color w:val="FFFFFF" w:themeColor="background1"/>
                <w:sz w:val="18"/>
              </w:rPr>
            </w:pPr>
            <w:r>
              <w:rPr>
                <w:b/>
                <w:color w:val="FFFFFF" w:themeColor="background1"/>
                <w:sz w:val="18"/>
              </w:rPr>
              <w:t>2023 R</w:t>
            </w:r>
          </w:p>
        </w:tc>
        <w:tc>
          <w:tcPr>
            <w:tcW w:w="636" w:type="pct"/>
            <w:tcBorders>
              <w:bottom w:val="single" w:sz="4" w:space="0" w:color="314364"/>
            </w:tcBorders>
            <w:shd w:val="clear" w:color="auto" w:fill="314364"/>
            <w:vAlign w:val="center"/>
          </w:tcPr>
          <w:p w14:paraId="377242ED" w14:textId="77777777" w:rsidR="0065477C" w:rsidRPr="0032280E" w:rsidRDefault="0065477C" w:rsidP="00127A20">
            <w:pPr>
              <w:spacing w:after="0" w:line="259" w:lineRule="auto"/>
              <w:jc w:val="right"/>
              <w:rPr>
                <w:b/>
                <w:color w:val="FFFFFF" w:themeColor="background1"/>
                <w:sz w:val="18"/>
              </w:rPr>
            </w:pPr>
            <w:r>
              <w:rPr>
                <w:b/>
                <w:color w:val="FFFFFF" w:themeColor="background1"/>
                <w:sz w:val="18"/>
              </w:rPr>
              <w:t>2023 S</w:t>
            </w:r>
          </w:p>
        </w:tc>
        <w:tc>
          <w:tcPr>
            <w:tcW w:w="1043" w:type="pct"/>
            <w:tcBorders>
              <w:bottom w:val="single" w:sz="4" w:space="0" w:color="314364"/>
            </w:tcBorders>
            <w:shd w:val="clear" w:color="auto" w:fill="314364"/>
            <w:vAlign w:val="center"/>
          </w:tcPr>
          <w:p w14:paraId="357E480E" w14:textId="77777777" w:rsidR="0065477C" w:rsidRDefault="0065477C" w:rsidP="00127A20">
            <w:pPr>
              <w:spacing w:after="0" w:line="259" w:lineRule="auto"/>
              <w:jc w:val="right"/>
              <w:rPr>
                <w:b/>
                <w:color w:val="FFFFFF" w:themeColor="background1"/>
                <w:sz w:val="18"/>
              </w:rPr>
            </w:pPr>
            <w:r>
              <w:rPr>
                <w:b/>
                <w:color w:val="FFFFFF" w:themeColor="background1"/>
                <w:sz w:val="18"/>
              </w:rPr>
              <w:t>2023 S - 2023 R</w:t>
            </w:r>
          </w:p>
        </w:tc>
      </w:tr>
      <w:tr w:rsidR="0065477C" w14:paraId="79754078" w14:textId="77777777" w:rsidTr="00127A20">
        <w:trPr>
          <w:trHeight w:val="20"/>
        </w:trPr>
        <w:tc>
          <w:tcPr>
            <w:tcW w:w="2049" w:type="pct"/>
            <w:tcBorders>
              <w:top w:val="single" w:sz="4" w:space="0" w:color="314364"/>
            </w:tcBorders>
            <w:vAlign w:val="center"/>
          </w:tcPr>
          <w:p w14:paraId="16B4177E" w14:textId="77777777" w:rsidR="0065477C" w:rsidRPr="00AC02EC" w:rsidRDefault="0065477C" w:rsidP="00127A20">
            <w:pPr>
              <w:spacing w:after="0" w:line="259" w:lineRule="auto"/>
              <w:jc w:val="left"/>
              <w:rPr>
                <w:b/>
                <w:sz w:val="18"/>
              </w:rPr>
            </w:pPr>
            <w:r>
              <w:rPr>
                <w:b/>
                <w:sz w:val="18"/>
              </w:rPr>
              <w:t xml:space="preserve">Príjmy spolu </w:t>
            </w:r>
          </w:p>
        </w:tc>
        <w:tc>
          <w:tcPr>
            <w:tcW w:w="636" w:type="pct"/>
            <w:tcBorders>
              <w:top w:val="single" w:sz="4" w:space="0" w:color="314364"/>
            </w:tcBorders>
            <w:vAlign w:val="center"/>
          </w:tcPr>
          <w:p w14:paraId="15F6084E" w14:textId="77777777" w:rsidR="0065477C" w:rsidRPr="00831FB9" w:rsidRDefault="0065477C" w:rsidP="00127A20">
            <w:pPr>
              <w:spacing w:after="0" w:line="259" w:lineRule="auto"/>
              <w:jc w:val="right"/>
              <w:rPr>
                <w:b/>
                <w:sz w:val="18"/>
              </w:rPr>
            </w:pPr>
            <w:r w:rsidRPr="00831FB9">
              <w:rPr>
                <w:b/>
                <w:sz w:val="18"/>
              </w:rPr>
              <w:t>4</w:t>
            </w:r>
            <w:r>
              <w:rPr>
                <w:b/>
                <w:sz w:val="18"/>
              </w:rPr>
              <w:t>4</w:t>
            </w:r>
            <w:r w:rsidRPr="00831FB9">
              <w:rPr>
                <w:b/>
                <w:sz w:val="18"/>
              </w:rPr>
              <w:t> </w:t>
            </w:r>
            <w:r>
              <w:rPr>
                <w:b/>
                <w:sz w:val="18"/>
              </w:rPr>
              <w:t>654,7</w:t>
            </w:r>
          </w:p>
        </w:tc>
        <w:tc>
          <w:tcPr>
            <w:tcW w:w="636" w:type="pct"/>
            <w:tcBorders>
              <w:top w:val="single" w:sz="4" w:space="0" w:color="314364"/>
            </w:tcBorders>
            <w:shd w:val="clear" w:color="auto" w:fill="auto"/>
            <w:vAlign w:val="center"/>
          </w:tcPr>
          <w:p w14:paraId="1AA94F69" w14:textId="77777777" w:rsidR="0065477C" w:rsidRPr="00831FB9" w:rsidRDefault="0065477C" w:rsidP="00127A20">
            <w:pPr>
              <w:spacing w:after="0" w:line="259" w:lineRule="auto"/>
              <w:jc w:val="right"/>
              <w:rPr>
                <w:b/>
                <w:sz w:val="18"/>
              </w:rPr>
            </w:pPr>
            <w:r>
              <w:rPr>
                <w:b/>
                <w:sz w:val="18"/>
              </w:rPr>
              <w:t>51 094,5</w:t>
            </w:r>
          </w:p>
        </w:tc>
        <w:tc>
          <w:tcPr>
            <w:tcW w:w="636" w:type="pct"/>
            <w:tcBorders>
              <w:top w:val="single" w:sz="4" w:space="0" w:color="314364"/>
            </w:tcBorders>
            <w:vAlign w:val="center"/>
          </w:tcPr>
          <w:p w14:paraId="6C583606" w14:textId="77777777" w:rsidR="0065477C" w:rsidRPr="00831FB9" w:rsidRDefault="0065477C" w:rsidP="00127A20">
            <w:pPr>
              <w:spacing w:after="0" w:line="259" w:lineRule="auto"/>
              <w:jc w:val="right"/>
              <w:rPr>
                <w:b/>
                <w:sz w:val="18"/>
              </w:rPr>
            </w:pPr>
            <w:r>
              <w:rPr>
                <w:b/>
                <w:sz w:val="18"/>
              </w:rPr>
              <w:t>52 842,8</w:t>
            </w:r>
          </w:p>
        </w:tc>
        <w:tc>
          <w:tcPr>
            <w:tcW w:w="1043" w:type="pct"/>
            <w:tcBorders>
              <w:top w:val="single" w:sz="4" w:space="0" w:color="314364"/>
            </w:tcBorders>
            <w:vAlign w:val="center"/>
          </w:tcPr>
          <w:p w14:paraId="0F1D7DF1" w14:textId="77777777" w:rsidR="0065477C" w:rsidRPr="00831FB9" w:rsidRDefault="0065477C" w:rsidP="00127A20">
            <w:pPr>
              <w:tabs>
                <w:tab w:val="left" w:pos="1303"/>
              </w:tabs>
              <w:spacing w:after="0" w:line="259" w:lineRule="auto"/>
              <w:ind w:right="459"/>
              <w:jc w:val="right"/>
              <w:rPr>
                <w:b/>
                <w:sz w:val="18"/>
              </w:rPr>
            </w:pPr>
            <w:r>
              <w:rPr>
                <w:b/>
                <w:sz w:val="18"/>
              </w:rPr>
              <w:t>1 748,3</w:t>
            </w:r>
          </w:p>
        </w:tc>
      </w:tr>
      <w:tr w:rsidR="0065477C" w14:paraId="5A06F036" w14:textId="77777777" w:rsidTr="00127A20">
        <w:trPr>
          <w:trHeight w:val="20"/>
        </w:trPr>
        <w:tc>
          <w:tcPr>
            <w:tcW w:w="2049" w:type="pct"/>
            <w:vAlign w:val="center"/>
          </w:tcPr>
          <w:p w14:paraId="22372518" w14:textId="77777777" w:rsidR="0065477C" w:rsidRPr="00AC02EC" w:rsidRDefault="0065477C" w:rsidP="00127A20">
            <w:pPr>
              <w:spacing w:after="0" w:line="259" w:lineRule="auto"/>
              <w:jc w:val="left"/>
              <w:rPr>
                <w:sz w:val="18"/>
              </w:rPr>
            </w:pPr>
            <w:r>
              <w:rPr>
                <w:sz w:val="18"/>
              </w:rPr>
              <w:t>Daňové príjmy</w:t>
            </w:r>
          </w:p>
        </w:tc>
        <w:tc>
          <w:tcPr>
            <w:tcW w:w="636" w:type="pct"/>
            <w:vAlign w:val="center"/>
          </w:tcPr>
          <w:p w14:paraId="3896D9F8" w14:textId="77777777" w:rsidR="0065477C" w:rsidRPr="0032280E" w:rsidRDefault="0065477C" w:rsidP="00127A20">
            <w:pPr>
              <w:spacing w:after="0" w:line="259" w:lineRule="auto"/>
              <w:jc w:val="right"/>
              <w:rPr>
                <w:sz w:val="18"/>
              </w:rPr>
            </w:pPr>
            <w:r>
              <w:rPr>
                <w:sz w:val="18"/>
                <w:szCs w:val="18"/>
              </w:rPr>
              <w:t>22 083,0</w:t>
            </w:r>
          </w:p>
        </w:tc>
        <w:tc>
          <w:tcPr>
            <w:tcW w:w="636" w:type="pct"/>
            <w:shd w:val="clear" w:color="auto" w:fill="auto"/>
            <w:vAlign w:val="center"/>
          </w:tcPr>
          <w:p w14:paraId="0E34C72E" w14:textId="77777777" w:rsidR="0065477C" w:rsidRPr="0032280E" w:rsidRDefault="0065477C" w:rsidP="00127A20">
            <w:pPr>
              <w:spacing w:after="0" w:line="259" w:lineRule="auto"/>
              <w:jc w:val="right"/>
              <w:rPr>
                <w:sz w:val="18"/>
              </w:rPr>
            </w:pPr>
            <w:r>
              <w:rPr>
                <w:sz w:val="18"/>
              </w:rPr>
              <w:t>23 893,7</w:t>
            </w:r>
          </w:p>
        </w:tc>
        <w:tc>
          <w:tcPr>
            <w:tcW w:w="636" w:type="pct"/>
            <w:vAlign w:val="center"/>
          </w:tcPr>
          <w:p w14:paraId="19C9D926" w14:textId="77777777" w:rsidR="0065477C" w:rsidRPr="0032280E" w:rsidRDefault="0065477C" w:rsidP="00127A20">
            <w:pPr>
              <w:spacing w:after="0" w:line="259" w:lineRule="auto"/>
              <w:jc w:val="right"/>
              <w:rPr>
                <w:sz w:val="18"/>
              </w:rPr>
            </w:pPr>
            <w:r>
              <w:rPr>
                <w:sz w:val="18"/>
              </w:rPr>
              <w:t>24 653,5</w:t>
            </w:r>
          </w:p>
        </w:tc>
        <w:tc>
          <w:tcPr>
            <w:tcW w:w="1043" w:type="pct"/>
            <w:vAlign w:val="center"/>
          </w:tcPr>
          <w:p w14:paraId="6F9C4B70" w14:textId="77777777" w:rsidR="0065477C" w:rsidRPr="0032280E" w:rsidRDefault="0065477C" w:rsidP="00127A20">
            <w:pPr>
              <w:tabs>
                <w:tab w:val="left" w:pos="1303"/>
              </w:tabs>
              <w:spacing w:after="0" w:line="259" w:lineRule="auto"/>
              <w:ind w:right="459"/>
              <w:jc w:val="right"/>
              <w:rPr>
                <w:sz w:val="18"/>
              </w:rPr>
            </w:pPr>
            <w:r>
              <w:rPr>
                <w:sz w:val="18"/>
              </w:rPr>
              <w:t>759,8</w:t>
            </w:r>
          </w:p>
        </w:tc>
      </w:tr>
      <w:tr w:rsidR="0065477C" w14:paraId="3F6F8980" w14:textId="77777777" w:rsidTr="00127A20">
        <w:trPr>
          <w:trHeight w:val="20"/>
        </w:trPr>
        <w:tc>
          <w:tcPr>
            <w:tcW w:w="2049" w:type="pct"/>
            <w:vAlign w:val="center"/>
          </w:tcPr>
          <w:p w14:paraId="573A3071" w14:textId="77777777" w:rsidR="0065477C" w:rsidRDefault="0065477C" w:rsidP="00127A20">
            <w:pPr>
              <w:spacing w:after="0" w:line="259" w:lineRule="auto"/>
              <w:jc w:val="left"/>
              <w:rPr>
                <w:sz w:val="18"/>
              </w:rPr>
            </w:pPr>
            <w:r>
              <w:rPr>
                <w:sz w:val="18"/>
              </w:rPr>
              <w:t>Príspevky na sociálne zabezpečenie</w:t>
            </w:r>
          </w:p>
        </w:tc>
        <w:tc>
          <w:tcPr>
            <w:tcW w:w="636" w:type="pct"/>
            <w:vAlign w:val="center"/>
          </w:tcPr>
          <w:p w14:paraId="6E613D4F" w14:textId="77777777" w:rsidR="0065477C" w:rsidRPr="00D14ECD" w:rsidRDefault="0065477C" w:rsidP="00127A20">
            <w:pPr>
              <w:spacing w:after="0" w:line="259" w:lineRule="auto"/>
              <w:jc w:val="right"/>
              <w:rPr>
                <w:sz w:val="18"/>
                <w:szCs w:val="18"/>
              </w:rPr>
            </w:pPr>
            <w:r>
              <w:rPr>
                <w:sz w:val="18"/>
                <w:szCs w:val="18"/>
              </w:rPr>
              <w:t>16 338,5</w:t>
            </w:r>
          </w:p>
        </w:tc>
        <w:tc>
          <w:tcPr>
            <w:tcW w:w="636" w:type="pct"/>
            <w:shd w:val="clear" w:color="auto" w:fill="auto"/>
            <w:vAlign w:val="center"/>
          </w:tcPr>
          <w:p w14:paraId="2379ECDF" w14:textId="77777777" w:rsidR="0065477C" w:rsidRPr="0032280E" w:rsidRDefault="0065477C" w:rsidP="00127A20">
            <w:pPr>
              <w:spacing w:after="0" w:line="259" w:lineRule="auto"/>
              <w:jc w:val="right"/>
              <w:rPr>
                <w:sz w:val="18"/>
              </w:rPr>
            </w:pPr>
            <w:r>
              <w:rPr>
                <w:sz w:val="18"/>
              </w:rPr>
              <w:t>18 424,2</w:t>
            </w:r>
          </w:p>
        </w:tc>
        <w:tc>
          <w:tcPr>
            <w:tcW w:w="636" w:type="pct"/>
            <w:vAlign w:val="center"/>
          </w:tcPr>
          <w:p w14:paraId="1780F384" w14:textId="77777777" w:rsidR="0065477C" w:rsidRPr="0032280E" w:rsidRDefault="0065477C" w:rsidP="00127A20">
            <w:pPr>
              <w:spacing w:after="0" w:line="259" w:lineRule="auto"/>
              <w:jc w:val="right"/>
              <w:rPr>
                <w:sz w:val="18"/>
              </w:rPr>
            </w:pPr>
            <w:r>
              <w:rPr>
                <w:sz w:val="18"/>
              </w:rPr>
              <w:t>18 876,3</w:t>
            </w:r>
          </w:p>
        </w:tc>
        <w:tc>
          <w:tcPr>
            <w:tcW w:w="1043" w:type="pct"/>
            <w:vAlign w:val="center"/>
          </w:tcPr>
          <w:p w14:paraId="490AD3E3" w14:textId="77777777" w:rsidR="0065477C" w:rsidRPr="0032280E" w:rsidRDefault="0065477C" w:rsidP="00127A20">
            <w:pPr>
              <w:tabs>
                <w:tab w:val="left" w:pos="1303"/>
              </w:tabs>
              <w:spacing w:after="0" w:line="259" w:lineRule="auto"/>
              <w:ind w:right="459"/>
              <w:jc w:val="right"/>
              <w:rPr>
                <w:sz w:val="18"/>
              </w:rPr>
            </w:pPr>
            <w:r>
              <w:rPr>
                <w:sz w:val="18"/>
              </w:rPr>
              <w:t>452,1</w:t>
            </w:r>
          </w:p>
        </w:tc>
      </w:tr>
      <w:tr w:rsidR="0065477C" w:rsidRPr="00325BDA" w14:paraId="50195562" w14:textId="77777777" w:rsidTr="00127A20">
        <w:trPr>
          <w:trHeight w:val="20"/>
        </w:trPr>
        <w:tc>
          <w:tcPr>
            <w:tcW w:w="2049" w:type="pct"/>
            <w:vAlign w:val="center"/>
          </w:tcPr>
          <w:p w14:paraId="34FACBC4" w14:textId="77777777" w:rsidR="0065477C" w:rsidRPr="006F3809" w:rsidRDefault="0065477C" w:rsidP="00127A20">
            <w:pPr>
              <w:spacing w:after="0" w:line="259" w:lineRule="auto"/>
              <w:jc w:val="left"/>
              <w:rPr>
                <w:sz w:val="18"/>
              </w:rPr>
            </w:pPr>
            <w:r>
              <w:rPr>
                <w:sz w:val="18"/>
              </w:rPr>
              <w:t>Nedaňové príjmy</w:t>
            </w:r>
          </w:p>
        </w:tc>
        <w:tc>
          <w:tcPr>
            <w:tcW w:w="636" w:type="pct"/>
            <w:vAlign w:val="center"/>
          </w:tcPr>
          <w:p w14:paraId="1467F6FF" w14:textId="77777777" w:rsidR="0065477C" w:rsidRPr="006F3809" w:rsidRDefault="0065477C" w:rsidP="00127A20">
            <w:pPr>
              <w:spacing w:after="0" w:line="259" w:lineRule="auto"/>
              <w:jc w:val="right"/>
              <w:rPr>
                <w:sz w:val="18"/>
              </w:rPr>
            </w:pPr>
            <w:r>
              <w:rPr>
                <w:sz w:val="18"/>
                <w:szCs w:val="18"/>
              </w:rPr>
              <w:t>3 593,3</w:t>
            </w:r>
          </w:p>
        </w:tc>
        <w:tc>
          <w:tcPr>
            <w:tcW w:w="636" w:type="pct"/>
            <w:shd w:val="clear" w:color="auto" w:fill="auto"/>
            <w:vAlign w:val="center"/>
          </w:tcPr>
          <w:p w14:paraId="737B517A" w14:textId="77777777" w:rsidR="0065477C" w:rsidRPr="006F3809" w:rsidRDefault="0065477C" w:rsidP="00127A20">
            <w:pPr>
              <w:spacing w:after="0" w:line="259" w:lineRule="auto"/>
              <w:jc w:val="right"/>
              <w:rPr>
                <w:sz w:val="18"/>
              </w:rPr>
            </w:pPr>
            <w:r>
              <w:rPr>
                <w:sz w:val="18"/>
              </w:rPr>
              <w:t>3 637,4</w:t>
            </w:r>
          </w:p>
        </w:tc>
        <w:tc>
          <w:tcPr>
            <w:tcW w:w="636" w:type="pct"/>
            <w:vAlign w:val="center"/>
          </w:tcPr>
          <w:p w14:paraId="5CF1A20A" w14:textId="77777777" w:rsidR="0065477C" w:rsidRPr="006F3809" w:rsidRDefault="0065477C" w:rsidP="00127A20">
            <w:pPr>
              <w:spacing w:after="0" w:line="259" w:lineRule="auto"/>
              <w:jc w:val="right"/>
              <w:rPr>
                <w:sz w:val="18"/>
              </w:rPr>
            </w:pPr>
            <w:r>
              <w:rPr>
                <w:sz w:val="18"/>
              </w:rPr>
              <w:t>4 618,1</w:t>
            </w:r>
          </w:p>
        </w:tc>
        <w:tc>
          <w:tcPr>
            <w:tcW w:w="1043" w:type="pct"/>
            <w:vAlign w:val="center"/>
          </w:tcPr>
          <w:p w14:paraId="3CE2490D" w14:textId="77777777" w:rsidR="0065477C" w:rsidRPr="006F3809" w:rsidRDefault="0065477C" w:rsidP="00127A20">
            <w:pPr>
              <w:tabs>
                <w:tab w:val="left" w:pos="1303"/>
              </w:tabs>
              <w:spacing w:after="0" w:line="259" w:lineRule="auto"/>
              <w:ind w:right="459"/>
              <w:jc w:val="right"/>
              <w:rPr>
                <w:sz w:val="18"/>
              </w:rPr>
            </w:pPr>
            <w:r>
              <w:rPr>
                <w:sz w:val="18"/>
              </w:rPr>
              <w:t>980,8</w:t>
            </w:r>
          </w:p>
        </w:tc>
      </w:tr>
      <w:tr w:rsidR="0065477C" w:rsidRPr="00325BDA" w14:paraId="35834730" w14:textId="77777777" w:rsidTr="00127A20">
        <w:trPr>
          <w:trHeight w:val="227"/>
        </w:trPr>
        <w:tc>
          <w:tcPr>
            <w:tcW w:w="2049" w:type="pct"/>
            <w:tcBorders>
              <w:bottom w:val="single" w:sz="4" w:space="0" w:color="314364" w:themeColor="text2"/>
            </w:tcBorders>
            <w:vAlign w:val="center"/>
          </w:tcPr>
          <w:p w14:paraId="76ED6C63" w14:textId="77777777" w:rsidR="0065477C" w:rsidRDefault="0065477C" w:rsidP="00127A20">
            <w:pPr>
              <w:spacing w:after="0" w:line="259" w:lineRule="auto"/>
              <w:jc w:val="left"/>
              <w:rPr>
                <w:sz w:val="18"/>
              </w:rPr>
            </w:pPr>
            <w:r>
              <w:rPr>
                <w:sz w:val="18"/>
              </w:rPr>
              <w:t>Granty a transfery</w:t>
            </w:r>
          </w:p>
        </w:tc>
        <w:tc>
          <w:tcPr>
            <w:tcW w:w="636" w:type="pct"/>
            <w:tcBorders>
              <w:bottom w:val="single" w:sz="4" w:space="0" w:color="314364" w:themeColor="text2"/>
            </w:tcBorders>
            <w:vAlign w:val="center"/>
          </w:tcPr>
          <w:p w14:paraId="0D63FF5D" w14:textId="77777777" w:rsidR="0065477C" w:rsidRPr="006F3809" w:rsidRDefault="0065477C" w:rsidP="00127A20">
            <w:pPr>
              <w:spacing w:after="0" w:line="259" w:lineRule="auto"/>
              <w:jc w:val="right"/>
              <w:rPr>
                <w:sz w:val="18"/>
              </w:rPr>
            </w:pPr>
            <w:r w:rsidRPr="00D14ECD">
              <w:rPr>
                <w:sz w:val="18"/>
                <w:szCs w:val="18"/>
              </w:rPr>
              <w:t>2</w:t>
            </w:r>
            <w:r>
              <w:rPr>
                <w:sz w:val="18"/>
                <w:szCs w:val="18"/>
              </w:rPr>
              <w:t> 639,9</w:t>
            </w:r>
          </w:p>
        </w:tc>
        <w:tc>
          <w:tcPr>
            <w:tcW w:w="636" w:type="pct"/>
            <w:tcBorders>
              <w:bottom w:val="single" w:sz="4" w:space="0" w:color="314364" w:themeColor="text2"/>
            </w:tcBorders>
            <w:shd w:val="clear" w:color="auto" w:fill="auto"/>
            <w:vAlign w:val="center"/>
          </w:tcPr>
          <w:p w14:paraId="50484DC1" w14:textId="77777777" w:rsidR="0065477C" w:rsidRPr="006F3809" w:rsidRDefault="0065477C" w:rsidP="00127A20">
            <w:pPr>
              <w:spacing w:after="0" w:line="259" w:lineRule="auto"/>
              <w:jc w:val="right"/>
              <w:rPr>
                <w:sz w:val="18"/>
              </w:rPr>
            </w:pPr>
            <w:r>
              <w:rPr>
                <w:sz w:val="18"/>
              </w:rPr>
              <w:t>5 139,3</w:t>
            </w:r>
          </w:p>
        </w:tc>
        <w:tc>
          <w:tcPr>
            <w:tcW w:w="636" w:type="pct"/>
            <w:tcBorders>
              <w:bottom w:val="single" w:sz="4" w:space="0" w:color="314364" w:themeColor="text2"/>
            </w:tcBorders>
            <w:vAlign w:val="center"/>
          </w:tcPr>
          <w:p w14:paraId="00DBBD15" w14:textId="77777777" w:rsidR="0065477C" w:rsidRPr="006F3809" w:rsidRDefault="0065477C" w:rsidP="00127A20">
            <w:pPr>
              <w:spacing w:after="0" w:line="259" w:lineRule="auto"/>
              <w:jc w:val="right"/>
              <w:rPr>
                <w:sz w:val="18"/>
              </w:rPr>
            </w:pPr>
            <w:r>
              <w:rPr>
                <w:sz w:val="18"/>
              </w:rPr>
              <w:t>4 694,9</w:t>
            </w:r>
          </w:p>
        </w:tc>
        <w:tc>
          <w:tcPr>
            <w:tcW w:w="1043" w:type="pct"/>
            <w:tcBorders>
              <w:bottom w:val="single" w:sz="4" w:space="0" w:color="314364" w:themeColor="text2"/>
            </w:tcBorders>
            <w:vAlign w:val="center"/>
          </w:tcPr>
          <w:p w14:paraId="08F18B8D" w14:textId="77777777" w:rsidR="0065477C" w:rsidRPr="006F3809" w:rsidRDefault="0065477C" w:rsidP="00127A20">
            <w:pPr>
              <w:tabs>
                <w:tab w:val="left" w:pos="1303"/>
              </w:tabs>
              <w:spacing w:after="0" w:line="259" w:lineRule="auto"/>
              <w:ind w:right="459"/>
              <w:jc w:val="right"/>
              <w:rPr>
                <w:sz w:val="18"/>
              </w:rPr>
            </w:pPr>
            <w:r>
              <w:rPr>
                <w:sz w:val="18"/>
              </w:rPr>
              <w:t>-444,4</w:t>
            </w:r>
          </w:p>
        </w:tc>
      </w:tr>
    </w:tbl>
    <w:p w14:paraId="084ECCCD" w14:textId="4BCACC07" w:rsidR="0065477C" w:rsidRDefault="0065477C" w:rsidP="0065477C">
      <w:pPr>
        <w:pStyle w:val="Zdroj"/>
      </w:pPr>
      <w:r w:rsidRPr="00AC02EC">
        <w:t xml:space="preserve">Zdroj: </w:t>
      </w:r>
      <w:r>
        <w:t>Návrh ŠZÚ 2023.</w:t>
      </w:r>
    </w:p>
    <w:p w14:paraId="57D29A10" w14:textId="77777777" w:rsidR="004F4ED6" w:rsidRDefault="004F4ED6" w:rsidP="004F4ED6">
      <w:pPr>
        <w:spacing w:before="120"/>
      </w:pPr>
      <w:r w:rsidRPr="00C539AE">
        <w:rPr>
          <w:b/>
        </w:rPr>
        <w:t>Nedaňové príjmy prevýšili očakávania</w:t>
      </w:r>
      <w:r>
        <w:rPr>
          <w:b/>
        </w:rPr>
        <w:t xml:space="preserve"> rozpočtu</w:t>
      </w:r>
      <w:r>
        <w:t>(tabuľka 2)</w:t>
      </w:r>
      <w:r w:rsidRPr="00C539AE">
        <w:rPr>
          <w:b/>
        </w:rPr>
        <w:t xml:space="preserve">, pričom pozitívne ovplyvnené boli najmä </w:t>
      </w:r>
      <w:r>
        <w:rPr>
          <w:b/>
        </w:rPr>
        <w:t>r</w:t>
      </w:r>
      <w:r w:rsidRPr="00C539AE">
        <w:rPr>
          <w:b/>
        </w:rPr>
        <w:t xml:space="preserve">astom príjmov zo </w:t>
      </w:r>
      <w:r>
        <w:rPr>
          <w:b/>
        </w:rPr>
        <w:t>ZZ</w:t>
      </w:r>
      <w:r w:rsidRPr="00C539AE">
        <w:rPr>
          <w:b/>
        </w:rPr>
        <w:t xml:space="preserve"> za lekárske výkony a poskytnutú zdravotnú starostlivosť od ZP. </w:t>
      </w:r>
      <w:r>
        <w:t xml:space="preserve">Na </w:t>
      </w:r>
      <w:r>
        <w:lastRenderedPageBreak/>
        <w:t>náraste nedaňových príjmov sa podieľal aj Národný jadrový fond, čo bolo spôsobené hlavne vyplatením povinných príspevkov od spoločnosti Slovenské elektrárne, a. s. za jadrové elektrárne.</w:t>
      </w:r>
    </w:p>
    <w:p w14:paraId="6148DD62" w14:textId="5769EC93" w:rsidR="00BB71F6" w:rsidRDefault="00BB71F6" w:rsidP="00BB71F6">
      <w:r w:rsidRPr="00BD7D64">
        <w:rPr>
          <w:b/>
        </w:rPr>
        <w:t>V medzinárodnom porovnaní príjmov VS v roku 2023 bolo Slovensko spolu s</w:t>
      </w:r>
      <w:r w:rsidR="00C67497">
        <w:rPr>
          <w:b/>
        </w:rPr>
        <w:t xml:space="preserve"> ostatnými </w:t>
      </w:r>
      <w:r w:rsidRPr="00BD7D64">
        <w:rPr>
          <w:b/>
        </w:rPr>
        <w:t>krajinami V</w:t>
      </w:r>
      <w:r w:rsidR="00C67497">
        <w:rPr>
          <w:b/>
        </w:rPr>
        <w:t>4</w:t>
      </w:r>
      <w:r w:rsidRPr="00BD7D64">
        <w:rPr>
          <w:b/>
        </w:rPr>
        <w:t xml:space="preserve"> pod priemerom EÚ</w:t>
      </w:r>
      <w:r>
        <w:t xml:space="preserve"> (graf 5). Slovensko </w:t>
      </w:r>
      <w:r w:rsidR="00562978">
        <w:t xml:space="preserve">však </w:t>
      </w:r>
      <w:r>
        <w:t xml:space="preserve">zaznamenalo tretí najvyšší medziročný rast príjmov VS </w:t>
      </w:r>
      <w:r w:rsidR="0017673E">
        <w:t xml:space="preserve">o 2,8 p. b. </w:t>
      </w:r>
      <w:r w:rsidR="00562978">
        <w:t xml:space="preserve">hneď za </w:t>
      </w:r>
      <w:r>
        <w:t>Luxembursko</w:t>
      </w:r>
      <w:r w:rsidR="00562978">
        <w:t>m</w:t>
      </w:r>
      <w:r>
        <w:t xml:space="preserve"> </w:t>
      </w:r>
      <w:r w:rsidR="00562978">
        <w:t>(</w:t>
      </w:r>
      <w:r>
        <w:t>o 3,3 p. b.</w:t>
      </w:r>
      <w:r w:rsidR="00562978">
        <w:t>) a</w:t>
      </w:r>
      <w:r>
        <w:t xml:space="preserve"> Lotyšsko</w:t>
      </w:r>
      <w:r w:rsidR="00562978">
        <w:t>m</w:t>
      </w:r>
      <w:r>
        <w:t xml:space="preserve"> </w:t>
      </w:r>
      <w:r w:rsidR="00562978">
        <w:t>(</w:t>
      </w:r>
      <w:r>
        <w:t>o 2,9 p. b.)</w:t>
      </w:r>
      <w:r w:rsidR="00860A3D">
        <w:t>.</w:t>
      </w:r>
    </w:p>
    <w:p w14:paraId="555FB19E" w14:textId="77777777" w:rsidR="00860A3D" w:rsidRPr="00BC3CA3" w:rsidRDefault="00860A3D" w:rsidP="00860A3D">
      <w:pPr>
        <w:pStyle w:val="Popis"/>
        <w:keepNext/>
        <w:rPr>
          <w:color w:val="314364"/>
        </w:rPr>
      </w:pPr>
      <w:r w:rsidRPr="00BC3CA3">
        <w:rPr>
          <w:color w:val="314364"/>
        </w:rPr>
        <w:t xml:space="preserve">Graf </w:t>
      </w:r>
      <w:r>
        <w:rPr>
          <w:color w:val="314364"/>
        </w:rPr>
        <w:t>5</w:t>
      </w:r>
      <w:r w:rsidRPr="00BC3CA3">
        <w:rPr>
          <w:color w:val="314364"/>
        </w:rPr>
        <w:t>:</w:t>
      </w:r>
      <w:r>
        <w:rPr>
          <w:color w:val="314364"/>
        </w:rPr>
        <w:t xml:space="preserve"> </w:t>
      </w:r>
      <w:r w:rsidRPr="00C55334">
        <w:rPr>
          <w:color w:val="314364"/>
        </w:rPr>
        <w:t>Medzinárodné p</w:t>
      </w:r>
      <w:r>
        <w:rPr>
          <w:color w:val="314364"/>
        </w:rPr>
        <w:t>orovnanie príjmov VS v roku 2023 (% HDP)</w:t>
      </w:r>
    </w:p>
    <w:tbl>
      <w:tblPr>
        <w:tblStyle w:val="Mriekatabuky"/>
        <w:tblW w:w="521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9456"/>
      </w:tblGrid>
      <w:tr w:rsidR="00860A3D" w:rsidRPr="00C75134" w14:paraId="237B5412" w14:textId="77777777" w:rsidTr="006576F1">
        <w:trPr>
          <w:trHeight w:val="2111"/>
        </w:trPr>
        <w:tc>
          <w:tcPr>
            <w:tcW w:w="9457" w:type="dxa"/>
            <w:tcBorders>
              <w:top w:val="single" w:sz="4" w:space="0" w:color="314364"/>
              <w:bottom w:val="single" w:sz="4" w:space="0" w:color="314364"/>
            </w:tcBorders>
            <w:vAlign w:val="center"/>
          </w:tcPr>
          <w:p w14:paraId="532DEA1E" w14:textId="77777777" w:rsidR="00860A3D" w:rsidRPr="00C75134" w:rsidRDefault="00860A3D" w:rsidP="0019343E">
            <w:pPr>
              <w:spacing w:after="0"/>
              <w:rPr>
                <w:b/>
                <w:color w:val="576431"/>
              </w:rPr>
            </w:pPr>
            <w:r>
              <w:rPr>
                <w:noProof/>
                <w:lang w:eastAsia="sk-SK"/>
              </w:rPr>
              <w:drawing>
                <wp:inline distT="0" distB="0" distL="0" distR="0" wp14:anchorId="51348400" wp14:editId="67D64F74">
                  <wp:extent cx="5707380" cy="1809750"/>
                  <wp:effectExtent l="0" t="0" r="7620" b="0"/>
                  <wp:docPr id="13" name="Graf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bl>
    <w:p w14:paraId="4D5501D7" w14:textId="77777777" w:rsidR="00860A3D" w:rsidRPr="00DE336B" w:rsidRDefault="00860A3D" w:rsidP="00860A3D">
      <w:pPr>
        <w:pStyle w:val="Zdroj"/>
        <w:spacing w:after="0"/>
        <w:rPr>
          <w:rFonts w:ascii="Ebrima" w:hAnsi="Ebrima"/>
        </w:rPr>
      </w:pPr>
      <w:r w:rsidRPr="00CD7042">
        <w:t xml:space="preserve">Zdroj: </w:t>
      </w:r>
      <w:r>
        <w:t>Eurostat.</w:t>
      </w:r>
    </w:p>
    <w:p w14:paraId="5865AAED" w14:textId="19F64C98" w:rsidR="001209F4" w:rsidRDefault="002C027A" w:rsidP="00946B24">
      <w:pPr>
        <w:pStyle w:val="Nadpis2"/>
        <w:rPr>
          <w:shd w:val="clear" w:color="auto" w:fill="FFFFFF"/>
        </w:rPr>
      </w:pPr>
      <w:bookmarkStart w:id="9" w:name="_Toc168567181"/>
      <w:r>
        <w:rPr>
          <w:shd w:val="clear" w:color="auto" w:fill="FFFFFF"/>
        </w:rPr>
        <w:t xml:space="preserve">2.3 </w:t>
      </w:r>
      <w:r w:rsidR="00E43045">
        <w:rPr>
          <w:shd w:val="clear" w:color="auto" w:fill="FFFFFF"/>
        </w:rPr>
        <w:t xml:space="preserve"> </w:t>
      </w:r>
      <w:r w:rsidR="001209F4">
        <w:rPr>
          <w:shd w:val="clear" w:color="auto" w:fill="FFFFFF"/>
        </w:rPr>
        <w:t>Výdavky verejnej správy</w:t>
      </w:r>
      <w:bookmarkEnd w:id="9"/>
    </w:p>
    <w:p w14:paraId="6B001534" w14:textId="77777777" w:rsidR="00860A3D" w:rsidRDefault="00860A3D" w:rsidP="00860A3D">
      <w:r w:rsidRPr="00113ACD">
        <w:rPr>
          <w:b/>
        </w:rPr>
        <w:t>Celkové výdavky VS v metodike ESA 2010 boli nižšie oproti rozpočtu o viac ako 113 mil. eur, čo predstavuje 0,3 % HDP.</w:t>
      </w:r>
      <w:r>
        <w:t xml:space="preserve"> Z toho bežné výdavky poklesli o 737 mil. eur a kapitálové výdavky naopak vzrástli o 624 mil. eur (tabuľka 3).</w:t>
      </w:r>
    </w:p>
    <w:p w14:paraId="593936AB" w14:textId="4C856879" w:rsidR="00562978" w:rsidRDefault="00562978" w:rsidP="00562978">
      <w:pPr>
        <w:pStyle w:val="Popis"/>
        <w:keepNext/>
      </w:pPr>
      <w:r>
        <w:t xml:space="preserve">Tabuľka </w:t>
      </w:r>
      <w:fldSimple w:instr=" SEQ Tabuľka \* ARABIC ">
        <w:r w:rsidR="002A46D9">
          <w:rPr>
            <w:noProof/>
          </w:rPr>
          <w:t>3</w:t>
        </w:r>
      </w:fldSimple>
      <w:r>
        <w:t>: Vývoj výdavkov VS na akruálnej báze v rokoch 2022 a 2023 (v mil. eur)</w:t>
      </w:r>
      <w:r w:rsidR="00D64728">
        <w:rPr>
          <w:rStyle w:val="Odkaznapoznmkupodiarou"/>
        </w:rPr>
        <w:footnoteReference w:id="8"/>
      </w:r>
    </w:p>
    <w:tbl>
      <w:tblPr>
        <w:tblpPr w:leftFromText="141" w:rightFromText="141" w:vertAnchor="text" w:horzAnchor="margin" w:tblpXSpec="right" w:tblpY="118"/>
        <w:tblOverlap w:val="never"/>
        <w:tblW w:w="5000" w:type="pct"/>
        <w:tblCellMar>
          <w:top w:w="28" w:type="dxa"/>
        </w:tblCellMar>
        <w:tblLook w:val="04A0" w:firstRow="1" w:lastRow="0" w:firstColumn="1" w:lastColumn="0" w:noHBand="0" w:noVBand="1"/>
      </w:tblPr>
      <w:tblGrid>
        <w:gridCol w:w="2853"/>
        <w:gridCol w:w="1408"/>
        <w:gridCol w:w="1408"/>
        <w:gridCol w:w="1406"/>
        <w:gridCol w:w="1995"/>
      </w:tblGrid>
      <w:tr w:rsidR="00562978" w14:paraId="66E13131" w14:textId="77777777" w:rsidTr="00B4653C">
        <w:trPr>
          <w:trHeight w:val="255"/>
        </w:trPr>
        <w:tc>
          <w:tcPr>
            <w:tcW w:w="1573" w:type="pct"/>
            <w:tcBorders>
              <w:bottom w:val="single" w:sz="4" w:space="0" w:color="314364"/>
            </w:tcBorders>
            <w:shd w:val="clear" w:color="auto" w:fill="314364"/>
            <w:vAlign w:val="center"/>
          </w:tcPr>
          <w:p w14:paraId="02F31411" w14:textId="77777777" w:rsidR="00562978" w:rsidRPr="0032280E" w:rsidRDefault="00562978" w:rsidP="00B4653C">
            <w:pPr>
              <w:spacing w:after="0" w:line="259" w:lineRule="auto"/>
              <w:jc w:val="left"/>
              <w:rPr>
                <w:b/>
                <w:color w:val="FFFFFF" w:themeColor="background1"/>
                <w:sz w:val="18"/>
              </w:rPr>
            </w:pPr>
            <w:r>
              <w:rPr>
                <w:b/>
                <w:color w:val="FFFFFF" w:themeColor="background1"/>
                <w:sz w:val="18"/>
              </w:rPr>
              <w:t>Ukazovateľ</w:t>
            </w:r>
          </w:p>
        </w:tc>
        <w:tc>
          <w:tcPr>
            <w:tcW w:w="776" w:type="pct"/>
            <w:tcBorders>
              <w:bottom w:val="single" w:sz="4" w:space="0" w:color="314364"/>
            </w:tcBorders>
            <w:shd w:val="clear" w:color="auto" w:fill="314364"/>
            <w:vAlign w:val="center"/>
          </w:tcPr>
          <w:p w14:paraId="425590C4" w14:textId="77777777" w:rsidR="00562978" w:rsidRDefault="00562978" w:rsidP="00B4653C">
            <w:pPr>
              <w:spacing w:after="0" w:line="259" w:lineRule="auto"/>
              <w:jc w:val="right"/>
              <w:rPr>
                <w:b/>
                <w:color w:val="FFFFFF" w:themeColor="background1"/>
                <w:sz w:val="18"/>
              </w:rPr>
            </w:pPr>
            <w:r>
              <w:rPr>
                <w:b/>
                <w:color w:val="FFFFFF" w:themeColor="background1"/>
                <w:sz w:val="18"/>
              </w:rPr>
              <w:t>2022 S</w:t>
            </w:r>
          </w:p>
        </w:tc>
        <w:tc>
          <w:tcPr>
            <w:tcW w:w="776" w:type="pct"/>
            <w:tcBorders>
              <w:bottom w:val="single" w:sz="4" w:space="0" w:color="314364"/>
            </w:tcBorders>
            <w:shd w:val="clear" w:color="auto" w:fill="314364"/>
            <w:vAlign w:val="center"/>
          </w:tcPr>
          <w:p w14:paraId="679F78B5" w14:textId="77777777" w:rsidR="00562978" w:rsidRPr="0032280E" w:rsidRDefault="00562978" w:rsidP="00B4653C">
            <w:pPr>
              <w:spacing w:after="0" w:line="259" w:lineRule="auto"/>
              <w:jc w:val="right"/>
              <w:rPr>
                <w:b/>
                <w:color w:val="FFFFFF" w:themeColor="background1"/>
                <w:sz w:val="18"/>
              </w:rPr>
            </w:pPr>
            <w:r>
              <w:rPr>
                <w:b/>
                <w:color w:val="FFFFFF" w:themeColor="background1"/>
                <w:sz w:val="18"/>
              </w:rPr>
              <w:t>2023 R</w:t>
            </w:r>
          </w:p>
        </w:tc>
        <w:tc>
          <w:tcPr>
            <w:tcW w:w="775" w:type="pct"/>
            <w:tcBorders>
              <w:bottom w:val="single" w:sz="4" w:space="0" w:color="314364"/>
            </w:tcBorders>
            <w:shd w:val="clear" w:color="auto" w:fill="314364"/>
            <w:vAlign w:val="center"/>
          </w:tcPr>
          <w:p w14:paraId="6BE6AFDD" w14:textId="77777777" w:rsidR="00562978" w:rsidRPr="0032280E" w:rsidRDefault="00562978" w:rsidP="00B4653C">
            <w:pPr>
              <w:spacing w:after="0" w:line="259" w:lineRule="auto"/>
              <w:jc w:val="right"/>
              <w:rPr>
                <w:b/>
                <w:color w:val="FFFFFF" w:themeColor="background1"/>
                <w:sz w:val="18"/>
              </w:rPr>
            </w:pPr>
            <w:r>
              <w:rPr>
                <w:b/>
                <w:color w:val="FFFFFF" w:themeColor="background1"/>
                <w:sz w:val="18"/>
              </w:rPr>
              <w:t>2023 S</w:t>
            </w:r>
          </w:p>
        </w:tc>
        <w:tc>
          <w:tcPr>
            <w:tcW w:w="1100" w:type="pct"/>
            <w:tcBorders>
              <w:bottom w:val="single" w:sz="4" w:space="0" w:color="314364"/>
            </w:tcBorders>
            <w:shd w:val="clear" w:color="auto" w:fill="314364"/>
            <w:vAlign w:val="center"/>
          </w:tcPr>
          <w:p w14:paraId="0BF591A5" w14:textId="77777777" w:rsidR="00562978" w:rsidRDefault="00562978" w:rsidP="00B4653C">
            <w:pPr>
              <w:spacing w:after="0" w:line="259" w:lineRule="auto"/>
              <w:jc w:val="right"/>
              <w:rPr>
                <w:b/>
                <w:color w:val="FFFFFF" w:themeColor="background1"/>
                <w:sz w:val="18"/>
              </w:rPr>
            </w:pPr>
            <w:r>
              <w:rPr>
                <w:b/>
                <w:color w:val="FFFFFF" w:themeColor="background1"/>
                <w:sz w:val="18"/>
              </w:rPr>
              <w:t>2023 S - 2023 R</w:t>
            </w:r>
          </w:p>
        </w:tc>
      </w:tr>
      <w:tr w:rsidR="00562978" w14:paraId="4380BBA6" w14:textId="77777777" w:rsidTr="00B4653C">
        <w:trPr>
          <w:trHeight w:val="255"/>
        </w:trPr>
        <w:tc>
          <w:tcPr>
            <w:tcW w:w="1573" w:type="pct"/>
            <w:tcBorders>
              <w:top w:val="single" w:sz="4" w:space="0" w:color="314364"/>
            </w:tcBorders>
            <w:vAlign w:val="center"/>
          </w:tcPr>
          <w:p w14:paraId="6829253A" w14:textId="77777777" w:rsidR="00562978" w:rsidRPr="00AC02EC" w:rsidRDefault="00562978" w:rsidP="00B4653C">
            <w:pPr>
              <w:spacing w:after="0" w:line="259" w:lineRule="auto"/>
              <w:jc w:val="left"/>
              <w:rPr>
                <w:b/>
                <w:sz w:val="18"/>
              </w:rPr>
            </w:pPr>
            <w:r>
              <w:rPr>
                <w:b/>
                <w:sz w:val="18"/>
              </w:rPr>
              <w:t xml:space="preserve">Výdavky spolu </w:t>
            </w:r>
          </w:p>
        </w:tc>
        <w:tc>
          <w:tcPr>
            <w:tcW w:w="776" w:type="pct"/>
            <w:tcBorders>
              <w:top w:val="single" w:sz="4" w:space="0" w:color="314364"/>
            </w:tcBorders>
            <w:vAlign w:val="center"/>
          </w:tcPr>
          <w:p w14:paraId="0D8608A7" w14:textId="77777777" w:rsidR="00562978" w:rsidRPr="00704E0E" w:rsidRDefault="00562978" w:rsidP="00B4653C">
            <w:pPr>
              <w:spacing w:after="0" w:line="259" w:lineRule="auto"/>
              <w:jc w:val="right"/>
              <w:rPr>
                <w:b/>
                <w:sz w:val="18"/>
              </w:rPr>
            </w:pPr>
            <w:r>
              <w:rPr>
                <w:b/>
                <w:sz w:val="18"/>
              </w:rPr>
              <w:t>46 490,7</w:t>
            </w:r>
          </w:p>
        </w:tc>
        <w:tc>
          <w:tcPr>
            <w:tcW w:w="776" w:type="pct"/>
            <w:tcBorders>
              <w:top w:val="single" w:sz="4" w:space="0" w:color="314364"/>
            </w:tcBorders>
            <w:shd w:val="clear" w:color="auto" w:fill="auto"/>
            <w:vAlign w:val="center"/>
          </w:tcPr>
          <w:p w14:paraId="6A069554" w14:textId="77777777" w:rsidR="00562978" w:rsidRPr="00704E0E" w:rsidRDefault="00562978" w:rsidP="00B4653C">
            <w:pPr>
              <w:spacing w:after="0" w:line="259" w:lineRule="auto"/>
              <w:jc w:val="right"/>
              <w:rPr>
                <w:b/>
                <w:sz w:val="18"/>
              </w:rPr>
            </w:pPr>
            <w:r>
              <w:rPr>
                <w:b/>
                <w:sz w:val="18"/>
              </w:rPr>
              <w:t>58 965,7</w:t>
            </w:r>
          </w:p>
        </w:tc>
        <w:tc>
          <w:tcPr>
            <w:tcW w:w="775" w:type="pct"/>
            <w:tcBorders>
              <w:top w:val="single" w:sz="4" w:space="0" w:color="314364"/>
            </w:tcBorders>
            <w:vAlign w:val="center"/>
          </w:tcPr>
          <w:p w14:paraId="199BAD3B" w14:textId="77777777" w:rsidR="00562978" w:rsidRPr="00704E0E" w:rsidRDefault="00562978" w:rsidP="00B4653C">
            <w:pPr>
              <w:spacing w:after="0" w:line="259" w:lineRule="auto"/>
              <w:jc w:val="right"/>
              <w:rPr>
                <w:b/>
                <w:sz w:val="18"/>
              </w:rPr>
            </w:pPr>
            <w:r>
              <w:rPr>
                <w:b/>
                <w:sz w:val="18"/>
              </w:rPr>
              <w:t>58 852,6</w:t>
            </w:r>
          </w:p>
        </w:tc>
        <w:tc>
          <w:tcPr>
            <w:tcW w:w="1100" w:type="pct"/>
            <w:tcBorders>
              <w:top w:val="single" w:sz="4" w:space="0" w:color="314364"/>
            </w:tcBorders>
            <w:vAlign w:val="center"/>
          </w:tcPr>
          <w:p w14:paraId="045171A0" w14:textId="77777777" w:rsidR="00562978" w:rsidRPr="00704E0E" w:rsidRDefault="00562978" w:rsidP="00B4653C">
            <w:pPr>
              <w:spacing w:after="0" w:line="259" w:lineRule="auto"/>
              <w:ind w:right="459"/>
              <w:jc w:val="right"/>
              <w:rPr>
                <w:b/>
                <w:sz w:val="18"/>
              </w:rPr>
            </w:pPr>
            <w:r>
              <w:rPr>
                <w:b/>
                <w:sz w:val="18"/>
              </w:rPr>
              <w:t>-113,1</w:t>
            </w:r>
          </w:p>
        </w:tc>
      </w:tr>
      <w:tr w:rsidR="00562978" w14:paraId="4029C365" w14:textId="77777777" w:rsidTr="00B4653C">
        <w:trPr>
          <w:trHeight w:val="255"/>
        </w:trPr>
        <w:tc>
          <w:tcPr>
            <w:tcW w:w="1573" w:type="pct"/>
            <w:vAlign w:val="center"/>
          </w:tcPr>
          <w:p w14:paraId="3CABB5CF" w14:textId="77777777" w:rsidR="00562978" w:rsidRPr="00AC02EC" w:rsidRDefault="00562978" w:rsidP="00B4653C">
            <w:pPr>
              <w:spacing w:after="0" w:line="259" w:lineRule="auto"/>
              <w:jc w:val="left"/>
              <w:rPr>
                <w:sz w:val="18"/>
              </w:rPr>
            </w:pPr>
            <w:r>
              <w:rPr>
                <w:sz w:val="18"/>
              </w:rPr>
              <w:t>Bežné výdavky</w:t>
            </w:r>
          </w:p>
        </w:tc>
        <w:tc>
          <w:tcPr>
            <w:tcW w:w="776" w:type="pct"/>
            <w:vAlign w:val="center"/>
          </w:tcPr>
          <w:p w14:paraId="226A8C42" w14:textId="77777777" w:rsidR="00562978" w:rsidRPr="0032280E" w:rsidRDefault="00562978" w:rsidP="00B4653C">
            <w:pPr>
              <w:spacing w:after="0" w:line="259" w:lineRule="auto"/>
              <w:jc w:val="right"/>
              <w:rPr>
                <w:sz w:val="18"/>
              </w:rPr>
            </w:pPr>
            <w:r>
              <w:rPr>
                <w:sz w:val="18"/>
                <w:szCs w:val="18"/>
              </w:rPr>
              <w:t>42 306,6</w:t>
            </w:r>
          </w:p>
        </w:tc>
        <w:tc>
          <w:tcPr>
            <w:tcW w:w="776" w:type="pct"/>
            <w:shd w:val="clear" w:color="auto" w:fill="auto"/>
            <w:vAlign w:val="center"/>
          </w:tcPr>
          <w:p w14:paraId="6C939372" w14:textId="77777777" w:rsidR="00562978" w:rsidRPr="0032280E" w:rsidRDefault="00562978" w:rsidP="00B4653C">
            <w:pPr>
              <w:spacing w:after="0" w:line="259" w:lineRule="auto"/>
              <w:jc w:val="right"/>
              <w:rPr>
                <w:sz w:val="18"/>
              </w:rPr>
            </w:pPr>
            <w:r>
              <w:rPr>
                <w:sz w:val="18"/>
              </w:rPr>
              <w:t>53 390,3</w:t>
            </w:r>
          </w:p>
        </w:tc>
        <w:tc>
          <w:tcPr>
            <w:tcW w:w="775" w:type="pct"/>
            <w:vAlign w:val="center"/>
          </w:tcPr>
          <w:p w14:paraId="748C6396" w14:textId="77777777" w:rsidR="00562978" w:rsidRPr="0032280E" w:rsidRDefault="00562978" w:rsidP="00B4653C">
            <w:pPr>
              <w:spacing w:after="0" w:line="259" w:lineRule="auto"/>
              <w:jc w:val="right"/>
              <w:rPr>
                <w:sz w:val="18"/>
              </w:rPr>
            </w:pPr>
            <w:r>
              <w:rPr>
                <w:sz w:val="18"/>
              </w:rPr>
              <w:t>52 653,5</w:t>
            </w:r>
          </w:p>
        </w:tc>
        <w:tc>
          <w:tcPr>
            <w:tcW w:w="1100" w:type="pct"/>
            <w:vAlign w:val="center"/>
          </w:tcPr>
          <w:p w14:paraId="48D57657" w14:textId="77777777" w:rsidR="00562978" w:rsidRPr="0032280E" w:rsidRDefault="00562978" w:rsidP="00B4653C">
            <w:pPr>
              <w:spacing w:after="0" w:line="259" w:lineRule="auto"/>
              <w:ind w:right="459"/>
              <w:jc w:val="right"/>
              <w:rPr>
                <w:sz w:val="18"/>
              </w:rPr>
            </w:pPr>
            <w:r>
              <w:rPr>
                <w:sz w:val="18"/>
              </w:rPr>
              <w:t>-736,8</w:t>
            </w:r>
          </w:p>
        </w:tc>
      </w:tr>
      <w:tr w:rsidR="00562978" w:rsidRPr="00325BDA" w14:paraId="35691065" w14:textId="77777777" w:rsidTr="00B4653C">
        <w:trPr>
          <w:trHeight w:val="255"/>
        </w:trPr>
        <w:tc>
          <w:tcPr>
            <w:tcW w:w="1573" w:type="pct"/>
            <w:tcBorders>
              <w:bottom w:val="single" w:sz="4" w:space="0" w:color="314364" w:themeColor="text2"/>
            </w:tcBorders>
            <w:vAlign w:val="center"/>
          </w:tcPr>
          <w:p w14:paraId="1D39C0BA" w14:textId="77777777" w:rsidR="00562978" w:rsidRPr="006F3809" w:rsidRDefault="00562978" w:rsidP="00B4653C">
            <w:pPr>
              <w:spacing w:after="0" w:line="259" w:lineRule="auto"/>
              <w:jc w:val="left"/>
              <w:rPr>
                <w:sz w:val="18"/>
              </w:rPr>
            </w:pPr>
            <w:r>
              <w:rPr>
                <w:sz w:val="18"/>
              </w:rPr>
              <w:t>Kapitálové výdavky</w:t>
            </w:r>
          </w:p>
        </w:tc>
        <w:tc>
          <w:tcPr>
            <w:tcW w:w="776" w:type="pct"/>
            <w:tcBorders>
              <w:bottom w:val="single" w:sz="4" w:space="0" w:color="314364" w:themeColor="text2"/>
            </w:tcBorders>
            <w:vAlign w:val="center"/>
          </w:tcPr>
          <w:p w14:paraId="4BA35A8A" w14:textId="77777777" w:rsidR="00562978" w:rsidRPr="006F3809" w:rsidRDefault="00562978" w:rsidP="00B4653C">
            <w:pPr>
              <w:spacing w:after="0" w:line="259" w:lineRule="auto"/>
              <w:jc w:val="right"/>
              <w:rPr>
                <w:sz w:val="18"/>
              </w:rPr>
            </w:pPr>
            <w:r>
              <w:rPr>
                <w:sz w:val="18"/>
                <w:szCs w:val="18"/>
              </w:rPr>
              <w:t>4 184,1</w:t>
            </w:r>
          </w:p>
        </w:tc>
        <w:tc>
          <w:tcPr>
            <w:tcW w:w="776" w:type="pct"/>
            <w:tcBorders>
              <w:bottom w:val="single" w:sz="4" w:space="0" w:color="314364" w:themeColor="text2"/>
            </w:tcBorders>
            <w:shd w:val="clear" w:color="auto" w:fill="auto"/>
            <w:vAlign w:val="center"/>
          </w:tcPr>
          <w:p w14:paraId="54D53819" w14:textId="77777777" w:rsidR="00562978" w:rsidRPr="006F3809" w:rsidRDefault="00562978" w:rsidP="00B4653C">
            <w:pPr>
              <w:spacing w:after="0" w:line="259" w:lineRule="auto"/>
              <w:jc w:val="right"/>
              <w:rPr>
                <w:sz w:val="18"/>
              </w:rPr>
            </w:pPr>
            <w:r>
              <w:rPr>
                <w:sz w:val="18"/>
              </w:rPr>
              <w:t>5 575,4</w:t>
            </w:r>
          </w:p>
        </w:tc>
        <w:tc>
          <w:tcPr>
            <w:tcW w:w="775" w:type="pct"/>
            <w:tcBorders>
              <w:bottom w:val="single" w:sz="4" w:space="0" w:color="314364" w:themeColor="text2"/>
            </w:tcBorders>
            <w:vAlign w:val="center"/>
          </w:tcPr>
          <w:p w14:paraId="12D5FA5D" w14:textId="77777777" w:rsidR="00562978" w:rsidRPr="006F3809" w:rsidRDefault="00562978" w:rsidP="00B4653C">
            <w:pPr>
              <w:spacing w:after="0" w:line="259" w:lineRule="auto"/>
              <w:jc w:val="right"/>
              <w:rPr>
                <w:sz w:val="18"/>
              </w:rPr>
            </w:pPr>
            <w:r>
              <w:rPr>
                <w:sz w:val="18"/>
              </w:rPr>
              <w:t>6 199,2</w:t>
            </w:r>
          </w:p>
        </w:tc>
        <w:tc>
          <w:tcPr>
            <w:tcW w:w="1100" w:type="pct"/>
            <w:tcBorders>
              <w:bottom w:val="single" w:sz="4" w:space="0" w:color="314364" w:themeColor="text2"/>
            </w:tcBorders>
            <w:vAlign w:val="center"/>
          </w:tcPr>
          <w:p w14:paraId="35F28F1D" w14:textId="77777777" w:rsidR="00562978" w:rsidRPr="006F3809" w:rsidRDefault="00562978" w:rsidP="00B4653C">
            <w:pPr>
              <w:spacing w:after="0" w:line="259" w:lineRule="auto"/>
              <w:ind w:right="459"/>
              <w:jc w:val="right"/>
              <w:rPr>
                <w:sz w:val="18"/>
              </w:rPr>
            </w:pPr>
            <w:r>
              <w:rPr>
                <w:sz w:val="18"/>
              </w:rPr>
              <w:t>623,8</w:t>
            </w:r>
          </w:p>
        </w:tc>
      </w:tr>
    </w:tbl>
    <w:p w14:paraId="1AA6C9C3" w14:textId="146BE377" w:rsidR="00562978" w:rsidRDefault="00562978" w:rsidP="00562978">
      <w:pPr>
        <w:pStyle w:val="Zdroj"/>
      </w:pPr>
      <w:r w:rsidRPr="00AC02EC">
        <w:t xml:space="preserve">Zdroj: </w:t>
      </w:r>
      <w:r>
        <w:t>Návrh ŠZÚ 2023</w:t>
      </w:r>
      <w:r w:rsidR="00E05666">
        <w:t>.</w:t>
      </w:r>
    </w:p>
    <w:p w14:paraId="5407645F" w14:textId="16147DE8" w:rsidR="00BB71F6" w:rsidRDefault="00BB71F6" w:rsidP="00BB71F6">
      <w:r w:rsidRPr="00562978">
        <w:rPr>
          <w:b/>
        </w:rPr>
        <w:t xml:space="preserve">V rámci bežných výdavkov narástli mzdy oproti rozpočtu najmä v zdravotníckych zariadeniach a obciach, a to z dôvodu valorizácie platov zamestnancov </w:t>
      </w:r>
      <w:r w:rsidR="00C67497">
        <w:rPr>
          <w:b/>
        </w:rPr>
        <w:t>VS</w:t>
      </w:r>
      <w:r w:rsidRPr="00562978">
        <w:rPr>
          <w:b/>
        </w:rPr>
        <w:t>, učiteľov a zdravotníkov.</w:t>
      </w:r>
      <w:r>
        <w:t xml:space="preserve"> Negatívny vplyv na hospodárenie zdravotníckych zariadení podľa metodiky ESA 2010 mal aj stabilizačný príspevok vo výške takmer 33,7 mil. eur.</w:t>
      </w:r>
      <w:r>
        <w:rPr>
          <w:rStyle w:val="Odkaznapoznmkupodiarou"/>
        </w:rPr>
        <w:footnoteReference w:id="9"/>
      </w:r>
      <w:r>
        <w:t xml:space="preserve"> </w:t>
      </w:r>
    </w:p>
    <w:p w14:paraId="3AA28507" w14:textId="77777777" w:rsidR="00BB71F6" w:rsidRDefault="00BB71F6" w:rsidP="00BB71F6">
      <w:r w:rsidRPr="00562978">
        <w:rPr>
          <w:b/>
        </w:rPr>
        <w:t xml:space="preserve">Rozpočet na rok 2023 obsahoval aj finančné prostriedky určené na kompenzačné opatrenia súvisiace s rastom cien energií v celkovej výške 3,4 mld. </w:t>
      </w:r>
      <w:r w:rsidRPr="0017673E">
        <w:rPr>
          <w:b/>
        </w:rPr>
        <w:t>eur.</w:t>
      </w:r>
      <w:r>
        <w:t xml:space="preserve"> Vláda tak pokračovala v minulom roku v pomoci pre domácnosti, verejný sektor a podnikateľské subjekty. V zmysle metodiky ESA 2010 vynaložila vláda na energetickú pomoc viac ako 3,1 mld. eur. </w:t>
      </w:r>
    </w:p>
    <w:p w14:paraId="07D62255" w14:textId="390951FB" w:rsidR="00BB71F6" w:rsidRDefault="00BB71F6" w:rsidP="00BB71F6">
      <w:r w:rsidRPr="00562978">
        <w:rPr>
          <w:b/>
        </w:rPr>
        <w:t>Kapitálové výdavky prekonali rozpočtové očakávania, keď boli v skutočnosti v roku 2023 na akruálnej báze vyššie o 624 mil. eur</w:t>
      </w:r>
      <w:r w:rsidRPr="00E84C5D">
        <w:t>.</w:t>
      </w:r>
      <w:r>
        <w:t xml:space="preserve"> Najvýraznejší rast výdavkov na obstaranie kapitálových aktív zaznamenali v minulom roku najmä obce a </w:t>
      </w:r>
      <w:r w:rsidR="00562978">
        <w:t>VÚC</w:t>
      </w:r>
      <w:r>
        <w:t xml:space="preserve">, ako aj akciové spoločnosti vo vlastníctve štátu, a to </w:t>
      </w:r>
      <w:r>
        <w:lastRenderedPageBreak/>
        <w:t xml:space="preserve">NDS, a. s. a ZSSK, a. s. V oblasti dopravy tak smerovali investície do dopravnej infraštruktúry, železničnej dopravy či do údržby a veľkoplošnej opravy ciest I. triedy. </w:t>
      </w:r>
    </w:p>
    <w:p w14:paraId="7235981C" w14:textId="71253BD0" w:rsidR="00BB71F6" w:rsidRDefault="00BB71F6" w:rsidP="00BB71F6">
      <w:r>
        <w:rPr>
          <w:b/>
        </w:rPr>
        <w:t>V</w:t>
      </w:r>
      <w:r w:rsidRPr="004A3EF1">
        <w:rPr>
          <w:b/>
        </w:rPr>
        <w:t xml:space="preserve"> rámci medzinárodného porovnania výdavkov VS </w:t>
      </w:r>
      <w:r w:rsidR="0004651E">
        <w:rPr>
          <w:b/>
        </w:rPr>
        <w:t xml:space="preserve">na HDP </w:t>
      </w:r>
      <w:r w:rsidRPr="004A3EF1">
        <w:rPr>
          <w:b/>
        </w:rPr>
        <w:t>v roku 2023 bolo Slovensko spolu s</w:t>
      </w:r>
      <w:r w:rsidR="000E081F">
        <w:rPr>
          <w:b/>
        </w:rPr>
        <w:t xml:space="preserve"> ostatnými </w:t>
      </w:r>
      <w:r w:rsidRPr="004A3EF1">
        <w:rPr>
          <w:b/>
        </w:rPr>
        <w:t>krajinami V</w:t>
      </w:r>
      <w:r w:rsidR="000E081F">
        <w:rPr>
          <w:b/>
        </w:rPr>
        <w:t>4</w:t>
      </w:r>
      <w:r w:rsidRPr="004A3EF1">
        <w:rPr>
          <w:b/>
        </w:rPr>
        <w:t xml:space="preserve"> </w:t>
      </w:r>
      <w:r>
        <w:rPr>
          <w:b/>
        </w:rPr>
        <w:t xml:space="preserve">taktiež </w:t>
      </w:r>
      <w:r w:rsidRPr="004A3EF1">
        <w:rPr>
          <w:b/>
        </w:rPr>
        <w:t>pod priemerom EÚ</w:t>
      </w:r>
      <w:r>
        <w:t xml:space="preserve"> (graf 6). Slovensko však zaznamenalo medziročne najvyšší rast výdavkov VS o 5,6 p. b. Dôležitá je aj štruktúra výdavkov, pričom Slovensko vynaloží viac ako tretinu výdavkov VS na sociáln</w:t>
      </w:r>
      <w:r w:rsidR="00D419E8">
        <w:t>e zabezpečenie.</w:t>
      </w:r>
    </w:p>
    <w:p w14:paraId="13997466" w14:textId="77777777" w:rsidR="003D5680" w:rsidRPr="00BC3CA3" w:rsidRDefault="003D5680" w:rsidP="003D5680">
      <w:pPr>
        <w:pStyle w:val="Popis"/>
        <w:keepNext/>
        <w:rPr>
          <w:color w:val="314364"/>
        </w:rPr>
      </w:pPr>
      <w:r w:rsidRPr="00BC3CA3">
        <w:rPr>
          <w:color w:val="314364"/>
        </w:rPr>
        <w:t xml:space="preserve">Graf </w:t>
      </w:r>
      <w:r>
        <w:rPr>
          <w:color w:val="314364"/>
        </w:rPr>
        <w:t>6</w:t>
      </w:r>
      <w:r w:rsidRPr="00BC3CA3">
        <w:rPr>
          <w:color w:val="314364"/>
        </w:rPr>
        <w:t>:</w:t>
      </w:r>
      <w:r>
        <w:rPr>
          <w:color w:val="314364"/>
        </w:rPr>
        <w:t xml:space="preserve"> </w:t>
      </w:r>
      <w:r w:rsidRPr="00C55334">
        <w:rPr>
          <w:color w:val="314364"/>
        </w:rPr>
        <w:t>Medzinárodné p</w:t>
      </w:r>
      <w:r>
        <w:rPr>
          <w:color w:val="314364"/>
        </w:rPr>
        <w:t>orovnanie výdavkov VS v roku 2023 (% HDP)</w:t>
      </w:r>
    </w:p>
    <w:tbl>
      <w:tblPr>
        <w:tblStyle w:val="Mriekatabuky"/>
        <w:tblW w:w="495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9070"/>
      </w:tblGrid>
      <w:tr w:rsidR="003D5680" w:rsidRPr="00C75134" w14:paraId="56FEC5A1" w14:textId="77777777" w:rsidTr="00B44557">
        <w:trPr>
          <w:trHeight w:val="3118"/>
        </w:trPr>
        <w:tc>
          <w:tcPr>
            <w:tcW w:w="8994" w:type="dxa"/>
            <w:tcBorders>
              <w:top w:val="single" w:sz="4" w:space="0" w:color="314364"/>
              <w:bottom w:val="single" w:sz="4" w:space="0" w:color="314364"/>
            </w:tcBorders>
            <w:vAlign w:val="center"/>
          </w:tcPr>
          <w:p w14:paraId="01132854" w14:textId="77777777" w:rsidR="003D5680" w:rsidRPr="00C75134" w:rsidRDefault="003D5680" w:rsidP="0019343E">
            <w:pPr>
              <w:spacing w:after="0"/>
              <w:rPr>
                <w:b/>
                <w:color w:val="576431"/>
              </w:rPr>
            </w:pPr>
            <w:r>
              <w:rPr>
                <w:noProof/>
                <w:lang w:eastAsia="sk-SK"/>
              </w:rPr>
              <w:drawing>
                <wp:inline distT="0" distB="0" distL="0" distR="0" wp14:anchorId="540FBECF" wp14:editId="7B17E051">
                  <wp:extent cx="5762625" cy="1933575"/>
                  <wp:effectExtent l="0" t="0" r="0" b="0"/>
                  <wp:docPr id="14" name="Graf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bl>
    <w:p w14:paraId="06F0844A" w14:textId="77777777" w:rsidR="003D5680" w:rsidRDefault="003D5680" w:rsidP="003D5680">
      <w:pPr>
        <w:pStyle w:val="Zdroj"/>
      </w:pPr>
      <w:r w:rsidRPr="00CD7042">
        <w:t xml:space="preserve">Zdroj: </w:t>
      </w:r>
      <w:r>
        <w:t>Eurostat.</w:t>
      </w:r>
    </w:p>
    <w:p w14:paraId="2968DE33" w14:textId="2E631AF8" w:rsidR="00B4653C" w:rsidRPr="00AB62ED" w:rsidRDefault="00B4653C" w:rsidP="009250C0">
      <w:pPr>
        <w:pStyle w:val="Zkladntext0"/>
        <w:spacing w:after="120"/>
        <w:jc w:val="both"/>
        <w:rPr>
          <w:rFonts w:ascii="Segoe UI" w:eastAsia="Times New Roman" w:hAnsi="Segoe UI" w:cs="Segoe UI"/>
          <w:b/>
          <w:sz w:val="20"/>
        </w:rPr>
      </w:pPr>
      <w:r w:rsidRPr="005E786A">
        <w:rPr>
          <w:rFonts w:ascii="Segoe UI" w:eastAsia="Times New Roman" w:hAnsi="Segoe UI" w:cs="Segoe UI"/>
          <w:b/>
          <w:sz w:val="20"/>
        </w:rPr>
        <w:t xml:space="preserve">Návrh </w:t>
      </w:r>
      <w:r w:rsidR="00BA5F6A">
        <w:rPr>
          <w:rFonts w:ascii="Segoe UI" w:eastAsia="Times New Roman" w:hAnsi="Segoe UI" w:cs="Segoe UI"/>
          <w:b/>
          <w:sz w:val="20"/>
        </w:rPr>
        <w:t>ŠZÚ SR</w:t>
      </w:r>
      <w:r w:rsidRPr="005E786A">
        <w:rPr>
          <w:rFonts w:ascii="Segoe UI" w:eastAsia="Times New Roman" w:hAnsi="Segoe UI" w:cs="Segoe UI"/>
          <w:b/>
          <w:sz w:val="20"/>
        </w:rPr>
        <w:t xml:space="preserve"> za rok 2023 neobsahuje zmienku o plnení limitu verejných výdavkov</w:t>
      </w:r>
      <w:r w:rsidR="00D579E1">
        <w:rPr>
          <w:rFonts w:ascii="Segoe UI" w:eastAsia="Times New Roman" w:hAnsi="Segoe UI" w:cs="Segoe UI"/>
          <w:b/>
          <w:sz w:val="20"/>
        </w:rPr>
        <w:t xml:space="preserve"> </w:t>
      </w:r>
      <w:r w:rsidR="00D579E1">
        <w:rPr>
          <w:rFonts w:ascii="Segoe UI" w:eastAsia="Times New Roman" w:hAnsi="Segoe UI" w:cs="Segoe UI"/>
          <w:sz w:val="20"/>
        </w:rPr>
        <w:t>(LVV</w:t>
      </w:r>
      <w:r w:rsidR="004A3484">
        <w:rPr>
          <w:rFonts w:ascii="Segoe UI" w:eastAsia="Times New Roman" w:hAnsi="Segoe UI" w:cs="Segoe UI"/>
          <w:sz w:val="20"/>
        </w:rPr>
        <w:t xml:space="preserve">, box </w:t>
      </w:r>
      <w:r w:rsidR="006922FF">
        <w:rPr>
          <w:rFonts w:ascii="Segoe UI" w:eastAsia="Times New Roman" w:hAnsi="Segoe UI" w:cs="Segoe UI"/>
          <w:sz w:val="20"/>
        </w:rPr>
        <w:t>2</w:t>
      </w:r>
      <w:r w:rsidR="00D579E1">
        <w:rPr>
          <w:rFonts w:ascii="Segoe UI" w:eastAsia="Times New Roman" w:hAnsi="Segoe UI" w:cs="Segoe UI"/>
          <w:sz w:val="20"/>
        </w:rPr>
        <w:t>).</w:t>
      </w:r>
      <w:r w:rsidRPr="005E786A">
        <w:rPr>
          <w:rFonts w:ascii="Segoe UI" w:eastAsia="Times New Roman" w:hAnsi="Segoe UI" w:cs="Segoe UI"/>
          <w:sz w:val="20"/>
        </w:rPr>
        <w:t xml:space="preserve"> </w:t>
      </w:r>
      <w:r w:rsidR="004A3484">
        <w:rPr>
          <w:rFonts w:ascii="Segoe UI" w:eastAsia="Times New Roman" w:hAnsi="Segoe UI" w:cs="Segoe UI"/>
          <w:sz w:val="20"/>
        </w:rPr>
        <w:t>P</w:t>
      </w:r>
      <w:r>
        <w:rPr>
          <w:rFonts w:ascii="Segoe UI" w:eastAsia="Times New Roman" w:hAnsi="Segoe UI" w:cs="Segoe UI"/>
          <w:sz w:val="20"/>
        </w:rPr>
        <w:t>olročná správa</w:t>
      </w:r>
      <w:r w:rsidR="004A3484">
        <w:rPr>
          <w:rFonts w:ascii="Segoe UI" w:eastAsia="Times New Roman" w:hAnsi="Segoe UI" w:cs="Segoe UI"/>
          <w:sz w:val="20"/>
        </w:rPr>
        <w:t xml:space="preserve"> o očakávanej skutočnosti </w:t>
      </w:r>
      <w:r>
        <w:rPr>
          <w:rFonts w:ascii="Segoe UI" w:eastAsia="Times New Roman" w:hAnsi="Segoe UI" w:cs="Segoe UI"/>
          <w:sz w:val="20"/>
        </w:rPr>
        <w:t>v roku 2023</w:t>
      </w:r>
      <w:r>
        <w:rPr>
          <w:rStyle w:val="Odkaznapoznmkupodiarou"/>
          <w:rFonts w:ascii="Segoe UI" w:eastAsia="Times New Roman" w:hAnsi="Segoe UI" w:cs="Segoe UI"/>
          <w:sz w:val="20"/>
        </w:rPr>
        <w:footnoteReference w:id="10"/>
      </w:r>
      <w:r>
        <w:rPr>
          <w:rFonts w:ascii="Segoe UI" w:eastAsia="Times New Roman" w:hAnsi="Segoe UI" w:cs="Segoe UI"/>
          <w:sz w:val="20"/>
        </w:rPr>
        <w:t xml:space="preserve"> obsahovala primerane podrobné zhodnotenie vzťahu LVV a rozpočtu, vrátane aktualizácie LVV a vplyvu na rozpočet. </w:t>
      </w:r>
      <w:r w:rsidRPr="00AB62ED">
        <w:rPr>
          <w:rFonts w:ascii="Segoe UI" w:eastAsia="Times New Roman" w:hAnsi="Segoe UI" w:cs="Segoe UI"/>
          <w:b/>
          <w:sz w:val="20"/>
        </w:rPr>
        <w:t>NKÚ SR očakával obdobnú informáciu o plne</w:t>
      </w:r>
      <w:r w:rsidR="0017673E" w:rsidRPr="00AB62ED">
        <w:rPr>
          <w:rFonts w:ascii="Segoe UI" w:eastAsia="Times New Roman" w:hAnsi="Segoe UI" w:cs="Segoe UI"/>
          <w:b/>
          <w:sz w:val="20"/>
        </w:rPr>
        <w:t>ní LVV aj v návrhu ŠZÚ SR 2023.</w:t>
      </w:r>
    </w:p>
    <w:p w14:paraId="5248D24D" w14:textId="3B0AB757" w:rsidR="0017673E" w:rsidRDefault="0017673E" w:rsidP="00147D55">
      <w:pPr>
        <w:pStyle w:val="Zkladntext0"/>
        <w:spacing w:after="120"/>
        <w:jc w:val="both"/>
        <w:rPr>
          <w:rFonts w:ascii="Segoe UI" w:eastAsia="Times New Roman" w:hAnsi="Segoe UI" w:cs="Segoe UI"/>
          <w:sz w:val="20"/>
        </w:rPr>
      </w:pPr>
      <w:r>
        <w:rPr>
          <w:rFonts w:ascii="Segoe UI" w:eastAsia="Times New Roman" w:hAnsi="Segoe UI" w:cs="Segoe UI"/>
          <w:b/>
          <w:sz w:val="20"/>
        </w:rPr>
        <w:t xml:space="preserve">NKÚ SR považuje LVV za významný nástroj riadenia verejných financií a preto ho podrobne sleduje. </w:t>
      </w:r>
      <w:r>
        <w:rPr>
          <w:rFonts w:ascii="Segoe UI" w:eastAsia="Times New Roman" w:hAnsi="Segoe UI" w:cs="Segoe UI"/>
          <w:sz w:val="20"/>
        </w:rPr>
        <w:t xml:space="preserve">Samotný výpočet a stanovovanie LVV </w:t>
      </w:r>
      <w:r w:rsidR="00FF3AE5">
        <w:rPr>
          <w:rFonts w:ascii="Segoe UI" w:eastAsia="Times New Roman" w:hAnsi="Segoe UI" w:cs="Segoe UI"/>
          <w:sz w:val="20"/>
        </w:rPr>
        <w:t>sú</w:t>
      </w:r>
      <w:r>
        <w:rPr>
          <w:rFonts w:ascii="Segoe UI" w:eastAsia="Times New Roman" w:hAnsi="Segoe UI" w:cs="Segoe UI"/>
          <w:sz w:val="20"/>
        </w:rPr>
        <w:t xml:space="preserve"> však náročné s </w:t>
      </w:r>
      <w:r w:rsidRPr="00A31183">
        <w:rPr>
          <w:rFonts w:ascii="Segoe UI" w:eastAsia="Times New Roman" w:hAnsi="Segoe UI" w:cs="Segoe UI"/>
          <w:sz w:val="20"/>
        </w:rPr>
        <w:t>priestorom na posúdenie a</w:t>
      </w:r>
      <w:r>
        <w:rPr>
          <w:rFonts w:ascii="Segoe UI" w:eastAsia="Times New Roman" w:hAnsi="Segoe UI" w:cs="Segoe UI"/>
          <w:sz w:val="20"/>
        </w:rPr>
        <w:t> </w:t>
      </w:r>
      <w:r w:rsidRPr="00A31183">
        <w:rPr>
          <w:rFonts w:ascii="Segoe UI" w:eastAsia="Times New Roman" w:hAnsi="Segoe UI" w:cs="Segoe UI"/>
          <w:sz w:val="20"/>
        </w:rPr>
        <w:t>voľné uváženie (expertné odhady)</w:t>
      </w:r>
      <w:r>
        <w:rPr>
          <w:rFonts w:ascii="Segoe UI" w:eastAsia="Times New Roman" w:hAnsi="Segoe UI" w:cs="Segoe UI"/>
          <w:sz w:val="20"/>
        </w:rPr>
        <w:t>, čo uvádza aj správa MMF z misie, ktorá sa počas roka 2023 zamerala na implementáciu LVV</w:t>
      </w:r>
      <w:r>
        <w:rPr>
          <w:rStyle w:val="Odkaznapoznmkupodiarou"/>
          <w:rFonts w:ascii="Segoe UI" w:eastAsia="Times New Roman" w:hAnsi="Segoe UI" w:cs="Segoe UI"/>
          <w:sz w:val="20"/>
        </w:rPr>
        <w:footnoteReference w:id="11"/>
      </w:r>
      <w:r>
        <w:rPr>
          <w:rFonts w:ascii="Segoe UI" w:eastAsia="Times New Roman" w:hAnsi="Segoe UI" w:cs="Segoe UI"/>
          <w:sz w:val="20"/>
        </w:rPr>
        <w:t>. Na niektoré z jej odporúčaní reflektuje aj 9. mája 2024 schválená novela zákona o rozpočtových pravidlách VS, ktorá významne mení uchopenie LVV. LVV na národnej úrovni už nepočíta RRZ, ale vychádza zo spoločných fiškálnych pravidiel na úrovni EÚ s jednodu</w:t>
      </w:r>
      <w:r w:rsidR="009250C0">
        <w:rPr>
          <w:rFonts w:ascii="Segoe UI" w:eastAsia="Times New Roman" w:hAnsi="Segoe UI" w:cs="Segoe UI"/>
          <w:sz w:val="20"/>
        </w:rPr>
        <w:t>chším a prehľadnejším výpočtom.</w:t>
      </w:r>
    </w:p>
    <w:tbl>
      <w:tblPr>
        <w:tblStyle w:val="Mriekatabuky"/>
        <w:tblW w:w="0" w:type="auto"/>
        <w:tblBorders>
          <w:top w:val="single" w:sz="4" w:space="0" w:color="314364" w:themeColor="text2"/>
          <w:left w:val="single" w:sz="4" w:space="0" w:color="314364" w:themeColor="text2"/>
          <w:bottom w:val="single" w:sz="4" w:space="0" w:color="314364" w:themeColor="text2"/>
          <w:right w:val="single" w:sz="4" w:space="0" w:color="314364" w:themeColor="text2"/>
          <w:insideH w:val="none" w:sz="0" w:space="0" w:color="auto"/>
          <w:insideV w:val="none" w:sz="0" w:space="0" w:color="auto"/>
        </w:tblBorders>
        <w:shd w:val="clear" w:color="auto" w:fill="EBF0FB" w:themeFill="background2" w:themeFillTint="33"/>
        <w:tblLook w:val="04A0" w:firstRow="1" w:lastRow="0" w:firstColumn="1" w:lastColumn="0" w:noHBand="0" w:noVBand="1"/>
      </w:tblPr>
      <w:tblGrid>
        <w:gridCol w:w="9060"/>
      </w:tblGrid>
      <w:tr w:rsidR="00A42AC1" w:rsidRPr="00AC3675" w14:paraId="1B80D998" w14:textId="77777777" w:rsidTr="0019343E">
        <w:tc>
          <w:tcPr>
            <w:tcW w:w="9060" w:type="dxa"/>
            <w:shd w:val="clear" w:color="auto" w:fill="EBF0FB" w:themeFill="background2" w:themeFillTint="33"/>
          </w:tcPr>
          <w:p w14:paraId="4461B267" w14:textId="06B7F586" w:rsidR="00A42AC1" w:rsidRPr="00767017" w:rsidRDefault="00A42AC1" w:rsidP="0019343E">
            <w:pPr>
              <w:spacing w:before="120" w:line="240" w:lineRule="auto"/>
              <w:rPr>
                <w:b/>
                <w:szCs w:val="18"/>
              </w:rPr>
            </w:pPr>
            <w:r w:rsidRPr="00767017">
              <w:rPr>
                <w:b/>
                <w:szCs w:val="18"/>
              </w:rPr>
              <w:t xml:space="preserve">BOX </w:t>
            </w:r>
            <w:r w:rsidR="006922FF">
              <w:rPr>
                <w:b/>
                <w:szCs w:val="18"/>
              </w:rPr>
              <w:t>2</w:t>
            </w:r>
            <w:r w:rsidRPr="00767017">
              <w:rPr>
                <w:b/>
                <w:szCs w:val="18"/>
              </w:rPr>
              <w:t xml:space="preserve">: </w:t>
            </w:r>
            <w:r>
              <w:rPr>
                <w:b/>
                <w:szCs w:val="18"/>
              </w:rPr>
              <w:t>Limit verejných výdavkov</w:t>
            </w:r>
          </w:p>
          <w:p w14:paraId="447D71BB" w14:textId="5CD1B25F" w:rsidR="00A42AC1" w:rsidRPr="00780954" w:rsidRDefault="00780954" w:rsidP="00FF3AE5">
            <w:pPr>
              <w:pStyle w:val="Zkladntext0"/>
              <w:spacing w:before="120"/>
              <w:jc w:val="both"/>
              <w:rPr>
                <w:rFonts w:ascii="Segoe UI" w:eastAsia="Times New Roman" w:hAnsi="Segoe UI" w:cs="Segoe UI"/>
                <w:sz w:val="18"/>
                <w:szCs w:val="18"/>
              </w:rPr>
            </w:pPr>
            <w:r w:rsidRPr="00780954">
              <w:rPr>
                <w:rFonts w:ascii="Segoe UI" w:eastAsia="Times New Roman" w:hAnsi="Segoe UI" w:cs="Segoe UI"/>
                <w:b/>
                <w:sz w:val="18"/>
                <w:szCs w:val="18"/>
              </w:rPr>
              <w:t>Limit verejných výdavkov predstavuje nástroj na zabezpečenie dlhodobej udržateľnosti</w:t>
            </w:r>
            <w:r w:rsidRPr="00780954">
              <w:rPr>
                <w:rFonts w:ascii="Segoe UI" w:eastAsia="Times New Roman" w:hAnsi="Segoe UI" w:cs="Segoe UI"/>
                <w:sz w:val="18"/>
                <w:szCs w:val="18"/>
              </w:rPr>
              <w:t xml:space="preserve"> </w:t>
            </w:r>
            <w:r w:rsidRPr="00780954">
              <w:rPr>
                <w:rFonts w:ascii="Segoe UI" w:eastAsia="Times New Roman" w:hAnsi="Segoe UI" w:cs="Segoe UI"/>
                <w:b/>
                <w:sz w:val="18"/>
                <w:szCs w:val="18"/>
              </w:rPr>
              <w:t>verejných financií.</w:t>
            </w:r>
            <w:r w:rsidRPr="00780954">
              <w:rPr>
                <w:rFonts w:ascii="Segoe UI" w:eastAsia="Times New Roman" w:hAnsi="Segoe UI" w:cs="Segoe UI"/>
                <w:sz w:val="18"/>
                <w:szCs w:val="18"/>
              </w:rPr>
              <w:t xml:space="preserve"> Bol zavedený do slovenského právneho poriadku novelou zákona o rozpočtových pravidlách VS v marci 2022 ako jeden z míľnikov v POO. Zákon o </w:t>
            </w:r>
            <w:r w:rsidR="00B14432">
              <w:rPr>
                <w:rFonts w:ascii="Segoe UI" w:eastAsia="Times New Roman" w:hAnsi="Segoe UI" w:cs="Segoe UI"/>
                <w:sz w:val="18"/>
                <w:szCs w:val="18"/>
              </w:rPr>
              <w:t>ŠR</w:t>
            </w:r>
            <w:r w:rsidRPr="00780954">
              <w:rPr>
                <w:rFonts w:ascii="Segoe UI" w:eastAsia="Times New Roman" w:hAnsi="Segoe UI" w:cs="Segoe UI"/>
                <w:sz w:val="18"/>
                <w:szCs w:val="18"/>
              </w:rPr>
              <w:t xml:space="preserve"> na rok 2023 uvádza v §</w:t>
            </w:r>
            <w:r w:rsidR="00FF3AE5">
              <w:rPr>
                <w:rFonts w:ascii="Segoe UI" w:eastAsia="Times New Roman" w:hAnsi="Segoe UI" w:cs="Segoe UI"/>
                <w:sz w:val="18"/>
                <w:szCs w:val="18"/>
              </w:rPr>
              <w:t xml:space="preserve"> </w:t>
            </w:r>
            <w:r w:rsidRPr="00780954">
              <w:rPr>
                <w:rFonts w:ascii="Segoe UI" w:eastAsia="Times New Roman" w:hAnsi="Segoe UI" w:cs="Segoe UI"/>
                <w:sz w:val="18"/>
                <w:szCs w:val="18"/>
              </w:rPr>
              <w:t>7 ods. 1, že LVV pre rok 2023 je 41 321 154 940 eur</w:t>
            </w:r>
            <w:r w:rsidRPr="00780954">
              <w:rPr>
                <w:rStyle w:val="Odkaznapoznmkupodiarou"/>
                <w:rFonts w:ascii="Segoe UI" w:eastAsia="Times New Roman" w:hAnsi="Segoe UI" w:cs="Segoe UI"/>
                <w:sz w:val="18"/>
                <w:szCs w:val="18"/>
              </w:rPr>
              <w:footnoteReference w:id="12"/>
            </w:r>
            <w:r w:rsidRPr="00780954">
              <w:rPr>
                <w:rFonts w:ascii="Segoe UI" w:eastAsia="Times New Roman" w:hAnsi="Segoe UI" w:cs="Segoe UI"/>
                <w:sz w:val="18"/>
                <w:szCs w:val="18"/>
              </w:rPr>
              <w:t>. Počas rozpočtového roka 2023 bola platná všeobecná úniková doložka na úrovni EÚ a podľa príslušnej časti zákona</w:t>
            </w:r>
            <w:r w:rsidRPr="00780954">
              <w:rPr>
                <w:rStyle w:val="Odkaznapoznmkupodiarou"/>
                <w:rFonts w:ascii="Segoe UI" w:eastAsia="Times New Roman" w:hAnsi="Segoe UI" w:cs="Segoe UI"/>
                <w:sz w:val="18"/>
                <w:szCs w:val="18"/>
              </w:rPr>
              <w:footnoteReference w:id="13"/>
            </w:r>
            <w:r w:rsidRPr="00780954">
              <w:rPr>
                <w:rFonts w:ascii="Segoe UI" w:eastAsia="Times New Roman" w:hAnsi="Segoe UI" w:cs="Segoe UI"/>
                <w:sz w:val="18"/>
                <w:szCs w:val="18"/>
              </w:rPr>
              <w:t xml:space="preserve"> </w:t>
            </w:r>
            <w:r w:rsidRPr="00780954">
              <w:rPr>
                <w:rFonts w:ascii="Segoe UI" w:eastAsia="Times New Roman" w:hAnsi="Segoe UI" w:cs="Segoe UI"/>
                <w:i/>
                <w:sz w:val="18"/>
                <w:szCs w:val="18"/>
              </w:rPr>
              <w:t>vláda nie je povinná zosúladiť rozpočet verejnej správy s limitom verejných výdavkov</w:t>
            </w:r>
            <w:r>
              <w:rPr>
                <w:rFonts w:ascii="Segoe UI" w:eastAsia="Times New Roman" w:hAnsi="Segoe UI" w:cs="Segoe UI"/>
                <w:sz w:val="18"/>
                <w:szCs w:val="18"/>
              </w:rPr>
              <w:t>.</w:t>
            </w:r>
            <w:r w:rsidR="00B14432">
              <w:rPr>
                <w:rFonts w:ascii="Segoe UI" w:eastAsia="Times New Roman" w:hAnsi="Segoe UI" w:cs="Segoe UI"/>
                <w:sz w:val="18"/>
                <w:szCs w:val="18"/>
              </w:rPr>
              <w:t xml:space="preserve"> </w:t>
            </w:r>
            <w:r w:rsidR="00B14432" w:rsidRPr="00B14432">
              <w:rPr>
                <w:rFonts w:ascii="Segoe UI" w:eastAsia="Times New Roman" w:hAnsi="Segoe UI" w:cs="Segoe UI"/>
                <w:sz w:val="18"/>
              </w:rPr>
              <w:t>Návrh RVS na 2023 až 2025 obsahuje len stručnú poznámku, že pri jeho príprave nebola ešte dohodnutá metodika výpočtu medzi RRZ a MF SR. LVV teda nebol pri príprave rozpočtu známy a plénum NR SR ho schválilo 1. 2. 2023. Podľa zákona o rozpočtových pravidlách pripravuje MF SR do 15. augusta Správu o očakávanej skutočnosti k 30. júnu, ktorá by mala obsahovať aj očakávané plnenie LVV.</w:t>
            </w:r>
          </w:p>
        </w:tc>
      </w:tr>
    </w:tbl>
    <w:p w14:paraId="36A69BFE" w14:textId="3D1C1D61" w:rsidR="001209F4" w:rsidRDefault="002C027A" w:rsidP="00946B24">
      <w:pPr>
        <w:pStyle w:val="Nadpis2"/>
      </w:pPr>
      <w:bookmarkStart w:id="10" w:name="_Toc168567182"/>
      <w:r>
        <w:lastRenderedPageBreak/>
        <w:t xml:space="preserve">2.4 </w:t>
      </w:r>
      <w:r w:rsidR="00E43045">
        <w:t xml:space="preserve"> </w:t>
      </w:r>
      <w:r w:rsidR="001209F4">
        <w:t>Dlh verejnej správy</w:t>
      </w:r>
      <w:bookmarkEnd w:id="10"/>
    </w:p>
    <w:p w14:paraId="35E26099" w14:textId="702F007A" w:rsidR="00AA63CB" w:rsidRDefault="00AA63CB" w:rsidP="00AA63CB">
      <w:pPr>
        <w:rPr>
          <w:rFonts w:cs="Segoe UI"/>
          <w:bCs/>
          <w:color w:val="000000" w:themeColor="text1"/>
          <w:szCs w:val="20"/>
        </w:rPr>
      </w:pPr>
      <w:r w:rsidRPr="00793CFB">
        <w:rPr>
          <w:rFonts w:cs="Segoe UI"/>
          <w:b/>
          <w:bCs/>
          <w:color w:val="000000" w:themeColor="text1"/>
          <w:szCs w:val="20"/>
        </w:rPr>
        <w:t>Dlh VS v roku 2023 dosiahol 68,83 mld. eur, čo predstavuje 56</w:t>
      </w:r>
      <w:r>
        <w:rPr>
          <w:rFonts w:cs="Segoe UI"/>
          <w:b/>
          <w:bCs/>
          <w:color w:val="000000" w:themeColor="text1"/>
          <w:szCs w:val="20"/>
        </w:rPr>
        <w:t xml:space="preserve"> % HDP </w:t>
      </w:r>
      <w:r w:rsidRPr="00AA63CB">
        <w:rPr>
          <w:rFonts w:cs="Segoe UI"/>
          <w:bCs/>
          <w:color w:val="000000" w:themeColor="text1"/>
          <w:szCs w:val="20"/>
        </w:rPr>
        <w:t>(graf 7).</w:t>
      </w:r>
      <w:r w:rsidR="000A4E30">
        <w:rPr>
          <w:rStyle w:val="Odkaznapoznmkupodiarou"/>
          <w:rFonts w:cs="Segoe UI"/>
          <w:bCs/>
          <w:color w:val="000000" w:themeColor="text1"/>
          <w:szCs w:val="20"/>
        </w:rPr>
        <w:footnoteReference w:id="14"/>
      </w:r>
      <w:r>
        <w:rPr>
          <w:rFonts w:cs="Segoe UI"/>
          <w:bCs/>
          <w:color w:val="000000" w:themeColor="text1"/>
          <w:szCs w:val="20"/>
        </w:rPr>
        <w:t xml:space="preserve"> </w:t>
      </w:r>
      <w:r w:rsidRPr="00793CFB">
        <w:rPr>
          <w:rFonts w:cs="Segoe UI"/>
          <w:bCs/>
          <w:color w:val="000000" w:themeColor="text1"/>
          <w:szCs w:val="20"/>
        </w:rPr>
        <w:t>V medziročnom poro</w:t>
      </w:r>
      <w:r>
        <w:rPr>
          <w:rFonts w:cs="Segoe UI"/>
          <w:bCs/>
          <w:color w:val="000000" w:themeColor="text1"/>
          <w:szCs w:val="20"/>
        </w:rPr>
        <w:t xml:space="preserve">vnaní dlh </w:t>
      </w:r>
      <w:r w:rsidR="008D098A">
        <w:rPr>
          <w:rFonts w:cs="Segoe UI"/>
          <w:bCs/>
          <w:color w:val="000000" w:themeColor="text1"/>
          <w:szCs w:val="20"/>
        </w:rPr>
        <w:t>VS</w:t>
      </w:r>
      <w:r>
        <w:rPr>
          <w:rFonts w:cs="Segoe UI"/>
          <w:bCs/>
          <w:color w:val="000000" w:themeColor="text1"/>
          <w:szCs w:val="20"/>
        </w:rPr>
        <w:t xml:space="preserve"> </w:t>
      </w:r>
      <w:r w:rsidRPr="00793CFB">
        <w:rPr>
          <w:rFonts w:cs="Segoe UI"/>
          <w:bCs/>
          <w:color w:val="000000" w:themeColor="text1"/>
          <w:szCs w:val="20"/>
        </w:rPr>
        <w:t xml:space="preserve">v nominálnom vyjadrení </w:t>
      </w:r>
      <w:r>
        <w:rPr>
          <w:rFonts w:cs="Segoe UI"/>
          <w:bCs/>
          <w:color w:val="000000" w:themeColor="text1"/>
          <w:szCs w:val="20"/>
        </w:rPr>
        <w:t xml:space="preserve">vzrástol </w:t>
      </w:r>
      <w:r w:rsidRPr="00793CFB">
        <w:rPr>
          <w:rFonts w:cs="Segoe UI"/>
          <w:bCs/>
          <w:color w:val="000000" w:themeColor="text1"/>
          <w:szCs w:val="20"/>
        </w:rPr>
        <w:t>o 5,</w:t>
      </w:r>
      <w:r>
        <w:rPr>
          <w:rFonts w:cs="Segoe UI"/>
          <w:bCs/>
          <w:color w:val="000000" w:themeColor="text1"/>
          <w:szCs w:val="20"/>
        </w:rPr>
        <w:t>4</w:t>
      </w:r>
      <w:r w:rsidRPr="00793CFB">
        <w:rPr>
          <w:rFonts w:cs="Segoe UI"/>
          <w:bCs/>
          <w:color w:val="000000" w:themeColor="text1"/>
          <w:szCs w:val="20"/>
        </w:rPr>
        <w:t>5 mld. eur</w:t>
      </w:r>
      <w:r w:rsidR="008D098A">
        <w:rPr>
          <w:rFonts w:cs="Segoe UI"/>
          <w:bCs/>
          <w:color w:val="000000" w:themeColor="text1"/>
          <w:szCs w:val="20"/>
        </w:rPr>
        <w:t>,</w:t>
      </w:r>
      <w:r w:rsidRPr="00793CFB">
        <w:rPr>
          <w:rFonts w:cs="Segoe UI"/>
          <w:bCs/>
          <w:color w:val="000000" w:themeColor="text1"/>
          <w:szCs w:val="20"/>
        </w:rPr>
        <w:t xml:space="preserve"> avšak oproti HDP klesol o 1,7 p. b. Medziročný pokles zadlženia bol spôsobený najmä vysokou úrovňou inflácie, ktorá </w:t>
      </w:r>
      <w:r w:rsidR="00840CF8">
        <w:rPr>
          <w:rFonts w:cs="Segoe UI"/>
          <w:bCs/>
          <w:color w:val="000000" w:themeColor="text1"/>
          <w:szCs w:val="20"/>
        </w:rPr>
        <w:t>sa premietla do rastu</w:t>
      </w:r>
      <w:r w:rsidRPr="00793CFB">
        <w:rPr>
          <w:rFonts w:cs="Segoe UI"/>
          <w:bCs/>
          <w:color w:val="000000" w:themeColor="text1"/>
          <w:szCs w:val="20"/>
        </w:rPr>
        <w:t xml:space="preserve"> HDP.</w:t>
      </w:r>
    </w:p>
    <w:p w14:paraId="368781FA" w14:textId="77777777" w:rsidR="00E63F7E" w:rsidRDefault="00E63F7E" w:rsidP="00E63F7E">
      <w:pPr>
        <w:spacing w:after="0"/>
        <w:rPr>
          <w:rFonts w:cs="Segoe UI"/>
          <w:b/>
          <w:bCs/>
          <w:color w:val="304363"/>
          <w:szCs w:val="20"/>
        </w:rPr>
      </w:pPr>
      <w:r w:rsidRPr="005D5B1B">
        <w:rPr>
          <w:rFonts w:cs="Segoe UI"/>
          <w:b/>
          <w:bCs/>
          <w:color w:val="304363"/>
          <w:szCs w:val="20"/>
        </w:rPr>
        <w:t>Graf</w:t>
      </w:r>
      <w:r>
        <w:rPr>
          <w:rFonts w:cs="Segoe UI"/>
          <w:b/>
          <w:bCs/>
          <w:color w:val="304363"/>
          <w:szCs w:val="20"/>
        </w:rPr>
        <w:t xml:space="preserve"> 7</w:t>
      </w:r>
      <w:r w:rsidRPr="005D5B1B">
        <w:rPr>
          <w:rFonts w:cs="Segoe UI"/>
          <w:b/>
          <w:bCs/>
          <w:color w:val="304363"/>
          <w:szCs w:val="20"/>
        </w:rPr>
        <w:t>: Vývoj hrubého a čistého dlhu VS v rokoch 2010 až 2024 (% HDP)</w:t>
      </w:r>
    </w:p>
    <w:tbl>
      <w:tblPr>
        <w:tblStyle w:val="Mriekatabuky"/>
        <w:tblW w:w="0" w:type="auto"/>
        <w:tblCellMar>
          <w:left w:w="70" w:type="dxa"/>
          <w:right w:w="70" w:type="dxa"/>
        </w:tblCellMar>
        <w:tblLook w:val="04A0" w:firstRow="1" w:lastRow="0" w:firstColumn="1" w:lastColumn="0" w:noHBand="0" w:noVBand="1"/>
      </w:tblPr>
      <w:tblGrid>
        <w:gridCol w:w="9070"/>
      </w:tblGrid>
      <w:tr w:rsidR="00E63F7E" w14:paraId="0E7877DD" w14:textId="77777777" w:rsidTr="00A81877">
        <w:trPr>
          <w:trHeight w:val="3118"/>
        </w:trPr>
        <w:tc>
          <w:tcPr>
            <w:tcW w:w="9070" w:type="dxa"/>
            <w:tcBorders>
              <w:top w:val="single" w:sz="4" w:space="0" w:color="314364" w:themeColor="text2"/>
              <w:left w:val="nil"/>
              <w:bottom w:val="single" w:sz="4" w:space="0" w:color="314364" w:themeColor="text2"/>
              <w:right w:val="nil"/>
            </w:tcBorders>
          </w:tcPr>
          <w:p w14:paraId="07923142" w14:textId="77777777" w:rsidR="00E63F7E" w:rsidRDefault="00E63F7E" w:rsidP="00A81877">
            <w:pPr>
              <w:spacing w:after="0"/>
              <w:rPr>
                <w:rFonts w:cs="Segoe UI"/>
                <w:b/>
                <w:bCs/>
                <w:color w:val="304363"/>
                <w:szCs w:val="20"/>
              </w:rPr>
            </w:pPr>
            <w:r>
              <w:rPr>
                <w:noProof/>
                <w:lang w:eastAsia="sk-SK"/>
              </w:rPr>
              <w:drawing>
                <wp:inline distT="0" distB="0" distL="0" distR="0" wp14:anchorId="5C4E31A2" wp14:editId="3ED2F662">
                  <wp:extent cx="5667375" cy="1990725"/>
                  <wp:effectExtent l="0" t="0" r="0" b="0"/>
                  <wp:docPr id="26" name="Graf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bl>
    <w:p w14:paraId="3E9B0651" w14:textId="4535B4E8" w:rsidR="00E63F7E" w:rsidRPr="0019494A" w:rsidRDefault="00E63F7E" w:rsidP="00E63F7E">
      <w:pPr>
        <w:spacing w:line="240" w:lineRule="auto"/>
        <w:rPr>
          <w:rFonts w:eastAsia="Times New Roman" w:cs="Segoe UI"/>
          <w:i/>
          <w:color w:val="002060"/>
          <w:sz w:val="16"/>
          <w:szCs w:val="16"/>
          <w:lang w:eastAsia="sk-SK"/>
        </w:rPr>
      </w:pPr>
      <w:r w:rsidRPr="0019494A">
        <w:rPr>
          <w:rFonts w:eastAsia="Times New Roman" w:cs="Segoe UI"/>
          <w:i/>
          <w:color w:val="002060"/>
          <w:sz w:val="16"/>
          <w:szCs w:val="16"/>
          <w:lang w:eastAsia="sk-SK"/>
        </w:rPr>
        <w:t>Zdroj: ŠÚ SR, MF SR</w:t>
      </w:r>
      <w:r>
        <w:rPr>
          <w:rFonts w:eastAsia="Times New Roman" w:cs="Segoe UI"/>
          <w:i/>
          <w:color w:val="002060"/>
          <w:sz w:val="16"/>
          <w:szCs w:val="16"/>
          <w:lang w:eastAsia="sk-SK"/>
        </w:rPr>
        <w:t>. *odhad.</w:t>
      </w:r>
    </w:p>
    <w:p w14:paraId="48A08C5F" w14:textId="4CDD4C45" w:rsidR="00AA63CB" w:rsidRPr="000D5C3C" w:rsidRDefault="00AA63CB" w:rsidP="00AA63CB">
      <w:pPr>
        <w:rPr>
          <w:rFonts w:cs="Segoe UI"/>
          <w:bCs/>
          <w:color w:val="000000" w:themeColor="text1"/>
          <w:szCs w:val="20"/>
        </w:rPr>
      </w:pPr>
      <w:r w:rsidRPr="00793CFB">
        <w:rPr>
          <w:rFonts w:cs="Segoe UI"/>
          <w:b/>
          <w:bCs/>
          <w:color w:val="000000" w:themeColor="text1"/>
          <w:szCs w:val="20"/>
        </w:rPr>
        <w:t xml:space="preserve">Skutočný dlh VS v pomere </w:t>
      </w:r>
      <w:r w:rsidR="008D098A">
        <w:rPr>
          <w:rFonts w:cs="Segoe UI"/>
          <w:b/>
          <w:bCs/>
          <w:color w:val="000000" w:themeColor="text1"/>
          <w:szCs w:val="20"/>
        </w:rPr>
        <w:t xml:space="preserve">k </w:t>
      </w:r>
      <w:r w:rsidRPr="00793CFB">
        <w:rPr>
          <w:rFonts w:cs="Segoe UI"/>
          <w:b/>
          <w:bCs/>
          <w:color w:val="000000" w:themeColor="text1"/>
          <w:szCs w:val="20"/>
        </w:rPr>
        <w:t xml:space="preserve">HDP za rok 2023 </w:t>
      </w:r>
      <w:r w:rsidR="008D098A">
        <w:rPr>
          <w:rFonts w:cs="Segoe UI"/>
          <w:b/>
          <w:bCs/>
          <w:color w:val="000000" w:themeColor="text1"/>
          <w:szCs w:val="20"/>
        </w:rPr>
        <w:t xml:space="preserve">je </w:t>
      </w:r>
      <w:r w:rsidRPr="00793CFB">
        <w:rPr>
          <w:rFonts w:cs="Segoe UI"/>
          <w:b/>
          <w:bCs/>
          <w:color w:val="000000" w:themeColor="text1"/>
          <w:szCs w:val="20"/>
        </w:rPr>
        <w:t>oproti schváleném</w:t>
      </w:r>
      <w:r w:rsidR="008D098A">
        <w:rPr>
          <w:rFonts w:cs="Segoe UI"/>
          <w:b/>
          <w:bCs/>
          <w:color w:val="000000" w:themeColor="text1"/>
          <w:szCs w:val="20"/>
        </w:rPr>
        <w:t>u rozpočtu nižší o 1,9 p. b.</w:t>
      </w:r>
      <w:r w:rsidR="00BC7504">
        <w:rPr>
          <w:rFonts w:cs="Segoe UI"/>
          <w:b/>
          <w:bCs/>
          <w:color w:val="000000" w:themeColor="text1"/>
          <w:szCs w:val="20"/>
        </w:rPr>
        <w:t xml:space="preserve"> a to najmä vďaka zaúčtovaniu celej energopomoci do roku 2023.</w:t>
      </w:r>
      <w:r w:rsidRPr="00793CFB">
        <w:rPr>
          <w:rFonts w:cs="Segoe UI"/>
          <w:bCs/>
          <w:color w:val="000000" w:themeColor="text1"/>
          <w:szCs w:val="20"/>
        </w:rPr>
        <w:t xml:space="preserve"> </w:t>
      </w:r>
      <w:r>
        <w:rPr>
          <w:rFonts w:cs="Segoe UI"/>
          <w:bCs/>
          <w:color w:val="000000" w:themeColor="text1"/>
          <w:szCs w:val="20"/>
        </w:rPr>
        <w:t>Predpokladaný dlh VS v rozpočte na rok 2023 bol na úrovni 57,9 % HDP (70,9 mld. eur). Z</w:t>
      </w:r>
      <w:r w:rsidRPr="000D5C3C">
        <w:rPr>
          <w:rFonts w:cs="Segoe UI"/>
          <w:bCs/>
          <w:color w:val="000000" w:themeColor="text1"/>
          <w:szCs w:val="20"/>
        </w:rPr>
        <w:t>aúčtovanie</w:t>
      </w:r>
      <w:r>
        <w:rPr>
          <w:rFonts w:cs="Segoe UI"/>
          <w:bCs/>
          <w:color w:val="000000" w:themeColor="text1"/>
          <w:szCs w:val="20"/>
        </w:rPr>
        <w:t xml:space="preserve"> prostriedkov EÚ </w:t>
      </w:r>
      <w:r w:rsidRPr="000D5C3C">
        <w:rPr>
          <w:rFonts w:cs="Segoe UI"/>
          <w:bCs/>
          <w:color w:val="000000" w:themeColor="text1"/>
          <w:szCs w:val="20"/>
        </w:rPr>
        <w:t>ako refundácie ene</w:t>
      </w:r>
      <w:r>
        <w:rPr>
          <w:rFonts w:cs="Segoe UI"/>
          <w:bCs/>
          <w:color w:val="000000" w:themeColor="text1"/>
          <w:szCs w:val="20"/>
        </w:rPr>
        <w:t xml:space="preserve">rgokompenzačných opatrení </w:t>
      </w:r>
      <w:r w:rsidRPr="000D5C3C">
        <w:rPr>
          <w:rFonts w:cs="Segoe UI"/>
          <w:bCs/>
          <w:color w:val="000000" w:themeColor="text1"/>
          <w:szCs w:val="20"/>
        </w:rPr>
        <w:t>voči</w:t>
      </w:r>
      <w:r>
        <w:rPr>
          <w:rFonts w:cs="Segoe UI"/>
          <w:bCs/>
          <w:color w:val="000000" w:themeColor="text1"/>
          <w:szCs w:val="20"/>
        </w:rPr>
        <w:t xml:space="preserve"> obyvateľstvu do príjmov štátu bolo rozhodujúce najmä pri stanovení definitívnej výšky deficitu a dlhu za rok 2023. Na základe rozhodnutia Eurostatu refundácie</w:t>
      </w:r>
      <w:r w:rsidRPr="000D5C3C">
        <w:rPr>
          <w:rFonts w:cs="Segoe UI"/>
          <w:bCs/>
          <w:color w:val="000000" w:themeColor="text1"/>
          <w:szCs w:val="20"/>
        </w:rPr>
        <w:t xml:space="preserve"> ene</w:t>
      </w:r>
      <w:r>
        <w:rPr>
          <w:rFonts w:cs="Segoe UI"/>
          <w:bCs/>
          <w:color w:val="000000" w:themeColor="text1"/>
          <w:szCs w:val="20"/>
        </w:rPr>
        <w:t xml:space="preserve">rgopomoci z fondov </w:t>
      </w:r>
      <w:r w:rsidR="00850CC7">
        <w:rPr>
          <w:rFonts w:cs="Segoe UI"/>
          <w:bCs/>
          <w:color w:val="000000" w:themeColor="text1"/>
          <w:szCs w:val="20"/>
        </w:rPr>
        <w:t xml:space="preserve">EÚ </w:t>
      </w:r>
      <w:r>
        <w:rPr>
          <w:rFonts w:cs="Segoe UI"/>
          <w:bCs/>
          <w:color w:val="000000" w:themeColor="text1"/>
          <w:szCs w:val="20"/>
        </w:rPr>
        <w:t xml:space="preserve">v hodnote takmer 1 mld. eur sa zaznamenali v plnej miere </w:t>
      </w:r>
      <w:r w:rsidRPr="000D5C3C">
        <w:rPr>
          <w:rFonts w:cs="Segoe UI"/>
          <w:bCs/>
          <w:color w:val="000000" w:themeColor="text1"/>
          <w:szCs w:val="20"/>
        </w:rPr>
        <w:t>do výsledku hospodárenia v roku 2023</w:t>
      </w:r>
      <w:r>
        <w:rPr>
          <w:rFonts w:cs="Segoe UI"/>
          <w:bCs/>
          <w:color w:val="000000" w:themeColor="text1"/>
          <w:szCs w:val="20"/>
        </w:rPr>
        <w:t xml:space="preserve"> a tým znížili deficit aj dlh VS. Pôvodné rozdelenie príjmov bolo navrhnuté do oboch rokov 2023 a 2024. Výsledkom bolo, že vláda odhadovala výrazne v</w:t>
      </w:r>
      <w:r w:rsidR="002031B6">
        <w:rPr>
          <w:rFonts w:cs="Segoe UI"/>
          <w:bCs/>
          <w:color w:val="000000" w:themeColor="text1"/>
          <w:szCs w:val="20"/>
        </w:rPr>
        <w:t>yšší</w:t>
      </w:r>
      <w:r>
        <w:rPr>
          <w:rFonts w:cs="Segoe UI"/>
          <w:bCs/>
          <w:color w:val="000000" w:themeColor="text1"/>
          <w:szCs w:val="20"/>
        </w:rPr>
        <w:t xml:space="preserve"> deficit za rok 2023 na úrovni 6,5 % HDP a nižší tohtoročný deficit. V súvislosti s udržateľnosťou verejných financií bolo dôležité zadefinovať minuloročnú výšku deficitu, keďže </w:t>
      </w:r>
      <w:r w:rsidRPr="008B0510">
        <w:rPr>
          <w:rFonts w:cs="Segoe UI"/>
          <w:bCs/>
          <w:color w:val="000000" w:themeColor="text1"/>
          <w:szCs w:val="20"/>
        </w:rPr>
        <w:t>to</w:t>
      </w:r>
      <w:r>
        <w:rPr>
          <w:rFonts w:cs="Segoe UI"/>
          <w:bCs/>
          <w:color w:val="000000" w:themeColor="text1"/>
          <w:szCs w:val="20"/>
        </w:rPr>
        <w:t xml:space="preserve"> ovplyvňuje výšku </w:t>
      </w:r>
      <w:r w:rsidRPr="008B0510">
        <w:rPr>
          <w:rFonts w:cs="Segoe UI"/>
          <w:bCs/>
          <w:color w:val="000000" w:themeColor="text1"/>
          <w:szCs w:val="20"/>
        </w:rPr>
        <w:t>dlhu a</w:t>
      </w:r>
      <w:r>
        <w:rPr>
          <w:rFonts w:cs="Segoe UI"/>
          <w:bCs/>
          <w:color w:val="000000" w:themeColor="text1"/>
          <w:szCs w:val="20"/>
        </w:rPr>
        <w:t> </w:t>
      </w:r>
      <w:r w:rsidRPr="008B0510">
        <w:rPr>
          <w:rFonts w:cs="Segoe UI"/>
          <w:bCs/>
          <w:color w:val="000000" w:themeColor="text1"/>
          <w:szCs w:val="20"/>
        </w:rPr>
        <w:t>deficitu</w:t>
      </w:r>
      <w:r>
        <w:rPr>
          <w:rFonts w:cs="Segoe UI"/>
          <w:bCs/>
          <w:color w:val="000000" w:themeColor="text1"/>
          <w:szCs w:val="20"/>
        </w:rPr>
        <w:t xml:space="preserve"> aj</w:t>
      </w:r>
      <w:r w:rsidRPr="008B0510">
        <w:rPr>
          <w:rFonts w:cs="Segoe UI"/>
          <w:bCs/>
          <w:color w:val="000000" w:themeColor="text1"/>
          <w:szCs w:val="20"/>
        </w:rPr>
        <w:t xml:space="preserve"> v tomto roku</w:t>
      </w:r>
      <w:r>
        <w:rPr>
          <w:rFonts w:cs="Segoe UI"/>
          <w:bCs/>
          <w:color w:val="000000" w:themeColor="text1"/>
          <w:szCs w:val="20"/>
        </w:rPr>
        <w:t xml:space="preserve">. Práve vyšším deficitom má vláda priaznivejšiu východiskovú situáciu pri konsolidácii verejných financií o 0,5 % HDP ročne. </w:t>
      </w:r>
    </w:p>
    <w:p w14:paraId="043471E3" w14:textId="12E47822" w:rsidR="00417691" w:rsidRDefault="00AA63CB" w:rsidP="0021192E">
      <w:pPr>
        <w:rPr>
          <w:rFonts w:cs="Segoe UI"/>
          <w:bCs/>
          <w:color w:val="000000" w:themeColor="text1"/>
          <w:szCs w:val="20"/>
        </w:rPr>
      </w:pPr>
      <w:r w:rsidRPr="00850CC7">
        <w:rPr>
          <w:rFonts w:cs="Segoe UI"/>
          <w:b/>
          <w:bCs/>
          <w:color w:val="000000" w:themeColor="text1"/>
          <w:szCs w:val="20"/>
        </w:rPr>
        <w:t xml:space="preserve">Hrubý dlh </w:t>
      </w:r>
      <w:r w:rsidR="00432BC1">
        <w:rPr>
          <w:rFonts w:cs="Segoe UI"/>
          <w:b/>
          <w:bCs/>
          <w:color w:val="000000" w:themeColor="text1"/>
          <w:szCs w:val="20"/>
        </w:rPr>
        <w:t xml:space="preserve">v pomere k HDP </w:t>
      </w:r>
      <w:r w:rsidRPr="00850CC7">
        <w:rPr>
          <w:rFonts w:cs="Segoe UI"/>
          <w:b/>
          <w:bCs/>
          <w:color w:val="000000" w:themeColor="text1"/>
          <w:szCs w:val="20"/>
        </w:rPr>
        <w:t xml:space="preserve">klesol </w:t>
      </w:r>
      <w:r w:rsidR="00432BC1">
        <w:rPr>
          <w:rFonts w:cs="Segoe UI"/>
          <w:b/>
          <w:bCs/>
          <w:color w:val="000000" w:themeColor="text1"/>
          <w:szCs w:val="20"/>
        </w:rPr>
        <w:t xml:space="preserve">medziročne </w:t>
      </w:r>
      <w:r w:rsidRPr="00850CC7">
        <w:rPr>
          <w:rFonts w:cs="Segoe UI"/>
          <w:b/>
          <w:bCs/>
          <w:color w:val="000000" w:themeColor="text1"/>
          <w:szCs w:val="20"/>
        </w:rPr>
        <w:t xml:space="preserve">najmä z dôvodu lepšieho hospodárenia </w:t>
      </w:r>
      <w:r w:rsidR="00850CC7" w:rsidRPr="00850CC7">
        <w:rPr>
          <w:rFonts w:cs="Segoe UI"/>
          <w:b/>
          <w:bCs/>
          <w:color w:val="000000" w:themeColor="text1"/>
          <w:szCs w:val="20"/>
        </w:rPr>
        <w:t>VS než predpokladal</w:t>
      </w:r>
      <w:r w:rsidRPr="00850CC7">
        <w:rPr>
          <w:rFonts w:cs="Segoe UI"/>
          <w:b/>
          <w:bCs/>
          <w:color w:val="000000" w:themeColor="text1"/>
          <w:szCs w:val="20"/>
        </w:rPr>
        <w:t xml:space="preserve"> </w:t>
      </w:r>
      <w:r w:rsidR="00850CC7" w:rsidRPr="00850CC7">
        <w:rPr>
          <w:rFonts w:cs="Segoe UI"/>
          <w:b/>
          <w:bCs/>
          <w:color w:val="000000" w:themeColor="text1"/>
          <w:szCs w:val="20"/>
        </w:rPr>
        <w:t>návrh RVS</w:t>
      </w:r>
      <w:r w:rsidRPr="00850CC7">
        <w:rPr>
          <w:rFonts w:cs="Segoe UI"/>
          <w:b/>
          <w:bCs/>
          <w:color w:val="000000" w:themeColor="text1"/>
          <w:szCs w:val="20"/>
        </w:rPr>
        <w:t>.</w:t>
      </w:r>
      <w:r>
        <w:rPr>
          <w:rFonts w:cs="Segoe UI"/>
          <w:bCs/>
          <w:color w:val="000000" w:themeColor="text1"/>
          <w:szCs w:val="20"/>
        </w:rPr>
        <w:t xml:space="preserve"> Priaznivý </w:t>
      </w:r>
      <w:r w:rsidR="00850CC7">
        <w:rPr>
          <w:rFonts w:cs="Segoe UI"/>
          <w:bCs/>
          <w:color w:val="000000" w:themeColor="text1"/>
          <w:szCs w:val="20"/>
        </w:rPr>
        <w:t>vplyv mali</w:t>
      </w:r>
      <w:r>
        <w:rPr>
          <w:rFonts w:cs="Segoe UI"/>
          <w:bCs/>
          <w:color w:val="000000" w:themeColor="text1"/>
          <w:szCs w:val="20"/>
        </w:rPr>
        <w:t xml:space="preserve"> najmä dodatočné daňové a odvodové príjmy. Príjmovú časť zvýšili aj n</w:t>
      </w:r>
      <w:r w:rsidRPr="00A464BE">
        <w:rPr>
          <w:rFonts w:cs="Segoe UI"/>
          <w:bCs/>
          <w:color w:val="000000" w:themeColor="text1"/>
          <w:szCs w:val="20"/>
        </w:rPr>
        <w:t>edaňové príjmy cez tržby a získané úroky</w:t>
      </w:r>
      <w:r>
        <w:rPr>
          <w:rFonts w:cs="Segoe UI"/>
          <w:bCs/>
          <w:color w:val="000000" w:themeColor="text1"/>
          <w:szCs w:val="20"/>
        </w:rPr>
        <w:t xml:space="preserve"> </w:t>
      </w:r>
      <w:r w:rsidRPr="00A464BE">
        <w:rPr>
          <w:rFonts w:cs="Segoe UI"/>
          <w:bCs/>
          <w:color w:val="000000" w:themeColor="text1"/>
          <w:szCs w:val="20"/>
        </w:rPr>
        <w:t>(plynúce tiež z vyš</w:t>
      </w:r>
      <w:r>
        <w:rPr>
          <w:rFonts w:cs="Segoe UI"/>
          <w:bCs/>
          <w:color w:val="000000" w:themeColor="text1"/>
          <w:szCs w:val="20"/>
        </w:rPr>
        <w:t xml:space="preserve">ších ako očakávaných úrokových sadzieb) a výdavkovú stranu ovplyvnili </w:t>
      </w:r>
      <w:r w:rsidRPr="00E908EB">
        <w:rPr>
          <w:rFonts w:cs="Segoe UI"/>
          <w:bCs/>
          <w:color w:val="000000" w:themeColor="text1"/>
          <w:szCs w:val="20"/>
        </w:rPr>
        <w:t xml:space="preserve">nižšie skutočné výdavky </w:t>
      </w:r>
      <w:r w:rsidR="00850CC7">
        <w:rPr>
          <w:rFonts w:cs="Segoe UI"/>
          <w:bCs/>
          <w:color w:val="000000" w:themeColor="text1"/>
          <w:szCs w:val="20"/>
        </w:rPr>
        <w:t>ŠR</w:t>
      </w:r>
      <w:r w:rsidRPr="00E908EB">
        <w:rPr>
          <w:rFonts w:cs="Segoe UI"/>
          <w:bCs/>
          <w:color w:val="000000" w:themeColor="text1"/>
          <w:szCs w:val="20"/>
        </w:rPr>
        <w:t>.</w:t>
      </w:r>
      <w:r>
        <w:rPr>
          <w:rFonts w:cs="Segoe UI"/>
          <w:bCs/>
          <w:color w:val="000000" w:themeColor="text1"/>
          <w:szCs w:val="20"/>
        </w:rPr>
        <w:t xml:space="preserve"> Využitie dostupných likvidných zdrojov bolo v menšej miere </w:t>
      </w:r>
      <w:r w:rsidR="005C4B63">
        <w:rPr>
          <w:rFonts w:cs="Segoe UI"/>
          <w:bCs/>
          <w:color w:val="000000" w:themeColor="text1"/>
          <w:szCs w:val="20"/>
        </w:rPr>
        <w:t>než</w:t>
      </w:r>
      <w:r>
        <w:rPr>
          <w:rFonts w:cs="Segoe UI"/>
          <w:bCs/>
          <w:color w:val="000000" w:themeColor="text1"/>
          <w:szCs w:val="20"/>
        </w:rPr>
        <w:t xml:space="preserve"> predpoklada</w:t>
      </w:r>
      <w:r w:rsidR="00850CC7">
        <w:rPr>
          <w:rFonts w:cs="Segoe UI"/>
          <w:bCs/>
          <w:color w:val="000000" w:themeColor="text1"/>
          <w:szCs w:val="20"/>
        </w:rPr>
        <w:t>l</w:t>
      </w:r>
      <w:r>
        <w:rPr>
          <w:rFonts w:cs="Segoe UI"/>
          <w:bCs/>
          <w:color w:val="000000" w:themeColor="text1"/>
          <w:szCs w:val="20"/>
        </w:rPr>
        <w:t> </w:t>
      </w:r>
      <w:r w:rsidR="00850CC7">
        <w:rPr>
          <w:rFonts w:cs="Segoe UI"/>
          <w:bCs/>
          <w:color w:val="000000" w:themeColor="text1"/>
          <w:szCs w:val="20"/>
        </w:rPr>
        <w:t>návrh RVS</w:t>
      </w:r>
      <w:r>
        <w:rPr>
          <w:rFonts w:cs="Segoe UI"/>
          <w:bCs/>
          <w:color w:val="000000" w:themeColor="text1"/>
          <w:szCs w:val="20"/>
        </w:rPr>
        <w:t xml:space="preserve"> a tým sa zvýšilo zadlženie. </w:t>
      </w:r>
      <w:r w:rsidR="00417691">
        <w:rPr>
          <w:rFonts w:cs="Segoe UI"/>
          <w:bCs/>
          <w:color w:val="000000" w:themeColor="text1"/>
          <w:szCs w:val="20"/>
        </w:rPr>
        <w:t xml:space="preserve">V </w:t>
      </w:r>
      <w:r w:rsidR="00417691" w:rsidRPr="00E908EB">
        <w:rPr>
          <w:rFonts w:cs="Segoe UI"/>
          <w:bCs/>
          <w:color w:val="000000" w:themeColor="text1"/>
          <w:szCs w:val="20"/>
        </w:rPr>
        <w:t xml:space="preserve">skutočnosti bolo čerpanie </w:t>
      </w:r>
      <w:r w:rsidR="002031B6">
        <w:rPr>
          <w:rFonts w:cs="Segoe UI"/>
          <w:bCs/>
          <w:color w:val="000000" w:themeColor="text1"/>
          <w:szCs w:val="20"/>
        </w:rPr>
        <w:t>LF</w:t>
      </w:r>
      <w:r w:rsidR="00B44AC3">
        <w:rPr>
          <w:rFonts w:cs="Segoe UI"/>
          <w:bCs/>
          <w:color w:val="000000" w:themeColor="text1"/>
          <w:szCs w:val="20"/>
        </w:rPr>
        <w:t>A</w:t>
      </w:r>
      <w:r w:rsidR="00417691">
        <w:rPr>
          <w:rFonts w:cs="Segoe UI"/>
          <w:bCs/>
          <w:color w:val="000000" w:themeColor="text1"/>
          <w:szCs w:val="20"/>
        </w:rPr>
        <w:t xml:space="preserve"> </w:t>
      </w:r>
      <w:r w:rsidR="00417691" w:rsidRPr="00E908EB">
        <w:rPr>
          <w:rFonts w:cs="Segoe UI"/>
          <w:bCs/>
          <w:color w:val="000000" w:themeColor="text1"/>
          <w:szCs w:val="20"/>
        </w:rPr>
        <w:t>pomalšie o 1,7 % HDP</w:t>
      </w:r>
      <w:r w:rsidR="00417691">
        <w:rPr>
          <w:rFonts w:cs="Segoe UI"/>
          <w:bCs/>
          <w:color w:val="000000" w:themeColor="text1"/>
          <w:szCs w:val="20"/>
        </w:rPr>
        <w:t xml:space="preserve"> oproti RVS na rok 2023.</w:t>
      </w:r>
    </w:p>
    <w:p w14:paraId="7BDB6A23" w14:textId="5FBFC802" w:rsidR="00AA63CB" w:rsidRPr="00F63824" w:rsidRDefault="00AA63CB" w:rsidP="00AA63CB">
      <w:pPr>
        <w:rPr>
          <w:rFonts w:cs="Segoe UI"/>
          <w:bCs/>
          <w:color w:val="000000" w:themeColor="text1"/>
          <w:szCs w:val="20"/>
        </w:rPr>
      </w:pPr>
      <w:r w:rsidRPr="00850CC7">
        <w:rPr>
          <w:rFonts w:cs="Segoe UI"/>
          <w:b/>
          <w:bCs/>
          <w:color w:val="000000" w:themeColor="text1"/>
          <w:szCs w:val="20"/>
        </w:rPr>
        <w:t xml:space="preserve">Zvýšenie maastrichtského dlhu oproti roku 2022 negatívne ovplyvnil najmä schodok </w:t>
      </w:r>
      <w:r w:rsidR="00C37D14">
        <w:rPr>
          <w:rFonts w:cs="Segoe UI"/>
          <w:b/>
          <w:bCs/>
          <w:color w:val="000000" w:themeColor="text1"/>
          <w:szCs w:val="20"/>
        </w:rPr>
        <w:t>ŠR</w:t>
      </w:r>
      <w:r w:rsidRPr="00850CC7">
        <w:rPr>
          <w:rFonts w:cs="Segoe UI"/>
          <w:b/>
          <w:bCs/>
          <w:color w:val="000000" w:themeColor="text1"/>
          <w:szCs w:val="20"/>
        </w:rPr>
        <w:t xml:space="preserve"> vo výške </w:t>
      </w:r>
      <w:r w:rsidRPr="003B2095">
        <w:rPr>
          <w:rFonts w:cs="Segoe UI"/>
          <w:b/>
          <w:bCs/>
          <w:color w:val="000000" w:themeColor="text1"/>
          <w:szCs w:val="20"/>
        </w:rPr>
        <w:t>7,68 mld. eur</w:t>
      </w:r>
      <w:r w:rsidRPr="00850CC7">
        <w:rPr>
          <w:rFonts w:cs="Segoe UI"/>
          <w:b/>
          <w:bCs/>
          <w:color w:val="000000" w:themeColor="text1"/>
          <w:szCs w:val="20"/>
        </w:rPr>
        <w:t xml:space="preserve"> a ďalšie požiadavky na cudzie zdroje vyplývajúce z riadenia dlhu a likvidity, ktoré vyvolali potrebu emitovať štátne dlhopisy v menovitej hodnote 10,44 mld. eu</w:t>
      </w:r>
      <w:r w:rsidRPr="009F3AF2">
        <w:rPr>
          <w:rFonts w:cs="Segoe UI"/>
          <w:bCs/>
          <w:color w:val="000000" w:themeColor="text1"/>
          <w:szCs w:val="20"/>
        </w:rPr>
        <w:t>r.</w:t>
      </w:r>
      <w:r>
        <w:rPr>
          <w:rFonts w:cs="Segoe UI"/>
          <w:bCs/>
          <w:color w:val="000000" w:themeColor="text1"/>
          <w:szCs w:val="20"/>
        </w:rPr>
        <w:t xml:space="preserve"> </w:t>
      </w:r>
      <w:r w:rsidRPr="005A405F">
        <w:rPr>
          <w:rFonts w:cs="Segoe UI"/>
          <w:bCs/>
          <w:color w:val="000000" w:themeColor="text1"/>
          <w:szCs w:val="20"/>
        </w:rPr>
        <w:t xml:space="preserve">Maastrichtský dlh </w:t>
      </w:r>
      <w:r w:rsidR="00850CC7">
        <w:rPr>
          <w:rFonts w:cs="Segoe UI"/>
          <w:bCs/>
          <w:color w:val="000000" w:themeColor="text1"/>
          <w:szCs w:val="20"/>
        </w:rPr>
        <w:t>VS</w:t>
      </w:r>
      <w:r w:rsidRPr="005A405F">
        <w:rPr>
          <w:rFonts w:cs="Segoe UI"/>
          <w:bCs/>
          <w:color w:val="000000" w:themeColor="text1"/>
          <w:szCs w:val="20"/>
        </w:rPr>
        <w:t xml:space="preserve"> bol financovaný </w:t>
      </w:r>
      <w:r>
        <w:rPr>
          <w:rFonts w:cs="Segoe UI"/>
          <w:bCs/>
          <w:color w:val="000000" w:themeColor="text1"/>
          <w:szCs w:val="20"/>
        </w:rPr>
        <w:t xml:space="preserve">predovšetkým cennými papiermi, </w:t>
      </w:r>
      <w:r w:rsidRPr="005A405F">
        <w:rPr>
          <w:rFonts w:cs="Segoe UI"/>
          <w:bCs/>
          <w:color w:val="000000" w:themeColor="text1"/>
          <w:szCs w:val="20"/>
        </w:rPr>
        <w:t>najmä štátnymi dlhopismi v súhrnnej menov</w:t>
      </w:r>
      <w:r>
        <w:rPr>
          <w:rFonts w:cs="Segoe UI"/>
          <w:bCs/>
          <w:color w:val="000000" w:themeColor="text1"/>
          <w:szCs w:val="20"/>
        </w:rPr>
        <w:t xml:space="preserve">itej hodnote 60,28 mld. eur </w:t>
      </w:r>
      <w:r w:rsidRPr="005A405F">
        <w:rPr>
          <w:rFonts w:cs="Segoe UI"/>
          <w:bCs/>
          <w:color w:val="000000" w:themeColor="text1"/>
          <w:szCs w:val="20"/>
        </w:rPr>
        <w:t>(87,6 %).</w:t>
      </w:r>
    </w:p>
    <w:p w14:paraId="4DBB8C9B" w14:textId="77777777" w:rsidR="004A2208" w:rsidRPr="00554A91" w:rsidRDefault="004A2208" w:rsidP="004A2208">
      <w:pPr>
        <w:rPr>
          <w:rFonts w:cs="Segoe UI"/>
          <w:bCs/>
          <w:color w:val="000000" w:themeColor="text1"/>
          <w:szCs w:val="20"/>
        </w:rPr>
      </w:pPr>
      <w:r>
        <w:rPr>
          <w:rFonts w:cs="Segoe UI"/>
          <w:b/>
          <w:bCs/>
          <w:color w:val="000000" w:themeColor="text1"/>
          <w:szCs w:val="20"/>
        </w:rPr>
        <w:lastRenderedPageBreak/>
        <w:t xml:space="preserve">NKÚ SR dlhodobo upozorňuje na potrebné zlepšenie udržateľnosti verejných financií. </w:t>
      </w:r>
      <w:r>
        <w:rPr>
          <w:rFonts w:eastAsia="Times New Roman" w:cs="Segoe UI"/>
        </w:rPr>
        <w:t>Ústavný zákon o rozpočtovej zodpovednosti</w:t>
      </w:r>
      <w:r>
        <w:rPr>
          <w:rStyle w:val="Odkaznapoznmkupodiarou"/>
          <w:rFonts w:eastAsia="Times New Roman" w:cs="Segoe UI"/>
        </w:rPr>
        <w:footnoteReference w:id="15"/>
      </w:r>
      <w:r>
        <w:rPr>
          <w:rFonts w:eastAsia="Times New Roman" w:cs="Segoe UI"/>
        </w:rPr>
        <w:t xml:space="preserve"> uvádza tzv. sankčné pásma podľa výšky dlhu ako podielu na HDP. Od 25. mája 2023 do 21. novembra 2023 sa dlh nachádzal v najvyššom pásme</w:t>
      </w:r>
      <w:r>
        <w:rPr>
          <w:rStyle w:val="Odkaznapoznmkupodiarou"/>
          <w:rFonts w:eastAsia="Times New Roman" w:cs="Segoe UI"/>
        </w:rPr>
        <w:footnoteReference w:id="16"/>
      </w:r>
      <w:r>
        <w:rPr>
          <w:rFonts w:eastAsia="Times New Roman" w:cs="Segoe UI"/>
        </w:rPr>
        <w:t>.</w:t>
      </w:r>
      <w:r>
        <w:rPr>
          <w:rFonts w:cs="Segoe UI"/>
          <w:b/>
          <w:bCs/>
          <w:color w:val="000000" w:themeColor="text1"/>
          <w:szCs w:val="20"/>
        </w:rPr>
        <w:t xml:space="preserve"> </w:t>
      </w:r>
      <w:r w:rsidRPr="005A1E46">
        <w:rPr>
          <w:rFonts w:cs="Segoe UI"/>
          <w:bCs/>
          <w:color w:val="000000" w:themeColor="text1"/>
          <w:szCs w:val="20"/>
        </w:rPr>
        <w:t xml:space="preserve">Nástupom novej vlády v októbri minulého roku a schválením programového vyhlásenia </w:t>
      </w:r>
      <w:r>
        <w:rPr>
          <w:rFonts w:cs="Segoe UI"/>
          <w:bCs/>
          <w:color w:val="000000" w:themeColor="text1"/>
          <w:szCs w:val="20"/>
        </w:rPr>
        <w:t xml:space="preserve">vlády </w:t>
      </w:r>
      <w:r w:rsidRPr="005A1E46">
        <w:rPr>
          <w:rFonts w:cs="Segoe UI"/>
          <w:bCs/>
          <w:color w:val="000000" w:themeColor="text1"/>
          <w:szCs w:val="20"/>
        </w:rPr>
        <w:t xml:space="preserve">bola aktivovaná úniková klauzula z troch horných sankcií dlhovej brzdy na dva roky. </w:t>
      </w:r>
      <w:r w:rsidRPr="00FC60EC">
        <w:rPr>
          <w:rFonts w:cs="Segoe UI"/>
          <w:bCs/>
          <w:color w:val="000000" w:themeColor="text1"/>
          <w:szCs w:val="20"/>
        </w:rPr>
        <w:t xml:space="preserve">Hrubý dlh VS je naďalej v najvyššom 5. sankčnom pásme ústavného zákona o rozpočtovej zodpovednosti bez najprísnejších sankcií. </w:t>
      </w:r>
      <w:r w:rsidRPr="005A1E46">
        <w:rPr>
          <w:rFonts w:cs="Segoe UI"/>
          <w:bCs/>
          <w:color w:val="000000" w:themeColor="text1"/>
          <w:szCs w:val="20"/>
        </w:rPr>
        <w:t>Podľa najnovších údajov Eurostatu indikátor dlhodobej udržateľnosti S2 je v pásme vysokého rizika a</w:t>
      </w:r>
      <w:r>
        <w:rPr>
          <w:rFonts w:cs="Segoe UI"/>
          <w:bCs/>
          <w:color w:val="000000" w:themeColor="text1"/>
          <w:szCs w:val="20"/>
        </w:rPr>
        <w:t> </w:t>
      </w:r>
      <w:r w:rsidRPr="005A1E46">
        <w:rPr>
          <w:rFonts w:cs="Segoe UI"/>
          <w:bCs/>
          <w:color w:val="000000" w:themeColor="text1"/>
          <w:szCs w:val="20"/>
        </w:rPr>
        <w:t xml:space="preserve">Slovensko </w:t>
      </w:r>
      <w:r>
        <w:rPr>
          <w:rFonts w:cs="Segoe UI"/>
          <w:bCs/>
          <w:color w:val="000000" w:themeColor="text1"/>
          <w:szCs w:val="20"/>
        </w:rPr>
        <w:t xml:space="preserve">sa </w:t>
      </w:r>
      <w:r w:rsidRPr="005A1E46">
        <w:rPr>
          <w:rFonts w:cs="Segoe UI"/>
          <w:bCs/>
          <w:color w:val="000000" w:themeColor="text1"/>
          <w:szCs w:val="20"/>
        </w:rPr>
        <w:t>nachádza opäť na poslednom mieste z krajín EÚ.</w:t>
      </w:r>
      <w:r>
        <w:rPr>
          <w:rFonts w:cs="Segoe UI"/>
          <w:bCs/>
          <w:color w:val="000000" w:themeColor="text1"/>
          <w:szCs w:val="20"/>
        </w:rPr>
        <w:t xml:space="preserve"> </w:t>
      </w:r>
      <w:r w:rsidRPr="005A1E46">
        <w:rPr>
          <w:rFonts w:cs="Segoe UI"/>
          <w:bCs/>
          <w:color w:val="000000" w:themeColor="text1"/>
          <w:szCs w:val="20"/>
        </w:rPr>
        <w:t xml:space="preserve">Za rok 2023 dosahuje </w:t>
      </w:r>
      <w:r>
        <w:rPr>
          <w:rFonts w:cs="Segoe UI"/>
          <w:bCs/>
          <w:color w:val="000000" w:themeColor="text1"/>
          <w:szCs w:val="20"/>
        </w:rPr>
        <w:t xml:space="preserve">tento indikátor </w:t>
      </w:r>
      <w:r w:rsidRPr="005A1E46">
        <w:rPr>
          <w:rFonts w:cs="Segoe UI"/>
          <w:bCs/>
          <w:color w:val="000000" w:themeColor="text1"/>
          <w:szCs w:val="20"/>
        </w:rPr>
        <w:t>úroveň 9,9 % HDP</w:t>
      </w:r>
      <w:r>
        <w:rPr>
          <w:rFonts w:cs="Segoe UI"/>
          <w:bCs/>
          <w:color w:val="000000" w:themeColor="text1"/>
          <w:szCs w:val="20"/>
        </w:rPr>
        <w:t>,</w:t>
      </w:r>
      <w:r w:rsidRPr="005A1E46">
        <w:rPr>
          <w:rFonts w:cs="Segoe UI"/>
          <w:bCs/>
          <w:color w:val="000000" w:themeColor="text1"/>
          <w:szCs w:val="20"/>
        </w:rPr>
        <w:t xml:space="preserve"> pričom priemer EÚ je na úrovni 2,9 %.</w:t>
      </w:r>
      <w:r>
        <w:rPr>
          <w:rStyle w:val="Odkaznapoznmkupodiarou"/>
          <w:rFonts w:cs="Segoe UI"/>
          <w:bCs/>
          <w:color w:val="000000" w:themeColor="text1"/>
          <w:szCs w:val="20"/>
        </w:rPr>
        <w:footnoteReference w:id="17"/>
      </w:r>
    </w:p>
    <w:p w14:paraId="2F0DF279" w14:textId="77777777" w:rsidR="004A2208" w:rsidRDefault="004A2208" w:rsidP="004A2208">
      <w:pPr>
        <w:rPr>
          <w:rFonts w:cs="Segoe UI"/>
          <w:szCs w:val="20"/>
        </w:rPr>
      </w:pPr>
      <w:r w:rsidRPr="00D03D8D">
        <w:rPr>
          <w:rFonts w:cs="Segoe UI"/>
          <w:b/>
          <w:szCs w:val="20"/>
        </w:rPr>
        <w:t>S</w:t>
      </w:r>
      <w:r>
        <w:rPr>
          <w:rFonts w:cs="Segoe UI"/>
          <w:b/>
          <w:szCs w:val="20"/>
        </w:rPr>
        <w:t>R</w:t>
      </w:r>
      <w:r w:rsidRPr="008E42D1">
        <w:rPr>
          <w:rFonts w:cs="Segoe UI"/>
          <w:b/>
          <w:szCs w:val="20"/>
        </w:rPr>
        <w:t xml:space="preserve"> dosiahla v porovnaní s priemerom krajín EÚ aj </w:t>
      </w:r>
      <w:r>
        <w:rPr>
          <w:rFonts w:cs="Segoe UI"/>
          <w:b/>
          <w:szCs w:val="20"/>
        </w:rPr>
        <w:t>e</w:t>
      </w:r>
      <w:r w:rsidRPr="008E42D1">
        <w:rPr>
          <w:rFonts w:cs="Segoe UI"/>
          <w:b/>
          <w:szCs w:val="20"/>
        </w:rPr>
        <w:t xml:space="preserve">urozóny horšie hodnoty deficitu a lepšie hodnoty dlhu. </w:t>
      </w:r>
      <w:r w:rsidRPr="008E42D1">
        <w:rPr>
          <w:rFonts w:cs="Segoe UI"/>
          <w:szCs w:val="20"/>
        </w:rPr>
        <w:t>Priemerný schodok EÚ27 bol 3,5 % HD</w:t>
      </w:r>
      <w:r>
        <w:rPr>
          <w:rFonts w:cs="Segoe UI"/>
          <w:szCs w:val="20"/>
        </w:rPr>
        <w:t xml:space="preserve">P a priemerný dlh VS 81,7 % </w:t>
      </w:r>
      <w:r w:rsidRPr="00AA63CB">
        <w:rPr>
          <w:rFonts w:cs="Segoe UI"/>
          <w:szCs w:val="20"/>
        </w:rPr>
        <w:t>HDP (graf 8).</w:t>
      </w:r>
      <w:r w:rsidRPr="008E42D1">
        <w:rPr>
          <w:rFonts w:cs="Segoe UI"/>
          <w:szCs w:val="20"/>
        </w:rPr>
        <w:t xml:space="preserve"> Pretrvávajúca vysoká inflácia v minulom roku mala za následok zníženie hrubého dlhu vo väčšine krajín EÚ. V rámci EÚ27 v roku 2023 dosiahlo </w:t>
      </w:r>
      <w:r>
        <w:rPr>
          <w:rFonts w:cs="Segoe UI"/>
          <w:szCs w:val="20"/>
        </w:rPr>
        <w:t>šesť</w:t>
      </w:r>
      <w:r w:rsidRPr="008E42D1">
        <w:rPr>
          <w:rFonts w:cs="Segoe UI"/>
          <w:szCs w:val="20"/>
        </w:rPr>
        <w:t xml:space="preserve"> krajín vyšší schodok a 13 krajín vyšší dlh </w:t>
      </w:r>
      <w:r>
        <w:rPr>
          <w:rFonts w:cs="Segoe UI"/>
          <w:szCs w:val="20"/>
        </w:rPr>
        <w:t>VS</w:t>
      </w:r>
      <w:r w:rsidRPr="008E42D1">
        <w:rPr>
          <w:rFonts w:cs="Segoe UI"/>
          <w:szCs w:val="20"/>
        </w:rPr>
        <w:t xml:space="preserve"> ako SR. Slovensko síce nepatrí medzi krajiny s najvyšším dlhom</w:t>
      </w:r>
      <w:r>
        <w:rPr>
          <w:rFonts w:cs="Segoe UI"/>
          <w:szCs w:val="20"/>
        </w:rPr>
        <w:t>,</w:t>
      </w:r>
      <w:r w:rsidRPr="008E42D1">
        <w:rPr>
          <w:rFonts w:cs="Segoe UI"/>
          <w:szCs w:val="20"/>
        </w:rPr>
        <w:t xml:space="preserve"> ale v priaznivých ekonomických časoch nevyužilo šancu na jeho zníženie a pr</w:t>
      </w:r>
      <w:r>
        <w:rPr>
          <w:rFonts w:cs="Segoe UI"/>
          <w:szCs w:val="20"/>
        </w:rPr>
        <w:t>ípravu</w:t>
      </w:r>
      <w:r w:rsidRPr="008E42D1">
        <w:rPr>
          <w:rFonts w:cs="Segoe UI"/>
          <w:szCs w:val="20"/>
        </w:rPr>
        <w:t xml:space="preserve"> na ekonomické krízy, ktoré zažívame v posledných rokoch. Najvyšší dlh VS v </w:t>
      </w:r>
      <w:r>
        <w:rPr>
          <w:rFonts w:cs="Segoe UI"/>
          <w:szCs w:val="20"/>
        </w:rPr>
        <w:t> </w:t>
      </w:r>
      <w:r w:rsidRPr="008E42D1">
        <w:rPr>
          <w:rFonts w:cs="Segoe UI"/>
          <w:szCs w:val="20"/>
        </w:rPr>
        <w:t>roku 2023 mal</w:t>
      </w:r>
      <w:r>
        <w:rPr>
          <w:rFonts w:cs="Segoe UI"/>
          <w:szCs w:val="20"/>
        </w:rPr>
        <w:t>o</w:t>
      </w:r>
      <w:r w:rsidRPr="008E42D1">
        <w:rPr>
          <w:rFonts w:cs="Segoe UI"/>
          <w:szCs w:val="20"/>
        </w:rPr>
        <w:t xml:space="preserve"> Grécko (161,9 % HDP) a Taliansko (137,3 % HDP) – krajiny s dlhodobo vysokými dlhmi</w:t>
      </w:r>
      <w:r>
        <w:rPr>
          <w:rFonts w:cs="Segoe UI"/>
          <w:szCs w:val="20"/>
        </w:rPr>
        <w:t>.</w:t>
      </w:r>
      <w:r w:rsidRPr="008E42D1">
        <w:rPr>
          <w:rFonts w:cs="Segoe UI"/>
          <w:szCs w:val="20"/>
        </w:rPr>
        <w:t xml:space="preserve"> </w:t>
      </w:r>
      <w:r>
        <w:rPr>
          <w:rFonts w:cs="Segoe UI"/>
          <w:szCs w:val="20"/>
        </w:rPr>
        <w:t>N</w:t>
      </w:r>
      <w:r w:rsidRPr="008E42D1">
        <w:rPr>
          <w:rFonts w:cs="Segoe UI"/>
          <w:szCs w:val="20"/>
        </w:rPr>
        <w:t>ajnižší dlh vykázalo Estónsko (19,6 % HDP). Z krajín V4 má vyšší dlh</w:t>
      </w:r>
      <w:r>
        <w:rPr>
          <w:rFonts w:cs="Segoe UI"/>
          <w:szCs w:val="20"/>
        </w:rPr>
        <w:t xml:space="preserve"> ako Slovensko</w:t>
      </w:r>
      <w:r w:rsidRPr="008E42D1">
        <w:rPr>
          <w:rFonts w:cs="Segoe UI"/>
          <w:szCs w:val="20"/>
        </w:rPr>
        <w:t xml:space="preserve"> len Maďarsko.</w:t>
      </w:r>
    </w:p>
    <w:p w14:paraId="451BCF78" w14:textId="77777777" w:rsidR="004A2208" w:rsidRDefault="004A2208" w:rsidP="004A2208">
      <w:pPr>
        <w:autoSpaceDE w:val="0"/>
        <w:autoSpaceDN w:val="0"/>
        <w:adjustRightInd w:val="0"/>
        <w:spacing w:after="0" w:line="240" w:lineRule="auto"/>
        <w:rPr>
          <w:rFonts w:cs="Segoe UI"/>
          <w:b/>
          <w:bCs/>
          <w:color w:val="304363"/>
          <w:szCs w:val="20"/>
        </w:rPr>
      </w:pPr>
      <w:r w:rsidRPr="0019377C">
        <w:rPr>
          <w:rFonts w:cs="Segoe UI"/>
          <w:b/>
          <w:bCs/>
          <w:color w:val="304363"/>
          <w:szCs w:val="20"/>
        </w:rPr>
        <w:t>Graf</w:t>
      </w:r>
      <w:r>
        <w:rPr>
          <w:rFonts w:cs="Segoe UI"/>
          <w:b/>
          <w:bCs/>
          <w:color w:val="304363"/>
          <w:szCs w:val="20"/>
        </w:rPr>
        <w:t xml:space="preserve"> 8</w:t>
      </w:r>
      <w:r w:rsidRPr="0019377C">
        <w:rPr>
          <w:rFonts w:cs="Segoe UI"/>
          <w:b/>
          <w:bCs/>
          <w:color w:val="304363"/>
          <w:szCs w:val="20"/>
        </w:rPr>
        <w:t>: Medzinárodné porovnanie dlhu VS za rok 2023 (% HDP)</w:t>
      </w:r>
    </w:p>
    <w:tbl>
      <w:tblPr>
        <w:tblStyle w:val="Mriekatabuky"/>
        <w:tblW w:w="0" w:type="auto"/>
        <w:tblLook w:val="04A0" w:firstRow="1" w:lastRow="0" w:firstColumn="1" w:lastColumn="0" w:noHBand="0" w:noVBand="1"/>
      </w:tblPr>
      <w:tblGrid>
        <w:gridCol w:w="9070"/>
      </w:tblGrid>
      <w:tr w:rsidR="004A2208" w14:paraId="42A052A1" w14:textId="77777777" w:rsidTr="00D8654E">
        <w:trPr>
          <w:trHeight w:val="2835"/>
        </w:trPr>
        <w:tc>
          <w:tcPr>
            <w:tcW w:w="9060" w:type="dxa"/>
            <w:tcBorders>
              <w:top w:val="single" w:sz="4" w:space="0" w:color="314364" w:themeColor="text2"/>
              <w:left w:val="nil"/>
              <w:bottom w:val="single" w:sz="4" w:space="0" w:color="314364" w:themeColor="text2"/>
              <w:right w:val="nil"/>
            </w:tcBorders>
          </w:tcPr>
          <w:p w14:paraId="56F2FB52" w14:textId="77777777" w:rsidR="004A2208" w:rsidRDefault="004A2208" w:rsidP="00D8654E">
            <w:pPr>
              <w:autoSpaceDE w:val="0"/>
              <w:autoSpaceDN w:val="0"/>
              <w:adjustRightInd w:val="0"/>
              <w:spacing w:after="0" w:line="240" w:lineRule="auto"/>
              <w:rPr>
                <w:rFonts w:cs="Segoe UI"/>
                <w:b/>
                <w:bCs/>
                <w:color w:val="304363"/>
                <w:szCs w:val="20"/>
              </w:rPr>
            </w:pPr>
            <w:r>
              <w:rPr>
                <w:noProof/>
                <w:lang w:eastAsia="sk-SK"/>
              </w:rPr>
              <w:drawing>
                <wp:inline distT="0" distB="0" distL="0" distR="0" wp14:anchorId="6416A39C" wp14:editId="538F93AD">
                  <wp:extent cx="5667375" cy="1783080"/>
                  <wp:effectExtent l="0" t="0" r="0" b="7620"/>
                  <wp:docPr id="27" name="Graf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r>
    </w:tbl>
    <w:p w14:paraId="1B8EBC2A" w14:textId="77777777" w:rsidR="004A2208" w:rsidRPr="001C4380" w:rsidRDefault="004A2208" w:rsidP="004A2208">
      <w:pPr>
        <w:rPr>
          <w:rFonts w:eastAsia="Times New Roman" w:cs="Segoe UI"/>
          <w:i/>
          <w:color w:val="002060"/>
          <w:sz w:val="16"/>
          <w:szCs w:val="16"/>
          <w:lang w:eastAsia="sk-SK"/>
        </w:rPr>
      </w:pPr>
      <w:r w:rsidRPr="001C4380">
        <w:rPr>
          <w:rFonts w:eastAsia="Times New Roman" w:cs="Segoe UI"/>
          <w:i/>
          <w:color w:val="002060"/>
          <w:sz w:val="16"/>
          <w:szCs w:val="16"/>
          <w:lang w:eastAsia="sk-SK"/>
        </w:rPr>
        <w:t>Zdroj: Eurostat</w:t>
      </w:r>
      <w:r>
        <w:rPr>
          <w:rFonts w:eastAsia="Times New Roman" w:cs="Segoe UI"/>
          <w:i/>
          <w:color w:val="002060"/>
          <w:sz w:val="16"/>
          <w:szCs w:val="16"/>
          <w:lang w:eastAsia="sk-SK"/>
        </w:rPr>
        <w:t>.</w:t>
      </w:r>
    </w:p>
    <w:p w14:paraId="4DD54A49" w14:textId="77777777" w:rsidR="004A2208" w:rsidRDefault="004A2208" w:rsidP="004A2208">
      <w:pPr>
        <w:rPr>
          <w:rFonts w:cs="Segoe UI"/>
          <w:color w:val="000000" w:themeColor="text1"/>
          <w:szCs w:val="20"/>
        </w:rPr>
      </w:pPr>
      <w:r>
        <w:rPr>
          <w:rFonts w:cs="Segoe UI"/>
          <w:b/>
          <w:color w:val="000000" w:themeColor="text1"/>
          <w:szCs w:val="20"/>
        </w:rPr>
        <w:t>Dlh na obyvateľa v minulom roku</w:t>
      </w:r>
      <w:r w:rsidRPr="0019377C">
        <w:rPr>
          <w:rFonts w:cs="Segoe UI"/>
          <w:b/>
          <w:color w:val="000000" w:themeColor="text1"/>
          <w:szCs w:val="20"/>
        </w:rPr>
        <w:t xml:space="preserve"> </w:t>
      </w:r>
      <w:r>
        <w:rPr>
          <w:rFonts w:cs="Segoe UI"/>
          <w:b/>
          <w:color w:val="000000" w:themeColor="text1"/>
          <w:szCs w:val="20"/>
        </w:rPr>
        <w:t xml:space="preserve">predstavoval 12 679 eur </w:t>
      </w:r>
      <w:r w:rsidRPr="00AA63CB">
        <w:rPr>
          <w:rFonts w:cs="Segoe UI"/>
          <w:color w:val="000000" w:themeColor="text1"/>
          <w:szCs w:val="20"/>
        </w:rPr>
        <w:t>(graf 9).</w:t>
      </w:r>
      <w:r>
        <w:rPr>
          <w:rFonts w:cs="Segoe UI"/>
          <w:color w:val="000000" w:themeColor="text1"/>
          <w:szCs w:val="20"/>
        </w:rPr>
        <w:t xml:space="preserve"> </w:t>
      </w:r>
      <w:r w:rsidRPr="008E42D1">
        <w:rPr>
          <w:rFonts w:cs="Segoe UI"/>
          <w:color w:val="000000" w:themeColor="text1"/>
          <w:szCs w:val="20"/>
        </w:rPr>
        <w:t>Vývoj dlhu</w:t>
      </w:r>
      <w:r>
        <w:rPr>
          <w:rFonts w:cs="Segoe UI"/>
          <w:color w:val="000000" w:themeColor="text1"/>
          <w:szCs w:val="20"/>
        </w:rPr>
        <w:t xml:space="preserve"> v SR </w:t>
      </w:r>
      <w:r w:rsidRPr="008E42D1">
        <w:rPr>
          <w:rFonts w:cs="Segoe UI"/>
          <w:color w:val="000000" w:themeColor="text1"/>
          <w:szCs w:val="20"/>
        </w:rPr>
        <w:t xml:space="preserve">v prepočte na </w:t>
      </w:r>
      <w:r>
        <w:rPr>
          <w:rFonts w:cs="Segoe UI"/>
          <w:color w:val="000000" w:themeColor="text1"/>
          <w:szCs w:val="20"/>
        </w:rPr>
        <w:t>jedného</w:t>
      </w:r>
      <w:r w:rsidRPr="008E42D1">
        <w:rPr>
          <w:rFonts w:cs="Segoe UI"/>
          <w:color w:val="000000" w:themeColor="text1"/>
          <w:szCs w:val="20"/>
        </w:rPr>
        <w:t xml:space="preserve"> obyvateľa neustále rastie. Najvýraznejší nárast zaznamenal v roku 2020</w:t>
      </w:r>
      <w:r>
        <w:rPr>
          <w:rFonts w:cs="Segoe UI"/>
          <w:color w:val="000000" w:themeColor="text1"/>
          <w:szCs w:val="20"/>
        </w:rPr>
        <w:t>,</w:t>
      </w:r>
      <w:r w:rsidRPr="008E42D1">
        <w:rPr>
          <w:rFonts w:cs="Segoe UI"/>
          <w:color w:val="000000" w:themeColor="text1"/>
          <w:szCs w:val="20"/>
        </w:rPr>
        <w:t xml:space="preserve"> kedy dlh m</w:t>
      </w:r>
      <w:r>
        <w:rPr>
          <w:rFonts w:cs="Segoe UI"/>
          <w:color w:val="000000" w:themeColor="text1"/>
          <w:szCs w:val="20"/>
        </w:rPr>
        <w:t>edziročne vzrástol o 1 764 eur.</w:t>
      </w:r>
    </w:p>
    <w:p w14:paraId="0A8FA0C0" w14:textId="77777777" w:rsidR="004A2208" w:rsidRDefault="004A2208" w:rsidP="004A2208">
      <w:pPr>
        <w:autoSpaceDE w:val="0"/>
        <w:autoSpaceDN w:val="0"/>
        <w:adjustRightInd w:val="0"/>
        <w:spacing w:after="0" w:line="240" w:lineRule="auto"/>
        <w:rPr>
          <w:rFonts w:cs="Segoe UI"/>
          <w:b/>
          <w:bCs/>
          <w:color w:val="304363"/>
          <w:szCs w:val="20"/>
        </w:rPr>
      </w:pPr>
      <w:r>
        <w:rPr>
          <w:rFonts w:cs="Segoe UI"/>
          <w:b/>
          <w:bCs/>
          <w:color w:val="304363"/>
          <w:szCs w:val="20"/>
        </w:rPr>
        <w:t>Graf 9</w:t>
      </w:r>
      <w:r w:rsidRPr="00FD63B3">
        <w:rPr>
          <w:rFonts w:cs="Segoe UI"/>
          <w:b/>
          <w:bCs/>
          <w:color w:val="304363"/>
          <w:szCs w:val="20"/>
        </w:rPr>
        <w:t xml:space="preserve">: </w:t>
      </w:r>
      <w:r>
        <w:rPr>
          <w:rFonts w:cs="Segoe UI"/>
          <w:b/>
          <w:bCs/>
          <w:color w:val="304363"/>
          <w:szCs w:val="20"/>
        </w:rPr>
        <w:t>Nominálny dlh na jedného obyvateľa v rokoch 2010 až 2023</w:t>
      </w:r>
      <w:r w:rsidRPr="00FD63B3">
        <w:rPr>
          <w:rFonts w:cs="Segoe UI"/>
          <w:b/>
          <w:bCs/>
          <w:color w:val="304363"/>
          <w:szCs w:val="20"/>
        </w:rPr>
        <w:t xml:space="preserve"> (v eur) </w:t>
      </w:r>
    </w:p>
    <w:tbl>
      <w:tblPr>
        <w:tblStyle w:val="Mriekatabuky"/>
        <w:tblW w:w="0" w:type="auto"/>
        <w:tblLook w:val="04A0" w:firstRow="1" w:lastRow="0" w:firstColumn="1" w:lastColumn="0" w:noHBand="0" w:noVBand="1"/>
      </w:tblPr>
      <w:tblGrid>
        <w:gridCol w:w="9070"/>
      </w:tblGrid>
      <w:tr w:rsidR="004A2208" w14:paraId="52E4B00E" w14:textId="77777777" w:rsidTr="00D8654E">
        <w:trPr>
          <w:trHeight w:val="2551"/>
        </w:trPr>
        <w:tc>
          <w:tcPr>
            <w:tcW w:w="9060" w:type="dxa"/>
            <w:tcBorders>
              <w:top w:val="single" w:sz="4" w:space="0" w:color="314364" w:themeColor="text2"/>
              <w:left w:val="nil"/>
              <w:bottom w:val="single" w:sz="4" w:space="0" w:color="314364" w:themeColor="text2"/>
              <w:right w:val="nil"/>
            </w:tcBorders>
          </w:tcPr>
          <w:p w14:paraId="43168B24" w14:textId="77777777" w:rsidR="004A2208" w:rsidRDefault="004A2208" w:rsidP="00D8654E">
            <w:pPr>
              <w:autoSpaceDE w:val="0"/>
              <w:autoSpaceDN w:val="0"/>
              <w:adjustRightInd w:val="0"/>
              <w:spacing w:after="0" w:line="240" w:lineRule="auto"/>
              <w:rPr>
                <w:rFonts w:cs="Segoe UI"/>
                <w:color w:val="000000"/>
                <w:szCs w:val="20"/>
              </w:rPr>
            </w:pPr>
            <w:r>
              <w:rPr>
                <w:noProof/>
                <w:lang w:eastAsia="sk-SK"/>
              </w:rPr>
              <w:drawing>
                <wp:inline distT="0" distB="0" distL="0" distR="0" wp14:anchorId="4621454A" wp14:editId="056C01E0">
                  <wp:extent cx="5763895" cy="1584960"/>
                  <wp:effectExtent l="0" t="0" r="8255" b="0"/>
                  <wp:docPr id="46" name="Graf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r>
    </w:tbl>
    <w:p w14:paraId="2A42E9F8" w14:textId="77777777" w:rsidR="004A2208" w:rsidRDefault="004A2208" w:rsidP="004A2208">
      <w:pPr>
        <w:pStyle w:val="Zdroj"/>
        <w:rPr>
          <w:color w:val="000000" w:themeColor="text1"/>
          <w:szCs w:val="20"/>
        </w:rPr>
      </w:pPr>
      <w:r>
        <w:rPr>
          <w:lang w:eastAsia="sk-SK"/>
        </w:rPr>
        <w:t>Zdroj: ŠÚ SR, MF SR.</w:t>
      </w:r>
    </w:p>
    <w:p w14:paraId="7F522A02" w14:textId="754CE520" w:rsidR="00AA63CB" w:rsidRDefault="00AA63CB" w:rsidP="0019494A">
      <w:pPr>
        <w:pStyle w:val="Default"/>
        <w:spacing w:after="120" w:line="276" w:lineRule="auto"/>
        <w:jc w:val="both"/>
        <w:rPr>
          <w:rFonts w:ascii="Segoe UI" w:hAnsi="Segoe UI" w:cs="Segoe UI"/>
          <w:color w:val="000000" w:themeColor="text1"/>
          <w:sz w:val="20"/>
          <w:szCs w:val="20"/>
        </w:rPr>
      </w:pPr>
      <w:r w:rsidRPr="0019494A">
        <w:rPr>
          <w:rFonts w:ascii="Segoe UI" w:hAnsi="Segoe UI" w:cs="Segoe UI"/>
          <w:b/>
          <w:color w:val="000000" w:themeColor="text1"/>
          <w:sz w:val="20"/>
          <w:szCs w:val="20"/>
        </w:rPr>
        <w:lastRenderedPageBreak/>
        <w:t>Štátny dlh v správe MF SR dosiahol v menovitej hodnote ku koncu roka 2023 výšku 66,4 mld. eur.</w:t>
      </w:r>
      <w:r w:rsidRPr="0019494A">
        <w:rPr>
          <w:rFonts w:ascii="Segoe UI" w:hAnsi="Segoe UI" w:cs="Segoe UI"/>
          <w:color w:val="000000" w:themeColor="text1"/>
          <w:sz w:val="20"/>
          <w:szCs w:val="20"/>
        </w:rPr>
        <w:t xml:space="preserve"> V porovnaní s predchádzajúcim rokom vzrástol o 5,2 mld. eur (8,5 %). Štátny dlh je tvorený prevažne záväzkami z emisie štátnych dlhopisov (90,8 %), prijatými bankovými úvermi (6,1 %), zábezpekami (0,3 %), záväzkami z nástroja EFSF (2,8 %) a záväzkami vyplývajúcimi z vkladov v Štátnej pokladnici (0,1 %).</w:t>
      </w:r>
      <w:r w:rsidR="006B4C53" w:rsidRPr="006B4C53">
        <w:t xml:space="preserve"> </w:t>
      </w:r>
      <w:r w:rsidR="006B4C53" w:rsidRPr="006B4C53">
        <w:rPr>
          <w:rFonts w:ascii="Segoe UI" w:hAnsi="Segoe UI" w:cs="Segoe UI"/>
          <w:color w:val="000000" w:themeColor="text1"/>
          <w:sz w:val="20"/>
          <w:szCs w:val="20"/>
        </w:rPr>
        <w:t>Udalosti v posledných rokoch majú vplyv na potenciálne vyššie náklady riadenia dlhu v</w:t>
      </w:r>
      <w:r w:rsidR="006B4C53">
        <w:rPr>
          <w:rFonts w:ascii="Segoe UI" w:hAnsi="Segoe UI" w:cs="Segoe UI"/>
          <w:color w:val="000000" w:themeColor="text1"/>
          <w:sz w:val="20"/>
          <w:szCs w:val="20"/>
        </w:rPr>
        <w:t> </w:t>
      </w:r>
      <w:r w:rsidR="006B4C53" w:rsidRPr="006B4C53">
        <w:rPr>
          <w:rFonts w:ascii="Segoe UI" w:hAnsi="Segoe UI" w:cs="Segoe UI"/>
          <w:color w:val="000000" w:themeColor="text1"/>
          <w:sz w:val="20"/>
          <w:szCs w:val="20"/>
        </w:rPr>
        <w:t>budúcnosti</w:t>
      </w:r>
      <w:r w:rsidR="006B4C53">
        <w:rPr>
          <w:rFonts w:ascii="Segoe UI" w:hAnsi="Segoe UI" w:cs="Segoe UI"/>
          <w:color w:val="000000" w:themeColor="text1"/>
          <w:sz w:val="20"/>
          <w:szCs w:val="20"/>
        </w:rPr>
        <w:t xml:space="preserve"> (box </w:t>
      </w:r>
      <w:r w:rsidR="006922FF">
        <w:rPr>
          <w:rFonts w:ascii="Segoe UI" w:hAnsi="Segoe UI" w:cs="Segoe UI"/>
          <w:color w:val="000000" w:themeColor="text1"/>
          <w:sz w:val="20"/>
          <w:szCs w:val="20"/>
        </w:rPr>
        <w:t>3</w:t>
      </w:r>
      <w:r w:rsidR="006B4C53">
        <w:rPr>
          <w:rFonts w:ascii="Segoe UI" w:hAnsi="Segoe UI" w:cs="Segoe UI"/>
          <w:color w:val="000000" w:themeColor="text1"/>
          <w:sz w:val="20"/>
          <w:szCs w:val="20"/>
        </w:rPr>
        <w:t>)</w:t>
      </w:r>
      <w:r w:rsidR="006B4C53" w:rsidRPr="006B4C53">
        <w:rPr>
          <w:rFonts w:ascii="Segoe UI" w:hAnsi="Segoe UI" w:cs="Segoe UI"/>
          <w:color w:val="000000" w:themeColor="text1"/>
          <w:sz w:val="20"/>
          <w:szCs w:val="20"/>
        </w:rPr>
        <w:t>.</w:t>
      </w:r>
    </w:p>
    <w:tbl>
      <w:tblPr>
        <w:tblStyle w:val="Mriekatabuky"/>
        <w:tblW w:w="0" w:type="auto"/>
        <w:tblBorders>
          <w:top w:val="single" w:sz="4" w:space="0" w:color="314364" w:themeColor="text2"/>
          <w:left w:val="single" w:sz="4" w:space="0" w:color="314364" w:themeColor="text2"/>
          <w:bottom w:val="single" w:sz="4" w:space="0" w:color="314364" w:themeColor="text2"/>
          <w:right w:val="single" w:sz="4" w:space="0" w:color="314364" w:themeColor="text2"/>
          <w:insideH w:val="none" w:sz="0" w:space="0" w:color="auto"/>
          <w:insideV w:val="none" w:sz="0" w:space="0" w:color="auto"/>
        </w:tblBorders>
        <w:shd w:val="clear" w:color="auto" w:fill="EBF0FB" w:themeFill="background2" w:themeFillTint="33"/>
        <w:tblLook w:val="04A0" w:firstRow="1" w:lastRow="0" w:firstColumn="1" w:lastColumn="0" w:noHBand="0" w:noVBand="1"/>
      </w:tblPr>
      <w:tblGrid>
        <w:gridCol w:w="9060"/>
      </w:tblGrid>
      <w:tr w:rsidR="006B4C53" w:rsidRPr="00AC3675" w14:paraId="1894059E" w14:textId="77777777" w:rsidTr="0019343E">
        <w:tc>
          <w:tcPr>
            <w:tcW w:w="9060" w:type="dxa"/>
            <w:shd w:val="clear" w:color="auto" w:fill="EBF0FB" w:themeFill="background2" w:themeFillTint="33"/>
          </w:tcPr>
          <w:p w14:paraId="7A7F7107" w14:textId="7D44DE85" w:rsidR="006B4C53" w:rsidRPr="00767017" w:rsidRDefault="006B4C53" w:rsidP="0019343E">
            <w:pPr>
              <w:spacing w:before="120" w:line="240" w:lineRule="auto"/>
              <w:rPr>
                <w:b/>
                <w:szCs w:val="18"/>
              </w:rPr>
            </w:pPr>
            <w:r w:rsidRPr="00767017">
              <w:rPr>
                <w:b/>
                <w:szCs w:val="18"/>
              </w:rPr>
              <w:t xml:space="preserve">BOX </w:t>
            </w:r>
            <w:r w:rsidR="006922FF">
              <w:rPr>
                <w:b/>
                <w:szCs w:val="18"/>
              </w:rPr>
              <w:t>3</w:t>
            </w:r>
            <w:r w:rsidRPr="00767017">
              <w:rPr>
                <w:b/>
                <w:szCs w:val="18"/>
              </w:rPr>
              <w:t xml:space="preserve">: </w:t>
            </w:r>
            <w:r>
              <w:rPr>
                <w:b/>
                <w:szCs w:val="18"/>
              </w:rPr>
              <w:t>Riadenie dlhu a likvidity</w:t>
            </w:r>
          </w:p>
          <w:p w14:paraId="06201A0D" w14:textId="2114AD6A" w:rsidR="006B4C53" w:rsidRPr="00780954" w:rsidRDefault="007C3535" w:rsidP="00B44AC3">
            <w:pPr>
              <w:pStyle w:val="Zkladntext0"/>
              <w:spacing w:before="120"/>
              <w:jc w:val="both"/>
              <w:rPr>
                <w:rFonts w:ascii="Segoe UI" w:eastAsia="Times New Roman" w:hAnsi="Segoe UI" w:cs="Segoe UI"/>
                <w:sz w:val="18"/>
                <w:szCs w:val="18"/>
              </w:rPr>
            </w:pPr>
            <w:r w:rsidRPr="007C3535">
              <w:rPr>
                <w:rFonts w:ascii="Segoe UI" w:hAnsi="Segoe UI" w:cs="Segoe UI"/>
                <w:b/>
                <w:color w:val="000000" w:themeColor="text1"/>
                <w:sz w:val="18"/>
              </w:rPr>
              <w:t>NKÚ SR upozorňuje na skutočnosť, že riadenie štátneho dlhu nie je zastrešené schválenou strednodobou stratégiou, čo pr</w:t>
            </w:r>
            <w:r w:rsidR="006B4C53" w:rsidRPr="007C3535">
              <w:rPr>
                <w:rFonts w:ascii="Segoe UI" w:hAnsi="Segoe UI" w:cs="Segoe UI"/>
                <w:b/>
                <w:color w:val="000000" w:themeColor="text1"/>
                <w:sz w:val="18"/>
              </w:rPr>
              <w:t>edstavuje aj chýbajúcu prípravu na krízové riadenie.</w:t>
            </w:r>
            <w:r w:rsidR="006B4C53" w:rsidRPr="006B4C53">
              <w:rPr>
                <w:rFonts w:ascii="Segoe UI" w:hAnsi="Segoe UI" w:cs="Segoe UI"/>
                <w:color w:val="000000" w:themeColor="text1"/>
                <w:sz w:val="18"/>
              </w:rPr>
              <w:t xml:space="preserve"> </w:t>
            </w:r>
            <w:r w:rsidRPr="007C3535">
              <w:rPr>
                <w:rFonts w:ascii="Segoe UI" w:hAnsi="Segoe UI" w:cs="Segoe UI"/>
                <w:color w:val="000000" w:themeColor="text1"/>
                <w:sz w:val="18"/>
              </w:rPr>
              <w:t xml:space="preserve">Systém riadenia dlhu a likvidity vo VS zabezpečuje Agentúra pre riadenie dlhu a likvidity (ARDAL). </w:t>
            </w:r>
            <w:r w:rsidR="006B4C53" w:rsidRPr="006B4C53">
              <w:rPr>
                <w:rFonts w:ascii="Segoe UI" w:hAnsi="Segoe UI" w:cs="Segoe UI"/>
                <w:color w:val="000000" w:themeColor="text1"/>
                <w:sz w:val="18"/>
              </w:rPr>
              <w:t xml:space="preserve">Likvidné finančné aktíva (LFA), ktorých významnou súčasťou je hotovostná rezerva, vzrástli v roku 2020 o viac ako dvojnásobok na hodnotu 10 % HDP a v roku 2021 dosiahli historicky najvyššiu úroveň. Avšak v súčasnosti evidujeme menej časté aukcie na vydávanie štátnych dlhopisov s vysokou menovitou hodnotou a následne potrebné spätné odkúpenie. Významnou súčasťou LFA je hotovostná rezerva a v súvislosti s vysokými LFA vzniká riziko neefektívneho spravovania a využívania refinančného systému. Prostredníctvom refinančného systému MF SR získava značný objem krátkodobých zdrojov, ktoré môže použiť na krytie potrieb štátneho deficitu a dlhu. Skutočnosť, že ide o 10 </w:t>
            </w:r>
            <w:r w:rsidR="00FF3AE5">
              <w:rPr>
                <w:rFonts w:ascii="Segoe UI" w:hAnsi="Segoe UI" w:cs="Segoe UI"/>
                <w:color w:val="000000" w:themeColor="text1"/>
                <w:sz w:val="18"/>
              </w:rPr>
              <w:t>až</w:t>
            </w:r>
            <w:r w:rsidR="006B4C53" w:rsidRPr="006B4C53">
              <w:rPr>
                <w:rFonts w:ascii="Segoe UI" w:hAnsi="Segoe UI" w:cs="Segoe UI"/>
                <w:color w:val="000000" w:themeColor="text1"/>
                <w:sz w:val="18"/>
              </w:rPr>
              <w:t xml:space="preserve"> 20 % celkového dlhového portfólia, výrazne znižuje potrebu krátkodobých emisií cenných papierov. Vo februári 2024 bol zaznamenaný historicky najväčší predaj syndikovanej emisie slovenských štátnych dlhopisov umiestnenej na medzinárodných kapitálových trhoch. ARDAL predal</w:t>
            </w:r>
            <w:r w:rsidR="00E05666">
              <w:rPr>
                <w:rFonts w:ascii="Segoe UI" w:hAnsi="Segoe UI" w:cs="Segoe UI"/>
                <w:color w:val="000000" w:themeColor="text1"/>
                <w:sz w:val="18"/>
              </w:rPr>
              <w:t>a</w:t>
            </w:r>
            <w:r w:rsidR="006B4C53" w:rsidRPr="006B4C53">
              <w:rPr>
                <w:rFonts w:ascii="Segoe UI" w:hAnsi="Segoe UI" w:cs="Segoe UI"/>
                <w:color w:val="000000" w:themeColor="text1"/>
                <w:sz w:val="18"/>
              </w:rPr>
              <w:t xml:space="preserve"> štátne dlhopisy SR so splatnosťou 10 rokov v hodnote 3 mld. eur s kupónom 3,75 % p. a.</w:t>
            </w:r>
            <w:r w:rsidR="006B4C53" w:rsidRPr="006B4C53">
              <w:rPr>
                <w:rStyle w:val="Odkaznapoznmkupodiarou"/>
                <w:rFonts w:ascii="Segoe UI" w:hAnsi="Segoe UI" w:cs="Segoe UI"/>
                <w:color w:val="000000" w:themeColor="text1"/>
                <w:sz w:val="18"/>
              </w:rPr>
              <w:footnoteReference w:id="18"/>
            </w:r>
            <w:r w:rsidR="006B4C53" w:rsidRPr="006B4C53">
              <w:rPr>
                <w:rFonts w:ascii="Segoe UI" w:hAnsi="Segoe UI" w:cs="Segoe UI"/>
                <w:color w:val="000000" w:themeColor="text1"/>
                <w:sz w:val="18"/>
              </w:rPr>
              <w:t xml:space="preserve"> Ďalší významný predaj divezifikoval portfólio do inej meny ako euro v celkovej hodnote 635 mil. CHF. Z predaja 4-ročného dlhopisu splatného v roku 2028 získala SR 325 mil. CHF pri úročení 1,5 % ročne a 10-ročného dlhopisu v hodnote 310 mil</w:t>
            </w:r>
            <w:r w:rsidR="00B44AC3">
              <w:rPr>
                <w:rFonts w:ascii="Segoe UI" w:hAnsi="Segoe UI" w:cs="Segoe UI"/>
                <w:color w:val="000000" w:themeColor="text1"/>
                <w:sz w:val="18"/>
              </w:rPr>
              <w:t>.</w:t>
            </w:r>
            <w:r w:rsidR="006B4C53" w:rsidRPr="006B4C53">
              <w:rPr>
                <w:rFonts w:ascii="Segoe UI" w:hAnsi="Segoe UI" w:cs="Segoe UI"/>
                <w:color w:val="000000" w:themeColor="text1"/>
                <w:sz w:val="18"/>
              </w:rPr>
              <w:t xml:space="preserve"> CHF s ročným úrokom 1,9 % splatného v roku 2034. Táto transakcia predstavuje návrat SR na švajčiarsky trh po 11 rokoch. SR je zároveň prvý európsky zahraničný emitent štátnych dlhopisov na švajčiarskom trhu od roku 2015, so zatiaľ najväčšou ponukou dlhopisov.</w:t>
            </w:r>
            <w:r w:rsidR="006B4C53" w:rsidRPr="006B4C53">
              <w:rPr>
                <w:rStyle w:val="Odkaznapoznmkupodiarou"/>
                <w:rFonts w:ascii="Segoe UI" w:hAnsi="Segoe UI" w:cs="Segoe UI"/>
                <w:color w:val="000000" w:themeColor="text1"/>
                <w:sz w:val="18"/>
              </w:rPr>
              <w:footnoteReference w:id="19"/>
            </w:r>
          </w:p>
        </w:tc>
      </w:tr>
    </w:tbl>
    <w:p w14:paraId="5DEEFC59" w14:textId="304502A7" w:rsidR="00AA63CB" w:rsidRDefault="00AA63CB" w:rsidP="006B4C53">
      <w:pPr>
        <w:spacing w:before="120"/>
        <w:rPr>
          <w:rFonts w:cs="Segoe UI"/>
          <w:szCs w:val="20"/>
        </w:rPr>
      </w:pPr>
      <w:r w:rsidRPr="0024621D">
        <w:rPr>
          <w:rFonts w:cs="Segoe UI"/>
          <w:b/>
          <w:szCs w:val="20"/>
        </w:rPr>
        <w:t>V roku 2023 predstavoval štátny dlh 96,5 % celkového dlhu VS a</w:t>
      </w:r>
      <w:r w:rsidR="00E63B95">
        <w:rPr>
          <w:rFonts w:cs="Segoe UI"/>
          <w:b/>
          <w:szCs w:val="20"/>
        </w:rPr>
        <w:t> </w:t>
      </w:r>
      <w:r w:rsidRPr="0024621D">
        <w:rPr>
          <w:rFonts w:cs="Segoe UI"/>
          <w:b/>
          <w:szCs w:val="20"/>
        </w:rPr>
        <w:t>dlh ostatných subjektov VS</w:t>
      </w:r>
      <w:r w:rsidR="00757964">
        <w:rPr>
          <w:rFonts w:cs="Segoe UI"/>
          <w:b/>
          <w:szCs w:val="20"/>
        </w:rPr>
        <w:t xml:space="preserve"> tvoril 3,5 %</w:t>
      </w:r>
      <w:r w:rsidRPr="0024621D">
        <w:rPr>
          <w:rFonts w:cs="Segoe UI"/>
          <w:b/>
          <w:szCs w:val="20"/>
        </w:rPr>
        <w:t xml:space="preserve">. </w:t>
      </w:r>
      <w:r w:rsidRPr="0024621D">
        <w:rPr>
          <w:rFonts w:cs="Segoe UI"/>
          <w:szCs w:val="20"/>
        </w:rPr>
        <w:t>Rozpočet výdavkov na obsluhu štátneho dlhu (domáceho aj zahraničného) v celkovej sume 1,3 mld. eur bol v priebehu roka skutočn</w:t>
      </w:r>
      <w:r>
        <w:rPr>
          <w:rFonts w:cs="Segoe UI"/>
          <w:szCs w:val="20"/>
        </w:rPr>
        <w:t xml:space="preserve">e čerpaný vo výške 1,1 </w:t>
      </w:r>
      <w:r w:rsidRPr="00A04826">
        <w:rPr>
          <w:rFonts w:cs="Segoe UI"/>
          <w:szCs w:val="20"/>
        </w:rPr>
        <w:t xml:space="preserve">mld. eur (graf </w:t>
      </w:r>
      <w:r w:rsidR="00E63B95" w:rsidRPr="00A04826">
        <w:rPr>
          <w:rFonts w:cs="Segoe UI"/>
          <w:szCs w:val="20"/>
        </w:rPr>
        <w:t>10</w:t>
      </w:r>
      <w:r w:rsidRPr="00A04826">
        <w:rPr>
          <w:rFonts w:cs="Segoe UI"/>
          <w:szCs w:val="20"/>
        </w:rPr>
        <w:t>).</w:t>
      </w:r>
      <w:r>
        <w:rPr>
          <w:rFonts w:cs="Segoe UI"/>
          <w:szCs w:val="20"/>
        </w:rPr>
        <w:t xml:space="preserve"> </w:t>
      </w:r>
      <w:r w:rsidR="00847EEE">
        <w:rPr>
          <w:rFonts w:cs="Segoe UI"/>
          <w:szCs w:val="20"/>
        </w:rPr>
        <w:t>Na hotovostnom princípe</w:t>
      </w:r>
      <w:r w:rsidR="00847EEE" w:rsidRPr="007162A3">
        <w:rPr>
          <w:rFonts w:cs="Segoe UI"/>
          <w:szCs w:val="20"/>
        </w:rPr>
        <w:t xml:space="preserve"> oproti schválenému rozpočtu </w:t>
      </w:r>
      <w:r w:rsidR="00847EEE">
        <w:rPr>
          <w:rFonts w:cs="Segoe UI"/>
          <w:szCs w:val="20"/>
        </w:rPr>
        <w:t>sa výdavky na správu štátneho dlhu znížili o </w:t>
      </w:r>
      <w:r w:rsidR="00847EEE" w:rsidRPr="007162A3">
        <w:rPr>
          <w:rFonts w:cs="Segoe UI"/>
          <w:szCs w:val="20"/>
        </w:rPr>
        <w:t>270</w:t>
      </w:r>
      <w:r w:rsidR="00847EEE">
        <w:rPr>
          <w:rFonts w:cs="Segoe UI"/>
          <w:szCs w:val="20"/>
        </w:rPr>
        <w:t>,3</w:t>
      </w:r>
      <w:r w:rsidR="00847EEE" w:rsidRPr="007162A3">
        <w:rPr>
          <w:rFonts w:cs="Segoe UI"/>
          <w:szCs w:val="20"/>
        </w:rPr>
        <w:t xml:space="preserve"> </w:t>
      </w:r>
      <w:r w:rsidR="00847EEE">
        <w:rPr>
          <w:rFonts w:cs="Segoe UI"/>
          <w:szCs w:val="20"/>
        </w:rPr>
        <w:t>mil</w:t>
      </w:r>
      <w:r w:rsidR="00847EEE" w:rsidRPr="007162A3">
        <w:rPr>
          <w:rFonts w:cs="Segoe UI"/>
          <w:szCs w:val="20"/>
        </w:rPr>
        <w:t>. eur.</w:t>
      </w:r>
      <w:r w:rsidR="00847EEE">
        <w:rPr>
          <w:rFonts w:cs="Segoe UI"/>
          <w:szCs w:val="20"/>
        </w:rPr>
        <w:t xml:space="preserve"> </w:t>
      </w:r>
      <w:r>
        <w:rPr>
          <w:rFonts w:cs="Segoe UI"/>
          <w:szCs w:val="20"/>
        </w:rPr>
        <w:t xml:space="preserve">Medziročne sa výdavky na obsluhu štátneho dlhu </w:t>
      </w:r>
      <w:r w:rsidRPr="0024621D">
        <w:rPr>
          <w:rFonts w:cs="Segoe UI"/>
          <w:szCs w:val="20"/>
        </w:rPr>
        <w:t xml:space="preserve">mierne zvýšili. Nepriaznivý vývoj dlhu je ovplyvnený aj postupne rastúcimi úrokovými nákladmi a v najbližších rokoch sa tento trend ešte zosilní. </w:t>
      </w:r>
      <w:r>
        <w:rPr>
          <w:rFonts w:cs="Segoe UI"/>
          <w:szCs w:val="20"/>
        </w:rPr>
        <w:t>Postupn</w:t>
      </w:r>
      <w:r w:rsidR="00297061">
        <w:rPr>
          <w:rFonts w:cs="Segoe UI"/>
          <w:szCs w:val="20"/>
        </w:rPr>
        <w:t>é</w:t>
      </w:r>
      <w:r>
        <w:rPr>
          <w:rFonts w:cs="Segoe UI"/>
          <w:szCs w:val="20"/>
        </w:rPr>
        <w:t xml:space="preserve"> zvyšovanie reálnych výdavkov na obsluhu štátneho dlhu má vplyv aj na cel</w:t>
      </w:r>
      <w:r w:rsidR="00B27642">
        <w:rPr>
          <w:rFonts w:cs="Segoe UI"/>
          <w:szCs w:val="20"/>
        </w:rPr>
        <w:t>kové náklady financovania dlhu.</w:t>
      </w:r>
    </w:p>
    <w:p w14:paraId="09858B27" w14:textId="77777777" w:rsidR="004A2208" w:rsidRDefault="004A2208" w:rsidP="004A2208">
      <w:pPr>
        <w:autoSpaceDE w:val="0"/>
        <w:autoSpaceDN w:val="0"/>
        <w:adjustRightInd w:val="0"/>
        <w:spacing w:after="0" w:line="240" w:lineRule="auto"/>
        <w:rPr>
          <w:rFonts w:cs="Segoe UI"/>
          <w:b/>
          <w:bCs/>
          <w:color w:val="304363"/>
          <w:szCs w:val="20"/>
        </w:rPr>
      </w:pPr>
      <w:r w:rsidRPr="001C4380">
        <w:rPr>
          <w:rFonts w:cs="Segoe UI"/>
          <w:b/>
          <w:bCs/>
          <w:color w:val="304363"/>
          <w:szCs w:val="20"/>
        </w:rPr>
        <w:t>Graf</w:t>
      </w:r>
      <w:r>
        <w:rPr>
          <w:rFonts w:cs="Segoe UI"/>
          <w:b/>
          <w:bCs/>
          <w:color w:val="304363"/>
          <w:szCs w:val="20"/>
        </w:rPr>
        <w:t xml:space="preserve"> 10</w:t>
      </w:r>
      <w:r w:rsidRPr="001C4380">
        <w:rPr>
          <w:rFonts w:cs="Segoe UI"/>
          <w:b/>
          <w:bCs/>
          <w:color w:val="304363"/>
          <w:szCs w:val="20"/>
        </w:rPr>
        <w:t>: Výdavky spojené so správou štátneho dlhu v rokoch 2010 až 2023 (v mil. eur)</w:t>
      </w:r>
    </w:p>
    <w:tbl>
      <w:tblPr>
        <w:tblStyle w:val="Mriekatabuky"/>
        <w:tblW w:w="0" w:type="auto"/>
        <w:tblLook w:val="04A0" w:firstRow="1" w:lastRow="0" w:firstColumn="1" w:lastColumn="0" w:noHBand="0" w:noVBand="1"/>
      </w:tblPr>
      <w:tblGrid>
        <w:gridCol w:w="9070"/>
      </w:tblGrid>
      <w:tr w:rsidR="004A2208" w14:paraId="792B0008" w14:textId="77777777" w:rsidTr="00D8654E">
        <w:trPr>
          <w:trHeight w:val="2835"/>
        </w:trPr>
        <w:tc>
          <w:tcPr>
            <w:tcW w:w="9060" w:type="dxa"/>
            <w:tcBorders>
              <w:top w:val="single" w:sz="4" w:space="0" w:color="314364" w:themeColor="text2"/>
              <w:left w:val="nil"/>
              <w:bottom w:val="single" w:sz="4" w:space="0" w:color="314364" w:themeColor="text2"/>
              <w:right w:val="nil"/>
            </w:tcBorders>
          </w:tcPr>
          <w:p w14:paraId="63381282" w14:textId="77777777" w:rsidR="004A2208" w:rsidRDefault="004A2208" w:rsidP="00D8654E">
            <w:pPr>
              <w:autoSpaceDE w:val="0"/>
              <w:autoSpaceDN w:val="0"/>
              <w:adjustRightInd w:val="0"/>
              <w:spacing w:after="0" w:line="240" w:lineRule="auto"/>
              <w:rPr>
                <w:rFonts w:cs="Segoe UI"/>
                <w:b/>
                <w:bCs/>
                <w:color w:val="304363"/>
                <w:szCs w:val="20"/>
              </w:rPr>
            </w:pPr>
            <w:r w:rsidRPr="001C4380">
              <w:rPr>
                <w:rFonts w:cs="Segoe UI"/>
                <w:b/>
                <w:bCs/>
                <w:noProof/>
                <w:color w:val="304363"/>
                <w:szCs w:val="20"/>
                <w:lang w:eastAsia="sk-SK"/>
              </w:rPr>
              <w:drawing>
                <wp:inline distT="0" distB="0" distL="0" distR="0" wp14:anchorId="6AE23E43" wp14:editId="047B77E6">
                  <wp:extent cx="5751830" cy="1767840"/>
                  <wp:effectExtent l="0" t="0" r="0" b="0"/>
                  <wp:docPr id="47" name="Graf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bl>
    <w:p w14:paraId="01AD27F3" w14:textId="77777777" w:rsidR="004A2208" w:rsidRPr="0019494A" w:rsidRDefault="004A2208" w:rsidP="004A2208">
      <w:pPr>
        <w:spacing w:after="0" w:line="240" w:lineRule="auto"/>
        <w:rPr>
          <w:rFonts w:eastAsia="Times New Roman" w:cs="Segoe UI"/>
          <w:i/>
          <w:color w:val="002060"/>
          <w:sz w:val="16"/>
          <w:szCs w:val="16"/>
          <w:lang w:eastAsia="sk-SK"/>
        </w:rPr>
      </w:pPr>
      <w:r w:rsidRPr="0019494A">
        <w:rPr>
          <w:rFonts w:eastAsia="Times New Roman" w:cs="Segoe UI"/>
          <w:i/>
          <w:color w:val="002060"/>
          <w:sz w:val="16"/>
          <w:szCs w:val="16"/>
          <w:lang w:eastAsia="sk-SK"/>
        </w:rPr>
        <w:t>Zdroj: MF SR</w:t>
      </w:r>
      <w:r>
        <w:rPr>
          <w:rFonts w:eastAsia="Times New Roman" w:cs="Segoe UI"/>
          <w:i/>
          <w:color w:val="002060"/>
          <w:sz w:val="16"/>
          <w:szCs w:val="16"/>
          <w:lang w:eastAsia="sk-SK"/>
        </w:rPr>
        <w:t>.</w:t>
      </w:r>
    </w:p>
    <w:p w14:paraId="45D5488E" w14:textId="4992ABAA" w:rsidR="000D05F7" w:rsidRDefault="001209F4" w:rsidP="002C027A">
      <w:pPr>
        <w:pStyle w:val="Nadpis1"/>
      </w:pPr>
      <w:bookmarkStart w:id="11" w:name="_Toc168567183"/>
      <w:r>
        <w:lastRenderedPageBreak/>
        <w:t xml:space="preserve">Hospodárenie </w:t>
      </w:r>
      <w:r w:rsidR="00465964">
        <w:t>verejnej správy</w:t>
      </w:r>
      <w:r>
        <w:t xml:space="preserve"> na hotovostnej báze</w:t>
      </w:r>
      <w:bookmarkEnd w:id="11"/>
    </w:p>
    <w:p w14:paraId="7E37712E" w14:textId="120842F6" w:rsidR="002D216B" w:rsidRPr="00F3759F" w:rsidRDefault="002D216B" w:rsidP="00DC45A4">
      <w:pPr>
        <w:pStyle w:val="Zkladntext0"/>
        <w:spacing w:after="120"/>
        <w:jc w:val="both"/>
        <w:rPr>
          <w:rFonts w:ascii="Segoe UI" w:eastAsia="Times New Roman" w:hAnsi="Segoe UI" w:cs="Segoe UI"/>
          <w:b/>
          <w:sz w:val="20"/>
        </w:rPr>
      </w:pPr>
      <w:r w:rsidRPr="0019343E">
        <w:rPr>
          <w:rFonts w:ascii="Segoe UI" w:eastAsia="Times New Roman" w:hAnsi="Segoe UI" w:cs="Segoe UI"/>
          <w:sz w:val="20"/>
        </w:rPr>
        <w:t xml:space="preserve">Návrh ŠZÚ SR za rok 2023 obsahuje aj údaje o príjmoch, výdavkoch a výsledku rozpočtového hospodárenia ŠR na hotovostnom princípe. Rozpočet VS na roky 2023 až 2025 musel reagovať na viaceré výzvy spojené s konfliktom na Ukrajine, rastúcimi cenami energií, inflácie a tiež na doznievajúce dopady pandémie ochorenia COVID-19. </w:t>
      </w:r>
      <w:r w:rsidRPr="00F3759F">
        <w:rPr>
          <w:rFonts w:ascii="Segoe UI" w:eastAsia="Times New Roman" w:hAnsi="Segoe UI" w:cs="Segoe UI"/>
          <w:b/>
          <w:sz w:val="20"/>
        </w:rPr>
        <w:t>Na financovanie reakcie na takéto výzvy boli v rozpočte pripravené rezervy, ktorých čerpanie dosiahlo 4,3 mld. eur, čo zodpovedá 13,7 % z celkových výda</w:t>
      </w:r>
      <w:r w:rsidR="0021192E" w:rsidRPr="00F3759F">
        <w:rPr>
          <w:rFonts w:ascii="Segoe UI" w:eastAsia="Times New Roman" w:hAnsi="Segoe UI" w:cs="Segoe UI"/>
          <w:b/>
          <w:sz w:val="20"/>
        </w:rPr>
        <w:t>vkov ŠR vo výške 31,4 mld. eur.</w:t>
      </w:r>
    </w:p>
    <w:p w14:paraId="67B03BEA" w14:textId="77777777" w:rsidR="0021192E" w:rsidRPr="0021192E" w:rsidRDefault="0021192E" w:rsidP="0021192E">
      <w:pPr>
        <w:rPr>
          <w:rFonts w:eastAsia="Calibri" w:cs="Times New Roman"/>
        </w:rPr>
      </w:pPr>
      <w:r w:rsidRPr="0021192E">
        <w:rPr>
          <w:rFonts w:eastAsia="Calibri" w:cs="Times New Roman"/>
        </w:rPr>
        <w:t>Rozpočtové hospodárenie SR bolo ovplyvnené okrem externých aj internými faktormi, najmä politickými, keď sa v priebehu roka 2023 vystriedali tri vlády, uskutočnili sa predčasné voľby a v parlamente bolo schválených viacero legislatívnych zmien bez jasného rozpočtového krytia.</w:t>
      </w:r>
    </w:p>
    <w:p w14:paraId="4416E3EE" w14:textId="77777777" w:rsidR="00BB71F6" w:rsidRDefault="00BB71F6" w:rsidP="00DC45A4">
      <w:pPr>
        <w:pStyle w:val="Nadpis2"/>
        <w:spacing w:before="0"/>
      </w:pPr>
      <w:bookmarkStart w:id="12" w:name="_Toc165621612"/>
      <w:bookmarkStart w:id="13" w:name="_Toc168567184"/>
      <w:r>
        <w:t>3.1 Základné rozpočtové ukazovatele</w:t>
      </w:r>
      <w:bookmarkEnd w:id="12"/>
      <w:bookmarkEnd w:id="13"/>
    </w:p>
    <w:p w14:paraId="190D34E4" w14:textId="590D5F88" w:rsidR="00344CF5" w:rsidRDefault="00C43ABB" w:rsidP="00DC45A4">
      <w:pPr>
        <w:rPr>
          <w:rFonts w:eastAsia="Calibri" w:cs="Times New Roman"/>
        </w:rPr>
      </w:pPr>
      <w:r w:rsidRPr="00C43ABB">
        <w:rPr>
          <w:rFonts w:eastAsia="Times New Roman" w:cs="Segoe UI"/>
          <w:b/>
        </w:rPr>
        <w:t xml:space="preserve">Hotovostný schodok </w:t>
      </w:r>
      <w:r w:rsidR="00DC45A4">
        <w:rPr>
          <w:rFonts w:eastAsia="Times New Roman" w:cs="Segoe UI"/>
          <w:b/>
        </w:rPr>
        <w:t xml:space="preserve">ŠR </w:t>
      </w:r>
      <w:r w:rsidRPr="00C43ABB">
        <w:rPr>
          <w:rFonts w:eastAsia="Times New Roman" w:cs="Segoe UI"/>
          <w:b/>
        </w:rPr>
        <w:t>vo výške 7,7 mld. eur bol síce o 0,7 mld. eur lepší ako rozpočtovaných 8,3 mld. eur, ale v porovnaní s rokom 2022 stúpol o 3,15 mld. eur</w:t>
      </w:r>
      <w:r w:rsidRPr="002F4F44">
        <w:rPr>
          <w:rFonts w:eastAsia="Times New Roman" w:cs="Segoe UI"/>
        </w:rPr>
        <w:t xml:space="preserve"> (tabuľka 4).</w:t>
      </w:r>
      <w:r>
        <w:rPr>
          <w:rFonts w:eastAsia="Times New Roman" w:cs="Segoe UI"/>
        </w:rPr>
        <w:t xml:space="preserve"> </w:t>
      </w:r>
      <w:r w:rsidR="002F4F44" w:rsidRPr="00C43ABB">
        <w:rPr>
          <w:rFonts w:eastAsia="Calibri" w:cs="Times New Roman"/>
        </w:rPr>
        <w:t xml:space="preserve">Celkové príjmy ŠR na hotovostnej báze dosiahli 23,7 mld. eur, čo bolo o 3 mld. menej než sa predpokladalo v rozpočte, no na druhej strane to </w:t>
      </w:r>
      <w:r w:rsidR="001B642F" w:rsidRPr="00C43ABB">
        <w:rPr>
          <w:rFonts w:eastAsia="Calibri" w:cs="Times New Roman"/>
        </w:rPr>
        <w:t>predstavova</w:t>
      </w:r>
      <w:r w:rsidR="002F4F44" w:rsidRPr="00C43ABB">
        <w:rPr>
          <w:rFonts w:eastAsia="Calibri" w:cs="Times New Roman"/>
        </w:rPr>
        <w:t>lo 124,5 % príjmov roku 2022</w:t>
      </w:r>
      <w:r>
        <w:rPr>
          <w:rFonts w:eastAsia="Calibri" w:cs="Times New Roman"/>
        </w:rPr>
        <w:t xml:space="preserve">. </w:t>
      </w:r>
      <w:r w:rsidR="002F4F44">
        <w:rPr>
          <w:rFonts w:eastAsia="Calibri" w:cs="Times New Roman"/>
        </w:rPr>
        <w:t>Výdavky na úrovni 31,4 mld. eur boli oproti rozpočtovaným 35 mld. eur o 3,6 mld. nižšie</w:t>
      </w:r>
      <w:r w:rsidR="001B642F">
        <w:rPr>
          <w:rFonts w:eastAsia="Calibri" w:cs="Times New Roman"/>
        </w:rPr>
        <w:t>. Z</w:t>
      </w:r>
      <w:r w:rsidR="002F4F44">
        <w:rPr>
          <w:rFonts w:eastAsia="Calibri" w:cs="Times New Roman"/>
        </w:rPr>
        <w:t> </w:t>
      </w:r>
      <w:r w:rsidR="001B642F">
        <w:rPr>
          <w:rFonts w:eastAsia="Calibri" w:cs="Times New Roman"/>
        </w:rPr>
        <w:t>t</w:t>
      </w:r>
      <w:r w:rsidR="002F4F44">
        <w:rPr>
          <w:rFonts w:eastAsia="Calibri" w:cs="Times New Roman"/>
        </w:rPr>
        <w:t>oho 1,6 mld. eur ide na vrub spôsobu rozpočtovania POO, kde sa výdavky rozpočtujú už v čase vyhlasovania výziev.</w:t>
      </w:r>
    </w:p>
    <w:p w14:paraId="318DE503" w14:textId="77777777" w:rsidR="00344CF5" w:rsidRPr="00C43ABB" w:rsidRDefault="00344CF5" w:rsidP="00344CF5">
      <w:pPr>
        <w:pStyle w:val="Popis"/>
        <w:keepNext/>
      </w:pPr>
      <w:r w:rsidRPr="00C43ABB">
        <w:t>Tabuľka 4: Základné rozpočtové ukazovatele (v tis. eur)</w:t>
      </w:r>
    </w:p>
    <w:tbl>
      <w:tblPr>
        <w:tblW w:w="5000" w:type="pct"/>
        <w:tblLook w:val="04A0" w:firstRow="1" w:lastRow="0" w:firstColumn="1" w:lastColumn="0" w:noHBand="0" w:noVBand="1"/>
      </w:tblPr>
      <w:tblGrid>
        <w:gridCol w:w="1937"/>
        <w:gridCol w:w="1283"/>
        <w:gridCol w:w="1282"/>
        <w:gridCol w:w="1282"/>
        <w:gridCol w:w="1282"/>
        <w:gridCol w:w="1246"/>
        <w:gridCol w:w="758"/>
      </w:tblGrid>
      <w:tr w:rsidR="0019343E" w:rsidRPr="00A81DDC" w14:paraId="5E4173FF" w14:textId="77777777" w:rsidTr="00DB26F8">
        <w:trPr>
          <w:trHeight w:val="283"/>
        </w:trPr>
        <w:tc>
          <w:tcPr>
            <w:tcW w:w="1067" w:type="pct"/>
            <w:shd w:val="clear" w:color="auto" w:fill="314364"/>
            <w:vAlign w:val="center"/>
          </w:tcPr>
          <w:p w14:paraId="2B9779A9" w14:textId="77777777" w:rsidR="0019343E" w:rsidRPr="00DB26F8" w:rsidRDefault="0019343E" w:rsidP="0019343E">
            <w:pPr>
              <w:spacing w:after="0"/>
              <w:jc w:val="left"/>
              <w:rPr>
                <w:rFonts w:eastAsia="Calibri" w:cs="Segoe UI"/>
                <w:b/>
                <w:color w:val="FFFFFF"/>
                <w:sz w:val="18"/>
                <w:szCs w:val="18"/>
              </w:rPr>
            </w:pPr>
            <w:r w:rsidRPr="00DB26F8">
              <w:rPr>
                <w:rFonts w:eastAsia="Calibri" w:cs="Segoe UI"/>
                <w:b/>
                <w:bCs/>
                <w:color w:val="FFFFFF"/>
                <w:sz w:val="18"/>
                <w:szCs w:val="18"/>
              </w:rPr>
              <w:t>Ukazovateľ</w:t>
            </w:r>
          </w:p>
        </w:tc>
        <w:tc>
          <w:tcPr>
            <w:tcW w:w="707" w:type="pct"/>
            <w:shd w:val="clear" w:color="auto" w:fill="314364"/>
            <w:vAlign w:val="center"/>
          </w:tcPr>
          <w:p w14:paraId="74A38EF8" w14:textId="77777777" w:rsidR="0019343E" w:rsidRPr="00DB26F8" w:rsidRDefault="0019343E" w:rsidP="0019343E">
            <w:pPr>
              <w:spacing w:after="0"/>
              <w:jc w:val="right"/>
              <w:rPr>
                <w:rFonts w:eastAsia="Calibri" w:cs="Segoe UI"/>
                <w:b/>
                <w:bCs/>
                <w:color w:val="FFFFFF"/>
                <w:sz w:val="18"/>
                <w:szCs w:val="18"/>
              </w:rPr>
            </w:pPr>
            <w:r w:rsidRPr="00DB26F8">
              <w:rPr>
                <w:rFonts w:eastAsia="Calibri" w:cs="Segoe UI"/>
                <w:b/>
                <w:bCs/>
                <w:color w:val="FFFFFF"/>
                <w:sz w:val="18"/>
                <w:szCs w:val="18"/>
              </w:rPr>
              <w:t>2022 S</w:t>
            </w:r>
          </w:p>
        </w:tc>
        <w:tc>
          <w:tcPr>
            <w:tcW w:w="707" w:type="pct"/>
            <w:shd w:val="clear" w:color="auto" w:fill="314364"/>
            <w:vAlign w:val="center"/>
          </w:tcPr>
          <w:p w14:paraId="41B0C5B1" w14:textId="77777777" w:rsidR="0019343E" w:rsidRPr="00DB26F8" w:rsidRDefault="0019343E" w:rsidP="0019343E">
            <w:pPr>
              <w:spacing w:after="0"/>
              <w:jc w:val="right"/>
              <w:rPr>
                <w:rFonts w:eastAsia="Calibri" w:cs="Segoe UI"/>
                <w:b/>
                <w:bCs/>
                <w:color w:val="FFFFFF"/>
                <w:sz w:val="18"/>
                <w:szCs w:val="18"/>
              </w:rPr>
            </w:pPr>
            <w:r w:rsidRPr="00DB26F8">
              <w:rPr>
                <w:rFonts w:eastAsia="Calibri" w:cs="Segoe UI"/>
                <w:b/>
                <w:bCs/>
                <w:color w:val="FFFFFF"/>
                <w:sz w:val="18"/>
                <w:szCs w:val="18"/>
              </w:rPr>
              <w:t>2023 R</w:t>
            </w:r>
          </w:p>
        </w:tc>
        <w:tc>
          <w:tcPr>
            <w:tcW w:w="707" w:type="pct"/>
            <w:shd w:val="clear" w:color="auto" w:fill="314364"/>
            <w:vAlign w:val="center"/>
          </w:tcPr>
          <w:p w14:paraId="359CEC0C" w14:textId="77777777" w:rsidR="0019343E" w:rsidRPr="00DB26F8" w:rsidRDefault="0019343E" w:rsidP="0019343E">
            <w:pPr>
              <w:spacing w:after="0"/>
              <w:jc w:val="right"/>
              <w:rPr>
                <w:rFonts w:eastAsia="Calibri" w:cs="Segoe UI"/>
                <w:b/>
                <w:bCs/>
                <w:color w:val="FFFFFF"/>
                <w:sz w:val="18"/>
                <w:szCs w:val="18"/>
              </w:rPr>
            </w:pPr>
            <w:r w:rsidRPr="00DB26F8">
              <w:rPr>
                <w:rFonts w:eastAsia="Calibri" w:cs="Segoe UI"/>
                <w:b/>
                <w:bCs/>
                <w:color w:val="FFFFFF"/>
                <w:sz w:val="18"/>
                <w:szCs w:val="18"/>
              </w:rPr>
              <w:t>2023 UR</w:t>
            </w:r>
          </w:p>
        </w:tc>
        <w:tc>
          <w:tcPr>
            <w:tcW w:w="707" w:type="pct"/>
            <w:shd w:val="clear" w:color="auto" w:fill="314364"/>
            <w:vAlign w:val="center"/>
          </w:tcPr>
          <w:p w14:paraId="60184C8B" w14:textId="77777777" w:rsidR="0019343E" w:rsidRPr="00DB26F8" w:rsidRDefault="0019343E" w:rsidP="0019343E">
            <w:pPr>
              <w:spacing w:after="0"/>
              <w:jc w:val="right"/>
              <w:rPr>
                <w:rFonts w:eastAsia="Calibri" w:cs="Segoe UI"/>
                <w:b/>
                <w:bCs/>
                <w:color w:val="FFFFFF"/>
                <w:sz w:val="18"/>
                <w:szCs w:val="18"/>
              </w:rPr>
            </w:pPr>
            <w:r w:rsidRPr="00DB26F8">
              <w:rPr>
                <w:rFonts w:eastAsia="Calibri" w:cs="Segoe UI"/>
                <w:b/>
                <w:bCs/>
                <w:color w:val="FFFFFF"/>
                <w:sz w:val="18"/>
                <w:szCs w:val="18"/>
              </w:rPr>
              <w:t>2023 S</w:t>
            </w:r>
          </w:p>
        </w:tc>
        <w:tc>
          <w:tcPr>
            <w:tcW w:w="687" w:type="pct"/>
            <w:shd w:val="clear" w:color="auto" w:fill="314364"/>
            <w:vAlign w:val="center"/>
          </w:tcPr>
          <w:p w14:paraId="1F3D5594" w14:textId="77777777" w:rsidR="0019343E" w:rsidRPr="00DB26F8" w:rsidRDefault="0019343E" w:rsidP="0019343E">
            <w:pPr>
              <w:spacing w:after="0"/>
              <w:jc w:val="right"/>
              <w:rPr>
                <w:rFonts w:eastAsia="Calibri" w:cs="Segoe UI"/>
                <w:b/>
                <w:bCs/>
                <w:color w:val="FFFFFF"/>
                <w:sz w:val="18"/>
                <w:szCs w:val="18"/>
              </w:rPr>
            </w:pPr>
            <w:r w:rsidRPr="00DB26F8">
              <w:rPr>
                <w:rFonts w:eastAsia="Calibri" w:cs="Segoe UI"/>
                <w:b/>
                <w:bCs/>
                <w:color w:val="FFFFFF"/>
                <w:sz w:val="18"/>
                <w:szCs w:val="18"/>
              </w:rPr>
              <w:t>23S - 23R</w:t>
            </w:r>
          </w:p>
        </w:tc>
        <w:tc>
          <w:tcPr>
            <w:tcW w:w="419" w:type="pct"/>
            <w:shd w:val="clear" w:color="auto" w:fill="314364"/>
            <w:vAlign w:val="center"/>
          </w:tcPr>
          <w:p w14:paraId="0F08C385" w14:textId="77777777" w:rsidR="0019343E" w:rsidRPr="00DB26F8" w:rsidRDefault="0019343E" w:rsidP="0019343E">
            <w:pPr>
              <w:spacing w:after="0"/>
              <w:jc w:val="right"/>
              <w:rPr>
                <w:rFonts w:eastAsia="Calibri" w:cs="Segoe UI"/>
                <w:b/>
                <w:bCs/>
                <w:color w:val="FFFFFF"/>
                <w:sz w:val="18"/>
                <w:szCs w:val="18"/>
              </w:rPr>
            </w:pPr>
            <w:r w:rsidRPr="00DB26F8">
              <w:rPr>
                <w:rFonts w:eastAsia="Calibri" w:cs="Segoe UI"/>
                <w:b/>
                <w:bCs/>
                <w:color w:val="FFFFFF"/>
                <w:sz w:val="18"/>
                <w:szCs w:val="18"/>
              </w:rPr>
              <w:t>YoY</w:t>
            </w:r>
          </w:p>
        </w:tc>
      </w:tr>
      <w:tr w:rsidR="0019343E" w:rsidRPr="00A81DDC" w14:paraId="18D4B973" w14:textId="77777777" w:rsidTr="00DB26F8">
        <w:trPr>
          <w:trHeight w:val="283"/>
        </w:trPr>
        <w:tc>
          <w:tcPr>
            <w:tcW w:w="1067" w:type="pct"/>
            <w:shd w:val="clear" w:color="auto" w:fill="auto"/>
            <w:vAlign w:val="center"/>
          </w:tcPr>
          <w:p w14:paraId="100BDDB3" w14:textId="77777777" w:rsidR="0019343E" w:rsidRPr="00DB26F8" w:rsidRDefault="0019343E" w:rsidP="0019343E">
            <w:pPr>
              <w:spacing w:after="0"/>
              <w:jc w:val="left"/>
              <w:rPr>
                <w:rFonts w:eastAsia="Calibri" w:cs="Segoe UI"/>
                <w:b/>
                <w:bCs/>
                <w:sz w:val="18"/>
                <w:szCs w:val="18"/>
              </w:rPr>
            </w:pPr>
            <w:r w:rsidRPr="00DB26F8">
              <w:rPr>
                <w:rFonts w:eastAsia="Calibri" w:cs="Segoe UI"/>
                <w:b/>
                <w:bCs/>
                <w:sz w:val="18"/>
                <w:szCs w:val="18"/>
              </w:rPr>
              <w:t>Celkové príjmy</w:t>
            </w:r>
          </w:p>
        </w:tc>
        <w:tc>
          <w:tcPr>
            <w:tcW w:w="707" w:type="pct"/>
            <w:vAlign w:val="center"/>
          </w:tcPr>
          <w:p w14:paraId="14102297" w14:textId="77777777" w:rsidR="0019343E" w:rsidRPr="00DB26F8" w:rsidRDefault="0019343E" w:rsidP="0019343E">
            <w:pPr>
              <w:spacing w:after="0"/>
              <w:jc w:val="right"/>
              <w:rPr>
                <w:rFonts w:eastAsia="Calibri" w:cs="Segoe UI"/>
                <w:b/>
                <w:bCs/>
                <w:sz w:val="18"/>
                <w:szCs w:val="18"/>
              </w:rPr>
            </w:pPr>
            <w:r w:rsidRPr="00DB26F8">
              <w:rPr>
                <w:rFonts w:eastAsia="Calibri" w:cs="Segoe UI"/>
                <w:b/>
                <w:bCs/>
                <w:sz w:val="18"/>
                <w:szCs w:val="18"/>
              </w:rPr>
              <w:t>19 029 702</w:t>
            </w:r>
          </w:p>
        </w:tc>
        <w:tc>
          <w:tcPr>
            <w:tcW w:w="707" w:type="pct"/>
            <w:shd w:val="clear" w:color="auto" w:fill="auto"/>
            <w:vAlign w:val="center"/>
          </w:tcPr>
          <w:p w14:paraId="4A0BC1D0" w14:textId="77777777" w:rsidR="0019343E" w:rsidRPr="00DB26F8" w:rsidRDefault="0019343E" w:rsidP="0019343E">
            <w:pPr>
              <w:spacing w:after="0"/>
              <w:jc w:val="right"/>
              <w:rPr>
                <w:rFonts w:eastAsia="Calibri" w:cs="Segoe UI"/>
                <w:b/>
                <w:bCs/>
                <w:sz w:val="18"/>
                <w:szCs w:val="18"/>
              </w:rPr>
            </w:pPr>
            <w:r w:rsidRPr="00DB26F8">
              <w:rPr>
                <w:rFonts w:eastAsia="Calibri" w:cs="Segoe UI"/>
                <w:b/>
                <w:bCs/>
                <w:sz w:val="18"/>
                <w:szCs w:val="18"/>
              </w:rPr>
              <w:t>26 699 184</w:t>
            </w:r>
          </w:p>
        </w:tc>
        <w:tc>
          <w:tcPr>
            <w:tcW w:w="707" w:type="pct"/>
            <w:shd w:val="clear" w:color="auto" w:fill="auto"/>
            <w:vAlign w:val="center"/>
          </w:tcPr>
          <w:p w14:paraId="401722ED" w14:textId="77777777" w:rsidR="0019343E" w:rsidRPr="00DB26F8" w:rsidRDefault="0019343E" w:rsidP="0019343E">
            <w:pPr>
              <w:spacing w:after="0"/>
              <w:jc w:val="right"/>
              <w:rPr>
                <w:rFonts w:eastAsia="Calibri" w:cs="Segoe UI"/>
                <w:b/>
                <w:bCs/>
                <w:sz w:val="18"/>
                <w:szCs w:val="18"/>
              </w:rPr>
            </w:pPr>
            <w:r w:rsidRPr="00DB26F8">
              <w:rPr>
                <w:rFonts w:eastAsia="Calibri" w:cs="Segoe UI"/>
                <w:b/>
                <w:bCs/>
                <w:sz w:val="18"/>
                <w:szCs w:val="18"/>
              </w:rPr>
              <w:t>23 479 613</w:t>
            </w:r>
          </w:p>
        </w:tc>
        <w:tc>
          <w:tcPr>
            <w:tcW w:w="707" w:type="pct"/>
            <w:shd w:val="clear" w:color="auto" w:fill="auto"/>
            <w:vAlign w:val="center"/>
          </w:tcPr>
          <w:p w14:paraId="52A3BA2F" w14:textId="77777777" w:rsidR="0019343E" w:rsidRPr="00DB26F8" w:rsidRDefault="0019343E" w:rsidP="0019343E">
            <w:pPr>
              <w:spacing w:after="0"/>
              <w:jc w:val="right"/>
              <w:rPr>
                <w:rFonts w:eastAsia="Calibri" w:cs="Segoe UI"/>
                <w:b/>
                <w:bCs/>
                <w:sz w:val="18"/>
                <w:szCs w:val="18"/>
              </w:rPr>
            </w:pPr>
            <w:r w:rsidRPr="00DB26F8">
              <w:rPr>
                <w:rFonts w:eastAsia="Calibri" w:cs="Segoe UI"/>
                <w:b/>
                <w:bCs/>
                <w:sz w:val="18"/>
                <w:szCs w:val="18"/>
              </w:rPr>
              <w:t>23 688 646</w:t>
            </w:r>
          </w:p>
        </w:tc>
        <w:tc>
          <w:tcPr>
            <w:tcW w:w="687" w:type="pct"/>
            <w:shd w:val="clear" w:color="auto" w:fill="auto"/>
            <w:vAlign w:val="center"/>
          </w:tcPr>
          <w:p w14:paraId="6E2A7FFA" w14:textId="77777777" w:rsidR="0019343E" w:rsidRPr="00DB26F8" w:rsidRDefault="0019343E" w:rsidP="0019343E">
            <w:pPr>
              <w:spacing w:after="0"/>
              <w:jc w:val="right"/>
              <w:rPr>
                <w:rFonts w:eastAsia="Calibri" w:cs="Segoe UI"/>
                <w:b/>
                <w:bCs/>
                <w:sz w:val="18"/>
                <w:szCs w:val="18"/>
              </w:rPr>
            </w:pPr>
            <w:r w:rsidRPr="00DB26F8">
              <w:rPr>
                <w:rFonts w:eastAsia="Calibri" w:cs="Segoe UI"/>
                <w:b/>
                <w:bCs/>
                <w:sz w:val="18"/>
                <w:szCs w:val="18"/>
              </w:rPr>
              <w:t>-3 010 538</w:t>
            </w:r>
          </w:p>
        </w:tc>
        <w:tc>
          <w:tcPr>
            <w:tcW w:w="419" w:type="pct"/>
            <w:shd w:val="clear" w:color="auto" w:fill="auto"/>
            <w:vAlign w:val="center"/>
          </w:tcPr>
          <w:p w14:paraId="6F7C9107" w14:textId="77777777" w:rsidR="0019343E" w:rsidRPr="00DB26F8" w:rsidRDefault="0019343E" w:rsidP="0019343E">
            <w:pPr>
              <w:spacing w:after="0"/>
              <w:jc w:val="right"/>
              <w:rPr>
                <w:rFonts w:eastAsia="Calibri" w:cs="Segoe UI"/>
                <w:b/>
                <w:bCs/>
                <w:sz w:val="18"/>
                <w:szCs w:val="18"/>
              </w:rPr>
            </w:pPr>
            <w:r w:rsidRPr="00DB26F8">
              <w:rPr>
                <w:rFonts w:eastAsia="Calibri" w:cs="Segoe UI"/>
                <w:b/>
                <w:bCs/>
                <w:sz w:val="18"/>
                <w:szCs w:val="18"/>
              </w:rPr>
              <w:t>124,5</w:t>
            </w:r>
          </w:p>
        </w:tc>
      </w:tr>
      <w:tr w:rsidR="0019343E" w:rsidRPr="00A81DDC" w14:paraId="45B31CFB" w14:textId="77777777" w:rsidTr="00DB26F8">
        <w:trPr>
          <w:trHeight w:val="283"/>
        </w:trPr>
        <w:tc>
          <w:tcPr>
            <w:tcW w:w="1067" w:type="pct"/>
            <w:shd w:val="clear" w:color="auto" w:fill="auto"/>
            <w:vAlign w:val="center"/>
          </w:tcPr>
          <w:p w14:paraId="33DB26A7" w14:textId="77777777" w:rsidR="0019343E" w:rsidRPr="00DB26F8" w:rsidRDefault="0019343E" w:rsidP="0019343E">
            <w:pPr>
              <w:spacing w:after="0"/>
              <w:jc w:val="left"/>
              <w:rPr>
                <w:rFonts w:eastAsia="Calibri" w:cs="Segoe UI"/>
                <w:bCs/>
                <w:sz w:val="18"/>
                <w:szCs w:val="18"/>
              </w:rPr>
            </w:pPr>
            <w:r w:rsidRPr="00DB26F8">
              <w:rPr>
                <w:rFonts w:eastAsia="Calibri" w:cs="Segoe UI"/>
                <w:bCs/>
                <w:sz w:val="18"/>
                <w:szCs w:val="18"/>
              </w:rPr>
              <w:t>Daňové príjmy</w:t>
            </w:r>
          </w:p>
        </w:tc>
        <w:tc>
          <w:tcPr>
            <w:tcW w:w="707" w:type="pct"/>
            <w:vAlign w:val="center"/>
          </w:tcPr>
          <w:p w14:paraId="70F43D68" w14:textId="77777777" w:rsidR="0019343E" w:rsidRPr="00DB26F8" w:rsidRDefault="0019343E" w:rsidP="0019343E">
            <w:pPr>
              <w:spacing w:after="0"/>
              <w:jc w:val="right"/>
              <w:rPr>
                <w:rFonts w:eastAsia="Calibri" w:cs="Segoe UI"/>
                <w:bCs/>
                <w:sz w:val="18"/>
                <w:szCs w:val="18"/>
              </w:rPr>
            </w:pPr>
            <w:r w:rsidRPr="00DB26F8">
              <w:rPr>
                <w:rFonts w:eastAsia="Calibri" w:cs="Segoe UI"/>
                <w:bCs/>
                <w:sz w:val="18"/>
                <w:szCs w:val="18"/>
              </w:rPr>
              <w:t>15 517 036</w:t>
            </w:r>
          </w:p>
        </w:tc>
        <w:tc>
          <w:tcPr>
            <w:tcW w:w="707" w:type="pct"/>
            <w:shd w:val="clear" w:color="auto" w:fill="auto"/>
            <w:vAlign w:val="center"/>
          </w:tcPr>
          <w:p w14:paraId="64E4BF6E" w14:textId="77777777" w:rsidR="0019343E" w:rsidRPr="00DB26F8" w:rsidRDefault="0019343E" w:rsidP="0019343E">
            <w:pPr>
              <w:spacing w:after="0"/>
              <w:jc w:val="right"/>
              <w:rPr>
                <w:rFonts w:eastAsia="Calibri" w:cs="Segoe UI"/>
                <w:bCs/>
                <w:sz w:val="18"/>
                <w:szCs w:val="18"/>
              </w:rPr>
            </w:pPr>
            <w:r w:rsidRPr="00DB26F8">
              <w:rPr>
                <w:rFonts w:eastAsia="Calibri" w:cs="Segoe UI"/>
                <w:bCs/>
                <w:sz w:val="18"/>
                <w:szCs w:val="18"/>
              </w:rPr>
              <w:t>16 795 409</w:t>
            </w:r>
          </w:p>
        </w:tc>
        <w:tc>
          <w:tcPr>
            <w:tcW w:w="707" w:type="pct"/>
            <w:shd w:val="clear" w:color="auto" w:fill="auto"/>
            <w:vAlign w:val="center"/>
          </w:tcPr>
          <w:p w14:paraId="3690DA85" w14:textId="77777777" w:rsidR="0019343E" w:rsidRPr="00DB26F8" w:rsidRDefault="0019343E" w:rsidP="0019343E">
            <w:pPr>
              <w:spacing w:after="0"/>
              <w:jc w:val="right"/>
              <w:rPr>
                <w:rFonts w:eastAsia="Calibri" w:cs="Segoe UI"/>
                <w:bCs/>
                <w:sz w:val="18"/>
                <w:szCs w:val="18"/>
              </w:rPr>
            </w:pPr>
            <w:r w:rsidRPr="00DB26F8">
              <w:rPr>
                <w:rFonts w:eastAsia="Calibri" w:cs="Segoe UI"/>
                <w:bCs/>
                <w:sz w:val="18"/>
                <w:szCs w:val="18"/>
              </w:rPr>
              <w:t>16 795 409</w:t>
            </w:r>
          </w:p>
        </w:tc>
        <w:tc>
          <w:tcPr>
            <w:tcW w:w="707" w:type="pct"/>
            <w:shd w:val="clear" w:color="auto" w:fill="auto"/>
            <w:vAlign w:val="center"/>
          </w:tcPr>
          <w:p w14:paraId="6E1BE7F2" w14:textId="77777777" w:rsidR="0019343E" w:rsidRPr="00DB26F8" w:rsidRDefault="0019343E" w:rsidP="0019343E">
            <w:pPr>
              <w:spacing w:after="0"/>
              <w:jc w:val="right"/>
              <w:rPr>
                <w:rFonts w:eastAsia="Calibri" w:cs="Segoe UI"/>
                <w:bCs/>
                <w:sz w:val="18"/>
                <w:szCs w:val="18"/>
              </w:rPr>
            </w:pPr>
            <w:r w:rsidRPr="00DB26F8">
              <w:rPr>
                <w:rFonts w:eastAsia="Calibri" w:cs="Segoe UI"/>
                <w:bCs/>
                <w:sz w:val="18"/>
                <w:szCs w:val="18"/>
              </w:rPr>
              <w:t>17 440 976</w:t>
            </w:r>
          </w:p>
        </w:tc>
        <w:tc>
          <w:tcPr>
            <w:tcW w:w="687" w:type="pct"/>
            <w:shd w:val="clear" w:color="auto" w:fill="auto"/>
            <w:vAlign w:val="center"/>
          </w:tcPr>
          <w:p w14:paraId="3F9E21A1" w14:textId="77777777" w:rsidR="0019343E" w:rsidRPr="00DB26F8" w:rsidRDefault="0019343E" w:rsidP="0019343E">
            <w:pPr>
              <w:spacing w:after="0"/>
              <w:jc w:val="right"/>
              <w:rPr>
                <w:rFonts w:eastAsia="Calibri" w:cs="Segoe UI"/>
                <w:bCs/>
                <w:sz w:val="18"/>
                <w:szCs w:val="18"/>
              </w:rPr>
            </w:pPr>
            <w:r w:rsidRPr="00DB26F8">
              <w:rPr>
                <w:rFonts w:eastAsia="Calibri" w:cs="Segoe UI"/>
                <w:bCs/>
                <w:sz w:val="18"/>
                <w:szCs w:val="18"/>
              </w:rPr>
              <w:t>645 567</w:t>
            </w:r>
          </w:p>
        </w:tc>
        <w:tc>
          <w:tcPr>
            <w:tcW w:w="419" w:type="pct"/>
            <w:shd w:val="clear" w:color="auto" w:fill="auto"/>
            <w:vAlign w:val="center"/>
          </w:tcPr>
          <w:p w14:paraId="307CFAED" w14:textId="77777777" w:rsidR="0019343E" w:rsidRPr="00DB26F8" w:rsidRDefault="0019343E" w:rsidP="0019343E">
            <w:pPr>
              <w:spacing w:after="0"/>
              <w:jc w:val="right"/>
              <w:rPr>
                <w:rFonts w:eastAsia="Calibri" w:cs="Segoe UI"/>
                <w:bCs/>
                <w:sz w:val="18"/>
                <w:szCs w:val="18"/>
              </w:rPr>
            </w:pPr>
            <w:r w:rsidRPr="00DB26F8">
              <w:rPr>
                <w:rFonts w:eastAsia="Calibri" w:cs="Segoe UI"/>
                <w:bCs/>
                <w:sz w:val="18"/>
                <w:szCs w:val="18"/>
              </w:rPr>
              <w:t>112,4</w:t>
            </w:r>
          </w:p>
        </w:tc>
      </w:tr>
      <w:tr w:rsidR="0019343E" w:rsidRPr="00A81DDC" w14:paraId="1E2A2896" w14:textId="77777777" w:rsidTr="00DB26F8">
        <w:trPr>
          <w:trHeight w:val="283"/>
        </w:trPr>
        <w:tc>
          <w:tcPr>
            <w:tcW w:w="1067" w:type="pct"/>
            <w:shd w:val="clear" w:color="auto" w:fill="auto"/>
            <w:vAlign w:val="center"/>
          </w:tcPr>
          <w:p w14:paraId="036B9C95" w14:textId="77777777" w:rsidR="0019343E" w:rsidRPr="00DB26F8" w:rsidRDefault="0019343E" w:rsidP="0019343E">
            <w:pPr>
              <w:spacing w:after="0"/>
              <w:jc w:val="left"/>
              <w:rPr>
                <w:rFonts w:eastAsia="Calibri" w:cs="Segoe UI"/>
                <w:bCs/>
                <w:sz w:val="18"/>
                <w:szCs w:val="18"/>
              </w:rPr>
            </w:pPr>
            <w:r w:rsidRPr="00DB26F8">
              <w:rPr>
                <w:rFonts w:eastAsia="Calibri" w:cs="Segoe UI"/>
                <w:bCs/>
                <w:sz w:val="18"/>
                <w:szCs w:val="18"/>
              </w:rPr>
              <w:t>Nedaňové príjmy</w:t>
            </w:r>
          </w:p>
        </w:tc>
        <w:tc>
          <w:tcPr>
            <w:tcW w:w="707" w:type="pct"/>
            <w:vAlign w:val="center"/>
          </w:tcPr>
          <w:p w14:paraId="308567FD" w14:textId="77777777" w:rsidR="0019343E" w:rsidRPr="00DB26F8" w:rsidRDefault="0019343E" w:rsidP="0019343E">
            <w:pPr>
              <w:spacing w:after="0"/>
              <w:jc w:val="right"/>
              <w:rPr>
                <w:rFonts w:eastAsia="Calibri" w:cs="Segoe UI"/>
                <w:bCs/>
                <w:sz w:val="18"/>
                <w:szCs w:val="18"/>
              </w:rPr>
            </w:pPr>
            <w:r w:rsidRPr="00DB26F8">
              <w:rPr>
                <w:rFonts w:eastAsia="Calibri" w:cs="Segoe UI"/>
                <w:bCs/>
                <w:sz w:val="18"/>
                <w:szCs w:val="18"/>
              </w:rPr>
              <w:t>1 285 089</w:t>
            </w:r>
          </w:p>
        </w:tc>
        <w:tc>
          <w:tcPr>
            <w:tcW w:w="707" w:type="pct"/>
            <w:shd w:val="clear" w:color="auto" w:fill="auto"/>
            <w:vAlign w:val="center"/>
          </w:tcPr>
          <w:p w14:paraId="08F32948" w14:textId="77777777" w:rsidR="0019343E" w:rsidRPr="00DB26F8" w:rsidRDefault="0019343E" w:rsidP="0019343E">
            <w:pPr>
              <w:spacing w:after="0"/>
              <w:jc w:val="right"/>
              <w:rPr>
                <w:rFonts w:eastAsia="Calibri" w:cs="Segoe UI"/>
                <w:bCs/>
                <w:sz w:val="18"/>
                <w:szCs w:val="18"/>
              </w:rPr>
            </w:pPr>
            <w:r w:rsidRPr="00DB26F8">
              <w:rPr>
                <w:rFonts w:eastAsia="Calibri" w:cs="Segoe UI"/>
                <w:bCs/>
                <w:sz w:val="18"/>
                <w:szCs w:val="18"/>
              </w:rPr>
              <w:t>2 129 738</w:t>
            </w:r>
          </w:p>
        </w:tc>
        <w:tc>
          <w:tcPr>
            <w:tcW w:w="707" w:type="pct"/>
            <w:shd w:val="clear" w:color="auto" w:fill="auto"/>
            <w:vAlign w:val="center"/>
          </w:tcPr>
          <w:p w14:paraId="738376DC" w14:textId="77777777" w:rsidR="0019343E" w:rsidRPr="00DB26F8" w:rsidRDefault="0019343E" w:rsidP="0019343E">
            <w:pPr>
              <w:spacing w:after="0"/>
              <w:jc w:val="right"/>
              <w:rPr>
                <w:rFonts w:eastAsia="Calibri" w:cs="Segoe UI"/>
                <w:bCs/>
                <w:sz w:val="18"/>
                <w:szCs w:val="18"/>
              </w:rPr>
            </w:pPr>
            <w:r w:rsidRPr="00DB26F8">
              <w:rPr>
                <w:rFonts w:eastAsia="Calibri" w:cs="Segoe UI"/>
                <w:bCs/>
                <w:sz w:val="18"/>
                <w:szCs w:val="18"/>
              </w:rPr>
              <w:t>2 129 745</w:t>
            </w:r>
          </w:p>
        </w:tc>
        <w:tc>
          <w:tcPr>
            <w:tcW w:w="707" w:type="pct"/>
            <w:shd w:val="clear" w:color="auto" w:fill="auto"/>
            <w:vAlign w:val="center"/>
          </w:tcPr>
          <w:p w14:paraId="1573CF9C" w14:textId="77777777" w:rsidR="0019343E" w:rsidRPr="00DB26F8" w:rsidRDefault="0019343E" w:rsidP="0019343E">
            <w:pPr>
              <w:spacing w:after="0"/>
              <w:jc w:val="right"/>
              <w:rPr>
                <w:rFonts w:eastAsia="Calibri" w:cs="Segoe UI"/>
                <w:bCs/>
                <w:sz w:val="18"/>
                <w:szCs w:val="18"/>
              </w:rPr>
            </w:pPr>
            <w:r w:rsidRPr="00DB26F8">
              <w:rPr>
                <w:rFonts w:eastAsia="Calibri" w:cs="Segoe UI"/>
                <w:bCs/>
                <w:sz w:val="18"/>
                <w:szCs w:val="18"/>
              </w:rPr>
              <w:t>1 738 326</w:t>
            </w:r>
          </w:p>
        </w:tc>
        <w:tc>
          <w:tcPr>
            <w:tcW w:w="687" w:type="pct"/>
            <w:shd w:val="clear" w:color="auto" w:fill="auto"/>
            <w:vAlign w:val="center"/>
          </w:tcPr>
          <w:p w14:paraId="16F0468D" w14:textId="77777777" w:rsidR="0019343E" w:rsidRPr="00DB26F8" w:rsidRDefault="0019343E" w:rsidP="0019343E">
            <w:pPr>
              <w:spacing w:after="0"/>
              <w:jc w:val="right"/>
              <w:rPr>
                <w:rFonts w:eastAsia="Calibri" w:cs="Segoe UI"/>
                <w:bCs/>
                <w:sz w:val="18"/>
                <w:szCs w:val="18"/>
              </w:rPr>
            </w:pPr>
            <w:r w:rsidRPr="00DB26F8">
              <w:rPr>
                <w:rFonts w:eastAsia="Calibri" w:cs="Segoe UI"/>
                <w:bCs/>
                <w:sz w:val="18"/>
                <w:szCs w:val="18"/>
              </w:rPr>
              <w:t>-391 412</w:t>
            </w:r>
          </w:p>
        </w:tc>
        <w:tc>
          <w:tcPr>
            <w:tcW w:w="419" w:type="pct"/>
            <w:shd w:val="clear" w:color="auto" w:fill="auto"/>
            <w:vAlign w:val="center"/>
          </w:tcPr>
          <w:p w14:paraId="1ACF4F84" w14:textId="77777777" w:rsidR="0019343E" w:rsidRPr="00DB26F8" w:rsidRDefault="0019343E" w:rsidP="0019343E">
            <w:pPr>
              <w:spacing w:after="0"/>
              <w:jc w:val="right"/>
              <w:rPr>
                <w:rFonts w:eastAsia="Calibri" w:cs="Segoe UI"/>
                <w:bCs/>
                <w:sz w:val="18"/>
                <w:szCs w:val="18"/>
              </w:rPr>
            </w:pPr>
            <w:r w:rsidRPr="00DB26F8">
              <w:rPr>
                <w:rFonts w:eastAsia="Calibri" w:cs="Segoe UI"/>
                <w:bCs/>
                <w:sz w:val="18"/>
                <w:szCs w:val="18"/>
              </w:rPr>
              <w:t>135,3</w:t>
            </w:r>
          </w:p>
        </w:tc>
      </w:tr>
      <w:tr w:rsidR="0019343E" w:rsidRPr="00A81DDC" w14:paraId="568A034E" w14:textId="77777777" w:rsidTr="00DB26F8">
        <w:trPr>
          <w:trHeight w:val="283"/>
        </w:trPr>
        <w:tc>
          <w:tcPr>
            <w:tcW w:w="1067" w:type="pct"/>
            <w:shd w:val="clear" w:color="auto" w:fill="auto"/>
            <w:vAlign w:val="center"/>
          </w:tcPr>
          <w:p w14:paraId="5263CDB8" w14:textId="77777777" w:rsidR="0019343E" w:rsidRPr="00DB26F8" w:rsidRDefault="0019343E" w:rsidP="0019343E">
            <w:pPr>
              <w:spacing w:after="0"/>
              <w:jc w:val="left"/>
              <w:rPr>
                <w:rFonts w:eastAsia="Calibri" w:cs="Segoe UI"/>
                <w:bCs/>
                <w:sz w:val="18"/>
                <w:szCs w:val="18"/>
              </w:rPr>
            </w:pPr>
            <w:r w:rsidRPr="00DB26F8">
              <w:rPr>
                <w:rFonts w:eastAsia="Calibri" w:cs="Segoe UI"/>
                <w:bCs/>
                <w:sz w:val="18"/>
                <w:szCs w:val="18"/>
              </w:rPr>
              <w:t>Granty a transfery</w:t>
            </w:r>
          </w:p>
        </w:tc>
        <w:tc>
          <w:tcPr>
            <w:tcW w:w="707" w:type="pct"/>
            <w:vAlign w:val="center"/>
          </w:tcPr>
          <w:p w14:paraId="4CAFA3EF" w14:textId="77777777" w:rsidR="0019343E" w:rsidRPr="00DB26F8" w:rsidRDefault="0019343E" w:rsidP="0019343E">
            <w:pPr>
              <w:spacing w:after="0"/>
              <w:jc w:val="right"/>
              <w:rPr>
                <w:rFonts w:eastAsia="Calibri" w:cs="Segoe UI"/>
                <w:bCs/>
                <w:sz w:val="18"/>
                <w:szCs w:val="18"/>
              </w:rPr>
            </w:pPr>
            <w:r w:rsidRPr="00DB26F8">
              <w:rPr>
                <w:rFonts w:eastAsia="Calibri" w:cs="Segoe UI"/>
                <w:bCs/>
                <w:sz w:val="18"/>
                <w:szCs w:val="18"/>
              </w:rPr>
              <w:t>2 227 577</w:t>
            </w:r>
          </w:p>
        </w:tc>
        <w:tc>
          <w:tcPr>
            <w:tcW w:w="707" w:type="pct"/>
            <w:shd w:val="clear" w:color="auto" w:fill="auto"/>
            <w:vAlign w:val="center"/>
          </w:tcPr>
          <w:p w14:paraId="0930D9B9" w14:textId="77777777" w:rsidR="0019343E" w:rsidRPr="00DB26F8" w:rsidRDefault="0019343E" w:rsidP="0019343E">
            <w:pPr>
              <w:spacing w:after="0"/>
              <w:jc w:val="right"/>
              <w:rPr>
                <w:rFonts w:eastAsia="Calibri" w:cs="Segoe UI"/>
                <w:bCs/>
                <w:sz w:val="18"/>
                <w:szCs w:val="18"/>
              </w:rPr>
            </w:pPr>
            <w:r w:rsidRPr="00DB26F8">
              <w:rPr>
                <w:rFonts w:eastAsia="Calibri" w:cs="Segoe UI"/>
                <w:bCs/>
                <w:sz w:val="18"/>
                <w:szCs w:val="18"/>
              </w:rPr>
              <w:t>7 774 037</w:t>
            </w:r>
          </w:p>
        </w:tc>
        <w:tc>
          <w:tcPr>
            <w:tcW w:w="707" w:type="pct"/>
            <w:shd w:val="clear" w:color="auto" w:fill="auto"/>
            <w:vAlign w:val="center"/>
          </w:tcPr>
          <w:p w14:paraId="321D5624" w14:textId="77777777" w:rsidR="0019343E" w:rsidRPr="00DB26F8" w:rsidRDefault="0019343E" w:rsidP="0019343E">
            <w:pPr>
              <w:spacing w:after="0"/>
              <w:jc w:val="right"/>
              <w:rPr>
                <w:rFonts w:eastAsia="Calibri" w:cs="Segoe UI"/>
                <w:bCs/>
                <w:sz w:val="18"/>
                <w:szCs w:val="18"/>
              </w:rPr>
            </w:pPr>
            <w:r w:rsidRPr="00DB26F8">
              <w:rPr>
                <w:rFonts w:eastAsia="Calibri" w:cs="Segoe UI"/>
                <w:bCs/>
                <w:sz w:val="18"/>
                <w:szCs w:val="18"/>
              </w:rPr>
              <w:t>4 554 459</w:t>
            </w:r>
          </w:p>
        </w:tc>
        <w:tc>
          <w:tcPr>
            <w:tcW w:w="707" w:type="pct"/>
            <w:shd w:val="clear" w:color="auto" w:fill="auto"/>
            <w:vAlign w:val="center"/>
          </w:tcPr>
          <w:p w14:paraId="2A7E64F1" w14:textId="77777777" w:rsidR="0019343E" w:rsidRPr="00DB26F8" w:rsidRDefault="0019343E" w:rsidP="0019343E">
            <w:pPr>
              <w:spacing w:after="0"/>
              <w:jc w:val="right"/>
              <w:rPr>
                <w:rFonts w:eastAsia="Calibri" w:cs="Segoe UI"/>
                <w:bCs/>
                <w:sz w:val="18"/>
                <w:szCs w:val="18"/>
              </w:rPr>
            </w:pPr>
            <w:r w:rsidRPr="00DB26F8">
              <w:rPr>
                <w:rFonts w:eastAsia="Calibri" w:cs="Segoe UI"/>
                <w:bCs/>
                <w:sz w:val="18"/>
                <w:szCs w:val="18"/>
              </w:rPr>
              <w:t>4 509 344</w:t>
            </w:r>
          </w:p>
        </w:tc>
        <w:tc>
          <w:tcPr>
            <w:tcW w:w="687" w:type="pct"/>
            <w:shd w:val="clear" w:color="auto" w:fill="auto"/>
            <w:vAlign w:val="center"/>
          </w:tcPr>
          <w:p w14:paraId="4DF33E6D" w14:textId="77777777" w:rsidR="0019343E" w:rsidRPr="00DB26F8" w:rsidRDefault="0019343E" w:rsidP="0019343E">
            <w:pPr>
              <w:spacing w:after="0"/>
              <w:jc w:val="right"/>
              <w:rPr>
                <w:rFonts w:eastAsia="Calibri" w:cs="Segoe UI"/>
                <w:bCs/>
                <w:sz w:val="18"/>
                <w:szCs w:val="18"/>
              </w:rPr>
            </w:pPr>
            <w:r w:rsidRPr="00DB26F8">
              <w:rPr>
                <w:rFonts w:eastAsia="Calibri" w:cs="Segoe UI"/>
                <w:bCs/>
                <w:sz w:val="18"/>
                <w:szCs w:val="18"/>
              </w:rPr>
              <w:t>-3 264 693</w:t>
            </w:r>
          </w:p>
        </w:tc>
        <w:tc>
          <w:tcPr>
            <w:tcW w:w="419" w:type="pct"/>
            <w:shd w:val="clear" w:color="auto" w:fill="auto"/>
            <w:vAlign w:val="center"/>
          </w:tcPr>
          <w:p w14:paraId="07AEC361" w14:textId="77777777" w:rsidR="0019343E" w:rsidRPr="00DB26F8" w:rsidRDefault="0019343E" w:rsidP="0019343E">
            <w:pPr>
              <w:spacing w:after="0"/>
              <w:jc w:val="right"/>
              <w:rPr>
                <w:rFonts w:eastAsia="Calibri" w:cs="Segoe UI"/>
                <w:bCs/>
                <w:sz w:val="18"/>
                <w:szCs w:val="18"/>
              </w:rPr>
            </w:pPr>
            <w:r w:rsidRPr="00DB26F8">
              <w:rPr>
                <w:rFonts w:eastAsia="Calibri" w:cs="Segoe UI"/>
                <w:bCs/>
                <w:sz w:val="18"/>
                <w:szCs w:val="18"/>
              </w:rPr>
              <w:t>202,4</w:t>
            </w:r>
          </w:p>
        </w:tc>
      </w:tr>
      <w:tr w:rsidR="0019343E" w:rsidRPr="00A81DDC" w14:paraId="1F53B0EB" w14:textId="77777777" w:rsidTr="00DB26F8">
        <w:trPr>
          <w:trHeight w:val="283"/>
        </w:trPr>
        <w:tc>
          <w:tcPr>
            <w:tcW w:w="1067" w:type="pct"/>
            <w:shd w:val="clear" w:color="auto" w:fill="auto"/>
            <w:vAlign w:val="center"/>
          </w:tcPr>
          <w:p w14:paraId="07ADA17A" w14:textId="77777777" w:rsidR="0019343E" w:rsidRPr="00DB26F8" w:rsidRDefault="0019343E" w:rsidP="0019343E">
            <w:pPr>
              <w:spacing w:after="0"/>
              <w:jc w:val="left"/>
              <w:rPr>
                <w:rFonts w:eastAsia="Calibri" w:cs="Segoe UI"/>
                <w:b/>
                <w:bCs/>
                <w:sz w:val="18"/>
                <w:szCs w:val="18"/>
              </w:rPr>
            </w:pPr>
            <w:r w:rsidRPr="00DB26F8">
              <w:rPr>
                <w:rFonts w:eastAsia="Calibri" w:cs="Segoe UI"/>
                <w:b/>
                <w:bCs/>
                <w:sz w:val="18"/>
                <w:szCs w:val="18"/>
              </w:rPr>
              <w:t>Celkové výdavky</w:t>
            </w:r>
          </w:p>
        </w:tc>
        <w:tc>
          <w:tcPr>
            <w:tcW w:w="707" w:type="pct"/>
            <w:vAlign w:val="center"/>
          </w:tcPr>
          <w:p w14:paraId="67D2F9C4" w14:textId="77777777" w:rsidR="0019343E" w:rsidRPr="00DB26F8" w:rsidRDefault="0019343E" w:rsidP="0019343E">
            <w:pPr>
              <w:spacing w:after="0"/>
              <w:jc w:val="right"/>
              <w:rPr>
                <w:rFonts w:eastAsia="Calibri" w:cs="Segoe UI"/>
                <w:b/>
                <w:bCs/>
                <w:sz w:val="18"/>
                <w:szCs w:val="18"/>
              </w:rPr>
            </w:pPr>
            <w:r w:rsidRPr="00DB26F8">
              <w:rPr>
                <w:rFonts w:eastAsia="Calibri" w:cs="Segoe UI"/>
                <w:b/>
                <w:bCs/>
                <w:sz w:val="18"/>
                <w:szCs w:val="18"/>
              </w:rPr>
              <w:t>23 554 555</w:t>
            </w:r>
          </w:p>
        </w:tc>
        <w:tc>
          <w:tcPr>
            <w:tcW w:w="707" w:type="pct"/>
            <w:shd w:val="clear" w:color="auto" w:fill="auto"/>
            <w:vAlign w:val="center"/>
          </w:tcPr>
          <w:p w14:paraId="23C4CA4B" w14:textId="77777777" w:rsidR="0019343E" w:rsidRPr="00DB26F8" w:rsidRDefault="0019343E" w:rsidP="0019343E">
            <w:pPr>
              <w:spacing w:after="0"/>
              <w:jc w:val="right"/>
              <w:rPr>
                <w:rFonts w:eastAsia="Calibri" w:cs="Segoe UI"/>
                <w:b/>
                <w:bCs/>
                <w:sz w:val="18"/>
                <w:szCs w:val="18"/>
              </w:rPr>
            </w:pPr>
            <w:r w:rsidRPr="00DB26F8">
              <w:rPr>
                <w:rFonts w:eastAsia="Calibri" w:cs="Segoe UI"/>
                <w:b/>
                <w:bCs/>
                <w:sz w:val="18"/>
                <w:szCs w:val="18"/>
              </w:rPr>
              <w:t>35 040 556</w:t>
            </w:r>
          </w:p>
        </w:tc>
        <w:tc>
          <w:tcPr>
            <w:tcW w:w="707" w:type="pct"/>
            <w:shd w:val="clear" w:color="auto" w:fill="auto"/>
            <w:vAlign w:val="center"/>
          </w:tcPr>
          <w:p w14:paraId="4F915CE9" w14:textId="77777777" w:rsidR="0019343E" w:rsidRPr="00DB26F8" w:rsidRDefault="0019343E" w:rsidP="0019343E">
            <w:pPr>
              <w:spacing w:after="0"/>
              <w:jc w:val="right"/>
              <w:rPr>
                <w:rFonts w:eastAsia="Calibri" w:cs="Segoe UI"/>
                <w:b/>
                <w:bCs/>
                <w:sz w:val="18"/>
                <w:szCs w:val="18"/>
              </w:rPr>
            </w:pPr>
            <w:r w:rsidRPr="00DB26F8">
              <w:rPr>
                <w:rFonts w:eastAsia="Calibri" w:cs="Segoe UI"/>
                <w:b/>
                <w:bCs/>
                <w:sz w:val="18"/>
                <w:szCs w:val="18"/>
              </w:rPr>
              <w:t>31 829 896</w:t>
            </w:r>
          </w:p>
        </w:tc>
        <w:tc>
          <w:tcPr>
            <w:tcW w:w="707" w:type="pct"/>
            <w:shd w:val="clear" w:color="auto" w:fill="auto"/>
            <w:vAlign w:val="center"/>
          </w:tcPr>
          <w:p w14:paraId="16A6434B" w14:textId="77777777" w:rsidR="0019343E" w:rsidRPr="00DB26F8" w:rsidRDefault="0019343E" w:rsidP="0019343E">
            <w:pPr>
              <w:spacing w:after="0"/>
              <w:jc w:val="right"/>
              <w:rPr>
                <w:rFonts w:eastAsia="Calibri" w:cs="Segoe UI"/>
                <w:b/>
                <w:bCs/>
                <w:sz w:val="18"/>
                <w:szCs w:val="18"/>
              </w:rPr>
            </w:pPr>
            <w:r w:rsidRPr="00DB26F8">
              <w:rPr>
                <w:rFonts w:eastAsia="Calibri" w:cs="Segoe UI"/>
                <w:b/>
                <w:bCs/>
                <w:sz w:val="18"/>
                <w:szCs w:val="18"/>
              </w:rPr>
              <w:t>31 363 983</w:t>
            </w:r>
          </w:p>
        </w:tc>
        <w:tc>
          <w:tcPr>
            <w:tcW w:w="687" w:type="pct"/>
            <w:shd w:val="clear" w:color="auto" w:fill="auto"/>
            <w:vAlign w:val="center"/>
          </w:tcPr>
          <w:p w14:paraId="03705643" w14:textId="77777777" w:rsidR="0019343E" w:rsidRPr="00DB26F8" w:rsidRDefault="0019343E" w:rsidP="0019343E">
            <w:pPr>
              <w:spacing w:after="0"/>
              <w:jc w:val="right"/>
              <w:rPr>
                <w:rFonts w:eastAsia="Calibri" w:cs="Segoe UI"/>
                <w:b/>
                <w:bCs/>
                <w:sz w:val="18"/>
                <w:szCs w:val="18"/>
              </w:rPr>
            </w:pPr>
            <w:r w:rsidRPr="00DB26F8">
              <w:rPr>
                <w:rFonts w:eastAsia="Calibri" w:cs="Segoe UI"/>
                <w:b/>
                <w:bCs/>
                <w:sz w:val="18"/>
                <w:szCs w:val="18"/>
              </w:rPr>
              <w:t>-3 676 573</w:t>
            </w:r>
          </w:p>
        </w:tc>
        <w:tc>
          <w:tcPr>
            <w:tcW w:w="419" w:type="pct"/>
            <w:shd w:val="clear" w:color="auto" w:fill="auto"/>
            <w:vAlign w:val="center"/>
          </w:tcPr>
          <w:p w14:paraId="07A9FCCB" w14:textId="77777777" w:rsidR="0019343E" w:rsidRPr="00DB26F8" w:rsidRDefault="0019343E" w:rsidP="0019343E">
            <w:pPr>
              <w:spacing w:after="0"/>
              <w:jc w:val="right"/>
              <w:rPr>
                <w:rFonts w:eastAsia="Calibri" w:cs="Segoe UI"/>
                <w:b/>
                <w:bCs/>
                <w:sz w:val="18"/>
                <w:szCs w:val="18"/>
              </w:rPr>
            </w:pPr>
            <w:r w:rsidRPr="00DB26F8">
              <w:rPr>
                <w:rFonts w:eastAsia="Calibri" w:cs="Segoe UI"/>
                <w:b/>
                <w:bCs/>
                <w:sz w:val="18"/>
                <w:szCs w:val="18"/>
              </w:rPr>
              <w:t>133,2</w:t>
            </w:r>
          </w:p>
        </w:tc>
      </w:tr>
      <w:tr w:rsidR="0019343E" w:rsidRPr="00A81DDC" w14:paraId="44167BA4" w14:textId="77777777" w:rsidTr="00DB26F8">
        <w:trPr>
          <w:trHeight w:val="283"/>
        </w:trPr>
        <w:tc>
          <w:tcPr>
            <w:tcW w:w="1067" w:type="pct"/>
            <w:shd w:val="clear" w:color="auto" w:fill="auto"/>
            <w:vAlign w:val="center"/>
          </w:tcPr>
          <w:p w14:paraId="68B6F18C" w14:textId="77777777" w:rsidR="0019343E" w:rsidRPr="00DB26F8" w:rsidRDefault="0019343E" w:rsidP="0019343E">
            <w:pPr>
              <w:spacing w:after="0"/>
              <w:jc w:val="left"/>
              <w:rPr>
                <w:rFonts w:eastAsia="Calibri" w:cs="Segoe UI"/>
                <w:bCs/>
                <w:sz w:val="18"/>
                <w:szCs w:val="18"/>
              </w:rPr>
            </w:pPr>
            <w:r w:rsidRPr="00DB26F8">
              <w:rPr>
                <w:rFonts w:eastAsia="Calibri" w:cs="Segoe UI"/>
                <w:bCs/>
                <w:sz w:val="18"/>
                <w:szCs w:val="18"/>
              </w:rPr>
              <w:t>Bežné výdavky</w:t>
            </w:r>
          </w:p>
        </w:tc>
        <w:tc>
          <w:tcPr>
            <w:tcW w:w="707" w:type="pct"/>
            <w:vAlign w:val="center"/>
          </w:tcPr>
          <w:p w14:paraId="1736EB20" w14:textId="77777777" w:rsidR="0019343E" w:rsidRPr="00DB26F8" w:rsidRDefault="0019343E" w:rsidP="0019343E">
            <w:pPr>
              <w:spacing w:after="0"/>
              <w:jc w:val="right"/>
              <w:rPr>
                <w:rFonts w:eastAsia="Calibri" w:cs="Segoe UI"/>
                <w:bCs/>
                <w:sz w:val="18"/>
                <w:szCs w:val="18"/>
              </w:rPr>
            </w:pPr>
            <w:r w:rsidRPr="00DB26F8">
              <w:rPr>
                <w:rFonts w:eastAsia="Calibri" w:cs="Segoe UI"/>
                <w:bCs/>
                <w:sz w:val="18"/>
                <w:szCs w:val="18"/>
              </w:rPr>
              <w:t>20 847 550</w:t>
            </w:r>
          </w:p>
        </w:tc>
        <w:tc>
          <w:tcPr>
            <w:tcW w:w="707" w:type="pct"/>
            <w:shd w:val="clear" w:color="auto" w:fill="auto"/>
            <w:vAlign w:val="center"/>
          </w:tcPr>
          <w:p w14:paraId="30E6F747" w14:textId="77777777" w:rsidR="0019343E" w:rsidRPr="00DB26F8" w:rsidRDefault="0019343E" w:rsidP="0019343E">
            <w:pPr>
              <w:spacing w:after="0"/>
              <w:jc w:val="right"/>
              <w:rPr>
                <w:rFonts w:eastAsia="Calibri" w:cs="Segoe UI"/>
                <w:bCs/>
                <w:sz w:val="18"/>
                <w:szCs w:val="18"/>
              </w:rPr>
            </w:pPr>
            <w:r w:rsidRPr="00DB26F8">
              <w:rPr>
                <w:rFonts w:eastAsia="Calibri" w:cs="Segoe UI"/>
                <w:bCs/>
                <w:sz w:val="18"/>
                <w:szCs w:val="18"/>
              </w:rPr>
              <w:t>29 094 461</w:t>
            </w:r>
          </w:p>
        </w:tc>
        <w:tc>
          <w:tcPr>
            <w:tcW w:w="707" w:type="pct"/>
            <w:shd w:val="clear" w:color="auto" w:fill="auto"/>
            <w:vAlign w:val="center"/>
          </w:tcPr>
          <w:p w14:paraId="27A931AA" w14:textId="77777777" w:rsidR="0019343E" w:rsidRPr="00DB26F8" w:rsidRDefault="0019343E" w:rsidP="0019343E">
            <w:pPr>
              <w:spacing w:after="0"/>
              <w:jc w:val="right"/>
              <w:rPr>
                <w:rFonts w:eastAsia="Calibri" w:cs="Segoe UI"/>
                <w:bCs/>
                <w:sz w:val="18"/>
                <w:szCs w:val="18"/>
              </w:rPr>
            </w:pPr>
            <w:r w:rsidRPr="00DB26F8">
              <w:rPr>
                <w:rFonts w:eastAsia="Calibri" w:cs="Segoe UI"/>
                <w:bCs/>
                <w:sz w:val="18"/>
                <w:szCs w:val="18"/>
              </w:rPr>
              <w:t>27 068 533</w:t>
            </w:r>
          </w:p>
        </w:tc>
        <w:tc>
          <w:tcPr>
            <w:tcW w:w="707" w:type="pct"/>
            <w:shd w:val="clear" w:color="auto" w:fill="auto"/>
            <w:vAlign w:val="center"/>
          </w:tcPr>
          <w:p w14:paraId="20E31C8E" w14:textId="77777777" w:rsidR="0019343E" w:rsidRPr="00DB26F8" w:rsidRDefault="0019343E" w:rsidP="0019343E">
            <w:pPr>
              <w:spacing w:after="0"/>
              <w:jc w:val="right"/>
              <w:rPr>
                <w:rFonts w:eastAsia="Calibri" w:cs="Segoe UI"/>
                <w:bCs/>
                <w:sz w:val="18"/>
                <w:szCs w:val="18"/>
              </w:rPr>
            </w:pPr>
            <w:r w:rsidRPr="00DB26F8">
              <w:rPr>
                <w:rFonts w:eastAsia="Calibri" w:cs="Segoe UI"/>
                <w:bCs/>
                <w:sz w:val="18"/>
                <w:szCs w:val="18"/>
              </w:rPr>
              <w:t>26 649 828</w:t>
            </w:r>
          </w:p>
        </w:tc>
        <w:tc>
          <w:tcPr>
            <w:tcW w:w="687" w:type="pct"/>
            <w:shd w:val="clear" w:color="auto" w:fill="auto"/>
            <w:vAlign w:val="center"/>
          </w:tcPr>
          <w:p w14:paraId="43CB263D" w14:textId="77777777" w:rsidR="0019343E" w:rsidRPr="00DB26F8" w:rsidRDefault="0019343E" w:rsidP="0019343E">
            <w:pPr>
              <w:spacing w:after="0"/>
              <w:jc w:val="right"/>
              <w:rPr>
                <w:rFonts w:eastAsia="Calibri" w:cs="Segoe UI"/>
                <w:bCs/>
                <w:sz w:val="18"/>
                <w:szCs w:val="18"/>
              </w:rPr>
            </w:pPr>
            <w:r w:rsidRPr="00DB26F8">
              <w:rPr>
                <w:rFonts w:eastAsia="Calibri" w:cs="Segoe UI"/>
                <w:bCs/>
                <w:sz w:val="18"/>
                <w:szCs w:val="18"/>
              </w:rPr>
              <w:t>-2 444 633</w:t>
            </w:r>
          </w:p>
        </w:tc>
        <w:tc>
          <w:tcPr>
            <w:tcW w:w="419" w:type="pct"/>
            <w:shd w:val="clear" w:color="auto" w:fill="auto"/>
            <w:vAlign w:val="center"/>
          </w:tcPr>
          <w:p w14:paraId="6386C3E8" w14:textId="77777777" w:rsidR="0019343E" w:rsidRPr="00DB26F8" w:rsidRDefault="0019343E" w:rsidP="0019343E">
            <w:pPr>
              <w:spacing w:after="0"/>
              <w:jc w:val="right"/>
              <w:rPr>
                <w:rFonts w:eastAsia="Calibri" w:cs="Segoe UI"/>
                <w:bCs/>
                <w:sz w:val="18"/>
                <w:szCs w:val="18"/>
              </w:rPr>
            </w:pPr>
            <w:r w:rsidRPr="00DB26F8">
              <w:rPr>
                <w:rFonts w:eastAsia="Calibri" w:cs="Segoe UI"/>
                <w:bCs/>
                <w:sz w:val="18"/>
                <w:szCs w:val="18"/>
              </w:rPr>
              <w:t>127,8</w:t>
            </w:r>
          </w:p>
        </w:tc>
      </w:tr>
      <w:tr w:rsidR="0019343E" w:rsidRPr="00A81DDC" w14:paraId="38EA4A0B" w14:textId="77777777" w:rsidTr="00DB26F8">
        <w:trPr>
          <w:trHeight w:val="283"/>
        </w:trPr>
        <w:tc>
          <w:tcPr>
            <w:tcW w:w="1067" w:type="pct"/>
            <w:shd w:val="clear" w:color="auto" w:fill="auto"/>
            <w:vAlign w:val="center"/>
          </w:tcPr>
          <w:p w14:paraId="2D920CAF" w14:textId="77777777" w:rsidR="0019343E" w:rsidRPr="00DB26F8" w:rsidRDefault="0019343E" w:rsidP="0019343E">
            <w:pPr>
              <w:spacing w:after="0"/>
              <w:ind w:right="-93"/>
              <w:jc w:val="left"/>
              <w:rPr>
                <w:rFonts w:eastAsia="Calibri" w:cs="Segoe UI"/>
                <w:bCs/>
                <w:sz w:val="18"/>
                <w:szCs w:val="18"/>
              </w:rPr>
            </w:pPr>
            <w:r w:rsidRPr="00DB26F8">
              <w:rPr>
                <w:rFonts w:eastAsia="Calibri" w:cs="Segoe UI"/>
                <w:bCs/>
                <w:sz w:val="18"/>
                <w:szCs w:val="18"/>
              </w:rPr>
              <w:t>Kapitálové výdavky</w:t>
            </w:r>
          </w:p>
        </w:tc>
        <w:tc>
          <w:tcPr>
            <w:tcW w:w="707" w:type="pct"/>
            <w:vAlign w:val="center"/>
          </w:tcPr>
          <w:p w14:paraId="5199FED8" w14:textId="77777777" w:rsidR="0019343E" w:rsidRPr="00DB26F8" w:rsidRDefault="0019343E" w:rsidP="0019343E">
            <w:pPr>
              <w:spacing w:after="0"/>
              <w:jc w:val="right"/>
              <w:rPr>
                <w:rFonts w:eastAsia="Calibri" w:cs="Segoe UI"/>
                <w:bCs/>
                <w:sz w:val="18"/>
                <w:szCs w:val="18"/>
              </w:rPr>
            </w:pPr>
            <w:r w:rsidRPr="00DB26F8">
              <w:rPr>
                <w:rFonts w:eastAsia="Calibri" w:cs="Segoe UI"/>
                <w:bCs/>
                <w:sz w:val="18"/>
                <w:szCs w:val="18"/>
              </w:rPr>
              <w:t>2 707 004</w:t>
            </w:r>
          </w:p>
        </w:tc>
        <w:tc>
          <w:tcPr>
            <w:tcW w:w="707" w:type="pct"/>
            <w:shd w:val="clear" w:color="auto" w:fill="auto"/>
            <w:vAlign w:val="center"/>
          </w:tcPr>
          <w:p w14:paraId="1BD2971D" w14:textId="77777777" w:rsidR="0019343E" w:rsidRPr="00DB26F8" w:rsidRDefault="0019343E" w:rsidP="0019343E">
            <w:pPr>
              <w:spacing w:after="0"/>
              <w:jc w:val="right"/>
              <w:rPr>
                <w:rFonts w:eastAsia="Calibri" w:cs="Segoe UI"/>
                <w:bCs/>
                <w:sz w:val="18"/>
                <w:szCs w:val="18"/>
              </w:rPr>
            </w:pPr>
            <w:r w:rsidRPr="00DB26F8">
              <w:rPr>
                <w:rFonts w:eastAsia="Calibri" w:cs="Segoe UI"/>
                <w:bCs/>
                <w:sz w:val="18"/>
                <w:szCs w:val="18"/>
              </w:rPr>
              <w:t>5 946 095</w:t>
            </w:r>
          </w:p>
        </w:tc>
        <w:tc>
          <w:tcPr>
            <w:tcW w:w="707" w:type="pct"/>
            <w:shd w:val="clear" w:color="auto" w:fill="auto"/>
            <w:vAlign w:val="center"/>
          </w:tcPr>
          <w:p w14:paraId="78FBE390" w14:textId="77777777" w:rsidR="0019343E" w:rsidRPr="00DB26F8" w:rsidRDefault="0019343E" w:rsidP="0019343E">
            <w:pPr>
              <w:spacing w:after="0"/>
              <w:jc w:val="right"/>
              <w:rPr>
                <w:rFonts w:eastAsia="Calibri" w:cs="Segoe UI"/>
                <w:bCs/>
                <w:sz w:val="18"/>
                <w:szCs w:val="18"/>
              </w:rPr>
            </w:pPr>
            <w:r w:rsidRPr="00DB26F8">
              <w:rPr>
                <w:rFonts w:eastAsia="Calibri" w:cs="Segoe UI"/>
                <w:bCs/>
                <w:sz w:val="18"/>
                <w:szCs w:val="18"/>
              </w:rPr>
              <w:t>4 761 363</w:t>
            </w:r>
          </w:p>
        </w:tc>
        <w:tc>
          <w:tcPr>
            <w:tcW w:w="707" w:type="pct"/>
            <w:shd w:val="clear" w:color="auto" w:fill="auto"/>
            <w:vAlign w:val="center"/>
          </w:tcPr>
          <w:p w14:paraId="7255F5B5" w14:textId="77777777" w:rsidR="0019343E" w:rsidRPr="00DB26F8" w:rsidRDefault="0019343E" w:rsidP="0019343E">
            <w:pPr>
              <w:spacing w:after="0"/>
              <w:jc w:val="right"/>
              <w:rPr>
                <w:rFonts w:eastAsia="Calibri" w:cs="Segoe UI"/>
                <w:bCs/>
                <w:sz w:val="18"/>
                <w:szCs w:val="18"/>
              </w:rPr>
            </w:pPr>
            <w:r w:rsidRPr="00DB26F8">
              <w:rPr>
                <w:rFonts w:eastAsia="Calibri" w:cs="Segoe UI"/>
                <w:bCs/>
                <w:sz w:val="18"/>
                <w:szCs w:val="18"/>
              </w:rPr>
              <w:t>4 714 155</w:t>
            </w:r>
          </w:p>
        </w:tc>
        <w:tc>
          <w:tcPr>
            <w:tcW w:w="687" w:type="pct"/>
            <w:shd w:val="clear" w:color="auto" w:fill="auto"/>
            <w:vAlign w:val="center"/>
          </w:tcPr>
          <w:p w14:paraId="66C01E42" w14:textId="77777777" w:rsidR="0019343E" w:rsidRPr="00DB26F8" w:rsidRDefault="0019343E" w:rsidP="0019343E">
            <w:pPr>
              <w:spacing w:after="0"/>
              <w:jc w:val="right"/>
              <w:rPr>
                <w:rFonts w:eastAsia="Calibri" w:cs="Segoe UI"/>
                <w:bCs/>
                <w:sz w:val="18"/>
                <w:szCs w:val="18"/>
              </w:rPr>
            </w:pPr>
            <w:r w:rsidRPr="00DB26F8">
              <w:rPr>
                <w:rFonts w:eastAsia="Calibri" w:cs="Segoe UI"/>
                <w:bCs/>
                <w:sz w:val="18"/>
                <w:szCs w:val="18"/>
              </w:rPr>
              <w:t>-1 231 940</w:t>
            </w:r>
          </w:p>
        </w:tc>
        <w:tc>
          <w:tcPr>
            <w:tcW w:w="419" w:type="pct"/>
            <w:shd w:val="clear" w:color="auto" w:fill="auto"/>
            <w:vAlign w:val="center"/>
          </w:tcPr>
          <w:p w14:paraId="7355AD67" w14:textId="77777777" w:rsidR="0019343E" w:rsidRPr="00DB26F8" w:rsidRDefault="0019343E" w:rsidP="0019343E">
            <w:pPr>
              <w:spacing w:after="0"/>
              <w:jc w:val="right"/>
              <w:rPr>
                <w:rFonts w:eastAsia="Calibri" w:cs="Segoe UI"/>
                <w:bCs/>
                <w:sz w:val="18"/>
                <w:szCs w:val="18"/>
              </w:rPr>
            </w:pPr>
            <w:r w:rsidRPr="00DB26F8">
              <w:rPr>
                <w:rFonts w:eastAsia="Calibri" w:cs="Segoe UI"/>
                <w:bCs/>
                <w:sz w:val="18"/>
                <w:szCs w:val="18"/>
              </w:rPr>
              <w:t>174,1</w:t>
            </w:r>
          </w:p>
        </w:tc>
      </w:tr>
      <w:tr w:rsidR="0019343E" w:rsidRPr="00A81DDC" w14:paraId="33276DD9" w14:textId="77777777" w:rsidTr="00DB26F8">
        <w:trPr>
          <w:trHeight w:val="283"/>
        </w:trPr>
        <w:tc>
          <w:tcPr>
            <w:tcW w:w="1067" w:type="pct"/>
            <w:tcBorders>
              <w:bottom w:val="single" w:sz="4" w:space="0" w:color="314364"/>
            </w:tcBorders>
            <w:shd w:val="clear" w:color="auto" w:fill="auto"/>
            <w:vAlign w:val="center"/>
          </w:tcPr>
          <w:p w14:paraId="0F276B21" w14:textId="77777777" w:rsidR="0019343E" w:rsidRPr="00DB26F8" w:rsidRDefault="0019343E" w:rsidP="0019343E">
            <w:pPr>
              <w:spacing w:after="0"/>
              <w:jc w:val="left"/>
              <w:rPr>
                <w:rFonts w:eastAsia="Calibri" w:cs="Segoe UI"/>
                <w:b/>
                <w:bCs/>
                <w:sz w:val="18"/>
                <w:szCs w:val="18"/>
              </w:rPr>
            </w:pPr>
            <w:r w:rsidRPr="00DB26F8">
              <w:rPr>
                <w:rFonts w:eastAsia="Calibri" w:cs="Segoe UI"/>
                <w:b/>
                <w:bCs/>
                <w:sz w:val="18"/>
                <w:szCs w:val="18"/>
              </w:rPr>
              <w:t>Schodok ŠR</w:t>
            </w:r>
          </w:p>
        </w:tc>
        <w:tc>
          <w:tcPr>
            <w:tcW w:w="707" w:type="pct"/>
            <w:tcBorders>
              <w:bottom w:val="single" w:sz="4" w:space="0" w:color="314364"/>
            </w:tcBorders>
            <w:vAlign w:val="center"/>
          </w:tcPr>
          <w:p w14:paraId="65C0A656" w14:textId="77777777" w:rsidR="0019343E" w:rsidRPr="00DB26F8" w:rsidRDefault="0019343E" w:rsidP="0019343E">
            <w:pPr>
              <w:spacing w:after="0"/>
              <w:jc w:val="right"/>
              <w:rPr>
                <w:rFonts w:eastAsia="Calibri" w:cs="Segoe UI"/>
                <w:b/>
                <w:bCs/>
                <w:sz w:val="18"/>
                <w:szCs w:val="18"/>
              </w:rPr>
            </w:pPr>
            <w:r w:rsidRPr="00DB26F8">
              <w:rPr>
                <w:rFonts w:eastAsia="Calibri" w:cs="Segoe UI"/>
                <w:b/>
                <w:bCs/>
                <w:sz w:val="18"/>
                <w:szCs w:val="18"/>
              </w:rPr>
              <w:t>-4 524 853</w:t>
            </w:r>
          </w:p>
        </w:tc>
        <w:tc>
          <w:tcPr>
            <w:tcW w:w="707" w:type="pct"/>
            <w:tcBorders>
              <w:bottom w:val="single" w:sz="4" w:space="0" w:color="314364"/>
            </w:tcBorders>
            <w:shd w:val="clear" w:color="auto" w:fill="auto"/>
            <w:vAlign w:val="center"/>
          </w:tcPr>
          <w:p w14:paraId="2ABA2E00" w14:textId="77777777" w:rsidR="0019343E" w:rsidRPr="00DB26F8" w:rsidRDefault="0019343E" w:rsidP="0019343E">
            <w:pPr>
              <w:spacing w:after="0"/>
              <w:jc w:val="right"/>
              <w:rPr>
                <w:rFonts w:eastAsia="Calibri" w:cs="Segoe UI"/>
                <w:b/>
                <w:bCs/>
                <w:sz w:val="18"/>
                <w:szCs w:val="18"/>
              </w:rPr>
            </w:pPr>
            <w:r w:rsidRPr="00DB26F8">
              <w:rPr>
                <w:rFonts w:eastAsia="Calibri" w:cs="Segoe UI"/>
                <w:b/>
                <w:bCs/>
                <w:sz w:val="18"/>
                <w:szCs w:val="18"/>
              </w:rPr>
              <w:t>-8 341 372</w:t>
            </w:r>
          </w:p>
        </w:tc>
        <w:tc>
          <w:tcPr>
            <w:tcW w:w="707" w:type="pct"/>
            <w:tcBorders>
              <w:bottom w:val="single" w:sz="4" w:space="0" w:color="314364"/>
            </w:tcBorders>
            <w:shd w:val="clear" w:color="auto" w:fill="auto"/>
            <w:vAlign w:val="center"/>
          </w:tcPr>
          <w:p w14:paraId="43837A09" w14:textId="77777777" w:rsidR="0019343E" w:rsidRPr="00DB26F8" w:rsidRDefault="0019343E" w:rsidP="0019343E">
            <w:pPr>
              <w:spacing w:after="0"/>
              <w:jc w:val="right"/>
              <w:rPr>
                <w:rFonts w:eastAsia="Calibri" w:cs="Segoe UI"/>
                <w:b/>
                <w:bCs/>
                <w:sz w:val="18"/>
                <w:szCs w:val="18"/>
              </w:rPr>
            </w:pPr>
            <w:r w:rsidRPr="00DB26F8">
              <w:rPr>
                <w:rFonts w:eastAsia="Calibri" w:cs="Segoe UI"/>
                <w:b/>
                <w:bCs/>
                <w:sz w:val="18"/>
                <w:szCs w:val="18"/>
              </w:rPr>
              <w:t>-8 350 283</w:t>
            </w:r>
          </w:p>
        </w:tc>
        <w:tc>
          <w:tcPr>
            <w:tcW w:w="707" w:type="pct"/>
            <w:tcBorders>
              <w:bottom w:val="single" w:sz="4" w:space="0" w:color="314364"/>
            </w:tcBorders>
            <w:shd w:val="clear" w:color="auto" w:fill="auto"/>
            <w:vAlign w:val="center"/>
          </w:tcPr>
          <w:p w14:paraId="25ED826A" w14:textId="77777777" w:rsidR="0019343E" w:rsidRPr="00DB26F8" w:rsidRDefault="0019343E" w:rsidP="0019343E">
            <w:pPr>
              <w:spacing w:after="0"/>
              <w:jc w:val="right"/>
              <w:rPr>
                <w:rFonts w:eastAsia="Calibri" w:cs="Segoe UI"/>
                <w:b/>
                <w:bCs/>
                <w:sz w:val="18"/>
                <w:szCs w:val="18"/>
              </w:rPr>
            </w:pPr>
            <w:r w:rsidRPr="00DB26F8">
              <w:rPr>
                <w:rFonts w:eastAsia="Calibri" w:cs="Segoe UI"/>
                <w:b/>
                <w:bCs/>
                <w:sz w:val="18"/>
                <w:szCs w:val="18"/>
              </w:rPr>
              <w:t>-7 675 337</w:t>
            </w:r>
          </w:p>
        </w:tc>
        <w:tc>
          <w:tcPr>
            <w:tcW w:w="687" w:type="pct"/>
            <w:tcBorders>
              <w:bottom w:val="single" w:sz="4" w:space="0" w:color="314364"/>
            </w:tcBorders>
            <w:shd w:val="clear" w:color="auto" w:fill="auto"/>
            <w:vAlign w:val="center"/>
          </w:tcPr>
          <w:p w14:paraId="23B0D980" w14:textId="77777777" w:rsidR="0019343E" w:rsidRPr="00DB26F8" w:rsidRDefault="0019343E" w:rsidP="0019343E">
            <w:pPr>
              <w:spacing w:after="0"/>
              <w:jc w:val="right"/>
              <w:rPr>
                <w:rFonts w:eastAsia="Calibri" w:cs="Segoe UI"/>
                <w:b/>
                <w:bCs/>
                <w:sz w:val="18"/>
                <w:szCs w:val="18"/>
              </w:rPr>
            </w:pPr>
            <w:r w:rsidRPr="00DB26F8">
              <w:rPr>
                <w:rFonts w:eastAsia="Calibri" w:cs="Segoe UI"/>
                <w:b/>
                <w:bCs/>
                <w:sz w:val="18"/>
                <w:szCs w:val="18"/>
              </w:rPr>
              <w:t>666 035</w:t>
            </w:r>
          </w:p>
        </w:tc>
        <w:tc>
          <w:tcPr>
            <w:tcW w:w="419" w:type="pct"/>
            <w:tcBorders>
              <w:bottom w:val="single" w:sz="4" w:space="0" w:color="314364"/>
            </w:tcBorders>
            <w:shd w:val="clear" w:color="auto" w:fill="auto"/>
            <w:vAlign w:val="center"/>
          </w:tcPr>
          <w:p w14:paraId="5294D7CB" w14:textId="77777777" w:rsidR="0019343E" w:rsidRPr="00DB26F8" w:rsidRDefault="0019343E" w:rsidP="0019343E">
            <w:pPr>
              <w:spacing w:after="0"/>
              <w:jc w:val="right"/>
              <w:rPr>
                <w:rFonts w:eastAsia="Calibri" w:cs="Segoe UI"/>
                <w:b/>
                <w:bCs/>
                <w:sz w:val="18"/>
                <w:szCs w:val="18"/>
              </w:rPr>
            </w:pPr>
            <w:r w:rsidRPr="00DB26F8">
              <w:rPr>
                <w:rFonts w:eastAsia="Calibri" w:cs="Segoe UI"/>
                <w:b/>
                <w:bCs/>
                <w:sz w:val="18"/>
                <w:szCs w:val="18"/>
              </w:rPr>
              <w:t>169,6</w:t>
            </w:r>
          </w:p>
        </w:tc>
      </w:tr>
    </w:tbl>
    <w:p w14:paraId="0AADF547" w14:textId="400EEC0E" w:rsidR="00344CF5" w:rsidRPr="00496205" w:rsidRDefault="00344CF5" w:rsidP="00344CF5">
      <w:pPr>
        <w:pStyle w:val="Zdroj"/>
      </w:pPr>
      <w:r w:rsidRPr="00496205">
        <w:t>Zdroj: Návrh ŠZÚ 202</w:t>
      </w:r>
      <w:r>
        <w:t>3.</w:t>
      </w:r>
      <w:r w:rsidRPr="00496205">
        <w:br/>
        <w:t>S – skutočnosť, R – rozpočet, UR – upravený rozpočet, YoY – medziročná zmena</w:t>
      </w:r>
    </w:p>
    <w:p w14:paraId="41438DB2" w14:textId="77777777" w:rsidR="002D216B" w:rsidRDefault="002D216B" w:rsidP="002D216B">
      <w:pPr>
        <w:pStyle w:val="Zkladntext0"/>
        <w:spacing w:after="120"/>
        <w:jc w:val="both"/>
        <w:rPr>
          <w:rFonts w:ascii="Segoe UI" w:eastAsia="Times New Roman" w:hAnsi="Segoe UI" w:cs="Segoe UI"/>
          <w:sz w:val="20"/>
        </w:rPr>
      </w:pPr>
      <w:r w:rsidRPr="00321E01">
        <w:rPr>
          <w:rFonts w:ascii="Segoe UI" w:eastAsia="Times New Roman" w:hAnsi="Segoe UI" w:cs="Segoe UI"/>
          <w:b/>
          <w:sz w:val="20"/>
        </w:rPr>
        <w:t xml:space="preserve">Súčasťou rozpočtu kapitoly VPS boli oproti minulosti aj výdavky na transfer do </w:t>
      </w:r>
      <w:r>
        <w:rPr>
          <w:rFonts w:ascii="Segoe UI" w:eastAsia="Times New Roman" w:hAnsi="Segoe UI" w:cs="Segoe UI"/>
          <w:b/>
          <w:sz w:val="20"/>
        </w:rPr>
        <w:t>ŠFA</w:t>
      </w:r>
      <w:r w:rsidRPr="00321E01">
        <w:rPr>
          <w:rFonts w:ascii="Segoe UI" w:eastAsia="Times New Roman" w:hAnsi="Segoe UI" w:cs="Segoe UI"/>
          <w:b/>
          <w:sz w:val="20"/>
        </w:rPr>
        <w:t xml:space="preserve"> vo výške 750 mil. eur, z ktorých bolo trvalo viazaných 709 mil. eur, čo zodpovedalo sankcii v podobe</w:t>
      </w:r>
      <w:r>
        <w:rPr>
          <w:rFonts w:ascii="Segoe UI" w:eastAsia="Times New Roman" w:hAnsi="Segoe UI" w:cs="Segoe UI"/>
          <w:sz w:val="20"/>
        </w:rPr>
        <w:t xml:space="preserve"> </w:t>
      </w:r>
      <w:r w:rsidRPr="000023FB">
        <w:rPr>
          <w:rFonts w:ascii="Segoe UI" w:eastAsia="Times New Roman" w:hAnsi="Segoe UI" w:cs="Segoe UI"/>
          <w:b/>
          <w:sz w:val="20"/>
        </w:rPr>
        <w:t xml:space="preserve">viazania výdavkov </w:t>
      </w:r>
      <w:r>
        <w:rPr>
          <w:rFonts w:ascii="Segoe UI" w:eastAsia="Times New Roman" w:hAnsi="Segoe UI" w:cs="Segoe UI"/>
          <w:b/>
          <w:sz w:val="20"/>
        </w:rPr>
        <w:t>ŠR</w:t>
      </w:r>
      <w:r w:rsidRPr="000023FB">
        <w:rPr>
          <w:rFonts w:ascii="Segoe UI" w:eastAsia="Times New Roman" w:hAnsi="Segoe UI" w:cs="Segoe UI"/>
          <w:b/>
          <w:sz w:val="20"/>
        </w:rPr>
        <w:t xml:space="preserve"> vo výške 3 % z celkových výdavkov</w:t>
      </w:r>
      <w:r>
        <w:rPr>
          <w:rFonts w:ascii="Segoe UI" w:eastAsia="Times New Roman" w:hAnsi="Segoe UI" w:cs="Segoe UI"/>
          <w:sz w:val="20"/>
        </w:rPr>
        <w:t xml:space="preserve">. Zvyšok nebol použitý na pôvodne určenú kapitalizáciu existujúcich spoločností s majetkovou účasťou štátu, ale väčšina bola presunutá na výdavky na realizáciu nerozpočtovaných potrieb (40 mil. eur) a na príspevok politickým stranám a hnutiam. </w:t>
      </w:r>
    </w:p>
    <w:p w14:paraId="7BE14EE4" w14:textId="510BCD21" w:rsidR="002F4F44" w:rsidRDefault="002F4F44" w:rsidP="00344CF5">
      <w:pPr>
        <w:rPr>
          <w:rFonts w:eastAsia="Times New Roman" w:cs="Segoe UI"/>
        </w:rPr>
      </w:pPr>
      <w:r w:rsidRPr="00867419">
        <w:rPr>
          <w:rFonts w:eastAsia="Times New Roman" w:cs="Segoe UI"/>
          <w:b/>
        </w:rPr>
        <w:t>Zámery vo vybraných výdavkových položkách sa v predchádzajúcom roku darilo napĺňať s výnimkou POO</w:t>
      </w:r>
      <w:r w:rsidR="000E5831">
        <w:rPr>
          <w:rFonts w:eastAsia="Times New Roman" w:cs="Segoe UI"/>
          <w:b/>
        </w:rPr>
        <w:t xml:space="preserve"> </w:t>
      </w:r>
      <w:r w:rsidR="000E5831">
        <w:rPr>
          <w:rFonts w:eastAsia="Times New Roman" w:cs="Segoe UI"/>
        </w:rPr>
        <w:t>(tabuľka 5).</w:t>
      </w:r>
      <w:r>
        <w:rPr>
          <w:rFonts w:eastAsia="Times New Roman" w:cs="Segoe UI"/>
        </w:rPr>
        <w:t xml:space="preserve"> Výdavky na obsluhu štátneho dlhu sú medziročne na rovnakej úrovni</w:t>
      </w:r>
      <w:r w:rsidR="00DC45A4">
        <w:rPr>
          <w:rFonts w:eastAsia="Times New Roman" w:cs="Segoe UI"/>
        </w:rPr>
        <w:t xml:space="preserve"> a</w:t>
      </w:r>
      <w:r>
        <w:rPr>
          <w:rFonts w:eastAsia="Times New Roman" w:cs="Segoe UI"/>
        </w:rPr>
        <w:t xml:space="preserve"> úspora oproti rozpočtu </w:t>
      </w:r>
      <w:r w:rsidR="00DC45A4">
        <w:rPr>
          <w:rFonts w:eastAsia="Times New Roman" w:cs="Segoe UI"/>
        </w:rPr>
        <w:t>i</w:t>
      </w:r>
      <w:r>
        <w:rPr>
          <w:rFonts w:eastAsia="Times New Roman" w:cs="Segoe UI"/>
        </w:rPr>
        <w:t>šla na vrub výnosom z </w:t>
      </w:r>
      <w:r w:rsidRPr="00867419">
        <w:rPr>
          <w:rFonts w:eastAsia="Times New Roman" w:cs="Segoe UI"/>
        </w:rPr>
        <w:t>krátkodobé</w:t>
      </w:r>
      <w:r>
        <w:rPr>
          <w:rFonts w:eastAsia="Times New Roman" w:cs="Segoe UI"/>
        </w:rPr>
        <w:t>ho</w:t>
      </w:r>
      <w:r w:rsidRPr="00867419">
        <w:rPr>
          <w:rFonts w:eastAsia="Times New Roman" w:cs="Segoe UI"/>
        </w:rPr>
        <w:t xml:space="preserve"> investovani</w:t>
      </w:r>
      <w:r>
        <w:rPr>
          <w:rFonts w:eastAsia="Times New Roman" w:cs="Segoe UI"/>
        </w:rPr>
        <w:t>a</w:t>
      </w:r>
      <w:r w:rsidRPr="00867419">
        <w:rPr>
          <w:rFonts w:eastAsia="Times New Roman" w:cs="Segoe UI"/>
        </w:rPr>
        <w:t xml:space="preserve"> dočasných voľných finančných prostriedkov na peňažnom trhu</w:t>
      </w:r>
      <w:r>
        <w:rPr>
          <w:rFonts w:eastAsia="Times New Roman" w:cs="Segoe UI"/>
        </w:rPr>
        <w:t xml:space="preserve"> (napr. nečerpané POO). Rok 2023 bol z hľadiska čerpania zdrojov EÚ úspešnejší ako predchádzajúci. Medziročne bolo čerpanie fondov EÚ viac než dvojnásobné a POO sedemnásobné, no stále s mnohými problémami </w:t>
      </w:r>
      <w:r w:rsidR="00137EA9">
        <w:rPr>
          <w:rFonts w:eastAsia="Times New Roman" w:cs="Segoe UI"/>
        </w:rPr>
        <w:t>(viac v kapitole 4)</w:t>
      </w:r>
      <w:r>
        <w:rPr>
          <w:rFonts w:eastAsia="Times New Roman" w:cs="Segoe UI"/>
        </w:rPr>
        <w:t xml:space="preserve">. Odvod do rozpočtu EÚ bol v roku 2023 na rovnakej úrovni ako v 2022, pričom rozdiel oproti rozpočtu bol zapríčinený zmenami na strane EÚ ovplyvňujúcimi konečnú prepočítanú sumu. Transfer na zabezpečenie platobnej schopnosti </w:t>
      </w:r>
      <w:r>
        <w:rPr>
          <w:rFonts w:eastAsia="Times New Roman" w:cs="Segoe UI"/>
        </w:rPr>
        <w:lastRenderedPageBreak/>
        <w:t>SP nebol rozpočtovaný, no v skutočnosti dosiahol 1,16 mld. eur pre významné legis</w:t>
      </w:r>
      <w:r w:rsidR="00C43ABB">
        <w:rPr>
          <w:rFonts w:eastAsia="Times New Roman" w:cs="Segoe UI"/>
        </w:rPr>
        <w:t>latívne zmeny (viac v kapitole 3.4).</w:t>
      </w:r>
    </w:p>
    <w:tbl>
      <w:tblPr>
        <w:tblpPr w:leftFromText="141" w:rightFromText="141" w:vertAnchor="text" w:horzAnchor="margin" w:tblpXSpec="center" w:tblpY="334"/>
        <w:tblOverlap w:val="never"/>
        <w:tblW w:w="5000" w:type="pct"/>
        <w:tblCellMar>
          <w:top w:w="28" w:type="dxa"/>
        </w:tblCellMar>
        <w:tblLook w:val="04A0" w:firstRow="1" w:lastRow="0" w:firstColumn="1" w:lastColumn="0" w:noHBand="0" w:noVBand="1"/>
      </w:tblPr>
      <w:tblGrid>
        <w:gridCol w:w="3230"/>
        <w:gridCol w:w="1252"/>
        <w:gridCol w:w="1252"/>
        <w:gridCol w:w="1252"/>
        <w:gridCol w:w="1219"/>
        <w:gridCol w:w="865"/>
      </w:tblGrid>
      <w:tr w:rsidR="0038046B" w:rsidRPr="00A81DDC" w14:paraId="1B396CDC" w14:textId="77777777" w:rsidTr="00DB26F8">
        <w:trPr>
          <w:trHeight w:val="283"/>
        </w:trPr>
        <w:tc>
          <w:tcPr>
            <w:tcW w:w="1780" w:type="pct"/>
            <w:shd w:val="clear" w:color="auto" w:fill="314364"/>
            <w:vAlign w:val="center"/>
          </w:tcPr>
          <w:p w14:paraId="4BFC8113" w14:textId="77777777" w:rsidR="0038046B" w:rsidRPr="00DB26F8" w:rsidRDefault="0038046B" w:rsidP="0019343E">
            <w:pPr>
              <w:spacing w:after="0" w:line="259" w:lineRule="auto"/>
              <w:jc w:val="left"/>
              <w:rPr>
                <w:rFonts w:cs="Segoe UI"/>
                <w:color w:val="000000"/>
                <w:sz w:val="18"/>
                <w:szCs w:val="18"/>
              </w:rPr>
            </w:pPr>
            <w:r w:rsidRPr="00A81DDC">
              <w:rPr>
                <w:rFonts w:eastAsia="Calibri" w:cs="Segoe UI"/>
                <w:b/>
                <w:bCs/>
                <w:color w:val="FFFFFF"/>
                <w:sz w:val="18"/>
                <w:szCs w:val="18"/>
              </w:rPr>
              <w:t>Ukazovateľ</w:t>
            </w:r>
          </w:p>
        </w:tc>
        <w:tc>
          <w:tcPr>
            <w:tcW w:w="690" w:type="pct"/>
            <w:shd w:val="clear" w:color="auto" w:fill="314364"/>
            <w:vAlign w:val="center"/>
          </w:tcPr>
          <w:p w14:paraId="176B41D6" w14:textId="77777777" w:rsidR="0038046B" w:rsidRPr="00A81DDC" w:rsidRDefault="0038046B" w:rsidP="0019343E">
            <w:pPr>
              <w:spacing w:after="0" w:line="259" w:lineRule="auto"/>
              <w:jc w:val="right"/>
              <w:rPr>
                <w:rFonts w:eastAsia="Calibri" w:cs="Segoe UI"/>
                <w:b/>
                <w:bCs/>
                <w:color w:val="FFFFFF"/>
                <w:sz w:val="18"/>
                <w:szCs w:val="18"/>
              </w:rPr>
            </w:pPr>
            <w:r w:rsidRPr="00A81DDC">
              <w:rPr>
                <w:rFonts w:eastAsia="Calibri" w:cs="Segoe UI"/>
                <w:b/>
                <w:bCs/>
                <w:color w:val="FFFFFF"/>
                <w:sz w:val="18"/>
                <w:szCs w:val="18"/>
              </w:rPr>
              <w:t>2022 S</w:t>
            </w:r>
          </w:p>
        </w:tc>
        <w:tc>
          <w:tcPr>
            <w:tcW w:w="690" w:type="pct"/>
            <w:shd w:val="clear" w:color="auto" w:fill="314364"/>
            <w:vAlign w:val="center"/>
          </w:tcPr>
          <w:p w14:paraId="08C9728E" w14:textId="77777777" w:rsidR="0038046B" w:rsidRPr="00A81DDC" w:rsidRDefault="0038046B" w:rsidP="0019343E">
            <w:pPr>
              <w:spacing w:after="0" w:line="259" w:lineRule="auto"/>
              <w:jc w:val="right"/>
              <w:rPr>
                <w:rFonts w:eastAsia="Calibri" w:cs="Segoe UI"/>
                <w:b/>
                <w:bCs/>
                <w:color w:val="FFFFFF"/>
                <w:sz w:val="18"/>
                <w:szCs w:val="18"/>
              </w:rPr>
            </w:pPr>
            <w:r w:rsidRPr="00A81DDC">
              <w:rPr>
                <w:rFonts w:eastAsia="Calibri" w:cs="Segoe UI"/>
                <w:b/>
                <w:bCs/>
                <w:color w:val="FFFFFF"/>
                <w:sz w:val="18"/>
                <w:szCs w:val="18"/>
              </w:rPr>
              <w:t>2023 R</w:t>
            </w:r>
          </w:p>
        </w:tc>
        <w:tc>
          <w:tcPr>
            <w:tcW w:w="690" w:type="pct"/>
            <w:shd w:val="clear" w:color="auto" w:fill="314364"/>
            <w:vAlign w:val="center"/>
          </w:tcPr>
          <w:p w14:paraId="333C73D3" w14:textId="77777777" w:rsidR="0038046B" w:rsidRPr="00A81DDC" w:rsidRDefault="0038046B" w:rsidP="0019343E">
            <w:pPr>
              <w:spacing w:after="0" w:line="259" w:lineRule="auto"/>
              <w:jc w:val="right"/>
              <w:rPr>
                <w:rFonts w:eastAsia="Calibri" w:cs="Segoe UI"/>
                <w:b/>
                <w:bCs/>
                <w:color w:val="FFFFFF"/>
                <w:sz w:val="18"/>
                <w:szCs w:val="18"/>
              </w:rPr>
            </w:pPr>
            <w:r w:rsidRPr="00A81DDC">
              <w:rPr>
                <w:rFonts w:eastAsia="Calibri" w:cs="Segoe UI"/>
                <w:b/>
                <w:bCs/>
                <w:color w:val="FFFFFF"/>
                <w:sz w:val="18"/>
                <w:szCs w:val="18"/>
              </w:rPr>
              <w:t>2023 S</w:t>
            </w:r>
          </w:p>
        </w:tc>
        <w:tc>
          <w:tcPr>
            <w:tcW w:w="672" w:type="pct"/>
            <w:shd w:val="clear" w:color="auto" w:fill="314364"/>
            <w:vAlign w:val="center"/>
          </w:tcPr>
          <w:p w14:paraId="31342F02" w14:textId="77777777" w:rsidR="0038046B" w:rsidRPr="00A81DDC" w:rsidRDefault="0038046B" w:rsidP="0019343E">
            <w:pPr>
              <w:spacing w:after="0" w:line="259" w:lineRule="auto"/>
              <w:jc w:val="right"/>
              <w:rPr>
                <w:rFonts w:eastAsia="Calibri" w:cs="Segoe UI"/>
                <w:b/>
                <w:bCs/>
                <w:color w:val="FFFFFF"/>
                <w:sz w:val="18"/>
                <w:szCs w:val="18"/>
              </w:rPr>
            </w:pPr>
            <w:r w:rsidRPr="00A81DDC">
              <w:rPr>
                <w:rFonts w:eastAsia="Calibri" w:cs="Segoe UI"/>
                <w:b/>
                <w:bCs/>
                <w:color w:val="FFFFFF"/>
                <w:sz w:val="18"/>
                <w:szCs w:val="18"/>
              </w:rPr>
              <w:t>23S - 23R</w:t>
            </w:r>
          </w:p>
        </w:tc>
        <w:tc>
          <w:tcPr>
            <w:tcW w:w="477" w:type="pct"/>
            <w:shd w:val="clear" w:color="auto" w:fill="314364"/>
            <w:vAlign w:val="center"/>
          </w:tcPr>
          <w:p w14:paraId="39FC32E6" w14:textId="77777777" w:rsidR="0038046B" w:rsidRPr="00A81DDC" w:rsidRDefault="0038046B" w:rsidP="0019343E">
            <w:pPr>
              <w:spacing w:after="0" w:line="259" w:lineRule="auto"/>
              <w:jc w:val="right"/>
              <w:rPr>
                <w:rFonts w:eastAsia="Calibri" w:cs="Segoe UI"/>
                <w:b/>
                <w:bCs/>
                <w:color w:val="FFFFFF"/>
                <w:sz w:val="18"/>
                <w:szCs w:val="18"/>
              </w:rPr>
            </w:pPr>
            <w:r w:rsidRPr="00A81DDC">
              <w:rPr>
                <w:rFonts w:eastAsia="Calibri" w:cs="Segoe UI"/>
                <w:b/>
                <w:bCs/>
                <w:color w:val="FFFFFF"/>
                <w:sz w:val="18"/>
                <w:szCs w:val="18"/>
              </w:rPr>
              <w:t>YoY</w:t>
            </w:r>
          </w:p>
        </w:tc>
      </w:tr>
      <w:tr w:rsidR="0038046B" w:rsidRPr="00A81DDC" w14:paraId="38085209" w14:textId="77777777" w:rsidTr="00DB26F8">
        <w:trPr>
          <w:trHeight w:val="283"/>
        </w:trPr>
        <w:tc>
          <w:tcPr>
            <w:tcW w:w="1780" w:type="pct"/>
            <w:vAlign w:val="center"/>
          </w:tcPr>
          <w:p w14:paraId="0511FC75" w14:textId="77777777" w:rsidR="0038046B" w:rsidRPr="00DB26F8" w:rsidRDefault="0038046B" w:rsidP="0019343E">
            <w:pPr>
              <w:spacing w:after="0"/>
              <w:jc w:val="left"/>
              <w:rPr>
                <w:rFonts w:eastAsia="Times New Roman" w:cs="Segoe UI"/>
                <w:b/>
                <w:color w:val="000000"/>
                <w:sz w:val="18"/>
                <w:szCs w:val="18"/>
                <w:lang w:eastAsia="sk-SK"/>
              </w:rPr>
            </w:pPr>
            <w:r w:rsidRPr="00DB26F8">
              <w:rPr>
                <w:rFonts w:eastAsia="Times New Roman" w:cs="Segoe UI"/>
                <w:b/>
                <w:color w:val="000000"/>
                <w:sz w:val="18"/>
                <w:szCs w:val="18"/>
                <w:lang w:eastAsia="sk-SK"/>
              </w:rPr>
              <w:t>Výdavky ŠR spolu</w:t>
            </w:r>
          </w:p>
        </w:tc>
        <w:tc>
          <w:tcPr>
            <w:tcW w:w="690" w:type="pct"/>
            <w:vAlign w:val="center"/>
          </w:tcPr>
          <w:p w14:paraId="371DC53D" w14:textId="77777777" w:rsidR="0038046B" w:rsidRPr="00DB26F8" w:rsidRDefault="0038046B" w:rsidP="0019343E">
            <w:pPr>
              <w:spacing w:after="0"/>
              <w:jc w:val="right"/>
              <w:rPr>
                <w:rFonts w:eastAsia="Times New Roman" w:cs="Segoe UI"/>
                <w:b/>
                <w:color w:val="000000"/>
                <w:sz w:val="18"/>
                <w:szCs w:val="18"/>
                <w:lang w:eastAsia="sk-SK"/>
              </w:rPr>
            </w:pPr>
            <w:r w:rsidRPr="00DB26F8">
              <w:rPr>
                <w:rFonts w:eastAsia="Times New Roman" w:cs="Segoe UI"/>
                <w:b/>
                <w:color w:val="000000"/>
                <w:sz w:val="18"/>
                <w:szCs w:val="18"/>
                <w:lang w:eastAsia="sk-SK"/>
              </w:rPr>
              <w:t>23 554 555</w:t>
            </w:r>
          </w:p>
        </w:tc>
        <w:tc>
          <w:tcPr>
            <w:tcW w:w="690" w:type="pct"/>
            <w:vAlign w:val="center"/>
          </w:tcPr>
          <w:p w14:paraId="0C247993" w14:textId="77777777" w:rsidR="0038046B" w:rsidRPr="00DB26F8" w:rsidRDefault="0038046B" w:rsidP="0019343E">
            <w:pPr>
              <w:spacing w:after="0"/>
              <w:jc w:val="right"/>
              <w:rPr>
                <w:rFonts w:eastAsia="Times New Roman" w:cs="Segoe UI"/>
                <w:b/>
                <w:color w:val="000000"/>
                <w:sz w:val="18"/>
                <w:szCs w:val="18"/>
                <w:lang w:eastAsia="sk-SK"/>
              </w:rPr>
            </w:pPr>
            <w:r w:rsidRPr="00DB26F8">
              <w:rPr>
                <w:rFonts w:eastAsia="Times New Roman" w:cs="Segoe UI"/>
                <w:b/>
                <w:color w:val="000000"/>
                <w:sz w:val="18"/>
                <w:szCs w:val="18"/>
                <w:lang w:eastAsia="sk-SK"/>
              </w:rPr>
              <w:t>35 040 556</w:t>
            </w:r>
          </w:p>
        </w:tc>
        <w:tc>
          <w:tcPr>
            <w:tcW w:w="690" w:type="pct"/>
            <w:vAlign w:val="center"/>
          </w:tcPr>
          <w:p w14:paraId="6E58A9A8" w14:textId="77777777" w:rsidR="0038046B" w:rsidRPr="00DB26F8" w:rsidRDefault="0038046B" w:rsidP="0019343E">
            <w:pPr>
              <w:spacing w:after="0"/>
              <w:jc w:val="right"/>
              <w:rPr>
                <w:rFonts w:eastAsia="Times New Roman" w:cs="Segoe UI"/>
                <w:b/>
                <w:color w:val="000000"/>
                <w:sz w:val="18"/>
                <w:szCs w:val="18"/>
                <w:lang w:eastAsia="sk-SK"/>
              </w:rPr>
            </w:pPr>
            <w:r w:rsidRPr="00DB26F8">
              <w:rPr>
                <w:rFonts w:eastAsia="Times New Roman" w:cs="Segoe UI"/>
                <w:b/>
                <w:color w:val="000000"/>
                <w:sz w:val="18"/>
                <w:szCs w:val="18"/>
                <w:lang w:eastAsia="sk-SK"/>
              </w:rPr>
              <w:t>31 363 983</w:t>
            </w:r>
          </w:p>
        </w:tc>
        <w:tc>
          <w:tcPr>
            <w:tcW w:w="672" w:type="pct"/>
            <w:vAlign w:val="center"/>
          </w:tcPr>
          <w:p w14:paraId="5A718725" w14:textId="77777777" w:rsidR="0038046B" w:rsidRPr="00DB26F8" w:rsidRDefault="0038046B" w:rsidP="0019343E">
            <w:pPr>
              <w:spacing w:after="0"/>
              <w:jc w:val="right"/>
              <w:rPr>
                <w:rFonts w:eastAsia="Times New Roman" w:cs="Segoe UI"/>
                <w:b/>
                <w:color w:val="000000"/>
                <w:sz w:val="18"/>
                <w:szCs w:val="18"/>
                <w:lang w:eastAsia="sk-SK"/>
              </w:rPr>
            </w:pPr>
            <w:r w:rsidRPr="00DB26F8">
              <w:rPr>
                <w:rFonts w:eastAsia="Times New Roman" w:cs="Segoe UI"/>
                <w:b/>
                <w:color w:val="000000"/>
                <w:sz w:val="18"/>
                <w:szCs w:val="18"/>
                <w:lang w:eastAsia="sk-SK"/>
              </w:rPr>
              <w:t>-3 676 573</w:t>
            </w:r>
          </w:p>
        </w:tc>
        <w:tc>
          <w:tcPr>
            <w:tcW w:w="477" w:type="pct"/>
            <w:vAlign w:val="center"/>
          </w:tcPr>
          <w:p w14:paraId="505A6CAF" w14:textId="77777777" w:rsidR="0038046B" w:rsidRPr="00DB26F8" w:rsidRDefault="0038046B" w:rsidP="0019343E">
            <w:pPr>
              <w:spacing w:after="0"/>
              <w:jc w:val="right"/>
              <w:rPr>
                <w:rFonts w:eastAsia="Times New Roman" w:cs="Segoe UI"/>
                <w:b/>
                <w:color w:val="000000"/>
                <w:sz w:val="18"/>
                <w:szCs w:val="18"/>
                <w:lang w:eastAsia="sk-SK"/>
              </w:rPr>
            </w:pPr>
            <w:r w:rsidRPr="00DB26F8">
              <w:rPr>
                <w:rFonts w:eastAsia="Times New Roman" w:cs="Segoe UI"/>
                <w:b/>
                <w:color w:val="000000"/>
                <w:sz w:val="18"/>
                <w:szCs w:val="18"/>
                <w:lang w:eastAsia="sk-SK"/>
              </w:rPr>
              <w:t>133,2</w:t>
            </w:r>
          </w:p>
        </w:tc>
      </w:tr>
      <w:tr w:rsidR="0038046B" w:rsidRPr="00A81DDC" w14:paraId="74D39116" w14:textId="77777777" w:rsidTr="00DB26F8">
        <w:trPr>
          <w:trHeight w:val="283"/>
        </w:trPr>
        <w:tc>
          <w:tcPr>
            <w:tcW w:w="1780" w:type="pct"/>
            <w:vAlign w:val="center"/>
          </w:tcPr>
          <w:p w14:paraId="324002A8" w14:textId="77777777" w:rsidR="0038046B" w:rsidRPr="00DB26F8" w:rsidRDefault="0038046B" w:rsidP="0019343E">
            <w:pPr>
              <w:spacing w:after="0"/>
              <w:jc w:val="left"/>
              <w:rPr>
                <w:rFonts w:eastAsia="Times New Roman" w:cs="Segoe UI"/>
                <w:color w:val="000000"/>
                <w:sz w:val="18"/>
                <w:szCs w:val="18"/>
                <w:lang w:eastAsia="sk-SK"/>
              </w:rPr>
            </w:pPr>
            <w:r w:rsidRPr="00DB26F8">
              <w:rPr>
                <w:rFonts w:eastAsia="Times New Roman" w:cs="Segoe UI"/>
                <w:color w:val="000000"/>
                <w:sz w:val="18"/>
                <w:szCs w:val="18"/>
                <w:lang w:eastAsia="sk-SK"/>
              </w:rPr>
              <w:t>Výdavky na obsluhu štátneho dlhu</w:t>
            </w:r>
          </w:p>
        </w:tc>
        <w:tc>
          <w:tcPr>
            <w:tcW w:w="690" w:type="pct"/>
            <w:vAlign w:val="center"/>
          </w:tcPr>
          <w:p w14:paraId="4C2E8FC4" w14:textId="77777777" w:rsidR="0038046B" w:rsidRPr="00DB26F8" w:rsidRDefault="0038046B" w:rsidP="0019343E">
            <w:pPr>
              <w:spacing w:after="0"/>
              <w:jc w:val="right"/>
              <w:rPr>
                <w:rFonts w:eastAsia="Times New Roman" w:cs="Segoe UI"/>
                <w:color w:val="000000"/>
                <w:sz w:val="18"/>
                <w:szCs w:val="18"/>
                <w:lang w:eastAsia="sk-SK"/>
              </w:rPr>
            </w:pPr>
            <w:r w:rsidRPr="00DB26F8">
              <w:rPr>
                <w:rFonts w:eastAsia="Times New Roman" w:cs="Segoe UI"/>
                <w:color w:val="000000"/>
                <w:sz w:val="18"/>
                <w:szCs w:val="18"/>
                <w:lang w:eastAsia="sk-SK"/>
              </w:rPr>
              <w:t>1 059 061</w:t>
            </w:r>
          </w:p>
        </w:tc>
        <w:tc>
          <w:tcPr>
            <w:tcW w:w="690" w:type="pct"/>
            <w:vAlign w:val="center"/>
          </w:tcPr>
          <w:p w14:paraId="314E3C27" w14:textId="77777777" w:rsidR="0038046B" w:rsidRPr="00DB26F8" w:rsidRDefault="0038046B" w:rsidP="0019343E">
            <w:pPr>
              <w:spacing w:after="0"/>
              <w:jc w:val="right"/>
              <w:rPr>
                <w:rFonts w:eastAsia="Times New Roman" w:cs="Segoe UI"/>
                <w:color w:val="000000"/>
                <w:sz w:val="18"/>
                <w:szCs w:val="18"/>
                <w:lang w:eastAsia="sk-SK"/>
              </w:rPr>
            </w:pPr>
            <w:r w:rsidRPr="00DB26F8">
              <w:rPr>
                <w:rFonts w:eastAsia="Times New Roman" w:cs="Segoe UI"/>
                <w:color w:val="000000"/>
                <w:sz w:val="18"/>
                <w:szCs w:val="18"/>
                <w:lang w:eastAsia="sk-SK"/>
              </w:rPr>
              <w:t>1 343 478</w:t>
            </w:r>
          </w:p>
        </w:tc>
        <w:tc>
          <w:tcPr>
            <w:tcW w:w="690" w:type="pct"/>
            <w:vAlign w:val="center"/>
          </w:tcPr>
          <w:p w14:paraId="216677DD" w14:textId="77777777" w:rsidR="0038046B" w:rsidRPr="00DB26F8" w:rsidRDefault="0038046B" w:rsidP="0019343E">
            <w:pPr>
              <w:spacing w:after="0"/>
              <w:jc w:val="right"/>
              <w:rPr>
                <w:rFonts w:eastAsia="Times New Roman" w:cs="Segoe UI"/>
                <w:color w:val="000000"/>
                <w:sz w:val="18"/>
                <w:szCs w:val="18"/>
                <w:lang w:eastAsia="sk-SK"/>
              </w:rPr>
            </w:pPr>
            <w:r w:rsidRPr="00DB26F8">
              <w:rPr>
                <w:rFonts w:eastAsia="Times New Roman" w:cs="Segoe UI"/>
                <w:color w:val="000000"/>
                <w:sz w:val="18"/>
                <w:szCs w:val="18"/>
                <w:lang w:eastAsia="sk-SK"/>
              </w:rPr>
              <w:t>1 073 190</w:t>
            </w:r>
          </w:p>
        </w:tc>
        <w:tc>
          <w:tcPr>
            <w:tcW w:w="672" w:type="pct"/>
            <w:vAlign w:val="center"/>
          </w:tcPr>
          <w:p w14:paraId="73112F00" w14:textId="77777777" w:rsidR="0038046B" w:rsidRPr="00DB26F8" w:rsidRDefault="0038046B" w:rsidP="0019343E">
            <w:pPr>
              <w:spacing w:after="0"/>
              <w:jc w:val="right"/>
              <w:rPr>
                <w:rFonts w:eastAsia="Times New Roman" w:cs="Segoe UI"/>
                <w:color w:val="000000"/>
                <w:sz w:val="18"/>
                <w:szCs w:val="18"/>
                <w:lang w:eastAsia="sk-SK"/>
              </w:rPr>
            </w:pPr>
            <w:r w:rsidRPr="00DB26F8">
              <w:rPr>
                <w:rFonts w:eastAsia="Times New Roman" w:cs="Segoe UI"/>
                <w:color w:val="000000"/>
                <w:sz w:val="18"/>
                <w:szCs w:val="18"/>
                <w:lang w:eastAsia="sk-SK"/>
              </w:rPr>
              <w:t>-270 288</w:t>
            </w:r>
          </w:p>
        </w:tc>
        <w:tc>
          <w:tcPr>
            <w:tcW w:w="477" w:type="pct"/>
            <w:vAlign w:val="center"/>
          </w:tcPr>
          <w:p w14:paraId="75450B68" w14:textId="77777777" w:rsidR="0038046B" w:rsidRPr="00DB26F8" w:rsidRDefault="0038046B" w:rsidP="0019343E">
            <w:pPr>
              <w:spacing w:after="0"/>
              <w:jc w:val="right"/>
              <w:rPr>
                <w:rFonts w:eastAsia="Times New Roman" w:cs="Segoe UI"/>
                <w:color w:val="000000"/>
                <w:sz w:val="18"/>
                <w:szCs w:val="18"/>
                <w:lang w:eastAsia="sk-SK"/>
              </w:rPr>
            </w:pPr>
            <w:r w:rsidRPr="00DB26F8">
              <w:rPr>
                <w:rFonts w:eastAsia="Times New Roman" w:cs="Segoe UI"/>
                <w:color w:val="000000"/>
                <w:sz w:val="18"/>
                <w:szCs w:val="18"/>
                <w:lang w:eastAsia="sk-SK"/>
              </w:rPr>
              <w:t>101,3</w:t>
            </w:r>
          </w:p>
        </w:tc>
      </w:tr>
      <w:tr w:rsidR="0038046B" w:rsidRPr="00A81DDC" w14:paraId="3B45C4B5" w14:textId="77777777" w:rsidTr="00DB26F8">
        <w:trPr>
          <w:trHeight w:val="283"/>
        </w:trPr>
        <w:tc>
          <w:tcPr>
            <w:tcW w:w="1780" w:type="pct"/>
            <w:vAlign w:val="center"/>
          </w:tcPr>
          <w:p w14:paraId="7371E004" w14:textId="6CCEAAB7" w:rsidR="0038046B" w:rsidRPr="00DB26F8" w:rsidRDefault="0038046B" w:rsidP="00FF3AE5">
            <w:pPr>
              <w:spacing w:after="0"/>
              <w:jc w:val="left"/>
              <w:rPr>
                <w:rFonts w:eastAsia="Times New Roman" w:cs="Segoe UI"/>
                <w:color w:val="000000"/>
                <w:sz w:val="18"/>
                <w:szCs w:val="18"/>
                <w:lang w:eastAsia="sk-SK"/>
              </w:rPr>
            </w:pPr>
            <w:r w:rsidRPr="00DB26F8">
              <w:rPr>
                <w:rFonts w:eastAsia="Times New Roman" w:cs="Segoe UI"/>
                <w:color w:val="000000"/>
                <w:sz w:val="18"/>
                <w:szCs w:val="18"/>
                <w:lang w:eastAsia="sk-SK"/>
              </w:rPr>
              <w:t xml:space="preserve">POO </w:t>
            </w:r>
            <w:r w:rsidR="00FF3AE5">
              <w:rPr>
                <w:rFonts w:eastAsia="Times New Roman" w:cs="Segoe UI"/>
                <w:color w:val="000000"/>
                <w:sz w:val="18"/>
                <w:szCs w:val="18"/>
                <w:lang w:eastAsia="sk-SK"/>
              </w:rPr>
              <w:t xml:space="preserve">– </w:t>
            </w:r>
            <w:r w:rsidRPr="00DB26F8">
              <w:rPr>
                <w:rFonts w:eastAsia="Times New Roman" w:cs="Segoe UI"/>
                <w:color w:val="000000"/>
                <w:sz w:val="18"/>
                <w:szCs w:val="18"/>
                <w:lang w:eastAsia="sk-SK"/>
              </w:rPr>
              <w:t>výdavky</w:t>
            </w:r>
          </w:p>
        </w:tc>
        <w:tc>
          <w:tcPr>
            <w:tcW w:w="690" w:type="pct"/>
            <w:vAlign w:val="center"/>
          </w:tcPr>
          <w:p w14:paraId="493103D0" w14:textId="77777777" w:rsidR="0038046B" w:rsidRPr="00DB26F8" w:rsidRDefault="0038046B" w:rsidP="0019343E">
            <w:pPr>
              <w:spacing w:after="0"/>
              <w:jc w:val="right"/>
              <w:rPr>
                <w:rFonts w:eastAsia="Times New Roman" w:cs="Segoe UI"/>
                <w:color w:val="000000"/>
                <w:sz w:val="18"/>
                <w:szCs w:val="18"/>
                <w:lang w:eastAsia="sk-SK"/>
              </w:rPr>
            </w:pPr>
            <w:r w:rsidRPr="00DB26F8">
              <w:rPr>
                <w:rFonts w:eastAsia="Times New Roman" w:cs="Segoe UI"/>
                <w:color w:val="000000"/>
                <w:sz w:val="18"/>
                <w:szCs w:val="18"/>
                <w:lang w:eastAsia="sk-SK"/>
              </w:rPr>
              <w:t>48 966</w:t>
            </w:r>
          </w:p>
        </w:tc>
        <w:tc>
          <w:tcPr>
            <w:tcW w:w="690" w:type="pct"/>
            <w:vAlign w:val="center"/>
          </w:tcPr>
          <w:p w14:paraId="786C2F48" w14:textId="77777777" w:rsidR="0038046B" w:rsidRPr="00DB26F8" w:rsidRDefault="0038046B" w:rsidP="0019343E">
            <w:pPr>
              <w:spacing w:after="0"/>
              <w:jc w:val="right"/>
              <w:rPr>
                <w:rFonts w:eastAsia="Times New Roman" w:cs="Segoe UI"/>
                <w:color w:val="000000"/>
                <w:sz w:val="18"/>
                <w:szCs w:val="18"/>
                <w:lang w:eastAsia="sk-SK"/>
              </w:rPr>
            </w:pPr>
            <w:r w:rsidRPr="00DB26F8">
              <w:rPr>
                <w:rFonts w:eastAsia="Times New Roman" w:cs="Segoe UI"/>
                <w:color w:val="000000"/>
                <w:sz w:val="18"/>
                <w:szCs w:val="18"/>
                <w:lang w:eastAsia="sk-SK"/>
              </w:rPr>
              <w:t>2 011 251</w:t>
            </w:r>
          </w:p>
        </w:tc>
        <w:tc>
          <w:tcPr>
            <w:tcW w:w="690" w:type="pct"/>
            <w:vAlign w:val="center"/>
          </w:tcPr>
          <w:p w14:paraId="695ECC7F" w14:textId="77777777" w:rsidR="0038046B" w:rsidRPr="00DB26F8" w:rsidRDefault="0038046B" w:rsidP="0019343E">
            <w:pPr>
              <w:spacing w:after="0"/>
              <w:jc w:val="right"/>
              <w:rPr>
                <w:rFonts w:eastAsia="Times New Roman" w:cs="Segoe UI"/>
                <w:color w:val="000000"/>
                <w:sz w:val="18"/>
                <w:szCs w:val="18"/>
                <w:lang w:eastAsia="sk-SK"/>
              </w:rPr>
            </w:pPr>
            <w:r w:rsidRPr="00DB26F8">
              <w:rPr>
                <w:rFonts w:eastAsia="Times New Roman" w:cs="Segoe UI"/>
                <w:color w:val="000000"/>
                <w:sz w:val="18"/>
                <w:szCs w:val="18"/>
                <w:lang w:eastAsia="sk-SK"/>
              </w:rPr>
              <w:t>374 178</w:t>
            </w:r>
          </w:p>
        </w:tc>
        <w:tc>
          <w:tcPr>
            <w:tcW w:w="672" w:type="pct"/>
            <w:vAlign w:val="center"/>
          </w:tcPr>
          <w:p w14:paraId="74D82157" w14:textId="77777777" w:rsidR="0038046B" w:rsidRPr="00DB26F8" w:rsidRDefault="0038046B" w:rsidP="0019343E">
            <w:pPr>
              <w:spacing w:after="0"/>
              <w:jc w:val="right"/>
              <w:rPr>
                <w:rFonts w:eastAsia="Times New Roman" w:cs="Segoe UI"/>
                <w:color w:val="000000"/>
                <w:sz w:val="18"/>
                <w:szCs w:val="18"/>
                <w:lang w:eastAsia="sk-SK"/>
              </w:rPr>
            </w:pPr>
            <w:r w:rsidRPr="00DB26F8">
              <w:rPr>
                <w:rFonts w:eastAsia="Times New Roman" w:cs="Segoe UI"/>
                <w:color w:val="000000"/>
                <w:sz w:val="18"/>
                <w:szCs w:val="18"/>
                <w:lang w:eastAsia="sk-SK"/>
              </w:rPr>
              <w:t>-1 637 073</w:t>
            </w:r>
          </w:p>
        </w:tc>
        <w:tc>
          <w:tcPr>
            <w:tcW w:w="477" w:type="pct"/>
            <w:vAlign w:val="center"/>
          </w:tcPr>
          <w:p w14:paraId="2283F474" w14:textId="77777777" w:rsidR="0038046B" w:rsidRPr="00DB26F8" w:rsidRDefault="0038046B" w:rsidP="0019343E">
            <w:pPr>
              <w:spacing w:after="0"/>
              <w:jc w:val="right"/>
              <w:rPr>
                <w:rFonts w:eastAsia="Times New Roman" w:cs="Segoe UI"/>
                <w:color w:val="000000"/>
                <w:sz w:val="18"/>
                <w:szCs w:val="18"/>
                <w:lang w:eastAsia="sk-SK"/>
              </w:rPr>
            </w:pPr>
            <w:r w:rsidRPr="00DB26F8">
              <w:rPr>
                <w:rFonts w:eastAsia="Times New Roman" w:cs="Segoe UI"/>
                <w:color w:val="000000"/>
                <w:sz w:val="18"/>
                <w:szCs w:val="18"/>
                <w:lang w:eastAsia="sk-SK"/>
              </w:rPr>
              <w:t>764,2</w:t>
            </w:r>
          </w:p>
        </w:tc>
      </w:tr>
      <w:tr w:rsidR="0038046B" w:rsidRPr="00A81DDC" w14:paraId="118B04C8" w14:textId="77777777" w:rsidTr="00DB26F8">
        <w:trPr>
          <w:trHeight w:val="283"/>
        </w:trPr>
        <w:tc>
          <w:tcPr>
            <w:tcW w:w="1780" w:type="pct"/>
            <w:vAlign w:val="center"/>
          </w:tcPr>
          <w:p w14:paraId="7E9820ED" w14:textId="195512D0" w:rsidR="0038046B" w:rsidRPr="00DB26F8" w:rsidRDefault="0038046B" w:rsidP="00FF3AE5">
            <w:pPr>
              <w:spacing w:after="0"/>
              <w:jc w:val="left"/>
              <w:rPr>
                <w:rFonts w:eastAsia="Times New Roman" w:cs="Segoe UI"/>
                <w:color w:val="000000"/>
                <w:sz w:val="18"/>
                <w:szCs w:val="18"/>
                <w:lang w:eastAsia="sk-SK"/>
              </w:rPr>
            </w:pPr>
            <w:r w:rsidRPr="00DB26F8">
              <w:rPr>
                <w:rFonts w:eastAsia="Times New Roman" w:cs="Segoe UI"/>
                <w:color w:val="000000"/>
                <w:sz w:val="18"/>
                <w:szCs w:val="18"/>
                <w:lang w:eastAsia="sk-SK"/>
              </w:rPr>
              <w:t xml:space="preserve">POO </w:t>
            </w:r>
            <w:r w:rsidR="00FF3AE5">
              <w:rPr>
                <w:rFonts w:eastAsia="Times New Roman" w:cs="Segoe UI"/>
                <w:color w:val="000000"/>
                <w:sz w:val="18"/>
                <w:szCs w:val="18"/>
                <w:lang w:eastAsia="sk-SK"/>
              </w:rPr>
              <w:t xml:space="preserve">– </w:t>
            </w:r>
            <w:r w:rsidRPr="00DB26F8">
              <w:rPr>
                <w:rFonts w:eastAsia="Times New Roman" w:cs="Segoe UI"/>
                <w:color w:val="000000"/>
                <w:sz w:val="18"/>
                <w:szCs w:val="18"/>
                <w:lang w:eastAsia="sk-SK"/>
              </w:rPr>
              <w:t>výdavky na DPH</w:t>
            </w:r>
          </w:p>
        </w:tc>
        <w:tc>
          <w:tcPr>
            <w:tcW w:w="690" w:type="pct"/>
            <w:vAlign w:val="center"/>
          </w:tcPr>
          <w:p w14:paraId="44E5A9C5" w14:textId="77777777" w:rsidR="0038046B" w:rsidRPr="00DB26F8" w:rsidRDefault="0038046B" w:rsidP="0019343E">
            <w:pPr>
              <w:spacing w:after="0"/>
              <w:jc w:val="right"/>
              <w:rPr>
                <w:rFonts w:eastAsia="Times New Roman" w:cs="Segoe UI"/>
                <w:color w:val="000000"/>
                <w:sz w:val="18"/>
                <w:szCs w:val="18"/>
                <w:lang w:eastAsia="sk-SK"/>
              </w:rPr>
            </w:pPr>
            <w:r w:rsidRPr="00DB26F8">
              <w:rPr>
                <w:rFonts w:eastAsia="Times New Roman" w:cs="Segoe UI"/>
                <w:color w:val="000000"/>
                <w:sz w:val="18"/>
                <w:szCs w:val="18"/>
                <w:lang w:eastAsia="sk-SK"/>
              </w:rPr>
              <w:t>2954</w:t>
            </w:r>
          </w:p>
        </w:tc>
        <w:tc>
          <w:tcPr>
            <w:tcW w:w="690" w:type="pct"/>
            <w:vAlign w:val="center"/>
          </w:tcPr>
          <w:p w14:paraId="39AECD2C" w14:textId="77777777" w:rsidR="0038046B" w:rsidRPr="00DB26F8" w:rsidRDefault="0038046B" w:rsidP="0019343E">
            <w:pPr>
              <w:spacing w:after="0"/>
              <w:jc w:val="right"/>
              <w:rPr>
                <w:rFonts w:eastAsia="Times New Roman" w:cs="Segoe UI"/>
                <w:color w:val="000000"/>
                <w:sz w:val="18"/>
                <w:szCs w:val="18"/>
                <w:lang w:eastAsia="sk-SK"/>
              </w:rPr>
            </w:pPr>
            <w:r w:rsidRPr="00DB26F8">
              <w:rPr>
                <w:rFonts w:eastAsia="Times New Roman" w:cs="Segoe UI"/>
                <w:color w:val="000000"/>
                <w:sz w:val="18"/>
                <w:szCs w:val="18"/>
                <w:lang w:eastAsia="sk-SK"/>
              </w:rPr>
              <w:t>332 152</w:t>
            </w:r>
          </w:p>
        </w:tc>
        <w:tc>
          <w:tcPr>
            <w:tcW w:w="690" w:type="pct"/>
            <w:vAlign w:val="center"/>
          </w:tcPr>
          <w:p w14:paraId="0201EC53" w14:textId="77777777" w:rsidR="0038046B" w:rsidRPr="00DB26F8" w:rsidRDefault="0038046B" w:rsidP="0019343E">
            <w:pPr>
              <w:spacing w:after="0"/>
              <w:jc w:val="right"/>
              <w:rPr>
                <w:rFonts w:eastAsia="Times New Roman" w:cs="Segoe UI"/>
                <w:color w:val="000000"/>
                <w:sz w:val="18"/>
                <w:szCs w:val="18"/>
                <w:lang w:eastAsia="sk-SK"/>
              </w:rPr>
            </w:pPr>
            <w:r w:rsidRPr="00DB26F8">
              <w:rPr>
                <w:rFonts w:eastAsia="Times New Roman" w:cs="Segoe UI"/>
                <w:color w:val="000000"/>
                <w:sz w:val="18"/>
                <w:szCs w:val="18"/>
                <w:lang w:eastAsia="sk-SK"/>
              </w:rPr>
              <w:t>15 742</w:t>
            </w:r>
          </w:p>
        </w:tc>
        <w:tc>
          <w:tcPr>
            <w:tcW w:w="672" w:type="pct"/>
            <w:vAlign w:val="center"/>
          </w:tcPr>
          <w:p w14:paraId="1ED3EFBD" w14:textId="77777777" w:rsidR="0038046B" w:rsidRPr="00DB26F8" w:rsidRDefault="0038046B" w:rsidP="0019343E">
            <w:pPr>
              <w:spacing w:after="0"/>
              <w:jc w:val="right"/>
              <w:rPr>
                <w:rFonts w:eastAsia="Times New Roman" w:cs="Segoe UI"/>
                <w:color w:val="000000"/>
                <w:sz w:val="18"/>
                <w:szCs w:val="18"/>
                <w:lang w:eastAsia="sk-SK"/>
              </w:rPr>
            </w:pPr>
            <w:r w:rsidRPr="00DB26F8">
              <w:rPr>
                <w:rFonts w:eastAsia="Times New Roman" w:cs="Segoe UI"/>
                <w:color w:val="000000"/>
                <w:sz w:val="18"/>
                <w:szCs w:val="18"/>
                <w:lang w:eastAsia="sk-SK"/>
              </w:rPr>
              <w:t>-316 410</w:t>
            </w:r>
          </w:p>
        </w:tc>
        <w:tc>
          <w:tcPr>
            <w:tcW w:w="477" w:type="pct"/>
            <w:vAlign w:val="center"/>
          </w:tcPr>
          <w:p w14:paraId="43A0F95C" w14:textId="77777777" w:rsidR="0038046B" w:rsidRPr="00DB26F8" w:rsidRDefault="0038046B" w:rsidP="0019343E">
            <w:pPr>
              <w:spacing w:after="0"/>
              <w:jc w:val="right"/>
              <w:rPr>
                <w:rFonts w:eastAsia="Times New Roman" w:cs="Segoe UI"/>
                <w:color w:val="000000"/>
                <w:sz w:val="18"/>
                <w:szCs w:val="18"/>
                <w:lang w:eastAsia="sk-SK"/>
              </w:rPr>
            </w:pPr>
            <w:r w:rsidRPr="00DB26F8">
              <w:rPr>
                <w:rFonts w:eastAsia="Times New Roman" w:cs="Segoe UI"/>
                <w:color w:val="000000"/>
                <w:sz w:val="18"/>
                <w:szCs w:val="18"/>
                <w:lang w:eastAsia="sk-SK"/>
              </w:rPr>
              <w:t>532,9</w:t>
            </w:r>
          </w:p>
        </w:tc>
      </w:tr>
      <w:tr w:rsidR="0038046B" w:rsidRPr="00A81DDC" w14:paraId="20EF2B21" w14:textId="77777777" w:rsidTr="00DB26F8">
        <w:trPr>
          <w:trHeight w:val="283"/>
        </w:trPr>
        <w:tc>
          <w:tcPr>
            <w:tcW w:w="1780" w:type="pct"/>
            <w:vAlign w:val="center"/>
          </w:tcPr>
          <w:p w14:paraId="1D4335A4" w14:textId="77777777" w:rsidR="0038046B" w:rsidRPr="00DB26F8" w:rsidRDefault="0038046B" w:rsidP="0019343E">
            <w:pPr>
              <w:spacing w:after="0"/>
              <w:jc w:val="left"/>
              <w:rPr>
                <w:rFonts w:eastAsia="Times New Roman" w:cs="Segoe UI"/>
                <w:color w:val="000000"/>
                <w:sz w:val="18"/>
                <w:szCs w:val="18"/>
                <w:lang w:eastAsia="sk-SK"/>
              </w:rPr>
            </w:pPr>
            <w:r w:rsidRPr="00DB26F8">
              <w:rPr>
                <w:rFonts w:eastAsia="Times New Roman" w:cs="Segoe UI"/>
                <w:color w:val="000000"/>
                <w:sz w:val="18"/>
                <w:szCs w:val="18"/>
                <w:lang w:eastAsia="sk-SK"/>
              </w:rPr>
              <w:t>EÚ výdavky</w:t>
            </w:r>
          </w:p>
        </w:tc>
        <w:tc>
          <w:tcPr>
            <w:tcW w:w="690" w:type="pct"/>
            <w:vAlign w:val="center"/>
          </w:tcPr>
          <w:p w14:paraId="22909831" w14:textId="77777777" w:rsidR="0038046B" w:rsidRPr="00DB26F8" w:rsidRDefault="0038046B" w:rsidP="0019343E">
            <w:pPr>
              <w:spacing w:after="0"/>
              <w:jc w:val="right"/>
              <w:rPr>
                <w:rFonts w:eastAsia="Times New Roman" w:cs="Segoe UI"/>
                <w:color w:val="000000"/>
                <w:sz w:val="18"/>
                <w:szCs w:val="18"/>
                <w:lang w:eastAsia="sk-SK"/>
              </w:rPr>
            </w:pPr>
            <w:r w:rsidRPr="00DB26F8">
              <w:rPr>
                <w:rFonts w:eastAsia="Times New Roman" w:cs="Segoe UI"/>
                <w:color w:val="000000"/>
                <w:sz w:val="18"/>
                <w:szCs w:val="18"/>
                <w:lang w:eastAsia="sk-SK"/>
              </w:rPr>
              <w:t>2 203 315</w:t>
            </w:r>
          </w:p>
        </w:tc>
        <w:tc>
          <w:tcPr>
            <w:tcW w:w="690" w:type="pct"/>
            <w:vAlign w:val="center"/>
          </w:tcPr>
          <w:p w14:paraId="202B5676" w14:textId="77777777" w:rsidR="0038046B" w:rsidRPr="00DB26F8" w:rsidRDefault="0038046B" w:rsidP="0019343E">
            <w:pPr>
              <w:spacing w:after="0"/>
              <w:jc w:val="right"/>
              <w:rPr>
                <w:rFonts w:eastAsia="Times New Roman" w:cs="Segoe UI"/>
                <w:color w:val="000000"/>
                <w:sz w:val="18"/>
                <w:szCs w:val="18"/>
                <w:lang w:eastAsia="sk-SK"/>
              </w:rPr>
            </w:pPr>
            <w:r w:rsidRPr="00DB26F8">
              <w:rPr>
                <w:rFonts w:eastAsia="Times New Roman" w:cs="Segoe UI"/>
                <w:color w:val="000000"/>
                <w:sz w:val="18"/>
                <w:szCs w:val="18"/>
                <w:lang w:eastAsia="sk-SK"/>
              </w:rPr>
              <w:t>5 717 554</w:t>
            </w:r>
          </w:p>
        </w:tc>
        <w:tc>
          <w:tcPr>
            <w:tcW w:w="690" w:type="pct"/>
            <w:vAlign w:val="center"/>
          </w:tcPr>
          <w:p w14:paraId="39A0AB5C" w14:textId="77777777" w:rsidR="0038046B" w:rsidRPr="00DB26F8" w:rsidRDefault="0038046B" w:rsidP="0019343E">
            <w:pPr>
              <w:spacing w:after="0"/>
              <w:jc w:val="right"/>
              <w:rPr>
                <w:rFonts w:eastAsia="Times New Roman" w:cs="Segoe UI"/>
                <w:color w:val="000000"/>
                <w:sz w:val="18"/>
                <w:szCs w:val="18"/>
                <w:lang w:eastAsia="sk-SK"/>
              </w:rPr>
            </w:pPr>
            <w:r w:rsidRPr="00DB26F8">
              <w:rPr>
                <w:rFonts w:eastAsia="Times New Roman" w:cs="Segoe UI"/>
                <w:color w:val="000000"/>
                <w:sz w:val="18"/>
                <w:szCs w:val="18"/>
                <w:lang w:eastAsia="sk-SK"/>
              </w:rPr>
              <w:t>4 906 961</w:t>
            </w:r>
          </w:p>
        </w:tc>
        <w:tc>
          <w:tcPr>
            <w:tcW w:w="672" w:type="pct"/>
            <w:vAlign w:val="center"/>
          </w:tcPr>
          <w:p w14:paraId="63DAAEA1" w14:textId="77777777" w:rsidR="0038046B" w:rsidRPr="00DB26F8" w:rsidRDefault="0038046B" w:rsidP="0019343E">
            <w:pPr>
              <w:spacing w:after="0"/>
              <w:jc w:val="right"/>
              <w:rPr>
                <w:rFonts w:eastAsia="Times New Roman" w:cs="Segoe UI"/>
                <w:color w:val="000000"/>
                <w:sz w:val="18"/>
                <w:szCs w:val="18"/>
                <w:lang w:eastAsia="sk-SK"/>
              </w:rPr>
            </w:pPr>
            <w:r w:rsidRPr="00DB26F8">
              <w:rPr>
                <w:rFonts w:eastAsia="Times New Roman" w:cs="Segoe UI"/>
                <w:color w:val="000000"/>
                <w:sz w:val="18"/>
                <w:szCs w:val="18"/>
                <w:lang w:eastAsia="sk-SK"/>
              </w:rPr>
              <w:t>-810 593</w:t>
            </w:r>
          </w:p>
        </w:tc>
        <w:tc>
          <w:tcPr>
            <w:tcW w:w="477" w:type="pct"/>
            <w:vAlign w:val="center"/>
          </w:tcPr>
          <w:p w14:paraId="576A37E5" w14:textId="77777777" w:rsidR="0038046B" w:rsidRPr="00DB26F8" w:rsidRDefault="0038046B" w:rsidP="0019343E">
            <w:pPr>
              <w:spacing w:after="0"/>
              <w:jc w:val="right"/>
              <w:rPr>
                <w:rFonts w:eastAsia="Times New Roman" w:cs="Segoe UI"/>
                <w:color w:val="000000"/>
                <w:sz w:val="18"/>
                <w:szCs w:val="18"/>
                <w:lang w:eastAsia="sk-SK"/>
              </w:rPr>
            </w:pPr>
            <w:r w:rsidRPr="00DB26F8">
              <w:rPr>
                <w:rFonts w:eastAsia="Times New Roman" w:cs="Segoe UI"/>
                <w:color w:val="000000"/>
                <w:sz w:val="18"/>
                <w:szCs w:val="18"/>
                <w:lang w:eastAsia="sk-SK"/>
              </w:rPr>
              <w:t>222,7</w:t>
            </w:r>
          </w:p>
        </w:tc>
      </w:tr>
      <w:tr w:rsidR="0038046B" w:rsidRPr="00A81DDC" w14:paraId="15FD79B6" w14:textId="77777777" w:rsidTr="00DB26F8">
        <w:trPr>
          <w:trHeight w:val="283"/>
        </w:trPr>
        <w:tc>
          <w:tcPr>
            <w:tcW w:w="1780" w:type="pct"/>
            <w:vAlign w:val="center"/>
          </w:tcPr>
          <w:p w14:paraId="125649C9" w14:textId="77777777" w:rsidR="0038046B" w:rsidRPr="00DB26F8" w:rsidRDefault="0038046B" w:rsidP="0019343E">
            <w:pPr>
              <w:spacing w:after="0"/>
              <w:jc w:val="left"/>
              <w:rPr>
                <w:rFonts w:eastAsia="Times New Roman" w:cs="Segoe UI"/>
                <w:color w:val="000000"/>
                <w:sz w:val="18"/>
                <w:szCs w:val="18"/>
                <w:lang w:eastAsia="sk-SK"/>
              </w:rPr>
            </w:pPr>
            <w:r w:rsidRPr="00DB26F8">
              <w:rPr>
                <w:rFonts w:eastAsia="Times New Roman" w:cs="Segoe UI"/>
                <w:color w:val="000000"/>
                <w:sz w:val="18"/>
                <w:szCs w:val="18"/>
                <w:lang w:eastAsia="sk-SK"/>
              </w:rPr>
              <w:t>Spolufinancovanie</w:t>
            </w:r>
          </w:p>
        </w:tc>
        <w:tc>
          <w:tcPr>
            <w:tcW w:w="690" w:type="pct"/>
            <w:vAlign w:val="center"/>
          </w:tcPr>
          <w:p w14:paraId="696C878B" w14:textId="77777777" w:rsidR="0038046B" w:rsidRPr="00DB26F8" w:rsidRDefault="0038046B" w:rsidP="0019343E">
            <w:pPr>
              <w:spacing w:after="0"/>
              <w:jc w:val="right"/>
              <w:rPr>
                <w:rFonts w:eastAsia="Times New Roman" w:cs="Segoe UI"/>
                <w:color w:val="000000"/>
                <w:sz w:val="18"/>
                <w:szCs w:val="18"/>
                <w:lang w:eastAsia="sk-SK"/>
              </w:rPr>
            </w:pPr>
            <w:r w:rsidRPr="00DB26F8">
              <w:rPr>
                <w:rFonts w:eastAsia="Times New Roman" w:cs="Segoe UI"/>
                <w:color w:val="000000"/>
                <w:sz w:val="18"/>
                <w:szCs w:val="18"/>
                <w:lang w:eastAsia="sk-SK"/>
              </w:rPr>
              <w:t>404 819</w:t>
            </w:r>
          </w:p>
        </w:tc>
        <w:tc>
          <w:tcPr>
            <w:tcW w:w="690" w:type="pct"/>
            <w:vAlign w:val="center"/>
          </w:tcPr>
          <w:p w14:paraId="0398C853" w14:textId="77777777" w:rsidR="0038046B" w:rsidRPr="00DB26F8" w:rsidRDefault="0038046B" w:rsidP="0019343E">
            <w:pPr>
              <w:spacing w:after="0"/>
              <w:jc w:val="right"/>
              <w:rPr>
                <w:rFonts w:eastAsia="Times New Roman" w:cs="Segoe UI"/>
                <w:color w:val="000000"/>
                <w:sz w:val="18"/>
                <w:szCs w:val="18"/>
                <w:lang w:eastAsia="sk-SK"/>
              </w:rPr>
            </w:pPr>
            <w:r w:rsidRPr="00DB26F8">
              <w:rPr>
                <w:rFonts w:eastAsia="Times New Roman" w:cs="Segoe UI"/>
                <w:color w:val="000000"/>
                <w:sz w:val="18"/>
                <w:szCs w:val="18"/>
                <w:lang w:eastAsia="sk-SK"/>
              </w:rPr>
              <w:t>970 441</w:t>
            </w:r>
          </w:p>
        </w:tc>
        <w:tc>
          <w:tcPr>
            <w:tcW w:w="690" w:type="pct"/>
            <w:vAlign w:val="center"/>
          </w:tcPr>
          <w:p w14:paraId="1749D00D" w14:textId="77777777" w:rsidR="0038046B" w:rsidRPr="00DB26F8" w:rsidRDefault="0038046B" w:rsidP="0019343E">
            <w:pPr>
              <w:spacing w:after="0"/>
              <w:jc w:val="right"/>
              <w:rPr>
                <w:rFonts w:eastAsia="Times New Roman" w:cs="Segoe UI"/>
                <w:color w:val="000000"/>
                <w:sz w:val="18"/>
                <w:szCs w:val="18"/>
                <w:lang w:eastAsia="sk-SK"/>
              </w:rPr>
            </w:pPr>
            <w:r w:rsidRPr="00DB26F8">
              <w:rPr>
                <w:rFonts w:eastAsia="Times New Roman" w:cs="Segoe UI"/>
                <w:color w:val="000000"/>
                <w:sz w:val="18"/>
                <w:szCs w:val="18"/>
                <w:lang w:eastAsia="sk-SK"/>
              </w:rPr>
              <w:t>731 264</w:t>
            </w:r>
          </w:p>
        </w:tc>
        <w:tc>
          <w:tcPr>
            <w:tcW w:w="672" w:type="pct"/>
            <w:vAlign w:val="center"/>
          </w:tcPr>
          <w:p w14:paraId="05BF4989" w14:textId="77777777" w:rsidR="0038046B" w:rsidRPr="00DB26F8" w:rsidRDefault="0038046B" w:rsidP="0019343E">
            <w:pPr>
              <w:spacing w:after="0"/>
              <w:jc w:val="right"/>
              <w:rPr>
                <w:rFonts w:eastAsia="Times New Roman" w:cs="Segoe UI"/>
                <w:color w:val="000000"/>
                <w:sz w:val="18"/>
                <w:szCs w:val="18"/>
                <w:lang w:eastAsia="sk-SK"/>
              </w:rPr>
            </w:pPr>
            <w:r w:rsidRPr="00DB26F8">
              <w:rPr>
                <w:rFonts w:eastAsia="Times New Roman" w:cs="Segoe UI"/>
                <w:color w:val="000000"/>
                <w:sz w:val="18"/>
                <w:szCs w:val="18"/>
                <w:lang w:eastAsia="sk-SK"/>
              </w:rPr>
              <w:t>-239 177</w:t>
            </w:r>
          </w:p>
        </w:tc>
        <w:tc>
          <w:tcPr>
            <w:tcW w:w="477" w:type="pct"/>
            <w:vAlign w:val="center"/>
          </w:tcPr>
          <w:p w14:paraId="1674B2D6" w14:textId="77777777" w:rsidR="0038046B" w:rsidRPr="00DB26F8" w:rsidRDefault="0038046B" w:rsidP="0019343E">
            <w:pPr>
              <w:spacing w:after="0"/>
              <w:jc w:val="right"/>
              <w:rPr>
                <w:rFonts w:eastAsia="Times New Roman" w:cs="Segoe UI"/>
                <w:color w:val="000000"/>
                <w:sz w:val="18"/>
                <w:szCs w:val="18"/>
                <w:lang w:eastAsia="sk-SK"/>
              </w:rPr>
            </w:pPr>
            <w:r w:rsidRPr="00DB26F8">
              <w:rPr>
                <w:rFonts w:eastAsia="Times New Roman" w:cs="Segoe UI"/>
                <w:color w:val="000000"/>
                <w:sz w:val="18"/>
                <w:szCs w:val="18"/>
                <w:lang w:eastAsia="sk-SK"/>
              </w:rPr>
              <w:t>180,6</w:t>
            </w:r>
          </w:p>
        </w:tc>
      </w:tr>
      <w:tr w:rsidR="0038046B" w:rsidRPr="00A81DDC" w14:paraId="3A177645" w14:textId="77777777" w:rsidTr="00DB26F8">
        <w:trPr>
          <w:trHeight w:val="283"/>
        </w:trPr>
        <w:tc>
          <w:tcPr>
            <w:tcW w:w="1780" w:type="pct"/>
            <w:vAlign w:val="center"/>
          </w:tcPr>
          <w:p w14:paraId="3832F6E9" w14:textId="77777777" w:rsidR="0038046B" w:rsidRPr="00DB26F8" w:rsidRDefault="0038046B" w:rsidP="0019343E">
            <w:pPr>
              <w:spacing w:after="0"/>
              <w:jc w:val="left"/>
              <w:rPr>
                <w:rFonts w:eastAsia="Times New Roman" w:cs="Segoe UI"/>
                <w:color w:val="000000"/>
                <w:sz w:val="18"/>
                <w:szCs w:val="18"/>
                <w:lang w:eastAsia="sk-SK"/>
              </w:rPr>
            </w:pPr>
            <w:r w:rsidRPr="00DB26F8">
              <w:rPr>
                <w:rFonts w:eastAsia="Times New Roman" w:cs="Segoe UI"/>
                <w:color w:val="000000"/>
                <w:sz w:val="18"/>
                <w:szCs w:val="18"/>
                <w:lang w:eastAsia="sk-SK"/>
              </w:rPr>
              <w:t>Odvod do rozpočtu EÚ</w:t>
            </w:r>
          </w:p>
        </w:tc>
        <w:tc>
          <w:tcPr>
            <w:tcW w:w="690" w:type="pct"/>
            <w:vAlign w:val="center"/>
          </w:tcPr>
          <w:p w14:paraId="5BE80414" w14:textId="77777777" w:rsidR="0038046B" w:rsidRPr="00DB26F8" w:rsidRDefault="0038046B" w:rsidP="0019343E">
            <w:pPr>
              <w:spacing w:after="0"/>
              <w:jc w:val="right"/>
              <w:rPr>
                <w:rFonts w:eastAsia="Times New Roman" w:cs="Segoe UI"/>
                <w:color w:val="000000"/>
                <w:sz w:val="18"/>
                <w:szCs w:val="18"/>
                <w:lang w:eastAsia="sk-SK"/>
              </w:rPr>
            </w:pPr>
            <w:r w:rsidRPr="00DB26F8">
              <w:rPr>
                <w:rFonts w:eastAsia="Times New Roman" w:cs="Segoe UI"/>
                <w:color w:val="000000"/>
                <w:sz w:val="18"/>
                <w:szCs w:val="18"/>
                <w:lang w:eastAsia="sk-SK"/>
              </w:rPr>
              <w:t>940 226</w:t>
            </w:r>
          </w:p>
        </w:tc>
        <w:tc>
          <w:tcPr>
            <w:tcW w:w="690" w:type="pct"/>
            <w:vAlign w:val="center"/>
          </w:tcPr>
          <w:p w14:paraId="6EF16B13" w14:textId="77777777" w:rsidR="0038046B" w:rsidRPr="00DB26F8" w:rsidRDefault="0038046B" w:rsidP="0019343E">
            <w:pPr>
              <w:spacing w:after="0"/>
              <w:jc w:val="right"/>
              <w:rPr>
                <w:rFonts w:eastAsia="Times New Roman" w:cs="Segoe UI"/>
                <w:color w:val="000000"/>
                <w:sz w:val="18"/>
                <w:szCs w:val="18"/>
                <w:lang w:eastAsia="sk-SK"/>
              </w:rPr>
            </w:pPr>
            <w:r w:rsidRPr="00DB26F8">
              <w:rPr>
                <w:rFonts w:eastAsia="Times New Roman" w:cs="Segoe UI"/>
                <w:color w:val="000000"/>
                <w:sz w:val="18"/>
                <w:szCs w:val="18"/>
                <w:lang w:eastAsia="sk-SK"/>
              </w:rPr>
              <w:t>1 027 581</w:t>
            </w:r>
          </w:p>
        </w:tc>
        <w:tc>
          <w:tcPr>
            <w:tcW w:w="690" w:type="pct"/>
            <w:vAlign w:val="center"/>
          </w:tcPr>
          <w:p w14:paraId="3EA5A2C0" w14:textId="77777777" w:rsidR="0038046B" w:rsidRPr="00DB26F8" w:rsidRDefault="0038046B" w:rsidP="0019343E">
            <w:pPr>
              <w:spacing w:after="0"/>
              <w:jc w:val="right"/>
              <w:rPr>
                <w:rFonts w:eastAsia="Times New Roman" w:cs="Segoe UI"/>
                <w:color w:val="000000"/>
                <w:sz w:val="18"/>
                <w:szCs w:val="18"/>
                <w:lang w:eastAsia="sk-SK"/>
              </w:rPr>
            </w:pPr>
            <w:r w:rsidRPr="00DB26F8">
              <w:rPr>
                <w:rFonts w:eastAsia="Times New Roman" w:cs="Segoe UI"/>
                <w:color w:val="000000"/>
                <w:sz w:val="18"/>
                <w:szCs w:val="18"/>
                <w:lang w:eastAsia="sk-SK"/>
              </w:rPr>
              <w:t>943 226</w:t>
            </w:r>
          </w:p>
        </w:tc>
        <w:tc>
          <w:tcPr>
            <w:tcW w:w="672" w:type="pct"/>
            <w:vAlign w:val="center"/>
          </w:tcPr>
          <w:p w14:paraId="73617A7C" w14:textId="77777777" w:rsidR="0038046B" w:rsidRPr="00DB26F8" w:rsidRDefault="0038046B" w:rsidP="0019343E">
            <w:pPr>
              <w:spacing w:after="0"/>
              <w:jc w:val="right"/>
              <w:rPr>
                <w:rFonts w:eastAsia="Times New Roman" w:cs="Segoe UI"/>
                <w:color w:val="000000"/>
                <w:sz w:val="18"/>
                <w:szCs w:val="18"/>
                <w:lang w:eastAsia="sk-SK"/>
              </w:rPr>
            </w:pPr>
            <w:r w:rsidRPr="00DB26F8">
              <w:rPr>
                <w:rFonts w:eastAsia="Times New Roman" w:cs="Segoe UI"/>
                <w:color w:val="000000"/>
                <w:sz w:val="18"/>
                <w:szCs w:val="18"/>
                <w:lang w:eastAsia="sk-SK"/>
              </w:rPr>
              <w:t>-84 355</w:t>
            </w:r>
          </w:p>
        </w:tc>
        <w:tc>
          <w:tcPr>
            <w:tcW w:w="477" w:type="pct"/>
            <w:vAlign w:val="center"/>
          </w:tcPr>
          <w:p w14:paraId="7DA4E5F9" w14:textId="77777777" w:rsidR="0038046B" w:rsidRPr="00DB26F8" w:rsidRDefault="0038046B" w:rsidP="0019343E">
            <w:pPr>
              <w:spacing w:after="0"/>
              <w:jc w:val="right"/>
              <w:rPr>
                <w:rFonts w:eastAsia="Times New Roman" w:cs="Segoe UI"/>
                <w:color w:val="000000"/>
                <w:sz w:val="18"/>
                <w:szCs w:val="18"/>
                <w:lang w:eastAsia="sk-SK"/>
              </w:rPr>
            </w:pPr>
            <w:r w:rsidRPr="00DB26F8">
              <w:rPr>
                <w:rFonts w:eastAsia="Times New Roman" w:cs="Segoe UI"/>
                <w:color w:val="000000"/>
                <w:sz w:val="18"/>
                <w:szCs w:val="18"/>
                <w:lang w:eastAsia="sk-SK"/>
              </w:rPr>
              <w:t>100,3</w:t>
            </w:r>
          </w:p>
        </w:tc>
      </w:tr>
      <w:tr w:rsidR="0038046B" w:rsidRPr="00A81DDC" w14:paraId="192B6D20" w14:textId="77777777" w:rsidTr="00DB26F8">
        <w:trPr>
          <w:trHeight w:val="283"/>
        </w:trPr>
        <w:tc>
          <w:tcPr>
            <w:tcW w:w="1780" w:type="pct"/>
            <w:tcBorders>
              <w:bottom w:val="single" w:sz="4" w:space="0" w:color="314364"/>
            </w:tcBorders>
            <w:vAlign w:val="center"/>
          </w:tcPr>
          <w:p w14:paraId="312115CD" w14:textId="77777777" w:rsidR="0038046B" w:rsidRPr="00DB26F8" w:rsidRDefault="0038046B" w:rsidP="0019343E">
            <w:pPr>
              <w:spacing w:after="0"/>
              <w:jc w:val="left"/>
              <w:rPr>
                <w:rFonts w:eastAsia="Times New Roman" w:cs="Segoe UI"/>
                <w:color w:val="000000"/>
                <w:sz w:val="18"/>
                <w:szCs w:val="18"/>
                <w:lang w:eastAsia="sk-SK"/>
              </w:rPr>
            </w:pPr>
            <w:r w:rsidRPr="00DB26F8">
              <w:rPr>
                <w:rFonts w:eastAsia="Times New Roman" w:cs="Segoe UI"/>
                <w:color w:val="000000"/>
                <w:sz w:val="18"/>
                <w:szCs w:val="18"/>
                <w:lang w:eastAsia="sk-SK"/>
              </w:rPr>
              <w:t>Transfer Sociálnej poisťovni </w:t>
            </w:r>
          </w:p>
        </w:tc>
        <w:tc>
          <w:tcPr>
            <w:tcW w:w="690" w:type="pct"/>
            <w:tcBorders>
              <w:bottom w:val="single" w:sz="4" w:space="0" w:color="314364"/>
            </w:tcBorders>
            <w:vAlign w:val="center"/>
          </w:tcPr>
          <w:p w14:paraId="193096F9" w14:textId="77777777" w:rsidR="0038046B" w:rsidRPr="00DB26F8" w:rsidRDefault="0038046B" w:rsidP="0019343E">
            <w:pPr>
              <w:spacing w:after="0"/>
              <w:jc w:val="right"/>
              <w:rPr>
                <w:rFonts w:eastAsia="Times New Roman" w:cs="Segoe UI"/>
                <w:color w:val="000000"/>
                <w:sz w:val="18"/>
                <w:szCs w:val="18"/>
                <w:lang w:eastAsia="sk-SK"/>
              </w:rPr>
            </w:pPr>
            <w:r w:rsidRPr="00DB26F8">
              <w:rPr>
                <w:rFonts w:eastAsia="Times New Roman" w:cs="Segoe UI"/>
                <w:color w:val="000000"/>
                <w:sz w:val="18"/>
                <w:szCs w:val="18"/>
                <w:lang w:eastAsia="sk-SK"/>
              </w:rPr>
              <w:t>103 488</w:t>
            </w:r>
          </w:p>
        </w:tc>
        <w:tc>
          <w:tcPr>
            <w:tcW w:w="690" w:type="pct"/>
            <w:tcBorders>
              <w:bottom w:val="single" w:sz="4" w:space="0" w:color="314364"/>
            </w:tcBorders>
            <w:vAlign w:val="center"/>
          </w:tcPr>
          <w:p w14:paraId="781C98C8" w14:textId="77777777" w:rsidR="0038046B" w:rsidRPr="00DB26F8" w:rsidRDefault="0038046B" w:rsidP="0019343E">
            <w:pPr>
              <w:spacing w:after="0"/>
              <w:jc w:val="right"/>
              <w:rPr>
                <w:rFonts w:eastAsia="Times New Roman" w:cs="Segoe UI"/>
                <w:color w:val="000000"/>
                <w:sz w:val="18"/>
                <w:szCs w:val="18"/>
                <w:lang w:eastAsia="sk-SK"/>
              </w:rPr>
            </w:pPr>
            <w:r w:rsidRPr="00DB26F8">
              <w:rPr>
                <w:rFonts w:eastAsia="Times New Roman" w:cs="Segoe UI"/>
                <w:color w:val="000000"/>
                <w:sz w:val="18"/>
                <w:szCs w:val="18"/>
                <w:lang w:eastAsia="sk-SK"/>
              </w:rPr>
              <w:t>0</w:t>
            </w:r>
          </w:p>
        </w:tc>
        <w:tc>
          <w:tcPr>
            <w:tcW w:w="690" w:type="pct"/>
            <w:tcBorders>
              <w:bottom w:val="single" w:sz="4" w:space="0" w:color="314364"/>
            </w:tcBorders>
            <w:vAlign w:val="center"/>
          </w:tcPr>
          <w:p w14:paraId="7C1E380C" w14:textId="77777777" w:rsidR="0038046B" w:rsidRPr="00DB26F8" w:rsidRDefault="0038046B" w:rsidP="0019343E">
            <w:pPr>
              <w:spacing w:after="0"/>
              <w:jc w:val="right"/>
              <w:rPr>
                <w:rFonts w:eastAsia="Times New Roman" w:cs="Segoe UI"/>
                <w:color w:val="000000"/>
                <w:sz w:val="18"/>
                <w:szCs w:val="18"/>
                <w:lang w:eastAsia="sk-SK"/>
              </w:rPr>
            </w:pPr>
            <w:r w:rsidRPr="00DB26F8">
              <w:rPr>
                <w:rFonts w:eastAsia="Times New Roman" w:cs="Segoe UI"/>
                <w:color w:val="000000"/>
                <w:sz w:val="18"/>
                <w:szCs w:val="18"/>
                <w:lang w:eastAsia="sk-SK"/>
              </w:rPr>
              <w:t>1 160 000</w:t>
            </w:r>
          </w:p>
        </w:tc>
        <w:tc>
          <w:tcPr>
            <w:tcW w:w="672" w:type="pct"/>
            <w:tcBorders>
              <w:bottom w:val="single" w:sz="4" w:space="0" w:color="314364"/>
            </w:tcBorders>
            <w:vAlign w:val="center"/>
          </w:tcPr>
          <w:p w14:paraId="2E592D41" w14:textId="77777777" w:rsidR="0038046B" w:rsidRPr="00DB26F8" w:rsidRDefault="0038046B" w:rsidP="0019343E">
            <w:pPr>
              <w:spacing w:after="0"/>
              <w:jc w:val="right"/>
              <w:rPr>
                <w:rFonts w:eastAsia="Times New Roman" w:cs="Segoe UI"/>
                <w:color w:val="000000"/>
                <w:sz w:val="18"/>
                <w:szCs w:val="18"/>
                <w:lang w:eastAsia="sk-SK"/>
              </w:rPr>
            </w:pPr>
            <w:r w:rsidRPr="00DB26F8">
              <w:rPr>
                <w:rFonts w:eastAsia="Times New Roman" w:cs="Segoe UI"/>
                <w:color w:val="000000"/>
                <w:sz w:val="18"/>
                <w:szCs w:val="18"/>
                <w:lang w:eastAsia="sk-SK"/>
              </w:rPr>
              <w:t>1 160 000</w:t>
            </w:r>
          </w:p>
        </w:tc>
        <w:tc>
          <w:tcPr>
            <w:tcW w:w="477" w:type="pct"/>
            <w:tcBorders>
              <w:bottom w:val="single" w:sz="4" w:space="0" w:color="314364"/>
            </w:tcBorders>
            <w:vAlign w:val="center"/>
          </w:tcPr>
          <w:p w14:paraId="2E29EB0F" w14:textId="77777777" w:rsidR="0038046B" w:rsidRPr="00DB26F8" w:rsidRDefault="0038046B" w:rsidP="0019343E">
            <w:pPr>
              <w:spacing w:after="0"/>
              <w:jc w:val="right"/>
              <w:rPr>
                <w:rFonts w:eastAsia="Times New Roman" w:cs="Segoe UI"/>
                <w:color w:val="000000"/>
                <w:sz w:val="18"/>
                <w:szCs w:val="18"/>
                <w:lang w:eastAsia="sk-SK"/>
              </w:rPr>
            </w:pPr>
            <w:r w:rsidRPr="00DB26F8">
              <w:rPr>
                <w:rFonts w:eastAsia="Times New Roman" w:cs="Segoe UI"/>
                <w:color w:val="000000"/>
                <w:sz w:val="18"/>
                <w:szCs w:val="18"/>
                <w:lang w:eastAsia="sk-SK"/>
              </w:rPr>
              <w:t>1 120,9</w:t>
            </w:r>
          </w:p>
        </w:tc>
      </w:tr>
    </w:tbl>
    <w:p w14:paraId="5D086FF0" w14:textId="77777777" w:rsidR="00DC45A4" w:rsidRPr="00607947" w:rsidRDefault="00DC45A4" w:rsidP="00DC45A4">
      <w:pPr>
        <w:keepNext/>
        <w:spacing w:after="0"/>
        <w:rPr>
          <w:rFonts w:eastAsia="Calibri" w:cs="Times New Roman"/>
          <w:b/>
          <w:iCs/>
          <w:color w:val="314364"/>
          <w:szCs w:val="18"/>
        </w:rPr>
      </w:pPr>
      <w:r w:rsidRPr="002F4F44">
        <w:rPr>
          <w:rFonts w:eastAsia="Calibri" w:cs="Times New Roman"/>
          <w:b/>
          <w:iCs/>
          <w:color w:val="314364"/>
          <w:szCs w:val="18"/>
        </w:rPr>
        <w:t>Tabuľka 5: Čerpanie vybraných výdavkov ŠR (v tis. eur)</w:t>
      </w:r>
    </w:p>
    <w:p w14:paraId="5B09EF31" w14:textId="77777777" w:rsidR="00DC45A4" w:rsidRPr="00607947" w:rsidRDefault="00DC45A4" w:rsidP="00DC45A4">
      <w:pPr>
        <w:pStyle w:val="Zdroj"/>
      </w:pPr>
      <w:r w:rsidRPr="00607947">
        <w:t xml:space="preserve">Zdroj: </w:t>
      </w:r>
      <w:r>
        <w:t>Návrh ŠZÚ 2023</w:t>
      </w:r>
      <w:r w:rsidRPr="00607947">
        <w:t>.</w:t>
      </w:r>
      <w:r w:rsidRPr="00607947">
        <w:br/>
        <w:t>S – skutočnosť, R – rozpočet, YoY – medziročná zmena</w:t>
      </w:r>
    </w:p>
    <w:p w14:paraId="688ECC03" w14:textId="1B27DDF7" w:rsidR="005E65E6" w:rsidRDefault="00946B24" w:rsidP="00946B24">
      <w:pPr>
        <w:pStyle w:val="Nadpis2"/>
      </w:pPr>
      <w:bookmarkStart w:id="14" w:name="_Toc105414678"/>
      <w:bookmarkStart w:id="15" w:name="_Toc168567185"/>
      <w:r>
        <w:t>3.</w:t>
      </w:r>
      <w:r w:rsidR="00160F4C">
        <w:t>2</w:t>
      </w:r>
      <w:r w:rsidR="00E43045">
        <w:t xml:space="preserve"> </w:t>
      </w:r>
      <w:r>
        <w:t xml:space="preserve"> </w:t>
      </w:r>
      <w:r w:rsidR="005E65E6">
        <w:t>Príjmy štátneho rozpočtu</w:t>
      </w:r>
      <w:bookmarkEnd w:id="14"/>
      <w:bookmarkEnd w:id="15"/>
    </w:p>
    <w:p w14:paraId="3610C268" w14:textId="64FD9004" w:rsidR="002F4F44" w:rsidRDefault="00155528" w:rsidP="00F10ED2">
      <w:pPr>
        <w:pStyle w:val="Zkladntext0"/>
        <w:spacing w:after="120"/>
        <w:jc w:val="both"/>
        <w:rPr>
          <w:rFonts w:ascii="Segoe UI" w:eastAsia="Calibri" w:hAnsi="Segoe UI" w:cs="Segoe UI"/>
          <w:sz w:val="20"/>
        </w:rPr>
      </w:pPr>
      <w:r>
        <w:rPr>
          <w:rFonts w:ascii="Segoe UI" w:eastAsia="Calibri" w:hAnsi="Segoe UI" w:cs="Segoe UI"/>
          <w:b/>
          <w:sz w:val="20"/>
        </w:rPr>
        <w:t>D</w:t>
      </w:r>
      <w:r w:rsidR="002F4F44">
        <w:rPr>
          <w:rFonts w:ascii="Segoe UI" w:eastAsia="Calibri" w:hAnsi="Segoe UI" w:cs="Segoe UI"/>
          <w:b/>
          <w:sz w:val="20"/>
        </w:rPr>
        <w:t xml:space="preserve">aňové príjmy na hotovostnej báze v roku 2023 </w:t>
      </w:r>
      <w:r w:rsidR="00E71E04">
        <w:rPr>
          <w:rFonts w:ascii="Segoe UI" w:eastAsia="Calibri" w:hAnsi="Segoe UI" w:cs="Segoe UI"/>
          <w:b/>
          <w:sz w:val="20"/>
        </w:rPr>
        <w:t>boli medziročne vyššie o 1,9 mld. eur a oproti rozpočtu vyššie</w:t>
      </w:r>
      <w:r w:rsidR="002F4F44">
        <w:rPr>
          <w:rFonts w:ascii="Segoe UI" w:eastAsia="Calibri" w:hAnsi="Segoe UI" w:cs="Segoe UI"/>
          <w:b/>
          <w:sz w:val="20"/>
        </w:rPr>
        <w:t xml:space="preserve"> o 645 mil. eur</w:t>
      </w:r>
      <w:r>
        <w:rPr>
          <w:rFonts w:ascii="Segoe UI" w:eastAsia="Calibri" w:hAnsi="Segoe UI" w:cs="Segoe UI"/>
          <w:sz w:val="20"/>
        </w:rPr>
        <w:t xml:space="preserve"> (tabuľka 4 v prílohe).</w:t>
      </w:r>
      <w:r w:rsidR="002F4F44">
        <w:rPr>
          <w:rFonts w:ascii="Segoe UI" w:eastAsia="Calibri" w:hAnsi="Segoe UI" w:cs="Segoe UI"/>
          <w:b/>
          <w:sz w:val="20"/>
        </w:rPr>
        <w:t xml:space="preserve"> </w:t>
      </w:r>
      <w:r w:rsidR="002F4F44">
        <w:rPr>
          <w:rFonts w:ascii="Segoe UI" w:eastAsia="Calibri" w:hAnsi="Segoe UI" w:cs="Segoe UI"/>
          <w:sz w:val="20"/>
        </w:rPr>
        <w:t>Zvýšenie hotovostného plnenia príjmov oproti rozpočtu išlo na vrub najmä zlepšenému výberu DPFO o 250 mil. eur a zavedeniu dvoch nových daní s celkovým výberom 557 mil. eur. Nižší než očakávaný hotovostný výnos bol zaznamenaný hlavne pri DPH a bol zapríčinený najmä zavedením zníženej sadzby DPH na gastro a</w:t>
      </w:r>
      <w:r>
        <w:rPr>
          <w:rFonts w:ascii="Segoe UI" w:eastAsia="Calibri" w:hAnsi="Segoe UI" w:cs="Segoe UI"/>
          <w:sz w:val="20"/>
        </w:rPr>
        <w:t> </w:t>
      </w:r>
      <w:r w:rsidR="002F4F44">
        <w:rPr>
          <w:rFonts w:ascii="Segoe UI" w:eastAsia="Calibri" w:hAnsi="Segoe UI" w:cs="Segoe UI"/>
          <w:sz w:val="20"/>
        </w:rPr>
        <w:t>športoviská</w:t>
      </w:r>
      <w:r>
        <w:rPr>
          <w:rFonts w:ascii="Segoe UI" w:eastAsia="Calibri" w:hAnsi="Segoe UI" w:cs="Segoe UI"/>
          <w:sz w:val="20"/>
        </w:rPr>
        <w:t>,</w:t>
      </w:r>
      <w:r w:rsidR="002F4F44">
        <w:rPr>
          <w:rFonts w:ascii="Segoe UI" w:eastAsia="Calibri" w:hAnsi="Segoe UI" w:cs="Segoe UI"/>
          <w:sz w:val="20"/>
        </w:rPr>
        <w:t xml:space="preserve"> s čím sa v rozpočte nerátalo a nižšou než predpok</w:t>
      </w:r>
      <w:r w:rsidR="00E71E04">
        <w:rPr>
          <w:rFonts w:ascii="Segoe UI" w:eastAsia="Calibri" w:hAnsi="Segoe UI" w:cs="Segoe UI"/>
          <w:sz w:val="20"/>
        </w:rPr>
        <w:t>ladanou úspešnosťou výberu DPH.</w:t>
      </w:r>
    </w:p>
    <w:p w14:paraId="69DBC3D9" w14:textId="75FADA1C" w:rsidR="002F4F44" w:rsidRPr="00F63DFE" w:rsidRDefault="002F4F44" w:rsidP="00F10ED2">
      <w:pPr>
        <w:pStyle w:val="Zkladntext0"/>
        <w:spacing w:after="120"/>
        <w:jc w:val="both"/>
        <w:rPr>
          <w:rFonts w:ascii="Segoe UI" w:eastAsia="Times New Roman" w:hAnsi="Segoe UI" w:cs="Segoe UI"/>
          <w:sz w:val="20"/>
        </w:rPr>
      </w:pPr>
      <w:r w:rsidRPr="0084614A">
        <w:rPr>
          <w:rFonts w:ascii="Segoe UI" w:eastAsia="Times New Roman" w:hAnsi="Segoe UI" w:cs="Segoe UI"/>
          <w:b/>
          <w:sz w:val="20"/>
        </w:rPr>
        <w:t xml:space="preserve">DPPO je </w:t>
      </w:r>
      <w:r w:rsidR="0021192E">
        <w:rPr>
          <w:rFonts w:ascii="Segoe UI" w:eastAsia="Times New Roman" w:hAnsi="Segoe UI" w:cs="Segoe UI"/>
          <w:b/>
          <w:sz w:val="20"/>
        </w:rPr>
        <w:t xml:space="preserve">po DPH </w:t>
      </w:r>
      <w:r w:rsidRPr="0084614A">
        <w:rPr>
          <w:rFonts w:ascii="Segoe UI" w:eastAsia="Times New Roman" w:hAnsi="Segoe UI" w:cs="Segoe UI"/>
          <w:b/>
          <w:sz w:val="20"/>
        </w:rPr>
        <w:t>druhým najvýznamnejším daňovým príjmom ŠR s podielom 22,4 %, čo zodpovedá celkovému výnosu 3,9 mld. eur.</w:t>
      </w:r>
      <w:r>
        <w:rPr>
          <w:rFonts w:ascii="Segoe UI" w:eastAsia="Times New Roman" w:hAnsi="Segoe UI" w:cs="Segoe UI"/>
          <w:sz w:val="20"/>
        </w:rPr>
        <w:t xml:space="preserve"> Počas roka 2023 bol hotovostný výnos ovplyvnený aj vyšším než očakávaným výnosom z vyrovnania (zúčtovania) dane na úrovni 1,2 mld. eur a nerozpočtovaným prevodom územnej samospráve ako výpadku DPFO pre zvýšenie daňového bonusu na dieťa v celkovej výške 326 mil. eur. DPFO sa rozdeľuje obciam a mestám (70 %) a </w:t>
      </w:r>
      <w:r w:rsidR="00115102">
        <w:rPr>
          <w:rFonts w:ascii="Segoe UI" w:eastAsia="Times New Roman" w:hAnsi="Segoe UI" w:cs="Segoe UI"/>
          <w:sz w:val="20"/>
        </w:rPr>
        <w:t>VÚC</w:t>
      </w:r>
      <w:r>
        <w:rPr>
          <w:rFonts w:ascii="Segoe UI" w:eastAsia="Times New Roman" w:hAnsi="Segoe UI" w:cs="Segoe UI"/>
          <w:sz w:val="20"/>
        </w:rPr>
        <w:t xml:space="preserve"> (30 %), čiže nie je príjmom ŠR a sumy v tabuľke zodpovedajú zostatkom z hľadiska hotovostných tokov. </w:t>
      </w:r>
    </w:p>
    <w:p w14:paraId="146A1E19" w14:textId="77777777" w:rsidR="00F355C4" w:rsidRDefault="002F4F44" w:rsidP="00F10ED2">
      <w:pPr>
        <w:pStyle w:val="Zkladntext0"/>
        <w:spacing w:after="120"/>
        <w:jc w:val="both"/>
        <w:rPr>
          <w:rFonts w:ascii="Segoe UI" w:eastAsia="Times New Roman" w:hAnsi="Segoe UI" w:cs="Segoe UI"/>
          <w:sz w:val="20"/>
        </w:rPr>
      </w:pPr>
      <w:r w:rsidRPr="00D45951">
        <w:rPr>
          <w:rFonts w:ascii="Segoe UI" w:eastAsia="Times New Roman" w:hAnsi="Segoe UI" w:cs="Segoe UI"/>
          <w:b/>
          <w:sz w:val="20"/>
        </w:rPr>
        <w:t>Počas roka 2023 boli zavedené dve nové dane – príjem z odvodu z nadmerných príjmov a solidárny príspevok z činností v odvetviach ropy, zemného plynu, uhlia a rafinérií.</w:t>
      </w:r>
      <w:r>
        <w:rPr>
          <w:rFonts w:ascii="Segoe UI" w:eastAsia="Times New Roman" w:hAnsi="Segoe UI" w:cs="Segoe UI"/>
          <w:sz w:val="20"/>
        </w:rPr>
        <w:t xml:space="preserve"> Prvá bola zavedená ako </w:t>
      </w:r>
      <w:r w:rsidRPr="002C6F82">
        <w:rPr>
          <w:rFonts w:ascii="Segoe UI" w:eastAsia="Times New Roman" w:hAnsi="Segoe UI" w:cs="Segoe UI"/>
          <w:sz w:val="20"/>
        </w:rPr>
        <w:t>súčasť položky osobitný odvod z</w:t>
      </w:r>
      <w:r>
        <w:rPr>
          <w:rFonts w:ascii="Segoe UI" w:eastAsia="Times New Roman" w:hAnsi="Segoe UI" w:cs="Segoe UI"/>
          <w:sz w:val="20"/>
        </w:rPr>
        <w:t> </w:t>
      </w:r>
      <w:r w:rsidRPr="002C6F82">
        <w:rPr>
          <w:rFonts w:ascii="Segoe UI" w:eastAsia="Times New Roman" w:hAnsi="Segoe UI" w:cs="Segoe UI"/>
          <w:sz w:val="20"/>
        </w:rPr>
        <w:t>podnikania v</w:t>
      </w:r>
      <w:r>
        <w:rPr>
          <w:rFonts w:ascii="Segoe UI" w:eastAsia="Times New Roman" w:hAnsi="Segoe UI" w:cs="Segoe UI"/>
          <w:sz w:val="20"/>
        </w:rPr>
        <w:t> </w:t>
      </w:r>
      <w:r w:rsidRPr="002C6F82">
        <w:rPr>
          <w:rFonts w:ascii="Segoe UI" w:eastAsia="Times New Roman" w:hAnsi="Segoe UI" w:cs="Segoe UI"/>
          <w:sz w:val="20"/>
        </w:rPr>
        <w:t>regulovaných odvetviach</w:t>
      </w:r>
      <w:r>
        <w:rPr>
          <w:rFonts w:ascii="Segoe UI" w:eastAsia="Times New Roman" w:hAnsi="Segoe UI" w:cs="Segoe UI"/>
          <w:sz w:val="20"/>
        </w:rPr>
        <w:t xml:space="preserve"> s hotovostným výnosom 38 mil. eur a druhá platená najväčšou rafinériou priniesla do rozpočtu 520 mil. eur. Obe nové dane súviseli s výraznou zm</w:t>
      </w:r>
      <w:r w:rsidR="0084614A">
        <w:rPr>
          <w:rFonts w:ascii="Segoe UI" w:eastAsia="Times New Roman" w:hAnsi="Segoe UI" w:cs="Segoe UI"/>
          <w:sz w:val="20"/>
        </w:rPr>
        <w:t>enou cien energií</w:t>
      </w:r>
      <w:r>
        <w:rPr>
          <w:rFonts w:ascii="Segoe UI" w:eastAsia="Times New Roman" w:hAnsi="Segoe UI" w:cs="Segoe UI"/>
          <w:sz w:val="20"/>
        </w:rPr>
        <w:t xml:space="preserve">, čo sa prejavilo napr. aj v iných príjmoch z podnikania, kde MŽP SR získalo 150 mil. eur od </w:t>
      </w:r>
      <w:r w:rsidRPr="00533E48">
        <w:rPr>
          <w:rFonts w:ascii="Segoe UI" w:eastAsia="Times New Roman" w:hAnsi="Segoe UI" w:cs="Segoe UI"/>
          <w:sz w:val="20"/>
        </w:rPr>
        <w:t>Vodohospodárskej výstavby, š. p.</w:t>
      </w:r>
    </w:p>
    <w:p w14:paraId="0C2CCEFB" w14:textId="27F27C3F" w:rsidR="0084614A" w:rsidRDefault="0084614A" w:rsidP="00F10ED2">
      <w:pPr>
        <w:pStyle w:val="Zkladntext0"/>
        <w:spacing w:after="120"/>
        <w:jc w:val="both"/>
        <w:rPr>
          <w:rFonts w:ascii="Segoe UI" w:eastAsia="Calibri" w:hAnsi="Segoe UI" w:cs="Segoe UI"/>
          <w:sz w:val="20"/>
        </w:rPr>
      </w:pPr>
      <w:r w:rsidRPr="00E71E04">
        <w:rPr>
          <w:rFonts w:ascii="Segoe UI" w:eastAsia="Calibri" w:hAnsi="Segoe UI" w:cs="Segoe UI"/>
          <w:b/>
          <w:sz w:val="20"/>
        </w:rPr>
        <w:t xml:space="preserve">Nedaňové príjmy </w:t>
      </w:r>
      <w:r w:rsidR="00E71E04" w:rsidRPr="00E71E04">
        <w:rPr>
          <w:rFonts w:ascii="Segoe UI" w:eastAsia="Calibri" w:hAnsi="Segoe UI" w:cs="Segoe UI"/>
          <w:b/>
          <w:sz w:val="20"/>
        </w:rPr>
        <w:t xml:space="preserve">boli </w:t>
      </w:r>
      <w:r w:rsidRPr="00E71E04">
        <w:rPr>
          <w:rFonts w:ascii="Segoe UI" w:eastAsia="Calibri" w:hAnsi="Segoe UI" w:cs="Segoe UI"/>
          <w:b/>
          <w:sz w:val="20"/>
        </w:rPr>
        <w:t xml:space="preserve">v roku 2023 na hotovostnej báze </w:t>
      </w:r>
      <w:r w:rsidR="00E71E04" w:rsidRPr="00E71E04">
        <w:rPr>
          <w:rFonts w:ascii="Segoe UI" w:eastAsia="Calibri" w:hAnsi="Segoe UI" w:cs="Segoe UI"/>
          <w:b/>
          <w:sz w:val="20"/>
        </w:rPr>
        <w:t>nižšie oproti rozpočtu o 391 m</w:t>
      </w:r>
      <w:r w:rsidRPr="00E71E04">
        <w:rPr>
          <w:rFonts w:ascii="Segoe UI" w:eastAsia="Calibri" w:hAnsi="Segoe UI" w:cs="Segoe UI"/>
          <w:b/>
          <w:sz w:val="20"/>
        </w:rPr>
        <w:t>il. eur</w:t>
      </w:r>
      <w:r w:rsidR="00574ACF">
        <w:rPr>
          <w:rFonts w:ascii="Segoe UI" w:eastAsia="Calibri" w:hAnsi="Segoe UI" w:cs="Segoe UI"/>
          <w:sz w:val="20"/>
        </w:rPr>
        <w:t xml:space="preserve"> (tabuľka 6)</w:t>
      </w:r>
      <w:r w:rsidR="00E71E04" w:rsidRPr="00E71E04">
        <w:rPr>
          <w:rFonts w:ascii="Segoe UI" w:eastAsia="Calibri" w:hAnsi="Segoe UI" w:cs="Segoe UI"/>
          <w:b/>
          <w:sz w:val="20"/>
        </w:rPr>
        <w:t>, čo bolo zapríčinen</w:t>
      </w:r>
      <w:r w:rsidR="00CE5023">
        <w:rPr>
          <w:rFonts w:ascii="Segoe UI" w:eastAsia="Calibri" w:hAnsi="Segoe UI" w:cs="Segoe UI"/>
          <w:b/>
          <w:sz w:val="20"/>
        </w:rPr>
        <w:t>é</w:t>
      </w:r>
      <w:r w:rsidR="00E71E04" w:rsidRPr="00E71E04">
        <w:rPr>
          <w:rFonts w:ascii="Segoe UI" w:eastAsia="Calibri" w:hAnsi="Segoe UI" w:cs="Segoe UI"/>
          <w:b/>
          <w:sz w:val="20"/>
        </w:rPr>
        <w:t xml:space="preserve"> prekla</w:t>
      </w:r>
      <w:r w:rsidRPr="00E71E04">
        <w:rPr>
          <w:rFonts w:ascii="Segoe UI" w:eastAsia="Calibri" w:hAnsi="Segoe UI" w:cs="Segoe UI"/>
          <w:b/>
          <w:sz w:val="20"/>
        </w:rPr>
        <w:t>sifikovaním časti pôvodne rozpočtovaných nedaňových príjmov medzi skutočnosť daňových prímov</w:t>
      </w:r>
      <w:r>
        <w:rPr>
          <w:rFonts w:ascii="Segoe UI" w:eastAsia="Calibri" w:hAnsi="Segoe UI" w:cs="Segoe UI"/>
          <w:sz w:val="20"/>
        </w:rPr>
        <w:t xml:space="preserve"> (energie). Tradične významnou položkou nedaňových príjmov sú dividendy, pričom v roku 2023 prišli najmä zo SPP (220 mil. eur), Slovenskej prenosovej a elektrizačnej sústavy a. s. (SEPS – 79 mil. eur) a TIPOSu (50 mil. eur). Súčasťou ďalšej významnej položky z</w:t>
      </w:r>
      <w:r w:rsidR="00F10ED2">
        <w:rPr>
          <w:rFonts w:ascii="Segoe UI" w:eastAsia="Calibri" w:hAnsi="Segoe UI" w:cs="Segoe UI"/>
          <w:sz w:val="20"/>
        </w:rPr>
        <w:t>a</w:t>
      </w:r>
      <w:r>
        <w:rPr>
          <w:rFonts w:ascii="Segoe UI" w:eastAsia="Calibri" w:hAnsi="Segoe UI" w:cs="Segoe UI"/>
          <w:sz w:val="20"/>
        </w:rPr>
        <w:t>hŕňajúcej administratívne poplatky sú napríklad aj pokuty za používanie diaľnic bez úhrady vo výške 21 mil. eur. Významný nárast pri položke týkajúcej sa úrokov bol zapríčinený nárastom úrokovej sadzby používanej ŠP pri úročení jednodňových depozít a nárastom zostatkov n</w:t>
      </w:r>
      <w:r w:rsidR="00F10ED2">
        <w:rPr>
          <w:rFonts w:ascii="Segoe UI" w:eastAsia="Calibri" w:hAnsi="Segoe UI" w:cs="Segoe UI"/>
          <w:sz w:val="20"/>
        </w:rPr>
        <w:t>a účtoch prostriedkov EÚ a POO.</w:t>
      </w:r>
    </w:p>
    <w:p w14:paraId="0D8FBF92" w14:textId="77777777" w:rsidR="00F355C4" w:rsidRDefault="00F355C4" w:rsidP="00F355C4">
      <w:pPr>
        <w:rPr>
          <w:rFonts w:eastAsia="Times New Roman" w:cs="Segoe UI"/>
          <w:color w:val="000000"/>
          <w:szCs w:val="20"/>
          <w:lang w:eastAsia="sk-SK"/>
        </w:rPr>
      </w:pPr>
      <w:r w:rsidRPr="00F10ED2">
        <w:rPr>
          <w:rFonts w:eastAsia="Calibri" w:cs="Segoe UI"/>
          <w:b/>
          <w:szCs w:val="20"/>
        </w:rPr>
        <w:lastRenderedPageBreak/>
        <w:t xml:space="preserve">Skutočné príjmy ŠR z grantov a transferov dosiahli sumu 4,5 mld. eur, čo je </w:t>
      </w:r>
      <w:r>
        <w:rPr>
          <w:rFonts w:eastAsia="Calibri" w:cs="Segoe UI"/>
          <w:b/>
          <w:szCs w:val="20"/>
        </w:rPr>
        <w:t>oproti rozpočtu</w:t>
      </w:r>
      <w:r w:rsidRPr="00F10ED2">
        <w:rPr>
          <w:rFonts w:eastAsia="Calibri" w:cs="Segoe UI"/>
          <w:b/>
          <w:szCs w:val="20"/>
        </w:rPr>
        <w:t xml:space="preserve"> na rok 2023 o 3,3 </w:t>
      </w:r>
      <w:r w:rsidRPr="00F10ED2">
        <w:rPr>
          <w:rFonts w:eastAsia="Times New Roman" w:cs="Segoe UI"/>
          <w:b/>
          <w:color w:val="000000"/>
          <w:szCs w:val="20"/>
          <w:lang w:eastAsia="sk-SK"/>
        </w:rPr>
        <w:t xml:space="preserve">mld. eur menej, najmä z dôvodu nižšieho než očakávaného čerpania zdrojov z EÚ </w:t>
      </w:r>
      <w:r w:rsidRPr="00F10ED2">
        <w:rPr>
          <w:rFonts w:eastAsia="Times New Roman" w:cs="Segoe UI"/>
          <w:color w:val="000000"/>
          <w:szCs w:val="20"/>
          <w:lang w:eastAsia="sk-SK"/>
        </w:rPr>
        <w:t xml:space="preserve">(bližšie v kapitole </w:t>
      </w:r>
      <w:r>
        <w:rPr>
          <w:rFonts w:eastAsia="Times New Roman" w:cs="Segoe UI"/>
          <w:color w:val="000000"/>
          <w:szCs w:val="20"/>
          <w:lang w:eastAsia="sk-SK"/>
        </w:rPr>
        <w:t>4</w:t>
      </w:r>
      <w:r w:rsidRPr="00F10ED2">
        <w:rPr>
          <w:rFonts w:eastAsia="Times New Roman" w:cs="Segoe UI"/>
          <w:color w:val="000000"/>
          <w:szCs w:val="20"/>
          <w:lang w:eastAsia="sk-SK"/>
        </w:rPr>
        <w:t xml:space="preserve">). Medziročne </w:t>
      </w:r>
      <w:r>
        <w:rPr>
          <w:rFonts w:eastAsia="Times New Roman" w:cs="Segoe UI"/>
          <w:color w:val="000000"/>
          <w:szCs w:val="20"/>
          <w:lang w:eastAsia="sk-SK"/>
        </w:rPr>
        <w:t xml:space="preserve">tak </w:t>
      </w:r>
      <w:r w:rsidRPr="00F10ED2">
        <w:rPr>
          <w:rFonts w:eastAsia="Times New Roman" w:cs="Segoe UI"/>
          <w:color w:val="000000"/>
          <w:szCs w:val="20"/>
          <w:lang w:eastAsia="sk-SK"/>
        </w:rPr>
        <w:t xml:space="preserve">stúpli viac než dvojnásobne (tabuľka </w:t>
      </w:r>
      <w:r>
        <w:rPr>
          <w:rFonts w:eastAsia="Times New Roman" w:cs="Segoe UI"/>
          <w:color w:val="000000"/>
          <w:szCs w:val="20"/>
          <w:lang w:eastAsia="sk-SK"/>
        </w:rPr>
        <w:t>7</w:t>
      </w:r>
      <w:r w:rsidRPr="00F10ED2">
        <w:rPr>
          <w:rFonts w:eastAsia="Times New Roman" w:cs="Segoe UI"/>
          <w:color w:val="000000"/>
          <w:szCs w:val="20"/>
          <w:lang w:eastAsia="sk-SK"/>
        </w:rPr>
        <w:t>).</w:t>
      </w:r>
    </w:p>
    <w:p w14:paraId="05895A89" w14:textId="12F15595" w:rsidR="00E71E04" w:rsidRPr="002B21AD" w:rsidRDefault="00E71E04" w:rsidP="00E71E04">
      <w:pPr>
        <w:keepNext/>
        <w:spacing w:after="0"/>
        <w:rPr>
          <w:rFonts w:eastAsia="Calibri" w:cs="Times New Roman"/>
          <w:b/>
          <w:iCs/>
          <w:color w:val="314364"/>
          <w:szCs w:val="18"/>
        </w:rPr>
      </w:pPr>
      <w:r w:rsidRPr="0084614A">
        <w:rPr>
          <w:rFonts w:eastAsia="Calibri" w:cs="Times New Roman"/>
          <w:b/>
          <w:iCs/>
          <w:color w:val="314364"/>
          <w:szCs w:val="18"/>
        </w:rPr>
        <w:t xml:space="preserve">Tabuľka </w:t>
      </w:r>
      <w:r w:rsidR="00574ACF">
        <w:rPr>
          <w:rFonts w:eastAsia="Calibri" w:cs="Times New Roman"/>
          <w:b/>
          <w:iCs/>
          <w:color w:val="314364"/>
          <w:szCs w:val="18"/>
        </w:rPr>
        <w:t>6</w:t>
      </w:r>
      <w:r w:rsidRPr="0084614A">
        <w:rPr>
          <w:rFonts w:eastAsia="Calibri" w:cs="Times New Roman"/>
          <w:b/>
          <w:iCs/>
          <w:color w:val="314364"/>
          <w:szCs w:val="18"/>
        </w:rPr>
        <w:t>: Prehľad o plnení nedaňových príjmov ŠR (v tis. eur)</w:t>
      </w:r>
    </w:p>
    <w:tbl>
      <w:tblPr>
        <w:tblW w:w="5000" w:type="pct"/>
        <w:jc w:val="right"/>
        <w:tblCellMar>
          <w:top w:w="28" w:type="dxa"/>
        </w:tblCellMar>
        <w:tblLook w:val="04A0" w:firstRow="1" w:lastRow="0" w:firstColumn="1" w:lastColumn="0" w:noHBand="0" w:noVBand="1"/>
      </w:tblPr>
      <w:tblGrid>
        <w:gridCol w:w="4367"/>
        <w:gridCol w:w="981"/>
        <w:gridCol w:w="981"/>
        <w:gridCol w:w="981"/>
        <w:gridCol w:w="1056"/>
        <w:gridCol w:w="704"/>
      </w:tblGrid>
      <w:tr w:rsidR="00345086" w:rsidRPr="002B21AD" w14:paraId="0DD3106E" w14:textId="77777777" w:rsidTr="00DB26F8">
        <w:trPr>
          <w:trHeight w:val="283"/>
          <w:jc w:val="right"/>
        </w:trPr>
        <w:tc>
          <w:tcPr>
            <w:tcW w:w="2407" w:type="pct"/>
            <w:tcBorders>
              <w:bottom w:val="single" w:sz="4" w:space="0" w:color="314364"/>
            </w:tcBorders>
            <w:shd w:val="clear" w:color="auto" w:fill="314364"/>
            <w:vAlign w:val="center"/>
          </w:tcPr>
          <w:p w14:paraId="0162F7BD" w14:textId="77777777" w:rsidR="00345086" w:rsidRPr="002B21AD" w:rsidRDefault="00345086" w:rsidP="0019343E">
            <w:pPr>
              <w:spacing w:after="0" w:line="259" w:lineRule="auto"/>
              <w:jc w:val="left"/>
              <w:rPr>
                <w:rFonts w:eastAsia="Calibri" w:cs="Segoe UI"/>
                <w:b/>
                <w:bCs/>
                <w:color w:val="FFFFFF"/>
                <w:sz w:val="18"/>
                <w:szCs w:val="18"/>
              </w:rPr>
            </w:pPr>
            <w:r w:rsidRPr="002B21AD">
              <w:rPr>
                <w:rFonts w:eastAsia="Calibri" w:cs="Segoe UI"/>
                <w:b/>
                <w:bCs/>
                <w:color w:val="FFFFFF"/>
                <w:sz w:val="18"/>
                <w:szCs w:val="18"/>
              </w:rPr>
              <w:t xml:space="preserve">Ukazovateľ </w:t>
            </w:r>
          </w:p>
        </w:tc>
        <w:tc>
          <w:tcPr>
            <w:tcW w:w="541" w:type="pct"/>
            <w:tcBorders>
              <w:bottom w:val="single" w:sz="4" w:space="0" w:color="314364"/>
            </w:tcBorders>
            <w:shd w:val="clear" w:color="auto" w:fill="314364"/>
            <w:vAlign w:val="center"/>
          </w:tcPr>
          <w:p w14:paraId="012B3F09" w14:textId="77777777" w:rsidR="00345086" w:rsidRPr="002B21AD" w:rsidRDefault="00345086" w:rsidP="0019343E">
            <w:pPr>
              <w:spacing w:after="0" w:line="259" w:lineRule="auto"/>
              <w:jc w:val="right"/>
              <w:rPr>
                <w:rFonts w:eastAsia="Calibri" w:cs="Segoe UI"/>
                <w:b/>
                <w:bCs/>
                <w:color w:val="FFFFFF"/>
                <w:sz w:val="18"/>
                <w:szCs w:val="18"/>
              </w:rPr>
            </w:pPr>
            <w:r w:rsidRPr="002B21AD">
              <w:rPr>
                <w:rFonts w:eastAsia="Calibri" w:cs="Segoe UI"/>
                <w:b/>
                <w:bCs/>
                <w:color w:val="FFFFFF"/>
                <w:sz w:val="18"/>
                <w:szCs w:val="18"/>
              </w:rPr>
              <w:t>2022 S</w:t>
            </w:r>
          </w:p>
        </w:tc>
        <w:tc>
          <w:tcPr>
            <w:tcW w:w="541" w:type="pct"/>
            <w:tcBorders>
              <w:bottom w:val="single" w:sz="4" w:space="0" w:color="314364"/>
            </w:tcBorders>
            <w:shd w:val="clear" w:color="auto" w:fill="314364"/>
            <w:vAlign w:val="center"/>
          </w:tcPr>
          <w:p w14:paraId="731DFDAE" w14:textId="77777777" w:rsidR="00345086" w:rsidRPr="002B21AD" w:rsidRDefault="00345086" w:rsidP="0019343E">
            <w:pPr>
              <w:spacing w:after="0" w:line="259" w:lineRule="auto"/>
              <w:jc w:val="right"/>
              <w:rPr>
                <w:rFonts w:eastAsia="Calibri" w:cs="Segoe UI"/>
                <w:b/>
                <w:bCs/>
                <w:color w:val="FFFFFF"/>
                <w:sz w:val="18"/>
                <w:szCs w:val="18"/>
              </w:rPr>
            </w:pPr>
            <w:r w:rsidRPr="002B21AD">
              <w:rPr>
                <w:rFonts w:eastAsia="Calibri" w:cs="Segoe UI"/>
                <w:b/>
                <w:bCs/>
                <w:color w:val="FFFFFF"/>
                <w:sz w:val="18"/>
                <w:szCs w:val="18"/>
              </w:rPr>
              <w:t>2023 R</w:t>
            </w:r>
          </w:p>
        </w:tc>
        <w:tc>
          <w:tcPr>
            <w:tcW w:w="541" w:type="pct"/>
            <w:tcBorders>
              <w:bottom w:val="single" w:sz="4" w:space="0" w:color="314364"/>
            </w:tcBorders>
            <w:shd w:val="clear" w:color="auto" w:fill="314364"/>
            <w:vAlign w:val="center"/>
          </w:tcPr>
          <w:p w14:paraId="6099EC01" w14:textId="77777777" w:rsidR="00345086" w:rsidRPr="002B21AD" w:rsidRDefault="00345086" w:rsidP="0019343E">
            <w:pPr>
              <w:spacing w:after="0" w:line="259" w:lineRule="auto"/>
              <w:jc w:val="right"/>
              <w:rPr>
                <w:rFonts w:eastAsia="Calibri" w:cs="Segoe UI"/>
                <w:b/>
                <w:bCs/>
                <w:color w:val="FFFFFF"/>
                <w:sz w:val="18"/>
                <w:szCs w:val="18"/>
              </w:rPr>
            </w:pPr>
            <w:r w:rsidRPr="002B21AD">
              <w:rPr>
                <w:rFonts w:eastAsia="Calibri" w:cs="Segoe UI"/>
                <w:b/>
                <w:bCs/>
                <w:color w:val="FFFFFF"/>
                <w:sz w:val="18"/>
                <w:szCs w:val="18"/>
              </w:rPr>
              <w:t>2023 S</w:t>
            </w:r>
          </w:p>
        </w:tc>
        <w:tc>
          <w:tcPr>
            <w:tcW w:w="582" w:type="pct"/>
            <w:tcBorders>
              <w:bottom w:val="single" w:sz="4" w:space="0" w:color="314364"/>
            </w:tcBorders>
            <w:shd w:val="clear" w:color="auto" w:fill="314364"/>
            <w:vAlign w:val="center"/>
          </w:tcPr>
          <w:p w14:paraId="0BFFC80B" w14:textId="77777777" w:rsidR="00345086" w:rsidRPr="002B21AD" w:rsidRDefault="00345086" w:rsidP="0019343E">
            <w:pPr>
              <w:spacing w:after="0" w:line="259" w:lineRule="auto"/>
              <w:jc w:val="right"/>
              <w:rPr>
                <w:rFonts w:eastAsia="Calibri" w:cs="Segoe UI"/>
                <w:b/>
                <w:bCs/>
                <w:color w:val="FFFFFF"/>
                <w:sz w:val="18"/>
                <w:szCs w:val="18"/>
              </w:rPr>
            </w:pPr>
            <w:r w:rsidRPr="002B21AD">
              <w:rPr>
                <w:rFonts w:eastAsia="Calibri" w:cs="Segoe UI"/>
                <w:b/>
                <w:bCs/>
                <w:color w:val="FFFFFF"/>
                <w:sz w:val="18"/>
                <w:szCs w:val="18"/>
              </w:rPr>
              <w:t>23S - 23R</w:t>
            </w:r>
          </w:p>
        </w:tc>
        <w:tc>
          <w:tcPr>
            <w:tcW w:w="389" w:type="pct"/>
            <w:tcBorders>
              <w:bottom w:val="single" w:sz="4" w:space="0" w:color="314364"/>
            </w:tcBorders>
            <w:shd w:val="clear" w:color="auto" w:fill="314364"/>
            <w:vAlign w:val="center"/>
          </w:tcPr>
          <w:p w14:paraId="6EAA1420" w14:textId="77777777" w:rsidR="00345086" w:rsidRPr="002B21AD" w:rsidRDefault="00345086" w:rsidP="0019343E">
            <w:pPr>
              <w:spacing w:after="0" w:line="259" w:lineRule="auto"/>
              <w:jc w:val="right"/>
              <w:rPr>
                <w:rFonts w:eastAsia="Calibri" w:cs="Segoe UI"/>
                <w:b/>
                <w:bCs/>
                <w:color w:val="FFFFFF"/>
                <w:sz w:val="18"/>
                <w:szCs w:val="18"/>
              </w:rPr>
            </w:pPr>
            <w:r w:rsidRPr="002B21AD">
              <w:rPr>
                <w:rFonts w:eastAsia="Calibri" w:cs="Segoe UI"/>
                <w:b/>
                <w:bCs/>
                <w:color w:val="FFFFFF"/>
                <w:sz w:val="18"/>
                <w:szCs w:val="18"/>
              </w:rPr>
              <w:t>YoY</w:t>
            </w:r>
          </w:p>
        </w:tc>
      </w:tr>
      <w:tr w:rsidR="00345086" w:rsidRPr="002B21AD" w14:paraId="0099F9E0" w14:textId="77777777" w:rsidTr="00DB26F8">
        <w:trPr>
          <w:trHeight w:val="283"/>
          <w:jc w:val="right"/>
        </w:trPr>
        <w:tc>
          <w:tcPr>
            <w:tcW w:w="2407" w:type="pct"/>
            <w:tcBorders>
              <w:top w:val="single" w:sz="4" w:space="0" w:color="314364"/>
            </w:tcBorders>
            <w:vAlign w:val="center"/>
          </w:tcPr>
          <w:p w14:paraId="752A08BA" w14:textId="77777777" w:rsidR="00345086" w:rsidRPr="00113ACD" w:rsidRDefault="00345086" w:rsidP="0019343E">
            <w:pPr>
              <w:spacing w:after="0"/>
              <w:jc w:val="left"/>
              <w:rPr>
                <w:rFonts w:eastAsia="Times New Roman" w:cs="Segoe UI"/>
                <w:b/>
                <w:color w:val="000000"/>
                <w:sz w:val="16"/>
                <w:szCs w:val="18"/>
                <w:lang w:eastAsia="sk-SK"/>
              </w:rPr>
            </w:pPr>
            <w:r w:rsidRPr="00113ACD">
              <w:rPr>
                <w:rFonts w:eastAsia="Times New Roman" w:cs="Segoe UI"/>
                <w:b/>
                <w:color w:val="000000"/>
                <w:sz w:val="16"/>
                <w:szCs w:val="18"/>
                <w:lang w:eastAsia="sk-SK"/>
              </w:rPr>
              <w:t>Nedaňové príjmy spolu</w:t>
            </w:r>
          </w:p>
        </w:tc>
        <w:tc>
          <w:tcPr>
            <w:tcW w:w="541" w:type="pct"/>
            <w:tcBorders>
              <w:top w:val="single" w:sz="4" w:space="0" w:color="314364"/>
            </w:tcBorders>
            <w:vAlign w:val="center"/>
          </w:tcPr>
          <w:p w14:paraId="040F1668" w14:textId="77777777" w:rsidR="00345086" w:rsidRPr="00113ACD" w:rsidRDefault="00345086" w:rsidP="0019343E">
            <w:pPr>
              <w:spacing w:after="0"/>
              <w:jc w:val="right"/>
              <w:rPr>
                <w:rFonts w:eastAsia="Times New Roman" w:cs="Segoe UI"/>
                <w:b/>
                <w:color w:val="000000"/>
                <w:sz w:val="16"/>
                <w:szCs w:val="18"/>
                <w:lang w:eastAsia="sk-SK"/>
              </w:rPr>
            </w:pPr>
            <w:r w:rsidRPr="00113ACD">
              <w:rPr>
                <w:rFonts w:eastAsia="Times New Roman" w:cs="Segoe UI"/>
                <w:b/>
                <w:color w:val="000000"/>
                <w:sz w:val="16"/>
                <w:szCs w:val="18"/>
                <w:lang w:eastAsia="sk-SK"/>
              </w:rPr>
              <w:t>1 285 089</w:t>
            </w:r>
          </w:p>
        </w:tc>
        <w:tc>
          <w:tcPr>
            <w:tcW w:w="541" w:type="pct"/>
            <w:tcBorders>
              <w:top w:val="single" w:sz="4" w:space="0" w:color="314364"/>
            </w:tcBorders>
            <w:vAlign w:val="center"/>
          </w:tcPr>
          <w:p w14:paraId="51DB51AC" w14:textId="77777777" w:rsidR="00345086" w:rsidRPr="00113ACD" w:rsidRDefault="00345086" w:rsidP="0019343E">
            <w:pPr>
              <w:spacing w:after="0"/>
              <w:jc w:val="right"/>
              <w:rPr>
                <w:rFonts w:eastAsia="Times New Roman" w:cs="Segoe UI"/>
                <w:b/>
                <w:color w:val="000000"/>
                <w:sz w:val="16"/>
                <w:szCs w:val="18"/>
                <w:lang w:eastAsia="sk-SK"/>
              </w:rPr>
            </w:pPr>
            <w:r w:rsidRPr="00113ACD">
              <w:rPr>
                <w:rFonts w:eastAsia="Times New Roman" w:cs="Segoe UI"/>
                <w:b/>
                <w:color w:val="000000"/>
                <w:sz w:val="16"/>
                <w:szCs w:val="18"/>
                <w:lang w:eastAsia="sk-SK"/>
              </w:rPr>
              <w:t>2 129 738</w:t>
            </w:r>
          </w:p>
        </w:tc>
        <w:tc>
          <w:tcPr>
            <w:tcW w:w="541" w:type="pct"/>
            <w:tcBorders>
              <w:top w:val="single" w:sz="4" w:space="0" w:color="314364"/>
            </w:tcBorders>
            <w:vAlign w:val="center"/>
          </w:tcPr>
          <w:p w14:paraId="65D90EAC" w14:textId="77777777" w:rsidR="00345086" w:rsidRPr="00113ACD" w:rsidRDefault="00345086" w:rsidP="0019343E">
            <w:pPr>
              <w:spacing w:after="0"/>
              <w:jc w:val="right"/>
              <w:rPr>
                <w:rFonts w:eastAsia="Times New Roman" w:cs="Segoe UI"/>
                <w:b/>
                <w:color w:val="000000"/>
                <w:sz w:val="16"/>
                <w:szCs w:val="18"/>
                <w:lang w:eastAsia="sk-SK"/>
              </w:rPr>
            </w:pPr>
            <w:r w:rsidRPr="00113ACD">
              <w:rPr>
                <w:rFonts w:eastAsia="Times New Roman" w:cs="Segoe UI"/>
                <w:b/>
                <w:color w:val="000000"/>
                <w:sz w:val="16"/>
                <w:szCs w:val="18"/>
                <w:lang w:eastAsia="sk-SK"/>
              </w:rPr>
              <w:t>1 738 326</w:t>
            </w:r>
          </w:p>
        </w:tc>
        <w:tc>
          <w:tcPr>
            <w:tcW w:w="582" w:type="pct"/>
            <w:tcBorders>
              <w:top w:val="single" w:sz="4" w:space="0" w:color="314364"/>
            </w:tcBorders>
            <w:vAlign w:val="center"/>
          </w:tcPr>
          <w:p w14:paraId="5314B87F" w14:textId="77777777" w:rsidR="00345086" w:rsidRPr="00113ACD" w:rsidRDefault="00345086" w:rsidP="0019343E">
            <w:pPr>
              <w:spacing w:after="0"/>
              <w:jc w:val="right"/>
              <w:rPr>
                <w:rFonts w:eastAsia="Times New Roman" w:cs="Segoe UI"/>
                <w:b/>
                <w:color w:val="000000"/>
                <w:sz w:val="16"/>
                <w:szCs w:val="18"/>
                <w:lang w:eastAsia="sk-SK"/>
              </w:rPr>
            </w:pPr>
            <w:r w:rsidRPr="00113ACD">
              <w:rPr>
                <w:rFonts w:eastAsia="Times New Roman" w:cs="Segoe UI"/>
                <w:b/>
                <w:color w:val="000000"/>
                <w:sz w:val="16"/>
                <w:szCs w:val="18"/>
                <w:lang w:eastAsia="sk-SK"/>
              </w:rPr>
              <w:t>-391 412</w:t>
            </w:r>
          </w:p>
        </w:tc>
        <w:tc>
          <w:tcPr>
            <w:tcW w:w="389" w:type="pct"/>
            <w:tcBorders>
              <w:top w:val="single" w:sz="4" w:space="0" w:color="314364"/>
            </w:tcBorders>
            <w:vAlign w:val="center"/>
          </w:tcPr>
          <w:p w14:paraId="5CF6BC13" w14:textId="77777777" w:rsidR="00345086" w:rsidRPr="00113ACD" w:rsidRDefault="00345086" w:rsidP="0019343E">
            <w:pPr>
              <w:spacing w:after="0"/>
              <w:jc w:val="right"/>
              <w:rPr>
                <w:rFonts w:eastAsia="Times New Roman" w:cs="Segoe UI"/>
                <w:b/>
                <w:color w:val="000000"/>
                <w:sz w:val="16"/>
                <w:szCs w:val="18"/>
                <w:lang w:eastAsia="sk-SK"/>
              </w:rPr>
            </w:pPr>
            <w:r w:rsidRPr="00113ACD">
              <w:rPr>
                <w:rFonts w:eastAsia="Times New Roman" w:cs="Segoe UI"/>
                <w:b/>
                <w:color w:val="000000"/>
                <w:sz w:val="16"/>
                <w:szCs w:val="18"/>
                <w:lang w:eastAsia="sk-SK"/>
              </w:rPr>
              <w:t>135,3</w:t>
            </w:r>
          </w:p>
        </w:tc>
      </w:tr>
      <w:tr w:rsidR="00345086" w:rsidRPr="002B21AD" w14:paraId="7B33E4C5" w14:textId="77777777" w:rsidTr="00DB26F8">
        <w:trPr>
          <w:trHeight w:val="283"/>
          <w:jc w:val="right"/>
        </w:trPr>
        <w:tc>
          <w:tcPr>
            <w:tcW w:w="2407" w:type="pct"/>
            <w:vAlign w:val="center"/>
          </w:tcPr>
          <w:p w14:paraId="2E13B91A" w14:textId="77777777" w:rsidR="00345086" w:rsidRPr="00113ACD" w:rsidRDefault="00345086" w:rsidP="0019343E">
            <w:pPr>
              <w:spacing w:after="0"/>
              <w:jc w:val="left"/>
              <w:rPr>
                <w:rFonts w:eastAsia="Times New Roman" w:cs="Segoe UI"/>
                <w:color w:val="000000"/>
                <w:sz w:val="16"/>
                <w:szCs w:val="18"/>
                <w:lang w:eastAsia="sk-SK"/>
              </w:rPr>
            </w:pPr>
            <w:r w:rsidRPr="00113ACD">
              <w:rPr>
                <w:rFonts w:eastAsia="Times New Roman" w:cs="Segoe UI"/>
                <w:color w:val="000000"/>
                <w:sz w:val="16"/>
                <w:szCs w:val="18"/>
                <w:lang w:eastAsia="sk-SK"/>
              </w:rPr>
              <w:t>Príjmy z podnikania a z vlastníctva majetku</w:t>
            </w:r>
          </w:p>
        </w:tc>
        <w:tc>
          <w:tcPr>
            <w:tcW w:w="541" w:type="pct"/>
            <w:vAlign w:val="center"/>
          </w:tcPr>
          <w:p w14:paraId="306D53A2" w14:textId="77777777" w:rsidR="00345086" w:rsidRPr="00113ACD" w:rsidRDefault="00345086" w:rsidP="0019343E">
            <w:pPr>
              <w:spacing w:after="0"/>
              <w:jc w:val="right"/>
              <w:rPr>
                <w:rFonts w:eastAsia="Times New Roman" w:cs="Segoe UI"/>
                <w:color w:val="000000"/>
                <w:sz w:val="16"/>
                <w:szCs w:val="18"/>
                <w:lang w:eastAsia="sk-SK"/>
              </w:rPr>
            </w:pPr>
            <w:r w:rsidRPr="00113ACD">
              <w:rPr>
                <w:rFonts w:eastAsia="Times New Roman" w:cs="Segoe UI"/>
                <w:color w:val="000000"/>
                <w:sz w:val="16"/>
                <w:szCs w:val="18"/>
                <w:lang w:eastAsia="sk-SK"/>
              </w:rPr>
              <w:t>168 026</w:t>
            </w:r>
          </w:p>
        </w:tc>
        <w:tc>
          <w:tcPr>
            <w:tcW w:w="541" w:type="pct"/>
            <w:vAlign w:val="center"/>
          </w:tcPr>
          <w:p w14:paraId="6D2E4704" w14:textId="77777777" w:rsidR="00345086" w:rsidRPr="00113ACD" w:rsidRDefault="00345086" w:rsidP="0019343E">
            <w:pPr>
              <w:spacing w:after="0"/>
              <w:jc w:val="right"/>
              <w:rPr>
                <w:rFonts w:eastAsia="Times New Roman" w:cs="Segoe UI"/>
                <w:color w:val="000000"/>
                <w:sz w:val="16"/>
                <w:szCs w:val="18"/>
                <w:lang w:eastAsia="sk-SK"/>
              </w:rPr>
            </w:pPr>
            <w:r w:rsidRPr="00113ACD">
              <w:rPr>
                <w:rFonts w:eastAsia="Times New Roman" w:cs="Segoe UI"/>
                <w:color w:val="000000"/>
                <w:sz w:val="16"/>
                <w:szCs w:val="18"/>
                <w:lang w:eastAsia="sk-SK"/>
              </w:rPr>
              <w:t>544 797</w:t>
            </w:r>
          </w:p>
        </w:tc>
        <w:tc>
          <w:tcPr>
            <w:tcW w:w="541" w:type="pct"/>
            <w:vAlign w:val="center"/>
          </w:tcPr>
          <w:p w14:paraId="23674423" w14:textId="77777777" w:rsidR="00345086" w:rsidRPr="00113ACD" w:rsidRDefault="00345086" w:rsidP="0019343E">
            <w:pPr>
              <w:spacing w:after="0"/>
              <w:jc w:val="right"/>
              <w:rPr>
                <w:rFonts w:eastAsia="Times New Roman" w:cs="Segoe UI"/>
                <w:color w:val="000000"/>
                <w:sz w:val="16"/>
                <w:szCs w:val="18"/>
                <w:lang w:eastAsia="sk-SK"/>
              </w:rPr>
            </w:pPr>
            <w:r w:rsidRPr="00113ACD">
              <w:rPr>
                <w:rFonts w:eastAsia="Times New Roman" w:cs="Segoe UI"/>
                <w:color w:val="000000"/>
                <w:sz w:val="16"/>
                <w:szCs w:val="18"/>
                <w:lang w:eastAsia="sk-SK"/>
              </w:rPr>
              <w:t>600 308</w:t>
            </w:r>
          </w:p>
        </w:tc>
        <w:tc>
          <w:tcPr>
            <w:tcW w:w="582" w:type="pct"/>
            <w:vAlign w:val="center"/>
          </w:tcPr>
          <w:p w14:paraId="4BADCAE8" w14:textId="77777777" w:rsidR="00345086" w:rsidRPr="00113ACD" w:rsidRDefault="00345086" w:rsidP="0019343E">
            <w:pPr>
              <w:spacing w:after="0"/>
              <w:jc w:val="right"/>
              <w:rPr>
                <w:rFonts w:eastAsia="Times New Roman" w:cs="Segoe UI"/>
                <w:color w:val="000000"/>
                <w:sz w:val="16"/>
                <w:szCs w:val="18"/>
                <w:lang w:eastAsia="sk-SK"/>
              </w:rPr>
            </w:pPr>
            <w:r w:rsidRPr="00113ACD">
              <w:rPr>
                <w:rFonts w:eastAsia="Times New Roman" w:cs="Segoe UI"/>
                <w:color w:val="000000"/>
                <w:sz w:val="16"/>
                <w:szCs w:val="18"/>
                <w:lang w:eastAsia="sk-SK"/>
              </w:rPr>
              <w:t>55 511</w:t>
            </w:r>
          </w:p>
        </w:tc>
        <w:tc>
          <w:tcPr>
            <w:tcW w:w="389" w:type="pct"/>
            <w:vAlign w:val="center"/>
          </w:tcPr>
          <w:p w14:paraId="654DF81A" w14:textId="77777777" w:rsidR="00345086" w:rsidRPr="00113ACD" w:rsidRDefault="00345086" w:rsidP="0019343E">
            <w:pPr>
              <w:spacing w:after="0"/>
              <w:jc w:val="right"/>
              <w:rPr>
                <w:rFonts w:eastAsia="Times New Roman" w:cs="Segoe UI"/>
                <w:color w:val="000000"/>
                <w:sz w:val="16"/>
                <w:szCs w:val="18"/>
                <w:lang w:eastAsia="sk-SK"/>
              </w:rPr>
            </w:pPr>
            <w:r w:rsidRPr="00113ACD">
              <w:rPr>
                <w:rFonts w:eastAsia="Times New Roman" w:cs="Segoe UI"/>
                <w:color w:val="000000"/>
                <w:sz w:val="16"/>
                <w:szCs w:val="18"/>
                <w:lang w:eastAsia="sk-SK"/>
              </w:rPr>
              <w:t>357,3</w:t>
            </w:r>
          </w:p>
        </w:tc>
      </w:tr>
      <w:tr w:rsidR="00345086" w:rsidRPr="002B21AD" w14:paraId="6CFB3E15" w14:textId="77777777" w:rsidTr="00DB26F8">
        <w:trPr>
          <w:trHeight w:val="283"/>
          <w:jc w:val="right"/>
        </w:trPr>
        <w:tc>
          <w:tcPr>
            <w:tcW w:w="2407" w:type="pct"/>
            <w:vAlign w:val="center"/>
          </w:tcPr>
          <w:p w14:paraId="10DC45EA" w14:textId="77777777" w:rsidR="00345086" w:rsidRPr="00113ACD" w:rsidRDefault="00345086" w:rsidP="0019343E">
            <w:pPr>
              <w:spacing w:after="0"/>
              <w:jc w:val="left"/>
              <w:rPr>
                <w:rFonts w:eastAsia="Times New Roman" w:cs="Segoe UI"/>
                <w:i/>
                <w:color w:val="000000"/>
                <w:sz w:val="16"/>
                <w:szCs w:val="18"/>
                <w:lang w:eastAsia="sk-SK"/>
              </w:rPr>
            </w:pPr>
            <w:r w:rsidRPr="00113ACD">
              <w:rPr>
                <w:rFonts w:eastAsia="Times New Roman" w:cs="Segoe UI"/>
                <w:i/>
                <w:color w:val="000000"/>
                <w:sz w:val="16"/>
                <w:szCs w:val="18"/>
                <w:lang w:eastAsia="sk-SK"/>
              </w:rPr>
              <w:t xml:space="preserve">     dividendy</w:t>
            </w:r>
          </w:p>
        </w:tc>
        <w:tc>
          <w:tcPr>
            <w:tcW w:w="541" w:type="pct"/>
            <w:vAlign w:val="center"/>
          </w:tcPr>
          <w:p w14:paraId="6D3A9C43" w14:textId="77777777" w:rsidR="00345086" w:rsidRPr="00113ACD" w:rsidRDefault="00345086" w:rsidP="0019343E">
            <w:pPr>
              <w:spacing w:after="0"/>
              <w:jc w:val="right"/>
              <w:rPr>
                <w:rFonts w:eastAsia="Times New Roman" w:cs="Segoe UI"/>
                <w:i/>
                <w:color w:val="000000"/>
                <w:sz w:val="16"/>
                <w:szCs w:val="18"/>
                <w:lang w:eastAsia="sk-SK"/>
              </w:rPr>
            </w:pPr>
            <w:r w:rsidRPr="00113ACD">
              <w:rPr>
                <w:rFonts w:eastAsia="Times New Roman" w:cs="Segoe UI"/>
                <w:i/>
                <w:color w:val="000000"/>
                <w:sz w:val="16"/>
                <w:szCs w:val="18"/>
                <w:lang w:eastAsia="sk-SK"/>
              </w:rPr>
              <w:t>160 519</w:t>
            </w:r>
          </w:p>
        </w:tc>
        <w:tc>
          <w:tcPr>
            <w:tcW w:w="541" w:type="pct"/>
            <w:vAlign w:val="center"/>
          </w:tcPr>
          <w:p w14:paraId="7C89B2A4" w14:textId="77777777" w:rsidR="00345086" w:rsidRPr="00113ACD" w:rsidRDefault="00345086" w:rsidP="0019343E">
            <w:pPr>
              <w:spacing w:after="0"/>
              <w:jc w:val="right"/>
              <w:rPr>
                <w:rFonts w:eastAsia="Times New Roman" w:cs="Segoe UI"/>
                <w:i/>
                <w:color w:val="000000"/>
                <w:sz w:val="16"/>
                <w:szCs w:val="18"/>
                <w:lang w:eastAsia="sk-SK"/>
              </w:rPr>
            </w:pPr>
            <w:r w:rsidRPr="00113ACD">
              <w:rPr>
                <w:rFonts w:eastAsia="Times New Roman" w:cs="Segoe UI"/>
                <w:i/>
                <w:color w:val="000000"/>
                <w:sz w:val="16"/>
                <w:szCs w:val="18"/>
                <w:lang w:eastAsia="sk-SK"/>
              </w:rPr>
              <w:t>388 993</w:t>
            </w:r>
          </w:p>
        </w:tc>
        <w:tc>
          <w:tcPr>
            <w:tcW w:w="541" w:type="pct"/>
            <w:vAlign w:val="center"/>
          </w:tcPr>
          <w:p w14:paraId="49974AF8" w14:textId="77777777" w:rsidR="00345086" w:rsidRPr="00113ACD" w:rsidRDefault="00345086" w:rsidP="0019343E">
            <w:pPr>
              <w:spacing w:after="0"/>
              <w:jc w:val="right"/>
              <w:rPr>
                <w:rFonts w:eastAsia="Times New Roman" w:cs="Segoe UI"/>
                <w:i/>
                <w:color w:val="000000"/>
                <w:sz w:val="16"/>
                <w:szCs w:val="18"/>
                <w:lang w:eastAsia="sk-SK"/>
              </w:rPr>
            </w:pPr>
            <w:r w:rsidRPr="00113ACD">
              <w:rPr>
                <w:rFonts w:eastAsia="Times New Roman" w:cs="Segoe UI"/>
                <w:i/>
                <w:color w:val="000000"/>
                <w:sz w:val="16"/>
                <w:szCs w:val="18"/>
                <w:lang w:eastAsia="sk-SK"/>
              </w:rPr>
              <w:t>442 362</w:t>
            </w:r>
          </w:p>
        </w:tc>
        <w:tc>
          <w:tcPr>
            <w:tcW w:w="582" w:type="pct"/>
            <w:vAlign w:val="center"/>
          </w:tcPr>
          <w:p w14:paraId="4C23DCA4" w14:textId="77777777" w:rsidR="00345086" w:rsidRPr="00113ACD" w:rsidRDefault="00345086" w:rsidP="0019343E">
            <w:pPr>
              <w:spacing w:after="0"/>
              <w:jc w:val="right"/>
              <w:rPr>
                <w:rFonts w:eastAsia="Times New Roman" w:cs="Segoe UI"/>
                <w:i/>
                <w:color w:val="000000"/>
                <w:sz w:val="16"/>
                <w:szCs w:val="18"/>
                <w:lang w:eastAsia="sk-SK"/>
              </w:rPr>
            </w:pPr>
            <w:r w:rsidRPr="00113ACD">
              <w:rPr>
                <w:rFonts w:eastAsia="Times New Roman" w:cs="Segoe UI"/>
                <w:i/>
                <w:color w:val="000000"/>
                <w:sz w:val="16"/>
                <w:szCs w:val="18"/>
                <w:lang w:eastAsia="sk-SK"/>
              </w:rPr>
              <w:t>53 369</w:t>
            </w:r>
          </w:p>
        </w:tc>
        <w:tc>
          <w:tcPr>
            <w:tcW w:w="389" w:type="pct"/>
            <w:vAlign w:val="center"/>
          </w:tcPr>
          <w:p w14:paraId="16D46389" w14:textId="77777777" w:rsidR="00345086" w:rsidRPr="00113ACD" w:rsidRDefault="00345086" w:rsidP="0019343E">
            <w:pPr>
              <w:spacing w:after="0"/>
              <w:jc w:val="right"/>
              <w:rPr>
                <w:rFonts w:eastAsia="Times New Roman" w:cs="Segoe UI"/>
                <w:i/>
                <w:color w:val="000000"/>
                <w:sz w:val="16"/>
                <w:szCs w:val="18"/>
                <w:lang w:eastAsia="sk-SK"/>
              </w:rPr>
            </w:pPr>
            <w:r w:rsidRPr="00113ACD">
              <w:rPr>
                <w:rFonts w:eastAsia="Times New Roman" w:cs="Segoe UI"/>
                <w:i/>
                <w:color w:val="000000"/>
                <w:sz w:val="16"/>
                <w:szCs w:val="18"/>
                <w:lang w:eastAsia="sk-SK"/>
              </w:rPr>
              <w:t>275,6</w:t>
            </w:r>
          </w:p>
        </w:tc>
      </w:tr>
      <w:tr w:rsidR="00345086" w:rsidRPr="002B21AD" w14:paraId="550D9D02" w14:textId="77777777" w:rsidTr="00DB26F8">
        <w:trPr>
          <w:trHeight w:val="283"/>
          <w:jc w:val="right"/>
        </w:trPr>
        <w:tc>
          <w:tcPr>
            <w:tcW w:w="2407" w:type="pct"/>
            <w:vAlign w:val="center"/>
          </w:tcPr>
          <w:p w14:paraId="7D89981F" w14:textId="77777777" w:rsidR="00345086" w:rsidRPr="00113ACD" w:rsidRDefault="00345086" w:rsidP="0019343E">
            <w:pPr>
              <w:spacing w:after="0"/>
              <w:jc w:val="left"/>
              <w:rPr>
                <w:rFonts w:eastAsia="Times New Roman" w:cs="Segoe UI"/>
                <w:color w:val="000000"/>
                <w:sz w:val="16"/>
                <w:szCs w:val="18"/>
                <w:lang w:eastAsia="sk-SK"/>
              </w:rPr>
            </w:pPr>
            <w:r w:rsidRPr="00113ACD">
              <w:rPr>
                <w:rFonts w:eastAsia="Times New Roman" w:cs="Segoe UI"/>
                <w:color w:val="000000"/>
                <w:sz w:val="16"/>
                <w:szCs w:val="18"/>
                <w:lang w:eastAsia="sk-SK"/>
              </w:rPr>
              <w:t>Administratívne poplatky a iné poplatky a platby</w:t>
            </w:r>
          </w:p>
        </w:tc>
        <w:tc>
          <w:tcPr>
            <w:tcW w:w="541" w:type="pct"/>
            <w:vAlign w:val="center"/>
          </w:tcPr>
          <w:p w14:paraId="1D5CEEF2" w14:textId="77777777" w:rsidR="00345086" w:rsidRPr="00113ACD" w:rsidRDefault="00345086" w:rsidP="0019343E">
            <w:pPr>
              <w:spacing w:after="0"/>
              <w:jc w:val="right"/>
              <w:rPr>
                <w:rFonts w:eastAsia="Times New Roman" w:cs="Segoe UI"/>
                <w:color w:val="000000"/>
                <w:sz w:val="16"/>
                <w:szCs w:val="18"/>
                <w:lang w:eastAsia="sk-SK"/>
              </w:rPr>
            </w:pPr>
            <w:r w:rsidRPr="00113ACD">
              <w:rPr>
                <w:rFonts w:eastAsia="Times New Roman" w:cs="Segoe UI"/>
                <w:color w:val="000000"/>
                <w:sz w:val="16"/>
                <w:szCs w:val="18"/>
                <w:lang w:eastAsia="sk-SK"/>
              </w:rPr>
              <w:t>400 937</w:t>
            </w:r>
          </w:p>
        </w:tc>
        <w:tc>
          <w:tcPr>
            <w:tcW w:w="541" w:type="pct"/>
            <w:vAlign w:val="center"/>
          </w:tcPr>
          <w:p w14:paraId="1147794E" w14:textId="77777777" w:rsidR="00345086" w:rsidRPr="00113ACD" w:rsidRDefault="00345086" w:rsidP="0019343E">
            <w:pPr>
              <w:spacing w:after="0"/>
              <w:jc w:val="right"/>
              <w:rPr>
                <w:rFonts w:eastAsia="Times New Roman" w:cs="Segoe UI"/>
                <w:color w:val="000000"/>
                <w:sz w:val="16"/>
                <w:szCs w:val="18"/>
                <w:lang w:eastAsia="sk-SK"/>
              </w:rPr>
            </w:pPr>
            <w:r w:rsidRPr="00113ACD">
              <w:rPr>
                <w:rFonts w:eastAsia="Times New Roman" w:cs="Segoe UI"/>
                <w:color w:val="000000"/>
                <w:sz w:val="16"/>
                <w:szCs w:val="18"/>
                <w:lang w:eastAsia="sk-SK"/>
              </w:rPr>
              <w:t>354 134</w:t>
            </w:r>
          </w:p>
        </w:tc>
        <w:tc>
          <w:tcPr>
            <w:tcW w:w="541" w:type="pct"/>
            <w:vAlign w:val="center"/>
          </w:tcPr>
          <w:p w14:paraId="7E05726F" w14:textId="77777777" w:rsidR="00345086" w:rsidRPr="00113ACD" w:rsidRDefault="00345086" w:rsidP="0019343E">
            <w:pPr>
              <w:spacing w:after="0"/>
              <w:jc w:val="right"/>
              <w:rPr>
                <w:rFonts w:eastAsia="Times New Roman" w:cs="Segoe UI"/>
                <w:color w:val="000000"/>
                <w:sz w:val="16"/>
                <w:szCs w:val="18"/>
                <w:lang w:eastAsia="sk-SK"/>
              </w:rPr>
            </w:pPr>
            <w:r w:rsidRPr="00113ACD">
              <w:rPr>
                <w:rFonts w:eastAsia="Times New Roman" w:cs="Segoe UI"/>
                <w:color w:val="000000"/>
                <w:sz w:val="16"/>
                <w:szCs w:val="18"/>
                <w:lang w:eastAsia="sk-SK"/>
              </w:rPr>
              <w:t>366 045</w:t>
            </w:r>
          </w:p>
        </w:tc>
        <w:tc>
          <w:tcPr>
            <w:tcW w:w="582" w:type="pct"/>
            <w:vAlign w:val="center"/>
          </w:tcPr>
          <w:p w14:paraId="32040902" w14:textId="77777777" w:rsidR="00345086" w:rsidRPr="00113ACD" w:rsidRDefault="00345086" w:rsidP="0019343E">
            <w:pPr>
              <w:spacing w:after="0"/>
              <w:jc w:val="right"/>
              <w:rPr>
                <w:rFonts w:eastAsia="Times New Roman" w:cs="Segoe UI"/>
                <w:color w:val="000000"/>
                <w:sz w:val="16"/>
                <w:szCs w:val="18"/>
                <w:lang w:eastAsia="sk-SK"/>
              </w:rPr>
            </w:pPr>
            <w:r w:rsidRPr="00113ACD">
              <w:rPr>
                <w:rFonts w:eastAsia="Times New Roman" w:cs="Segoe UI"/>
                <w:color w:val="000000"/>
                <w:sz w:val="16"/>
                <w:szCs w:val="18"/>
                <w:lang w:eastAsia="sk-SK"/>
              </w:rPr>
              <w:t>11 911</w:t>
            </w:r>
          </w:p>
        </w:tc>
        <w:tc>
          <w:tcPr>
            <w:tcW w:w="389" w:type="pct"/>
            <w:vAlign w:val="center"/>
          </w:tcPr>
          <w:p w14:paraId="5FDA4ECB" w14:textId="77777777" w:rsidR="00345086" w:rsidRPr="00113ACD" w:rsidRDefault="00345086" w:rsidP="0019343E">
            <w:pPr>
              <w:spacing w:after="0"/>
              <w:jc w:val="right"/>
              <w:rPr>
                <w:rFonts w:eastAsia="Times New Roman" w:cs="Segoe UI"/>
                <w:color w:val="000000"/>
                <w:sz w:val="16"/>
                <w:szCs w:val="18"/>
                <w:lang w:eastAsia="sk-SK"/>
              </w:rPr>
            </w:pPr>
            <w:r w:rsidRPr="00113ACD">
              <w:rPr>
                <w:rFonts w:eastAsia="Times New Roman" w:cs="Segoe UI"/>
                <w:color w:val="000000"/>
                <w:sz w:val="16"/>
                <w:szCs w:val="18"/>
                <w:lang w:eastAsia="sk-SK"/>
              </w:rPr>
              <w:t>91,3</w:t>
            </w:r>
          </w:p>
        </w:tc>
      </w:tr>
      <w:tr w:rsidR="00345086" w:rsidRPr="002B21AD" w14:paraId="76EB3BEA" w14:textId="77777777" w:rsidTr="00DB26F8">
        <w:trPr>
          <w:trHeight w:val="283"/>
          <w:jc w:val="right"/>
        </w:trPr>
        <w:tc>
          <w:tcPr>
            <w:tcW w:w="2407" w:type="pct"/>
            <w:vAlign w:val="center"/>
          </w:tcPr>
          <w:p w14:paraId="064D38B6" w14:textId="77777777" w:rsidR="00345086" w:rsidRPr="00113ACD" w:rsidRDefault="00345086" w:rsidP="0019343E">
            <w:pPr>
              <w:spacing w:after="0"/>
              <w:jc w:val="left"/>
              <w:rPr>
                <w:rFonts w:eastAsia="Times New Roman" w:cs="Segoe UI"/>
                <w:color w:val="000000"/>
                <w:sz w:val="16"/>
                <w:szCs w:val="18"/>
                <w:lang w:eastAsia="sk-SK"/>
              </w:rPr>
            </w:pPr>
            <w:r w:rsidRPr="00113ACD">
              <w:rPr>
                <w:rFonts w:eastAsia="Times New Roman" w:cs="Segoe UI"/>
                <w:color w:val="000000"/>
                <w:sz w:val="16"/>
                <w:szCs w:val="18"/>
                <w:lang w:eastAsia="sk-SK"/>
              </w:rPr>
              <w:t>Kapitálové príjmy</w:t>
            </w:r>
          </w:p>
        </w:tc>
        <w:tc>
          <w:tcPr>
            <w:tcW w:w="541" w:type="pct"/>
            <w:vAlign w:val="center"/>
          </w:tcPr>
          <w:p w14:paraId="244A6962" w14:textId="77777777" w:rsidR="00345086" w:rsidRPr="00113ACD" w:rsidRDefault="00345086" w:rsidP="0019343E">
            <w:pPr>
              <w:spacing w:after="0"/>
              <w:jc w:val="right"/>
              <w:rPr>
                <w:rFonts w:eastAsia="Times New Roman" w:cs="Segoe UI"/>
                <w:color w:val="000000"/>
                <w:sz w:val="16"/>
                <w:szCs w:val="18"/>
                <w:lang w:eastAsia="sk-SK"/>
              </w:rPr>
            </w:pPr>
            <w:r w:rsidRPr="00113ACD">
              <w:rPr>
                <w:rFonts w:eastAsia="Times New Roman" w:cs="Segoe UI"/>
                <w:color w:val="000000"/>
                <w:sz w:val="16"/>
                <w:szCs w:val="18"/>
                <w:lang w:eastAsia="sk-SK"/>
              </w:rPr>
              <w:t>11 460</w:t>
            </w:r>
          </w:p>
        </w:tc>
        <w:tc>
          <w:tcPr>
            <w:tcW w:w="541" w:type="pct"/>
            <w:vAlign w:val="center"/>
          </w:tcPr>
          <w:p w14:paraId="55B9AA2B" w14:textId="77777777" w:rsidR="00345086" w:rsidRPr="00113ACD" w:rsidRDefault="00345086" w:rsidP="0019343E">
            <w:pPr>
              <w:spacing w:after="0"/>
              <w:jc w:val="right"/>
              <w:rPr>
                <w:rFonts w:eastAsia="Times New Roman" w:cs="Segoe UI"/>
                <w:color w:val="000000"/>
                <w:sz w:val="16"/>
                <w:szCs w:val="18"/>
                <w:lang w:eastAsia="sk-SK"/>
              </w:rPr>
            </w:pPr>
            <w:r w:rsidRPr="00113ACD">
              <w:rPr>
                <w:rFonts w:eastAsia="Times New Roman" w:cs="Segoe UI"/>
                <w:color w:val="000000"/>
                <w:sz w:val="16"/>
                <w:szCs w:val="18"/>
                <w:lang w:eastAsia="sk-SK"/>
              </w:rPr>
              <w:t>27 270</w:t>
            </w:r>
          </w:p>
        </w:tc>
        <w:tc>
          <w:tcPr>
            <w:tcW w:w="541" w:type="pct"/>
            <w:vAlign w:val="center"/>
          </w:tcPr>
          <w:p w14:paraId="4EC21E18" w14:textId="77777777" w:rsidR="00345086" w:rsidRPr="00113ACD" w:rsidRDefault="00345086" w:rsidP="0019343E">
            <w:pPr>
              <w:spacing w:after="0"/>
              <w:jc w:val="right"/>
              <w:rPr>
                <w:rFonts w:eastAsia="Times New Roman" w:cs="Segoe UI"/>
                <w:color w:val="000000"/>
                <w:sz w:val="16"/>
                <w:szCs w:val="18"/>
                <w:lang w:eastAsia="sk-SK"/>
              </w:rPr>
            </w:pPr>
            <w:r w:rsidRPr="00113ACD">
              <w:rPr>
                <w:rFonts w:eastAsia="Times New Roman" w:cs="Segoe UI"/>
                <w:color w:val="000000"/>
                <w:sz w:val="16"/>
                <w:szCs w:val="18"/>
                <w:lang w:eastAsia="sk-SK"/>
              </w:rPr>
              <w:t>16 685</w:t>
            </w:r>
          </w:p>
        </w:tc>
        <w:tc>
          <w:tcPr>
            <w:tcW w:w="582" w:type="pct"/>
            <w:vAlign w:val="center"/>
          </w:tcPr>
          <w:p w14:paraId="08095CD5" w14:textId="77777777" w:rsidR="00345086" w:rsidRPr="00113ACD" w:rsidRDefault="00345086" w:rsidP="0019343E">
            <w:pPr>
              <w:spacing w:after="0"/>
              <w:jc w:val="right"/>
              <w:rPr>
                <w:rFonts w:eastAsia="Times New Roman" w:cs="Segoe UI"/>
                <w:color w:val="000000"/>
                <w:sz w:val="16"/>
                <w:szCs w:val="18"/>
                <w:lang w:eastAsia="sk-SK"/>
              </w:rPr>
            </w:pPr>
            <w:r w:rsidRPr="00113ACD">
              <w:rPr>
                <w:rFonts w:eastAsia="Times New Roman" w:cs="Segoe UI"/>
                <w:color w:val="000000"/>
                <w:sz w:val="16"/>
                <w:szCs w:val="18"/>
                <w:lang w:eastAsia="sk-SK"/>
              </w:rPr>
              <w:t>-10 585</w:t>
            </w:r>
          </w:p>
        </w:tc>
        <w:tc>
          <w:tcPr>
            <w:tcW w:w="389" w:type="pct"/>
            <w:vAlign w:val="center"/>
          </w:tcPr>
          <w:p w14:paraId="6A3B103F" w14:textId="77777777" w:rsidR="00345086" w:rsidRPr="00113ACD" w:rsidRDefault="00345086" w:rsidP="0019343E">
            <w:pPr>
              <w:spacing w:after="0"/>
              <w:jc w:val="right"/>
              <w:rPr>
                <w:rFonts w:eastAsia="Times New Roman" w:cs="Segoe UI"/>
                <w:color w:val="000000"/>
                <w:sz w:val="16"/>
                <w:szCs w:val="18"/>
                <w:lang w:eastAsia="sk-SK"/>
              </w:rPr>
            </w:pPr>
            <w:r w:rsidRPr="00113ACD">
              <w:rPr>
                <w:rFonts w:eastAsia="Times New Roman" w:cs="Segoe UI"/>
                <w:color w:val="000000"/>
                <w:sz w:val="16"/>
                <w:szCs w:val="18"/>
                <w:lang w:eastAsia="sk-SK"/>
              </w:rPr>
              <w:t>145,6</w:t>
            </w:r>
          </w:p>
        </w:tc>
      </w:tr>
      <w:tr w:rsidR="00345086" w:rsidRPr="002B21AD" w14:paraId="0AF3EBFF" w14:textId="77777777" w:rsidTr="00DB26F8">
        <w:trPr>
          <w:trHeight w:val="283"/>
          <w:jc w:val="right"/>
        </w:trPr>
        <w:tc>
          <w:tcPr>
            <w:tcW w:w="2407" w:type="pct"/>
            <w:vAlign w:val="center"/>
          </w:tcPr>
          <w:p w14:paraId="396689F4" w14:textId="77777777" w:rsidR="00345086" w:rsidRPr="00113ACD" w:rsidRDefault="00345086" w:rsidP="0019343E">
            <w:pPr>
              <w:spacing w:after="0"/>
              <w:jc w:val="left"/>
              <w:rPr>
                <w:rFonts w:eastAsia="Times New Roman" w:cs="Segoe UI"/>
                <w:color w:val="000000"/>
                <w:sz w:val="16"/>
                <w:szCs w:val="18"/>
                <w:lang w:eastAsia="sk-SK"/>
              </w:rPr>
            </w:pPr>
            <w:r w:rsidRPr="00113ACD">
              <w:rPr>
                <w:rFonts w:eastAsia="Times New Roman" w:cs="Segoe UI"/>
                <w:color w:val="000000"/>
                <w:sz w:val="16"/>
                <w:szCs w:val="18"/>
                <w:lang w:eastAsia="sk-SK"/>
              </w:rPr>
              <w:t>Úroky z tuzemských a zahraničných úverov, pôžičiek NFV</w:t>
            </w:r>
          </w:p>
        </w:tc>
        <w:tc>
          <w:tcPr>
            <w:tcW w:w="541" w:type="pct"/>
            <w:vAlign w:val="center"/>
          </w:tcPr>
          <w:p w14:paraId="4A05BAEE" w14:textId="77777777" w:rsidR="00345086" w:rsidRPr="00113ACD" w:rsidRDefault="00345086" w:rsidP="0019343E">
            <w:pPr>
              <w:spacing w:after="0"/>
              <w:jc w:val="right"/>
              <w:rPr>
                <w:rFonts w:eastAsia="Times New Roman" w:cs="Segoe UI"/>
                <w:color w:val="000000"/>
                <w:sz w:val="16"/>
                <w:szCs w:val="18"/>
                <w:lang w:eastAsia="sk-SK"/>
              </w:rPr>
            </w:pPr>
            <w:r w:rsidRPr="00113ACD">
              <w:rPr>
                <w:rFonts w:eastAsia="Times New Roman" w:cs="Segoe UI"/>
                <w:color w:val="000000"/>
                <w:sz w:val="16"/>
                <w:szCs w:val="18"/>
                <w:lang w:eastAsia="sk-SK"/>
              </w:rPr>
              <w:t>9 996</w:t>
            </w:r>
          </w:p>
        </w:tc>
        <w:tc>
          <w:tcPr>
            <w:tcW w:w="541" w:type="pct"/>
            <w:vAlign w:val="center"/>
          </w:tcPr>
          <w:p w14:paraId="58E110E7" w14:textId="77777777" w:rsidR="00345086" w:rsidRPr="00113ACD" w:rsidRDefault="00345086" w:rsidP="0019343E">
            <w:pPr>
              <w:spacing w:after="0"/>
              <w:jc w:val="right"/>
              <w:rPr>
                <w:rFonts w:eastAsia="Times New Roman" w:cs="Segoe UI"/>
                <w:color w:val="000000"/>
                <w:sz w:val="16"/>
                <w:szCs w:val="18"/>
                <w:lang w:eastAsia="sk-SK"/>
              </w:rPr>
            </w:pPr>
            <w:r w:rsidRPr="00113ACD">
              <w:rPr>
                <w:rFonts w:eastAsia="Times New Roman" w:cs="Segoe UI"/>
                <w:color w:val="000000"/>
                <w:sz w:val="16"/>
                <w:szCs w:val="18"/>
                <w:lang w:eastAsia="sk-SK"/>
              </w:rPr>
              <w:t>24 497</w:t>
            </w:r>
          </w:p>
        </w:tc>
        <w:tc>
          <w:tcPr>
            <w:tcW w:w="541" w:type="pct"/>
            <w:vAlign w:val="center"/>
          </w:tcPr>
          <w:p w14:paraId="4D5262F5" w14:textId="77777777" w:rsidR="00345086" w:rsidRPr="00113ACD" w:rsidRDefault="00345086" w:rsidP="0019343E">
            <w:pPr>
              <w:spacing w:after="0"/>
              <w:jc w:val="right"/>
              <w:rPr>
                <w:rFonts w:eastAsia="Times New Roman" w:cs="Segoe UI"/>
                <w:color w:val="000000"/>
                <w:sz w:val="16"/>
                <w:szCs w:val="18"/>
                <w:lang w:eastAsia="sk-SK"/>
              </w:rPr>
            </w:pPr>
            <w:r w:rsidRPr="00113ACD">
              <w:rPr>
                <w:rFonts w:eastAsia="Times New Roman" w:cs="Segoe UI"/>
                <w:color w:val="000000"/>
                <w:sz w:val="16"/>
                <w:szCs w:val="18"/>
                <w:lang w:eastAsia="sk-SK"/>
              </w:rPr>
              <w:t>121 737</w:t>
            </w:r>
          </w:p>
        </w:tc>
        <w:tc>
          <w:tcPr>
            <w:tcW w:w="582" w:type="pct"/>
            <w:vAlign w:val="center"/>
          </w:tcPr>
          <w:p w14:paraId="6CAB2033" w14:textId="77777777" w:rsidR="00345086" w:rsidRPr="00113ACD" w:rsidRDefault="00345086" w:rsidP="0019343E">
            <w:pPr>
              <w:spacing w:after="0"/>
              <w:jc w:val="right"/>
              <w:rPr>
                <w:rFonts w:eastAsia="Times New Roman" w:cs="Segoe UI"/>
                <w:color w:val="000000"/>
                <w:sz w:val="16"/>
                <w:szCs w:val="18"/>
                <w:lang w:eastAsia="sk-SK"/>
              </w:rPr>
            </w:pPr>
            <w:r w:rsidRPr="00113ACD">
              <w:rPr>
                <w:rFonts w:eastAsia="Times New Roman" w:cs="Segoe UI"/>
                <w:color w:val="000000"/>
                <w:sz w:val="16"/>
                <w:szCs w:val="18"/>
                <w:lang w:eastAsia="sk-SK"/>
              </w:rPr>
              <w:t>97 240</w:t>
            </w:r>
          </w:p>
        </w:tc>
        <w:tc>
          <w:tcPr>
            <w:tcW w:w="389" w:type="pct"/>
            <w:vAlign w:val="center"/>
          </w:tcPr>
          <w:p w14:paraId="7BFF4480" w14:textId="77777777" w:rsidR="00345086" w:rsidRPr="00113ACD" w:rsidRDefault="00345086" w:rsidP="0019343E">
            <w:pPr>
              <w:spacing w:after="0"/>
              <w:jc w:val="right"/>
              <w:rPr>
                <w:rFonts w:eastAsia="Times New Roman" w:cs="Segoe UI"/>
                <w:color w:val="000000"/>
                <w:sz w:val="16"/>
                <w:szCs w:val="18"/>
                <w:lang w:eastAsia="sk-SK"/>
              </w:rPr>
            </w:pPr>
            <w:r w:rsidRPr="00113ACD">
              <w:rPr>
                <w:rFonts w:eastAsia="Times New Roman" w:cs="Segoe UI"/>
                <w:color w:val="000000"/>
                <w:sz w:val="16"/>
                <w:szCs w:val="18"/>
                <w:lang w:eastAsia="sk-SK"/>
              </w:rPr>
              <w:t>1217,9</w:t>
            </w:r>
          </w:p>
        </w:tc>
      </w:tr>
      <w:tr w:rsidR="00345086" w:rsidRPr="002B21AD" w14:paraId="3BA07D3E" w14:textId="77777777" w:rsidTr="00DB26F8">
        <w:trPr>
          <w:trHeight w:val="283"/>
          <w:jc w:val="right"/>
        </w:trPr>
        <w:tc>
          <w:tcPr>
            <w:tcW w:w="2407" w:type="pct"/>
            <w:tcBorders>
              <w:bottom w:val="single" w:sz="4" w:space="0" w:color="314364"/>
            </w:tcBorders>
            <w:vAlign w:val="center"/>
          </w:tcPr>
          <w:p w14:paraId="4AB1551A" w14:textId="77777777" w:rsidR="00345086" w:rsidRPr="00113ACD" w:rsidRDefault="00345086" w:rsidP="0019343E">
            <w:pPr>
              <w:spacing w:after="0"/>
              <w:jc w:val="left"/>
              <w:rPr>
                <w:rFonts w:eastAsia="Times New Roman" w:cs="Segoe UI"/>
                <w:color w:val="000000"/>
                <w:sz w:val="16"/>
                <w:szCs w:val="18"/>
                <w:lang w:eastAsia="sk-SK"/>
              </w:rPr>
            </w:pPr>
            <w:r w:rsidRPr="00113ACD">
              <w:rPr>
                <w:rFonts w:eastAsia="Times New Roman" w:cs="Segoe UI"/>
                <w:color w:val="000000"/>
                <w:sz w:val="16"/>
                <w:szCs w:val="18"/>
                <w:lang w:eastAsia="sk-SK"/>
              </w:rPr>
              <w:t>Iné nedaňové príjmy</w:t>
            </w:r>
          </w:p>
        </w:tc>
        <w:tc>
          <w:tcPr>
            <w:tcW w:w="541" w:type="pct"/>
            <w:tcBorders>
              <w:bottom w:val="single" w:sz="4" w:space="0" w:color="314364"/>
            </w:tcBorders>
            <w:vAlign w:val="center"/>
          </w:tcPr>
          <w:p w14:paraId="67A68C26" w14:textId="77777777" w:rsidR="00345086" w:rsidRPr="00113ACD" w:rsidRDefault="00345086" w:rsidP="0019343E">
            <w:pPr>
              <w:spacing w:after="0"/>
              <w:jc w:val="right"/>
              <w:rPr>
                <w:rFonts w:eastAsia="Times New Roman" w:cs="Segoe UI"/>
                <w:color w:val="000000"/>
                <w:sz w:val="16"/>
                <w:szCs w:val="18"/>
                <w:lang w:eastAsia="sk-SK"/>
              </w:rPr>
            </w:pPr>
            <w:r w:rsidRPr="00113ACD">
              <w:rPr>
                <w:rFonts w:eastAsia="Times New Roman" w:cs="Segoe UI"/>
                <w:color w:val="000000"/>
                <w:sz w:val="16"/>
                <w:szCs w:val="18"/>
                <w:lang w:eastAsia="sk-SK"/>
              </w:rPr>
              <w:t>694 670</w:t>
            </w:r>
          </w:p>
        </w:tc>
        <w:tc>
          <w:tcPr>
            <w:tcW w:w="541" w:type="pct"/>
            <w:tcBorders>
              <w:bottom w:val="single" w:sz="4" w:space="0" w:color="314364"/>
            </w:tcBorders>
            <w:vAlign w:val="center"/>
          </w:tcPr>
          <w:p w14:paraId="7B5B719B" w14:textId="77777777" w:rsidR="00345086" w:rsidRPr="00113ACD" w:rsidRDefault="00345086" w:rsidP="0019343E">
            <w:pPr>
              <w:spacing w:after="0"/>
              <w:jc w:val="right"/>
              <w:rPr>
                <w:rFonts w:eastAsia="Times New Roman" w:cs="Segoe UI"/>
                <w:color w:val="000000"/>
                <w:sz w:val="16"/>
                <w:szCs w:val="18"/>
                <w:lang w:eastAsia="sk-SK"/>
              </w:rPr>
            </w:pPr>
            <w:r w:rsidRPr="00113ACD">
              <w:rPr>
                <w:rFonts w:eastAsia="Times New Roman" w:cs="Segoe UI"/>
                <w:color w:val="000000"/>
                <w:sz w:val="16"/>
                <w:szCs w:val="18"/>
                <w:lang w:eastAsia="sk-SK"/>
              </w:rPr>
              <w:t>1 179 040</w:t>
            </w:r>
          </w:p>
        </w:tc>
        <w:tc>
          <w:tcPr>
            <w:tcW w:w="541" w:type="pct"/>
            <w:tcBorders>
              <w:bottom w:val="single" w:sz="4" w:space="0" w:color="314364"/>
            </w:tcBorders>
            <w:vAlign w:val="center"/>
          </w:tcPr>
          <w:p w14:paraId="7E224569" w14:textId="77777777" w:rsidR="00345086" w:rsidRPr="00113ACD" w:rsidRDefault="00345086" w:rsidP="0019343E">
            <w:pPr>
              <w:spacing w:after="0"/>
              <w:jc w:val="right"/>
              <w:rPr>
                <w:rFonts w:eastAsia="Times New Roman" w:cs="Segoe UI"/>
                <w:color w:val="000000"/>
                <w:sz w:val="16"/>
                <w:szCs w:val="18"/>
                <w:lang w:eastAsia="sk-SK"/>
              </w:rPr>
            </w:pPr>
            <w:r w:rsidRPr="00113ACD">
              <w:rPr>
                <w:rFonts w:eastAsia="Times New Roman" w:cs="Segoe UI"/>
                <w:color w:val="000000"/>
                <w:sz w:val="16"/>
                <w:szCs w:val="18"/>
                <w:lang w:eastAsia="sk-SK"/>
              </w:rPr>
              <w:t>633 551</w:t>
            </w:r>
          </w:p>
        </w:tc>
        <w:tc>
          <w:tcPr>
            <w:tcW w:w="582" w:type="pct"/>
            <w:tcBorders>
              <w:bottom w:val="single" w:sz="4" w:space="0" w:color="314364"/>
            </w:tcBorders>
            <w:vAlign w:val="center"/>
          </w:tcPr>
          <w:p w14:paraId="03CDC1F6" w14:textId="77777777" w:rsidR="00345086" w:rsidRPr="00113ACD" w:rsidRDefault="00345086" w:rsidP="0019343E">
            <w:pPr>
              <w:spacing w:after="0"/>
              <w:jc w:val="right"/>
              <w:rPr>
                <w:rFonts w:eastAsia="Times New Roman" w:cs="Segoe UI"/>
                <w:color w:val="000000"/>
                <w:sz w:val="16"/>
                <w:szCs w:val="18"/>
                <w:lang w:eastAsia="sk-SK"/>
              </w:rPr>
            </w:pPr>
            <w:r w:rsidRPr="00113ACD">
              <w:rPr>
                <w:rFonts w:eastAsia="Times New Roman" w:cs="Segoe UI"/>
                <w:color w:val="000000"/>
                <w:sz w:val="16"/>
                <w:szCs w:val="18"/>
                <w:lang w:eastAsia="sk-SK"/>
              </w:rPr>
              <w:t>-545 489</w:t>
            </w:r>
          </w:p>
        </w:tc>
        <w:tc>
          <w:tcPr>
            <w:tcW w:w="389" w:type="pct"/>
            <w:tcBorders>
              <w:bottom w:val="single" w:sz="4" w:space="0" w:color="314364"/>
            </w:tcBorders>
            <w:vAlign w:val="center"/>
          </w:tcPr>
          <w:p w14:paraId="0796B4BD" w14:textId="77777777" w:rsidR="00345086" w:rsidRPr="00113ACD" w:rsidRDefault="00345086" w:rsidP="0019343E">
            <w:pPr>
              <w:spacing w:after="0"/>
              <w:jc w:val="right"/>
              <w:rPr>
                <w:rFonts w:eastAsia="Times New Roman" w:cs="Segoe UI"/>
                <w:color w:val="000000"/>
                <w:sz w:val="16"/>
                <w:szCs w:val="18"/>
                <w:lang w:eastAsia="sk-SK"/>
              </w:rPr>
            </w:pPr>
            <w:r w:rsidRPr="00113ACD">
              <w:rPr>
                <w:rFonts w:eastAsia="Times New Roman" w:cs="Segoe UI"/>
                <w:color w:val="000000"/>
                <w:sz w:val="16"/>
                <w:szCs w:val="18"/>
                <w:lang w:eastAsia="sk-SK"/>
              </w:rPr>
              <w:t>91,2</w:t>
            </w:r>
          </w:p>
        </w:tc>
      </w:tr>
    </w:tbl>
    <w:p w14:paraId="16F19169" w14:textId="628DF698" w:rsidR="00E71E04" w:rsidRPr="002B21AD" w:rsidRDefault="00E71E04" w:rsidP="00E71E04">
      <w:pPr>
        <w:pStyle w:val="Zdroj"/>
      </w:pPr>
      <w:r w:rsidRPr="002B21AD">
        <w:t>Zdroj: Návrh ŠZÚ 202</w:t>
      </w:r>
      <w:r w:rsidR="005579D6">
        <w:t>3</w:t>
      </w:r>
      <w:r w:rsidRPr="002B21AD">
        <w:t>.</w:t>
      </w:r>
      <w:r w:rsidRPr="002B21AD">
        <w:br/>
        <w:t>S – skutočnosť, R – rozpočet, YoY – medziročná zmena</w:t>
      </w:r>
    </w:p>
    <w:p w14:paraId="630E62C2" w14:textId="26C455A7" w:rsidR="00E71E04" w:rsidRPr="00B36A7A" w:rsidRDefault="00E71E04" w:rsidP="005579D6">
      <w:pPr>
        <w:keepNext/>
        <w:spacing w:after="0"/>
        <w:rPr>
          <w:rFonts w:eastAsia="Calibri" w:cs="Times New Roman"/>
          <w:b/>
          <w:iCs/>
          <w:color w:val="314364"/>
          <w:szCs w:val="18"/>
        </w:rPr>
      </w:pPr>
      <w:r w:rsidRPr="00F10ED2">
        <w:rPr>
          <w:rFonts w:eastAsia="Calibri" w:cs="Times New Roman"/>
          <w:b/>
          <w:iCs/>
          <w:color w:val="314364"/>
          <w:szCs w:val="18"/>
        </w:rPr>
        <w:t xml:space="preserve">Tabuľka </w:t>
      </w:r>
      <w:r w:rsidR="00574ACF">
        <w:rPr>
          <w:rFonts w:eastAsia="Calibri" w:cs="Times New Roman"/>
          <w:b/>
          <w:iCs/>
          <w:color w:val="314364"/>
          <w:szCs w:val="18"/>
        </w:rPr>
        <w:t>7</w:t>
      </w:r>
      <w:r w:rsidRPr="00F10ED2">
        <w:rPr>
          <w:rFonts w:eastAsia="Calibri" w:cs="Times New Roman"/>
          <w:b/>
          <w:iCs/>
          <w:color w:val="314364"/>
          <w:szCs w:val="18"/>
        </w:rPr>
        <w:t>: Prehľad o plnení grantov a transferov (v tis. eur)</w:t>
      </w:r>
    </w:p>
    <w:tbl>
      <w:tblPr>
        <w:tblW w:w="5000" w:type="pct"/>
        <w:jc w:val="center"/>
        <w:tblLook w:val="04A0" w:firstRow="1" w:lastRow="0" w:firstColumn="1" w:lastColumn="0" w:noHBand="0" w:noVBand="1"/>
      </w:tblPr>
      <w:tblGrid>
        <w:gridCol w:w="3086"/>
        <w:gridCol w:w="1268"/>
        <w:gridCol w:w="1268"/>
        <w:gridCol w:w="1268"/>
        <w:gridCol w:w="1355"/>
        <w:gridCol w:w="825"/>
      </w:tblGrid>
      <w:tr w:rsidR="00345086" w:rsidRPr="00B36A7A" w14:paraId="00F8434F" w14:textId="77777777" w:rsidTr="00DB26F8">
        <w:trPr>
          <w:trHeight w:val="283"/>
          <w:jc w:val="center"/>
        </w:trPr>
        <w:tc>
          <w:tcPr>
            <w:tcW w:w="1701" w:type="pct"/>
            <w:shd w:val="clear" w:color="auto" w:fill="314364"/>
            <w:vAlign w:val="center"/>
          </w:tcPr>
          <w:p w14:paraId="39EFA869" w14:textId="77777777" w:rsidR="00345086" w:rsidRPr="00043FA2" w:rsidRDefault="00345086" w:rsidP="0019343E">
            <w:pPr>
              <w:spacing w:after="0" w:line="259" w:lineRule="auto"/>
              <w:jc w:val="left"/>
              <w:rPr>
                <w:rFonts w:eastAsia="Calibri" w:cs="Segoe UI"/>
                <w:b/>
                <w:bCs/>
                <w:color w:val="FFFFFF"/>
                <w:sz w:val="18"/>
                <w:szCs w:val="18"/>
              </w:rPr>
            </w:pPr>
            <w:r w:rsidRPr="00043FA2">
              <w:rPr>
                <w:rFonts w:eastAsia="Calibri" w:cs="Segoe UI"/>
                <w:b/>
                <w:bCs/>
                <w:color w:val="FFFFFF"/>
                <w:sz w:val="18"/>
                <w:szCs w:val="18"/>
              </w:rPr>
              <w:t>Ukazovateľ</w:t>
            </w:r>
          </w:p>
        </w:tc>
        <w:tc>
          <w:tcPr>
            <w:tcW w:w="699" w:type="pct"/>
            <w:shd w:val="clear" w:color="auto" w:fill="314364"/>
            <w:vAlign w:val="center"/>
          </w:tcPr>
          <w:p w14:paraId="73A403B8" w14:textId="77777777" w:rsidR="00345086" w:rsidRPr="00043FA2" w:rsidRDefault="00345086" w:rsidP="0019343E">
            <w:pPr>
              <w:spacing w:after="0" w:line="259" w:lineRule="auto"/>
              <w:jc w:val="right"/>
              <w:rPr>
                <w:rFonts w:eastAsia="Calibri" w:cs="Segoe UI"/>
                <w:b/>
                <w:bCs/>
                <w:color w:val="FFFFFF"/>
                <w:sz w:val="18"/>
                <w:szCs w:val="18"/>
              </w:rPr>
            </w:pPr>
            <w:r w:rsidRPr="00043FA2">
              <w:rPr>
                <w:rFonts w:eastAsia="Calibri" w:cs="Segoe UI"/>
                <w:b/>
                <w:bCs/>
                <w:color w:val="FFFFFF"/>
                <w:sz w:val="18"/>
                <w:szCs w:val="18"/>
              </w:rPr>
              <w:t>2022 S</w:t>
            </w:r>
          </w:p>
        </w:tc>
        <w:tc>
          <w:tcPr>
            <w:tcW w:w="699" w:type="pct"/>
            <w:shd w:val="clear" w:color="auto" w:fill="314364"/>
            <w:vAlign w:val="center"/>
          </w:tcPr>
          <w:p w14:paraId="762FAF70" w14:textId="77777777" w:rsidR="00345086" w:rsidRPr="00043FA2" w:rsidRDefault="00345086" w:rsidP="0019343E">
            <w:pPr>
              <w:spacing w:after="0" w:line="259" w:lineRule="auto"/>
              <w:jc w:val="right"/>
              <w:rPr>
                <w:rFonts w:eastAsia="Calibri" w:cs="Segoe UI"/>
                <w:b/>
                <w:bCs/>
                <w:color w:val="FFFFFF"/>
                <w:sz w:val="18"/>
                <w:szCs w:val="18"/>
              </w:rPr>
            </w:pPr>
            <w:r w:rsidRPr="00043FA2">
              <w:rPr>
                <w:rFonts w:eastAsia="Calibri" w:cs="Segoe UI"/>
                <w:b/>
                <w:bCs/>
                <w:color w:val="FFFFFF"/>
                <w:sz w:val="18"/>
                <w:szCs w:val="18"/>
              </w:rPr>
              <w:t>2023 R</w:t>
            </w:r>
          </w:p>
        </w:tc>
        <w:tc>
          <w:tcPr>
            <w:tcW w:w="699" w:type="pct"/>
            <w:shd w:val="clear" w:color="auto" w:fill="314364"/>
            <w:vAlign w:val="center"/>
          </w:tcPr>
          <w:p w14:paraId="1E6A56CC" w14:textId="77777777" w:rsidR="00345086" w:rsidRPr="00043FA2" w:rsidRDefault="00345086" w:rsidP="0019343E">
            <w:pPr>
              <w:spacing w:after="0" w:line="259" w:lineRule="auto"/>
              <w:jc w:val="right"/>
              <w:rPr>
                <w:rFonts w:eastAsia="Calibri" w:cs="Segoe UI"/>
                <w:b/>
                <w:bCs/>
                <w:color w:val="FFFFFF"/>
                <w:sz w:val="18"/>
                <w:szCs w:val="18"/>
              </w:rPr>
            </w:pPr>
            <w:r w:rsidRPr="00043FA2">
              <w:rPr>
                <w:rFonts w:eastAsia="Calibri" w:cs="Segoe UI"/>
                <w:b/>
                <w:bCs/>
                <w:color w:val="FFFFFF"/>
                <w:sz w:val="18"/>
                <w:szCs w:val="18"/>
              </w:rPr>
              <w:t>2023 S</w:t>
            </w:r>
          </w:p>
        </w:tc>
        <w:tc>
          <w:tcPr>
            <w:tcW w:w="747" w:type="pct"/>
            <w:shd w:val="clear" w:color="auto" w:fill="314364"/>
            <w:vAlign w:val="center"/>
          </w:tcPr>
          <w:p w14:paraId="7090945E" w14:textId="77777777" w:rsidR="00345086" w:rsidRPr="00043FA2" w:rsidRDefault="00345086" w:rsidP="0019343E">
            <w:pPr>
              <w:spacing w:after="0" w:line="259" w:lineRule="auto"/>
              <w:jc w:val="right"/>
              <w:rPr>
                <w:rFonts w:eastAsia="Calibri" w:cs="Segoe UI"/>
                <w:b/>
                <w:bCs/>
                <w:color w:val="FFFFFF"/>
                <w:sz w:val="18"/>
                <w:szCs w:val="18"/>
              </w:rPr>
            </w:pPr>
            <w:r w:rsidRPr="00043FA2">
              <w:rPr>
                <w:rFonts w:eastAsia="Calibri" w:cs="Segoe UI"/>
                <w:b/>
                <w:bCs/>
                <w:color w:val="FFFFFF"/>
                <w:sz w:val="18"/>
                <w:szCs w:val="18"/>
              </w:rPr>
              <w:t>23S - 23R</w:t>
            </w:r>
          </w:p>
        </w:tc>
        <w:tc>
          <w:tcPr>
            <w:tcW w:w="456" w:type="pct"/>
            <w:shd w:val="clear" w:color="auto" w:fill="314364"/>
            <w:vAlign w:val="center"/>
          </w:tcPr>
          <w:p w14:paraId="7598C631" w14:textId="77777777" w:rsidR="00345086" w:rsidRPr="00043FA2" w:rsidRDefault="00345086" w:rsidP="0019343E">
            <w:pPr>
              <w:spacing w:after="0" w:line="259" w:lineRule="auto"/>
              <w:jc w:val="right"/>
              <w:rPr>
                <w:rFonts w:eastAsia="Calibri" w:cs="Segoe UI"/>
                <w:b/>
                <w:bCs/>
                <w:color w:val="FFFFFF"/>
                <w:sz w:val="18"/>
                <w:szCs w:val="18"/>
              </w:rPr>
            </w:pPr>
            <w:r w:rsidRPr="00043FA2">
              <w:rPr>
                <w:rFonts w:eastAsia="Calibri" w:cs="Segoe UI"/>
                <w:b/>
                <w:bCs/>
                <w:color w:val="FFFFFF"/>
                <w:sz w:val="18"/>
                <w:szCs w:val="18"/>
              </w:rPr>
              <w:t>YoY</w:t>
            </w:r>
          </w:p>
        </w:tc>
      </w:tr>
      <w:tr w:rsidR="00345086" w:rsidRPr="00B36A7A" w14:paraId="1DB5FBF1" w14:textId="77777777" w:rsidTr="00DB26F8">
        <w:trPr>
          <w:trHeight w:val="283"/>
          <w:jc w:val="center"/>
        </w:trPr>
        <w:tc>
          <w:tcPr>
            <w:tcW w:w="1701" w:type="pct"/>
            <w:shd w:val="clear" w:color="auto" w:fill="auto"/>
            <w:vAlign w:val="center"/>
          </w:tcPr>
          <w:p w14:paraId="4F3AEAC4" w14:textId="77777777" w:rsidR="00345086" w:rsidRPr="00043FA2" w:rsidRDefault="00345086" w:rsidP="0019343E">
            <w:pPr>
              <w:spacing w:after="0"/>
              <w:jc w:val="left"/>
              <w:rPr>
                <w:rFonts w:eastAsia="Times New Roman" w:cs="Segoe UI"/>
                <w:b/>
                <w:color w:val="000000"/>
                <w:sz w:val="18"/>
                <w:szCs w:val="18"/>
                <w:lang w:eastAsia="sk-SK"/>
              </w:rPr>
            </w:pPr>
            <w:r w:rsidRPr="00043FA2">
              <w:rPr>
                <w:rFonts w:eastAsia="Times New Roman" w:cs="Segoe UI"/>
                <w:b/>
                <w:color w:val="000000"/>
                <w:sz w:val="18"/>
                <w:szCs w:val="18"/>
                <w:lang w:eastAsia="sk-SK"/>
              </w:rPr>
              <w:t>Granty a transfery spolu</w:t>
            </w:r>
          </w:p>
        </w:tc>
        <w:tc>
          <w:tcPr>
            <w:tcW w:w="699" w:type="pct"/>
            <w:shd w:val="clear" w:color="auto" w:fill="auto"/>
            <w:vAlign w:val="center"/>
          </w:tcPr>
          <w:p w14:paraId="08158FAE" w14:textId="77777777" w:rsidR="00345086" w:rsidRPr="00043FA2" w:rsidRDefault="00345086" w:rsidP="0019343E">
            <w:pPr>
              <w:spacing w:after="0"/>
              <w:jc w:val="right"/>
              <w:rPr>
                <w:rFonts w:eastAsia="Times New Roman" w:cs="Segoe UI"/>
                <w:b/>
                <w:color w:val="000000"/>
                <w:sz w:val="18"/>
                <w:szCs w:val="18"/>
                <w:lang w:eastAsia="sk-SK"/>
              </w:rPr>
            </w:pPr>
            <w:r w:rsidRPr="00043FA2">
              <w:rPr>
                <w:rFonts w:eastAsia="Times New Roman" w:cs="Segoe UI"/>
                <w:b/>
                <w:color w:val="000000"/>
                <w:sz w:val="18"/>
                <w:szCs w:val="18"/>
                <w:lang w:eastAsia="sk-SK"/>
              </w:rPr>
              <w:t>2 227 578</w:t>
            </w:r>
          </w:p>
        </w:tc>
        <w:tc>
          <w:tcPr>
            <w:tcW w:w="699" w:type="pct"/>
            <w:shd w:val="clear" w:color="auto" w:fill="auto"/>
            <w:vAlign w:val="center"/>
          </w:tcPr>
          <w:p w14:paraId="3E35AFA6" w14:textId="77777777" w:rsidR="00345086" w:rsidRPr="00043FA2" w:rsidRDefault="00345086" w:rsidP="0019343E">
            <w:pPr>
              <w:spacing w:after="0"/>
              <w:jc w:val="right"/>
              <w:rPr>
                <w:rFonts w:eastAsia="Times New Roman" w:cs="Segoe UI"/>
                <w:b/>
                <w:color w:val="000000"/>
                <w:sz w:val="18"/>
                <w:szCs w:val="18"/>
                <w:lang w:eastAsia="sk-SK"/>
              </w:rPr>
            </w:pPr>
            <w:r w:rsidRPr="00043FA2">
              <w:rPr>
                <w:rFonts w:eastAsia="Times New Roman" w:cs="Segoe UI"/>
                <w:b/>
                <w:color w:val="000000"/>
                <w:sz w:val="18"/>
                <w:szCs w:val="18"/>
                <w:lang w:eastAsia="sk-SK"/>
              </w:rPr>
              <w:t>7 774 037</w:t>
            </w:r>
          </w:p>
        </w:tc>
        <w:tc>
          <w:tcPr>
            <w:tcW w:w="699" w:type="pct"/>
            <w:shd w:val="clear" w:color="auto" w:fill="auto"/>
            <w:vAlign w:val="center"/>
          </w:tcPr>
          <w:p w14:paraId="2CA037F1" w14:textId="77777777" w:rsidR="00345086" w:rsidRPr="00043FA2" w:rsidRDefault="00345086" w:rsidP="0019343E">
            <w:pPr>
              <w:spacing w:after="0"/>
              <w:jc w:val="right"/>
              <w:rPr>
                <w:rFonts w:eastAsia="Times New Roman" w:cs="Segoe UI"/>
                <w:b/>
                <w:color w:val="000000"/>
                <w:sz w:val="18"/>
                <w:szCs w:val="18"/>
                <w:lang w:eastAsia="sk-SK"/>
              </w:rPr>
            </w:pPr>
            <w:r w:rsidRPr="00043FA2">
              <w:rPr>
                <w:rFonts w:eastAsia="Times New Roman" w:cs="Segoe UI"/>
                <w:b/>
                <w:color w:val="000000"/>
                <w:sz w:val="18"/>
                <w:szCs w:val="18"/>
                <w:lang w:eastAsia="sk-SK"/>
              </w:rPr>
              <w:t>4 509 343</w:t>
            </w:r>
          </w:p>
        </w:tc>
        <w:tc>
          <w:tcPr>
            <w:tcW w:w="747" w:type="pct"/>
            <w:shd w:val="clear" w:color="auto" w:fill="auto"/>
            <w:vAlign w:val="center"/>
          </w:tcPr>
          <w:p w14:paraId="198EDAB7" w14:textId="77777777" w:rsidR="00345086" w:rsidRPr="00043FA2" w:rsidRDefault="00345086" w:rsidP="0019343E">
            <w:pPr>
              <w:spacing w:after="0"/>
              <w:jc w:val="right"/>
              <w:rPr>
                <w:rFonts w:eastAsia="Times New Roman" w:cs="Segoe UI"/>
                <w:b/>
                <w:color w:val="000000"/>
                <w:sz w:val="18"/>
                <w:szCs w:val="18"/>
                <w:lang w:eastAsia="sk-SK"/>
              </w:rPr>
            </w:pPr>
            <w:r w:rsidRPr="00043FA2">
              <w:rPr>
                <w:rFonts w:eastAsia="Times New Roman" w:cs="Segoe UI"/>
                <w:b/>
                <w:color w:val="000000"/>
                <w:sz w:val="18"/>
                <w:szCs w:val="18"/>
                <w:lang w:eastAsia="sk-SK"/>
              </w:rPr>
              <w:t>-3 264 694</w:t>
            </w:r>
          </w:p>
        </w:tc>
        <w:tc>
          <w:tcPr>
            <w:tcW w:w="456" w:type="pct"/>
            <w:shd w:val="clear" w:color="auto" w:fill="auto"/>
            <w:vAlign w:val="center"/>
          </w:tcPr>
          <w:p w14:paraId="186960DF" w14:textId="77777777" w:rsidR="00345086" w:rsidRPr="00043FA2" w:rsidRDefault="00345086" w:rsidP="0019343E">
            <w:pPr>
              <w:spacing w:after="0"/>
              <w:jc w:val="right"/>
              <w:rPr>
                <w:rFonts w:eastAsia="Times New Roman" w:cs="Segoe UI"/>
                <w:b/>
                <w:color w:val="000000"/>
                <w:sz w:val="18"/>
                <w:szCs w:val="18"/>
                <w:lang w:eastAsia="sk-SK"/>
              </w:rPr>
            </w:pPr>
            <w:r w:rsidRPr="00043FA2">
              <w:rPr>
                <w:rFonts w:eastAsia="Times New Roman" w:cs="Segoe UI"/>
                <w:b/>
                <w:color w:val="000000"/>
                <w:sz w:val="18"/>
                <w:szCs w:val="18"/>
                <w:lang w:eastAsia="sk-SK"/>
              </w:rPr>
              <w:t>202,4</w:t>
            </w:r>
          </w:p>
        </w:tc>
      </w:tr>
      <w:tr w:rsidR="00345086" w:rsidRPr="00B36A7A" w14:paraId="0E62EC61" w14:textId="77777777" w:rsidTr="00DB26F8">
        <w:trPr>
          <w:trHeight w:val="283"/>
          <w:jc w:val="center"/>
        </w:trPr>
        <w:tc>
          <w:tcPr>
            <w:tcW w:w="1701" w:type="pct"/>
            <w:vAlign w:val="center"/>
          </w:tcPr>
          <w:p w14:paraId="698F177A" w14:textId="77777777" w:rsidR="00345086" w:rsidRPr="00043FA2" w:rsidRDefault="00345086" w:rsidP="0019343E">
            <w:pPr>
              <w:spacing w:after="0"/>
              <w:jc w:val="left"/>
              <w:rPr>
                <w:rFonts w:eastAsia="Times New Roman" w:cs="Segoe UI"/>
                <w:color w:val="000000"/>
                <w:sz w:val="18"/>
                <w:szCs w:val="18"/>
                <w:lang w:eastAsia="sk-SK"/>
              </w:rPr>
            </w:pPr>
            <w:r w:rsidRPr="00043FA2">
              <w:rPr>
                <w:rFonts w:eastAsia="Times New Roman" w:cs="Segoe UI"/>
                <w:color w:val="000000"/>
                <w:sz w:val="18"/>
                <w:szCs w:val="18"/>
                <w:lang w:eastAsia="sk-SK"/>
              </w:rPr>
              <w:t>Tuzemské granty a transfery</w:t>
            </w:r>
          </w:p>
        </w:tc>
        <w:tc>
          <w:tcPr>
            <w:tcW w:w="699" w:type="pct"/>
            <w:vAlign w:val="center"/>
          </w:tcPr>
          <w:p w14:paraId="46713526" w14:textId="77777777" w:rsidR="00345086" w:rsidRPr="00043FA2" w:rsidRDefault="00345086" w:rsidP="0019343E">
            <w:pPr>
              <w:spacing w:after="0"/>
              <w:jc w:val="right"/>
              <w:rPr>
                <w:rFonts w:eastAsia="Times New Roman" w:cs="Segoe UI"/>
                <w:color w:val="000000"/>
                <w:sz w:val="18"/>
                <w:szCs w:val="18"/>
                <w:lang w:eastAsia="sk-SK"/>
              </w:rPr>
            </w:pPr>
            <w:r w:rsidRPr="00043FA2">
              <w:rPr>
                <w:rFonts w:eastAsia="Times New Roman" w:cs="Segoe UI"/>
                <w:color w:val="000000"/>
                <w:sz w:val="18"/>
                <w:szCs w:val="18"/>
                <w:lang w:eastAsia="sk-SK"/>
              </w:rPr>
              <w:t>39 875</w:t>
            </w:r>
          </w:p>
        </w:tc>
        <w:tc>
          <w:tcPr>
            <w:tcW w:w="699" w:type="pct"/>
            <w:vAlign w:val="center"/>
          </w:tcPr>
          <w:p w14:paraId="0010C335" w14:textId="77777777" w:rsidR="00345086" w:rsidRPr="00043FA2" w:rsidRDefault="00345086" w:rsidP="0019343E">
            <w:pPr>
              <w:spacing w:after="0"/>
              <w:jc w:val="right"/>
              <w:rPr>
                <w:rFonts w:eastAsia="Times New Roman" w:cs="Segoe UI"/>
                <w:color w:val="000000"/>
                <w:sz w:val="18"/>
                <w:szCs w:val="18"/>
                <w:lang w:eastAsia="sk-SK"/>
              </w:rPr>
            </w:pPr>
            <w:r w:rsidRPr="00043FA2">
              <w:rPr>
                <w:rFonts w:eastAsia="Times New Roman" w:cs="Segoe UI"/>
                <w:color w:val="000000"/>
                <w:sz w:val="18"/>
                <w:szCs w:val="18"/>
                <w:lang w:eastAsia="sk-SK"/>
              </w:rPr>
              <w:t>45 232</w:t>
            </w:r>
          </w:p>
        </w:tc>
        <w:tc>
          <w:tcPr>
            <w:tcW w:w="699" w:type="pct"/>
            <w:vAlign w:val="center"/>
          </w:tcPr>
          <w:p w14:paraId="1E1D77E9" w14:textId="77777777" w:rsidR="00345086" w:rsidRPr="00043FA2" w:rsidRDefault="00345086" w:rsidP="0019343E">
            <w:pPr>
              <w:spacing w:after="0"/>
              <w:jc w:val="right"/>
              <w:rPr>
                <w:rFonts w:eastAsia="Times New Roman" w:cs="Segoe UI"/>
                <w:color w:val="000000"/>
                <w:sz w:val="18"/>
                <w:szCs w:val="18"/>
                <w:lang w:eastAsia="sk-SK"/>
              </w:rPr>
            </w:pPr>
            <w:r w:rsidRPr="00043FA2">
              <w:rPr>
                <w:rFonts w:eastAsia="Times New Roman" w:cs="Segoe UI"/>
                <w:color w:val="000000"/>
                <w:sz w:val="18"/>
                <w:szCs w:val="18"/>
                <w:lang w:eastAsia="sk-SK"/>
              </w:rPr>
              <w:t>69</w:t>
            </w:r>
          </w:p>
        </w:tc>
        <w:tc>
          <w:tcPr>
            <w:tcW w:w="747" w:type="pct"/>
            <w:vAlign w:val="center"/>
          </w:tcPr>
          <w:p w14:paraId="6B8DED33" w14:textId="77777777" w:rsidR="00345086" w:rsidRPr="00043FA2" w:rsidRDefault="00345086" w:rsidP="0019343E">
            <w:pPr>
              <w:spacing w:after="0"/>
              <w:jc w:val="right"/>
              <w:rPr>
                <w:rFonts w:eastAsia="Times New Roman" w:cs="Segoe UI"/>
                <w:color w:val="000000"/>
                <w:sz w:val="18"/>
                <w:szCs w:val="18"/>
                <w:lang w:eastAsia="sk-SK"/>
              </w:rPr>
            </w:pPr>
            <w:r w:rsidRPr="00043FA2">
              <w:rPr>
                <w:rFonts w:eastAsia="Times New Roman" w:cs="Segoe UI"/>
                <w:color w:val="000000"/>
                <w:sz w:val="18"/>
                <w:szCs w:val="18"/>
                <w:lang w:eastAsia="sk-SK"/>
              </w:rPr>
              <w:t>-45 163</w:t>
            </w:r>
          </w:p>
        </w:tc>
        <w:tc>
          <w:tcPr>
            <w:tcW w:w="456" w:type="pct"/>
            <w:vAlign w:val="center"/>
          </w:tcPr>
          <w:p w14:paraId="3ED1B6E9" w14:textId="77777777" w:rsidR="00345086" w:rsidRPr="00043FA2" w:rsidRDefault="00345086" w:rsidP="0019343E">
            <w:pPr>
              <w:spacing w:after="0"/>
              <w:jc w:val="right"/>
              <w:rPr>
                <w:rFonts w:eastAsia="Times New Roman" w:cs="Segoe UI"/>
                <w:color w:val="000000"/>
                <w:sz w:val="18"/>
                <w:szCs w:val="18"/>
                <w:lang w:eastAsia="sk-SK"/>
              </w:rPr>
            </w:pPr>
            <w:r w:rsidRPr="00043FA2">
              <w:rPr>
                <w:rFonts w:eastAsia="Times New Roman" w:cs="Segoe UI"/>
                <w:color w:val="000000"/>
                <w:sz w:val="18"/>
                <w:szCs w:val="18"/>
                <w:lang w:eastAsia="sk-SK"/>
              </w:rPr>
              <w:t>0,2</w:t>
            </w:r>
          </w:p>
        </w:tc>
      </w:tr>
      <w:tr w:rsidR="00345086" w:rsidRPr="00B36A7A" w14:paraId="3A5651B9" w14:textId="77777777" w:rsidTr="00DB26F8">
        <w:trPr>
          <w:trHeight w:val="283"/>
          <w:jc w:val="center"/>
        </w:trPr>
        <w:tc>
          <w:tcPr>
            <w:tcW w:w="1701" w:type="pct"/>
            <w:vAlign w:val="center"/>
          </w:tcPr>
          <w:p w14:paraId="0412EFA7" w14:textId="77777777" w:rsidR="00345086" w:rsidRPr="00043FA2" w:rsidRDefault="00345086" w:rsidP="0019343E">
            <w:pPr>
              <w:spacing w:after="0"/>
              <w:jc w:val="left"/>
              <w:rPr>
                <w:rFonts w:eastAsia="Times New Roman" w:cs="Segoe UI"/>
                <w:color w:val="000000"/>
                <w:sz w:val="18"/>
                <w:szCs w:val="18"/>
                <w:lang w:eastAsia="sk-SK"/>
              </w:rPr>
            </w:pPr>
            <w:r w:rsidRPr="00043FA2">
              <w:rPr>
                <w:rFonts w:eastAsia="Times New Roman" w:cs="Segoe UI"/>
                <w:color w:val="000000"/>
                <w:sz w:val="18"/>
                <w:szCs w:val="18"/>
                <w:lang w:eastAsia="sk-SK"/>
              </w:rPr>
              <w:t>Zahraničné granty a transfery</w:t>
            </w:r>
          </w:p>
        </w:tc>
        <w:tc>
          <w:tcPr>
            <w:tcW w:w="699" w:type="pct"/>
            <w:vAlign w:val="center"/>
          </w:tcPr>
          <w:p w14:paraId="0E99E2CA" w14:textId="77777777" w:rsidR="00345086" w:rsidRPr="00043FA2" w:rsidRDefault="00345086" w:rsidP="0019343E">
            <w:pPr>
              <w:spacing w:after="0"/>
              <w:jc w:val="right"/>
              <w:rPr>
                <w:rFonts w:eastAsia="Times New Roman" w:cs="Segoe UI"/>
                <w:color w:val="000000"/>
                <w:sz w:val="18"/>
                <w:szCs w:val="18"/>
                <w:lang w:eastAsia="sk-SK"/>
              </w:rPr>
            </w:pPr>
            <w:r w:rsidRPr="00043FA2">
              <w:rPr>
                <w:rFonts w:eastAsia="Times New Roman" w:cs="Segoe UI"/>
                <w:color w:val="000000"/>
                <w:sz w:val="18"/>
                <w:szCs w:val="18"/>
                <w:lang w:eastAsia="sk-SK"/>
              </w:rPr>
              <w:t>2 187 703</w:t>
            </w:r>
          </w:p>
        </w:tc>
        <w:tc>
          <w:tcPr>
            <w:tcW w:w="699" w:type="pct"/>
            <w:vAlign w:val="center"/>
          </w:tcPr>
          <w:p w14:paraId="409E26A4" w14:textId="77777777" w:rsidR="00345086" w:rsidRPr="00043FA2" w:rsidRDefault="00345086" w:rsidP="0019343E">
            <w:pPr>
              <w:spacing w:after="0"/>
              <w:jc w:val="right"/>
              <w:rPr>
                <w:rFonts w:eastAsia="Times New Roman" w:cs="Segoe UI"/>
                <w:color w:val="000000"/>
                <w:sz w:val="18"/>
                <w:szCs w:val="18"/>
                <w:lang w:eastAsia="sk-SK"/>
              </w:rPr>
            </w:pPr>
            <w:r w:rsidRPr="00043FA2">
              <w:rPr>
                <w:rFonts w:eastAsia="Times New Roman" w:cs="Segoe UI"/>
                <w:color w:val="000000"/>
                <w:sz w:val="18"/>
                <w:szCs w:val="18"/>
                <w:lang w:eastAsia="sk-SK"/>
              </w:rPr>
              <w:t>7 728 805</w:t>
            </w:r>
          </w:p>
        </w:tc>
        <w:tc>
          <w:tcPr>
            <w:tcW w:w="699" w:type="pct"/>
            <w:vAlign w:val="center"/>
          </w:tcPr>
          <w:p w14:paraId="0E3D3174" w14:textId="77777777" w:rsidR="00345086" w:rsidRPr="00043FA2" w:rsidRDefault="00345086" w:rsidP="0019343E">
            <w:pPr>
              <w:spacing w:after="0"/>
              <w:jc w:val="right"/>
              <w:rPr>
                <w:rFonts w:eastAsia="Times New Roman" w:cs="Segoe UI"/>
                <w:color w:val="000000"/>
                <w:sz w:val="18"/>
                <w:szCs w:val="18"/>
                <w:lang w:eastAsia="sk-SK"/>
              </w:rPr>
            </w:pPr>
            <w:r w:rsidRPr="00043FA2">
              <w:rPr>
                <w:rFonts w:eastAsia="Times New Roman" w:cs="Segoe UI"/>
                <w:color w:val="000000"/>
                <w:sz w:val="18"/>
                <w:szCs w:val="18"/>
                <w:lang w:eastAsia="sk-SK"/>
              </w:rPr>
              <w:t>4 509 274</w:t>
            </w:r>
          </w:p>
        </w:tc>
        <w:tc>
          <w:tcPr>
            <w:tcW w:w="747" w:type="pct"/>
            <w:vAlign w:val="center"/>
          </w:tcPr>
          <w:p w14:paraId="5C9EFABE" w14:textId="77777777" w:rsidR="00345086" w:rsidRPr="00043FA2" w:rsidRDefault="00345086" w:rsidP="0019343E">
            <w:pPr>
              <w:spacing w:after="0"/>
              <w:jc w:val="right"/>
              <w:rPr>
                <w:rFonts w:eastAsia="Times New Roman" w:cs="Segoe UI"/>
                <w:color w:val="000000"/>
                <w:sz w:val="18"/>
                <w:szCs w:val="18"/>
                <w:lang w:eastAsia="sk-SK"/>
              </w:rPr>
            </w:pPr>
            <w:r w:rsidRPr="00043FA2">
              <w:rPr>
                <w:rFonts w:eastAsia="Times New Roman" w:cs="Segoe UI"/>
                <w:color w:val="000000"/>
                <w:sz w:val="18"/>
                <w:szCs w:val="18"/>
                <w:lang w:eastAsia="sk-SK"/>
              </w:rPr>
              <w:t>-3 219 531</w:t>
            </w:r>
          </w:p>
        </w:tc>
        <w:tc>
          <w:tcPr>
            <w:tcW w:w="456" w:type="pct"/>
            <w:vAlign w:val="center"/>
          </w:tcPr>
          <w:p w14:paraId="5A062F6D" w14:textId="77777777" w:rsidR="00345086" w:rsidRPr="00043FA2" w:rsidRDefault="00345086" w:rsidP="0019343E">
            <w:pPr>
              <w:spacing w:after="0"/>
              <w:jc w:val="right"/>
              <w:rPr>
                <w:rFonts w:eastAsia="Times New Roman" w:cs="Segoe UI"/>
                <w:color w:val="000000"/>
                <w:sz w:val="18"/>
                <w:szCs w:val="18"/>
                <w:lang w:eastAsia="sk-SK"/>
              </w:rPr>
            </w:pPr>
            <w:r w:rsidRPr="00043FA2">
              <w:rPr>
                <w:rFonts w:eastAsia="Times New Roman" w:cs="Segoe UI"/>
                <w:color w:val="000000"/>
                <w:sz w:val="18"/>
                <w:szCs w:val="18"/>
                <w:lang w:eastAsia="sk-SK"/>
              </w:rPr>
              <w:t>206,1</w:t>
            </w:r>
          </w:p>
        </w:tc>
      </w:tr>
      <w:tr w:rsidR="00345086" w:rsidRPr="00B36A7A" w14:paraId="6165805A" w14:textId="77777777" w:rsidTr="00DB26F8">
        <w:trPr>
          <w:trHeight w:val="283"/>
          <w:jc w:val="center"/>
        </w:trPr>
        <w:tc>
          <w:tcPr>
            <w:tcW w:w="1701" w:type="pct"/>
            <w:vAlign w:val="center"/>
          </w:tcPr>
          <w:p w14:paraId="1C89F9FB" w14:textId="77777777" w:rsidR="00345086" w:rsidRPr="00043FA2" w:rsidRDefault="00345086" w:rsidP="0019343E">
            <w:pPr>
              <w:spacing w:after="0"/>
              <w:jc w:val="left"/>
              <w:rPr>
                <w:rFonts w:eastAsia="Times New Roman" w:cs="Segoe UI"/>
                <w:color w:val="000000"/>
                <w:sz w:val="18"/>
                <w:szCs w:val="18"/>
                <w:lang w:eastAsia="sk-SK"/>
              </w:rPr>
            </w:pPr>
            <w:r w:rsidRPr="00043FA2">
              <w:rPr>
                <w:rFonts w:eastAsia="Times New Roman" w:cs="Segoe UI"/>
                <w:color w:val="000000"/>
                <w:sz w:val="18"/>
                <w:szCs w:val="18"/>
                <w:lang w:eastAsia="sk-SK"/>
              </w:rPr>
              <w:t xml:space="preserve">       </w:t>
            </w:r>
            <w:r>
              <w:rPr>
                <w:rFonts w:eastAsia="Times New Roman" w:cs="Segoe UI"/>
                <w:color w:val="000000"/>
                <w:sz w:val="18"/>
                <w:szCs w:val="18"/>
                <w:lang w:eastAsia="sk-SK"/>
              </w:rPr>
              <w:t>príjmy</w:t>
            </w:r>
            <w:r w:rsidRPr="00043FA2">
              <w:rPr>
                <w:rFonts w:eastAsia="Times New Roman" w:cs="Segoe UI"/>
                <w:color w:val="000000"/>
                <w:sz w:val="18"/>
                <w:szCs w:val="18"/>
                <w:lang w:eastAsia="sk-SK"/>
              </w:rPr>
              <w:t xml:space="preserve"> z rozpočtu EÚ</w:t>
            </w:r>
          </w:p>
        </w:tc>
        <w:tc>
          <w:tcPr>
            <w:tcW w:w="699" w:type="pct"/>
            <w:vAlign w:val="center"/>
          </w:tcPr>
          <w:p w14:paraId="00E3F128" w14:textId="77777777" w:rsidR="00345086" w:rsidRPr="00043FA2" w:rsidRDefault="00345086" w:rsidP="0019343E">
            <w:pPr>
              <w:spacing w:after="0"/>
              <w:jc w:val="right"/>
              <w:rPr>
                <w:rFonts w:eastAsia="Times New Roman" w:cs="Segoe UI"/>
                <w:color w:val="000000"/>
                <w:sz w:val="18"/>
                <w:szCs w:val="18"/>
                <w:lang w:eastAsia="sk-SK"/>
              </w:rPr>
            </w:pPr>
            <w:r w:rsidRPr="00043FA2">
              <w:rPr>
                <w:rFonts w:eastAsia="Times New Roman" w:cs="Segoe UI"/>
                <w:color w:val="000000"/>
                <w:sz w:val="18"/>
                <w:szCs w:val="18"/>
                <w:lang w:eastAsia="sk-SK"/>
              </w:rPr>
              <w:t>2 146 641</w:t>
            </w:r>
          </w:p>
        </w:tc>
        <w:tc>
          <w:tcPr>
            <w:tcW w:w="699" w:type="pct"/>
            <w:vAlign w:val="center"/>
          </w:tcPr>
          <w:p w14:paraId="43A73B69" w14:textId="77777777" w:rsidR="00345086" w:rsidRPr="00043FA2" w:rsidRDefault="00345086" w:rsidP="0019343E">
            <w:pPr>
              <w:spacing w:after="0"/>
              <w:jc w:val="right"/>
              <w:rPr>
                <w:rFonts w:eastAsia="Times New Roman" w:cs="Segoe UI"/>
                <w:color w:val="000000"/>
                <w:sz w:val="18"/>
                <w:szCs w:val="18"/>
                <w:lang w:eastAsia="sk-SK"/>
              </w:rPr>
            </w:pPr>
            <w:r w:rsidRPr="00043FA2">
              <w:rPr>
                <w:rFonts w:eastAsia="Times New Roman" w:cs="Segoe UI"/>
                <w:color w:val="000000"/>
                <w:sz w:val="18"/>
                <w:szCs w:val="18"/>
                <w:lang w:eastAsia="sk-SK"/>
              </w:rPr>
              <w:t>5 717 554</w:t>
            </w:r>
          </w:p>
        </w:tc>
        <w:tc>
          <w:tcPr>
            <w:tcW w:w="699" w:type="pct"/>
            <w:vAlign w:val="center"/>
          </w:tcPr>
          <w:p w14:paraId="019F079D" w14:textId="77777777" w:rsidR="00345086" w:rsidRPr="00043FA2" w:rsidRDefault="00345086" w:rsidP="0019343E">
            <w:pPr>
              <w:spacing w:after="0"/>
              <w:jc w:val="right"/>
              <w:rPr>
                <w:rFonts w:eastAsia="Times New Roman" w:cs="Segoe UI"/>
                <w:color w:val="000000"/>
                <w:sz w:val="18"/>
                <w:szCs w:val="18"/>
                <w:lang w:eastAsia="sk-SK"/>
              </w:rPr>
            </w:pPr>
            <w:r w:rsidRPr="00043FA2">
              <w:rPr>
                <w:rFonts w:eastAsia="Times New Roman" w:cs="Segoe UI"/>
                <w:color w:val="000000"/>
                <w:sz w:val="18"/>
                <w:szCs w:val="18"/>
                <w:lang w:eastAsia="sk-SK"/>
              </w:rPr>
              <w:t>4 141 996</w:t>
            </w:r>
          </w:p>
        </w:tc>
        <w:tc>
          <w:tcPr>
            <w:tcW w:w="747" w:type="pct"/>
            <w:vAlign w:val="center"/>
          </w:tcPr>
          <w:p w14:paraId="4CF3B028" w14:textId="77777777" w:rsidR="00345086" w:rsidRPr="00043FA2" w:rsidRDefault="00345086" w:rsidP="0019343E">
            <w:pPr>
              <w:spacing w:after="0"/>
              <w:jc w:val="right"/>
              <w:rPr>
                <w:rFonts w:eastAsia="Times New Roman" w:cs="Segoe UI"/>
                <w:color w:val="000000"/>
                <w:sz w:val="18"/>
                <w:szCs w:val="18"/>
                <w:lang w:eastAsia="sk-SK"/>
              </w:rPr>
            </w:pPr>
            <w:r w:rsidRPr="00043FA2">
              <w:rPr>
                <w:rFonts w:eastAsia="Times New Roman" w:cs="Segoe UI"/>
                <w:color w:val="000000"/>
                <w:sz w:val="18"/>
                <w:szCs w:val="18"/>
                <w:lang w:eastAsia="sk-SK"/>
              </w:rPr>
              <w:t>-1 575 558</w:t>
            </w:r>
          </w:p>
        </w:tc>
        <w:tc>
          <w:tcPr>
            <w:tcW w:w="456" w:type="pct"/>
            <w:vAlign w:val="center"/>
          </w:tcPr>
          <w:p w14:paraId="3BB9C91F" w14:textId="77777777" w:rsidR="00345086" w:rsidRPr="00043FA2" w:rsidRDefault="00345086" w:rsidP="0019343E">
            <w:pPr>
              <w:spacing w:after="0"/>
              <w:jc w:val="right"/>
              <w:rPr>
                <w:rFonts w:eastAsia="Times New Roman" w:cs="Segoe UI"/>
                <w:color w:val="000000"/>
                <w:sz w:val="18"/>
                <w:szCs w:val="18"/>
                <w:lang w:eastAsia="sk-SK"/>
              </w:rPr>
            </w:pPr>
            <w:r w:rsidRPr="00043FA2">
              <w:rPr>
                <w:rFonts w:eastAsia="Times New Roman" w:cs="Segoe UI"/>
                <w:color w:val="000000"/>
                <w:sz w:val="18"/>
                <w:szCs w:val="18"/>
                <w:lang w:eastAsia="sk-SK"/>
              </w:rPr>
              <w:t>193,0</w:t>
            </w:r>
          </w:p>
        </w:tc>
      </w:tr>
      <w:tr w:rsidR="00345086" w:rsidRPr="00B36A7A" w14:paraId="4677D530" w14:textId="77777777" w:rsidTr="00DB26F8">
        <w:trPr>
          <w:trHeight w:val="283"/>
          <w:jc w:val="center"/>
        </w:trPr>
        <w:tc>
          <w:tcPr>
            <w:tcW w:w="1701" w:type="pct"/>
            <w:tcBorders>
              <w:bottom w:val="single" w:sz="4" w:space="0" w:color="314364"/>
            </w:tcBorders>
            <w:vAlign w:val="center"/>
          </w:tcPr>
          <w:p w14:paraId="0DF9F196" w14:textId="77777777" w:rsidR="00345086" w:rsidRPr="00043FA2" w:rsidRDefault="00345086" w:rsidP="0019343E">
            <w:pPr>
              <w:spacing w:after="0"/>
              <w:jc w:val="left"/>
              <w:rPr>
                <w:rFonts w:eastAsia="Times New Roman" w:cs="Segoe UI"/>
                <w:color w:val="000000"/>
                <w:sz w:val="18"/>
                <w:szCs w:val="18"/>
                <w:lang w:eastAsia="sk-SK"/>
              </w:rPr>
            </w:pPr>
            <w:r w:rsidRPr="00043FA2">
              <w:rPr>
                <w:rFonts w:eastAsia="Times New Roman" w:cs="Segoe UI"/>
                <w:color w:val="000000"/>
                <w:sz w:val="18"/>
                <w:szCs w:val="18"/>
                <w:lang w:eastAsia="sk-SK"/>
              </w:rPr>
              <w:t xml:space="preserve">       </w:t>
            </w:r>
            <w:r>
              <w:rPr>
                <w:rFonts w:eastAsia="Times New Roman" w:cs="Segoe UI"/>
                <w:color w:val="000000"/>
                <w:sz w:val="18"/>
                <w:szCs w:val="18"/>
                <w:lang w:eastAsia="sk-SK"/>
              </w:rPr>
              <w:t xml:space="preserve">príjmy z </w:t>
            </w:r>
            <w:r w:rsidRPr="00043FA2">
              <w:rPr>
                <w:rFonts w:eastAsia="Times New Roman" w:cs="Segoe UI"/>
                <w:color w:val="000000"/>
                <w:sz w:val="18"/>
                <w:szCs w:val="18"/>
                <w:lang w:eastAsia="sk-SK"/>
              </w:rPr>
              <w:t>POO</w:t>
            </w:r>
          </w:p>
        </w:tc>
        <w:tc>
          <w:tcPr>
            <w:tcW w:w="699" w:type="pct"/>
            <w:tcBorders>
              <w:bottom w:val="single" w:sz="4" w:space="0" w:color="314364"/>
            </w:tcBorders>
            <w:vAlign w:val="center"/>
          </w:tcPr>
          <w:p w14:paraId="00E375F9" w14:textId="77777777" w:rsidR="00345086" w:rsidRPr="00043FA2" w:rsidRDefault="00345086" w:rsidP="0019343E">
            <w:pPr>
              <w:spacing w:after="0"/>
              <w:jc w:val="right"/>
              <w:rPr>
                <w:rFonts w:eastAsia="Times New Roman" w:cs="Segoe UI"/>
                <w:color w:val="000000"/>
                <w:sz w:val="18"/>
                <w:szCs w:val="18"/>
                <w:lang w:eastAsia="sk-SK"/>
              </w:rPr>
            </w:pPr>
            <w:r w:rsidRPr="00043FA2">
              <w:rPr>
                <w:rFonts w:eastAsia="Times New Roman" w:cs="Segoe UI"/>
                <w:color w:val="000000"/>
                <w:sz w:val="18"/>
                <w:szCs w:val="18"/>
                <w:lang w:eastAsia="sk-SK"/>
              </w:rPr>
              <w:t>41 061</w:t>
            </w:r>
          </w:p>
        </w:tc>
        <w:tc>
          <w:tcPr>
            <w:tcW w:w="699" w:type="pct"/>
            <w:tcBorders>
              <w:bottom w:val="single" w:sz="4" w:space="0" w:color="314364"/>
            </w:tcBorders>
            <w:vAlign w:val="center"/>
          </w:tcPr>
          <w:p w14:paraId="31318D7A" w14:textId="77777777" w:rsidR="00345086" w:rsidRPr="00043FA2" w:rsidRDefault="00345086" w:rsidP="0019343E">
            <w:pPr>
              <w:spacing w:after="0"/>
              <w:jc w:val="right"/>
              <w:rPr>
                <w:rFonts w:eastAsia="Times New Roman" w:cs="Segoe UI"/>
                <w:color w:val="000000"/>
                <w:sz w:val="18"/>
                <w:szCs w:val="18"/>
                <w:lang w:eastAsia="sk-SK"/>
              </w:rPr>
            </w:pPr>
            <w:r w:rsidRPr="00043FA2">
              <w:rPr>
                <w:rFonts w:eastAsia="Times New Roman" w:cs="Segoe UI"/>
                <w:color w:val="000000"/>
                <w:sz w:val="18"/>
                <w:szCs w:val="18"/>
                <w:lang w:eastAsia="sk-SK"/>
              </w:rPr>
              <w:t>2 011 251</w:t>
            </w:r>
          </w:p>
        </w:tc>
        <w:tc>
          <w:tcPr>
            <w:tcW w:w="699" w:type="pct"/>
            <w:tcBorders>
              <w:bottom w:val="single" w:sz="4" w:space="0" w:color="314364"/>
            </w:tcBorders>
            <w:vAlign w:val="center"/>
          </w:tcPr>
          <w:p w14:paraId="550D47C1" w14:textId="77777777" w:rsidR="00345086" w:rsidRPr="00043FA2" w:rsidRDefault="00345086" w:rsidP="0019343E">
            <w:pPr>
              <w:spacing w:after="0"/>
              <w:jc w:val="right"/>
              <w:rPr>
                <w:rFonts w:eastAsia="Times New Roman" w:cs="Segoe UI"/>
                <w:color w:val="000000"/>
                <w:sz w:val="18"/>
                <w:szCs w:val="18"/>
                <w:lang w:eastAsia="sk-SK"/>
              </w:rPr>
            </w:pPr>
            <w:r w:rsidRPr="00043FA2">
              <w:rPr>
                <w:rFonts w:eastAsia="Times New Roman" w:cs="Segoe UI"/>
                <w:color w:val="000000"/>
                <w:sz w:val="18"/>
                <w:szCs w:val="18"/>
                <w:lang w:eastAsia="sk-SK"/>
              </w:rPr>
              <w:t>367 278</w:t>
            </w:r>
          </w:p>
        </w:tc>
        <w:tc>
          <w:tcPr>
            <w:tcW w:w="747" w:type="pct"/>
            <w:tcBorders>
              <w:bottom w:val="single" w:sz="4" w:space="0" w:color="314364"/>
            </w:tcBorders>
            <w:vAlign w:val="center"/>
          </w:tcPr>
          <w:p w14:paraId="7986928F" w14:textId="77777777" w:rsidR="00345086" w:rsidRPr="00043FA2" w:rsidRDefault="00345086" w:rsidP="0019343E">
            <w:pPr>
              <w:spacing w:after="0"/>
              <w:jc w:val="right"/>
              <w:rPr>
                <w:rFonts w:eastAsia="Times New Roman" w:cs="Segoe UI"/>
                <w:color w:val="000000"/>
                <w:sz w:val="18"/>
                <w:szCs w:val="18"/>
                <w:lang w:eastAsia="sk-SK"/>
              </w:rPr>
            </w:pPr>
            <w:r w:rsidRPr="00043FA2">
              <w:rPr>
                <w:rFonts w:eastAsia="Times New Roman" w:cs="Segoe UI"/>
                <w:color w:val="000000"/>
                <w:sz w:val="18"/>
                <w:szCs w:val="18"/>
                <w:lang w:eastAsia="sk-SK"/>
              </w:rPr>
              <w:t>-1 643 973</w:t>
            </w:r>
          </w:p>
        </w:tc>
        <w:tc>
          <w:tcPr>
            <w:tcW w:w="456" w:type="pct"/>
            <w:tcBorders>
              <w:bottom w:val="single" w:sz="4" w:space="0" w:color="314364"/>
            </w:tcBorders>
            <w:vAlign w:val="center"/>
          </w:tcPr>
          <w:p w14:paraId="3AB17F92" w14:textId="77777777" w:rsidR="00345086" w:rsidRPr="00043FA2" w:rsidRDefault="00345086" w:rsidP="0019343E">
            <w:pPr>
              <w:spacing w:after="0"/>
              <w:jc w:val="right"/>
              <w:rPr>
                <w:rFonts w:eastAsia="Times New Roman" w:cs="Segoe UI"/>
                <w:color w:val="000000"/>
                <w:sz w:val="18"/>
                <w:szCs w:val="18"/>
                <w:lang w:eastAsia="sk-SK"/>
              </w:rPr>
            </w:pPr>
            <w:r w:rsidRPr="00043FA2">
              <w:rPr>
                <w:rFonts w:eastAsia="Times New Roman" w:cs="Segoe UI"/>
                <w:color w:val="000000"/>
                <w:sz w:val="18"/>
                <w:szCs w:val="18"/>
                <w:lang w:eastAsia="sk-SK"/>
              </w:rPr>
              <w:t>894,5</w:t>
            </w:r>
          </w:p>
        </w:tc>
      </w:tr>
    </w:tbl>
    <w:p w14:paraId="7E3A6169" w14:textId="08579BB8" w:rsidR="00E71E04" w:rsidRDefault="00E71E04" w:rsidP="00E71E04">
      <w:pPr>
        <w:pStyle w:val="Zdroj"/>
      </w:pPr>
      <w:r w:rsidRPr="00B36A7A">
        <w:t>Zdroj: Návrh ŠZÚ 202</w:t>
      </w:r>
      <w:r w:rsidR="005579D6">
        <w:t>3</w:t>
      </w:r>
      <w:r w:rsidRPr="00B36A7A">
        <w:t>.</w:t>
      </w:r>
      <w:r w:rsidRPr="00B36A7A">
        <w:br/>
        <w:t>S – skutočnosť, R – rozpočet, YoY – medziročná zmena</w:t>
      </w:r>
    </w:p>
    <w:p w14:paraId="7494511C" w14:textId="52EA16E0" w:rsidR="005E65E6" w:rsidRDefault="00946B24" w:rsidP="00946B24">
      <w:pPr>
        <w:pStyle w:val="Nadpis2"/>
      </w:pPr>
      <w:bookmarkStart w:id="16" w:name="_Toc105414679"/>
      <w:bookmarkStart w:id="17" w:name="_Toc168567186"/>
      <w:r>
        <w:t>3.</w:t>
      </w:r>
      <w:r w:rsidR="00160F4C">
        <w:t>3</w:t>
      </w:r>
      <w:r>
        <w:t xml:space="preserve"> </w:t>
      </w:r>
      <w:r w:rsidR="00E43045">
        <w:t xml:space="preserve"> </w:t>
      </w:r>
      <w:r w:rsidR="005E65E6">
        <w:t>Výdavky štátneho rozpočtu</w:t>
      </w:r>
      <w:bookmarkEnd w:id="16"/>
      <w:bookmarkEnd w:id="17"/>
    </w:p>
    <w:p w14:paraId="0881C45C" w14:textId="69536E2C" w:rsidR="00904EA3" w:rsidRDefault="00345086" w:rsidP="00904EA3">
      <w:pPr>
        <w:pStyle w:val="Zkladntext0"/>
        <w:spacing w:after="120"/>
        <w:jc w:val="both"/>
        <w:rPr>
          <w:rFonts w:ascii="Segoe UI" w:eastAsia="Times New Roman" w:hAnsi="Segoe UI" w:cs="Segoe UI"/>
          <w:sz w:val="20"/>
        </w:rPr>
      </w:pPr>
      <w:r w:rsidRPr="00F10ED2">
        <w:rPr>
          <w:rFonts w:ascii="Segoe UI" w:eastAsia="Times New Roman" w:hAnsi="Segoe UI" w:cs="Segoe UI"/>
          <w:b/>
          <w:sz w:val="20"/>
        </w:rPr>
        <w:t xml:space="preserve">Celkové výdavky ŠR na hotovostnej báze v roku 2023 predbehli rast inflácie </w:t>
      </w:r>
      <w:r>
        <w:rPr>
          <w:rFonts w:ascii="Segoe UI" w:eastAsia="Times New Roman" w:hAnsi="Segoe UI" w:cs="Segoe UI"/>
          <w:b/>
          <w:sz w:val="20"/>
        </w:rPr>
        <w:t>a</w:t>
      </w:r>
      <w:r w:rsidRPr="00F10ED2">
        <w:rPr>
          <w:rFonts w:ascii="Segoe UI" w:eastAsia="Times New Roman" w:hAnsi="Segoe UI" w:cs="Segoe UI"/>
          <w:b/>
          <w:sz w:val="20"/>
        </w:rPr>
        <w:t xml:space="preserve"> stúpli </w:t>
      </w:r>
      <w:r>
        <w:rPr>
          <w:rFonts w:ascii="Segoe UI" w:eastAsia="Times New Roman" w:hAnsi="Segoe UI" w:cs="Segoe UI"/>
          <w:b/>
          <w:sz w:val="20"/>
        </w:rPr>
        <w:t xml:space="preserve">medziročne </w:t>
      </w:r>
      <w:r w:rsidRPr="00F10ED2">
        <w:rPr>
          <w:rFonts w:ascii="Segoe UI" w:eastAsia="Times New Roman" w:hAnsi="Segoe UI" w:cs="Segoe UI"/>
          <w:b/>
          <w:sz w:val="20"/>
        </w:rPr>
        <w:t>o 33,2 %, čiže z 23,6 mld. eur v roku 2022 na 31,4 mld. eur v roku 2023</w:t>
      </w:r>
      <w:r w:rsidR="006007E7">
        <w:rPr>
          <w:rFonts w:ascii="Segoe UI" w:eastAsia="Times New Roman" w:hAnsi="Segoe UI" w:cs="Segoe UI"/>
          <w:b/>
          <w:sz w:val="20"/>
        </w:rPr>
        <w:t xml:space="preserve"> </w:t>
      </w:r>
      <w:r w:rsidR="00904EA3" w:rsidRPr="00F10ED2">
        <w:rPr>
          <w:rFonts w:ascii="Segoe UI" w:eastAsia="Times New Roman" w:hAnsi="Segoe UI" w:cs="Segoe UI"/>
          <w:sz w:val="20"/>
        </w:rPr>
        <w:t>(tabuľka</w:t>
      </w:r>
      <w:r w:rsidR="00AA58AE" w:rsidRPr="00F10ED2">
        <w:rPr>
          <w:rFonts w:ascii="Segoe UI" w:eastAsia="Times New Roman" w:hAnsi="Segoe UI" w:cs="Segoe UI"/>
          <w:sz w:val="20"/>
        </w:rPr>
        <w:t xml:space="preserve"> </w:t>
      </w:r>
      <w:r w:rsidR="00574ACF">
        <w:rPr>
          <w:rFonts w:ascii="Segoe UI" w:eastAsia="Times New Roman" w:hAnsi="Segoe UI" w:cs="Segoe UI"/>
          <w:sz w:val="20"/>
        </w:rPr>
        <w:t>8</w:t>
      </w:r>
      <w:r w:rsidR="00904EA3" w:rsidRPr="00F10ED2">
        <w:rPr>
          <w:rFonts w:ascii="Segoe UI" w:eastAsia="Times New Roman" w:hAnsi="Segoe UI" w:cs="Segoe UI"/>
          <w:sz w:val="20"/>
        </w:rPr>
        <w:t xml:space="preserve">). Na </w:t>
      </w:r>
      <w:r>
        <w:rPr>
          <w:rFonts w:ascii="Segoe UI" w:eastAsia="Times New Roman" w:hAnsi="Segoe UI" w:cs="Segoe UI"/>
          <w:sz w:val="20"/>
        </w:rPr>
        <w:t xml:space="preserve">tomto </w:t>
      </w:r>
      <w:r w:rsidR="00904EA3" w:rsidRPr="00F10ED2">
        <w:rPr>
          <w:rFonts w:ascii="Segoe UI" w:eastAsia="Times New Roman" w:hAnsi="Segoe UI" w:cs="Segoe UI"/>
          <w:sz w:val="20"/>
        </w:rPr>
        <w:t xml:space="preserve">raste </w:t>
      </w:r>
      <w:r w:rsidR="006007E7">
        <w:rPr>
          <w:rFonts w:ascii="Segoe UI" w:eastAsia="Times New Roman" w:hAnsi="Segoe UI" w:cs="Segoe UI"/>
          <w:sz w:val="20"/>
        </w:rPr>
        <w:t xml:space="preserve">sa podieľali bežné aj </w:t>
      </w:r>
      <w:r w:rsidR="00904EA3" w:rsidRPr="00F10ED2">
        <w:rPr>
          <w:rFonts w:ascii="Segoe UI" w:eastAsia="Times New Roman" w:hAnsi="Segoe UI" w:cs="Segoe UI"/>
          <w:sz w:val="20"/>
        </w:rPr>
        <w:t>kapitálové výdavky. Postupne sa však mení štruktúra výdavkov, keď v roku 2021 bol pomer bežných a kapitálových 90 ku 10</w:t>
      </w:r>
      <w:r>
        <w:rPr>
          <w:rFonts w:ascii="Segoe UI" w:eastAsia="Times New Roman" w:hAnsi="Segoe UI" w:cs="Segoe UI"/>
          <w:sz w:val="20"/>
        </w:rPr>
        <w:t xml:space="preserve"> a</w:t>
      </w:r>
      <w:r w:rsidR="00904EA3" w:rsidRPr="00F10ED2">
        <w:rPr>
          <w:rFonts w:ascii="Segoe UI" w:eastAsia="Times New Roman" w:hAnsi="Segoe UI" w:cs="Segoe UI"/>
          <w:sz w:val="20"/>
        </w:rPr>
        <w:t xml:space="preserve"> </w:t>
      </w:r>
      <w:r w:rsidR="006007E7" w:rsidRPr="00F10ED2">
        <w:rPr>
          <w:rFonts w:ascii="Segoe UI" w:eastAsia="Times New Roman" w:hAnsi="Segoe UI" w:cs="Segoe UI"/>
          <w:sz w:val="20"/>
        </w:rPr>
        <w:t xml:space="preserve">v roku 2023 </w:t>
      </w:r>
      <w:r w:rsidR="006007E7">
        <w:rPr>
          <w:rFonts w:ascii="Segoe UI" w:eastAsia="Times New Roman" w:hAnsi="Segoe UI" w:cs="Segoe UI"/>
          <w:sz w:val="20"/>
        </w:rPr>
        <w:t>to bolo</w:t>
      </w:r>
      <w:r w:rsidR="006007E7" w:rsidRPr="00F10ED2">
        <w:rPr>
          <w:rFonts w:ascii="Segoe UI" w:eastAsia="Times New Roman" w:hAnsi="Segoe UI" w:cs="Segoe UI"/>
          <w:sz w:val="20"/>
        </w:rPr>
        <w:t xml:space="preserve"> 85 ku 15.</w:t>
      </w:r>
    </w:p>
    <w:p w14:paraId="471D5A2C" w14:textId="722D00EB" w:rsidR="001E1F58" w:rsidRPr="00D61F2E" w:rsidRDefault="001E1F58" w:rsidP="001E1F58">
      <w:pPr>
        <w:keepNext/>
        <w:spacing w:after="0"/>
        <w:rPr>
          <w:rFonts w:eastAsia="Calibri" w:cs="Times New Roman"/>
          <w:b/>
          <w:iCs/>
          <w:color w:val="314364"/>
          <w:szCs w:val="18"/>
        </w:rPr>
      </w:pPr>
      <w:r w:rsidRPr="00F10ED2">
        <w:rPr>
          <w:rFonts w:eastAsia="Calibri" w:cs="Times New Roman"/>
          <w:b/>
          <w:iCs/>
          <w:color w:val="314364"/>
          <w:szCs w:val="18"/>
        </w:rPr>
        <w:t xml:space="preserve">Tabuľka </w:t>
      </w:r>
      <w:r w:rsidR="00574ACF">
        <w:rPr>
          <w:rFonts w:eastAsia="Calibri" w:cs="Times New Roman"/>
          <w:b/>
          <w:iCs/>
          <w:color w:val="314364"/>
          <w:szCs w:val="18"/>
        </w:rPr>
        <w:t>8</w:t>
      </w:r>
      <w:r w:rsidRPr="00F10ED2">
        <w:rPr>
          <w:rFonts w:eastAsia="Calibri" w:cs="Times New Roman"/>
          <w:b/>
          <w:iCs/>
          <w:color w:val="314364"/>
          <w:szCs w:val="18"/>
        </w:rPr>
        <w:t>: Štruktúra čerpania výdavkov ŠR na hotovostnej báze (v tis. eur)</w:t>
      </w:r>
    </w:p>
    <w:tbl>
      <w:tblPr>
        <w:tblW w:w="5000" w:type="pct"/>
        <w:jc w:val="center"/>
        <w:tblBorders>
          <w:bottom w:val="single" w:sz="4" w:space="0" w:color="314364"/>
        </w:tblBorders>
        <w:tblLook w:val="04A0" w:firstRow="1" w:lastRow="0" w:firstColumn="1" w:lastColumn="0" w:noHBand="0" w:noVBand="1"/>
      </w:tblPr>
      <w:tblGrid>
        <w:gridCol w:w="3402"/>
        <w:gridCol w:w="1276"/>
        <w:gridCol w:w="1277"/>
        <w:gridCol w:w="1275"/>
        <w:gridCol w:w="1134"/>
        <w:gridCol w:w="706"/>
      </w:tblGrid>
      <w:tr w:rsidR="00A4481D" w:rsidRPr="000330F1" w14:paraId="29CA0E99" w14:textId="77777777" w:rsidTr="00A4481D">
        <w:trPr>
          <w:trHeight w:val="283"/>
          <w:jc w:val="center"/>
        </w:trPr>
        <w:tc>
          <w:tcPr>
            <w:tcW w:w="1875" w:type="pct"/>
            <w:shd w:val="clear" w:color="auto" w:fill="314364"/>
            <w:vAlign w:val="center"/>
          </w:tcPr>
          <w:p w14:paraId="4C192F36" w14:textId="77777777" w:rsidR="0021192E" w:rsidRPr="00D61F2E" w:rsidRDefault="0021192E" w:rsidP="0019343E">
            <w:pPr>
              <w:spacing w:after="0"/>
              <w:jc w:val="left"/>
              <w:rPr>
                <w:rFonts w:eastAsia="Calibri" w:cs="Segoe UI"/>
                <w:b/>
                <w:bCs/>
                <w:color w:val="FFFFFF"/>
                <w:sz w:val="18"/>
                <w:szCs w:val="18"/>
              </w:rPr>
            </w:pPr>
            <w:r w:rsidRPr="00D61F2E">
              <w:rPr>
                <w:rFonts w:eastAsia="Calibri" w:cs="Segoe UI"/>
                <w:b/>
                <w:bCs/>
                <w:color w:val="FFFFFF"/>
                <w:sz w:val="18"/>
                <w:szCs w:val="18"/>
              </w:rPr>
              <w:t>Ukazovateľ</w:t>
            </w:r>
          </w:p>
        </w:tc>
        <w:tc>
          <w:tcPr>
            <w:tcW w:w="703" w:type="pct"/>
            <w:shd w:val="clear" w:color="auto" w:fill="314364"/>
            <w:vAlign w:val="center"/>
          </w:tcPr>
          <w:p w14:paraId="784053EB" w14:textId="77777777" w:rsidR="0021192E" w:rsidRPr="00D61F2E" w:rsidRDefault="0021192E" w:rsidP="0019343E">
            <w:pPr>
              <w:spacing w:after="0"/>
              <w:jc w:val="right"/>
              <w:rPr>
                <w:rFonts w:eastAsia="Calibri" w:cs="Segoe UI"/>
                <w:b/>
                <w:bCs/>
                <w:color w:val="FFFFFF"/>
                <w:sz w:val="18"/>
                <w:szCs w:val="18"/>
              </w:rPr>
            </w:pPr>
            <w:r w:rsidRPr="00D61F2E">
              <w:rPr>
                <w:rFonts w:eastAsia="Calibri" w:cs="Segoe UI"/>
                <w:b/>
                <w:bCs/>
                <w:color w:val="FFFFFF"/>
                <w:sz w:val="18"/>
                <w:szCs w:val="18"/>
              </w:rPr>
              <w:t>2022 S</w:t>
            </w:r>
          </w:p>
        </w:tc>
        <w:tc>
          <w:tcPr>
            <w:tcW w:w="704" w:type="pct"/>
            <w:shd w:val="clear" w:color="auto" w:fill="314364"/>
            <w:vAlign w:val="center"/>
          </w:tcPr>
          <w:p w14:paraId="56E0659E" w14:textId="77777777" w:rsidR="0021192E" w:rsidRPr="00D61F2E" w:rsidRDefault="0021192E" w:rsidP="0019343E">
            <w:pPr>
              <w:spacing w:after="0"/>
              <w:jc w:val="right"/>
              <w:rPr>
                <w:rFonts w:eastAsia="Calibri" w:cs="Segoe UI"/>
                <w:b/>
                <w:bCs/>
                <w:color w:val="FFFFFF"/>
                <w:sz w:val="18"/>
                <w:szCs w:val="18"/>
              </w:rPr>
            </w:pPr>
            <w:r w:rsidRPr="00D61F2E">
              <w:rPr>
                <w:rFonts w:eastAsia="Calibri" w:cs="Segoe UI"/>
                <w:b/>
                <w:bCs/>
                <w:color w:val="FFFFFF"/>
                <w:sz w:val="18"/>
                <w:szCs w:val="18"/>
              </w:rPr>
              <w:t>2023 R</w:t>
            </w:r>
          </w:p>
        </w:tc>
        <w:tc>
          <w:tcPr>
            <w:tcW w:w="703" w:type="pct"/>
            <w:shd w:val="clear" w:color="auto" w:fill="314364"/>
            <w:vAlign w:val="center"/>
          </w:tcPr>
          <w:p w14:paraId="79A732FD" w14:textId="77777777" w:rsidR="0021192E" w:rsidRPr="00D61F2E" w:rsidRDefault="0021192E" w:rsidP="0019343E">
            <w:pPr>
              <w:spacing w:after="0"/>
              <w:jc w:val="right"/>
              <w:rPr>
                <w:rFonts w:eastAsia="Calibri" w:cs="Segoe UI"/>
                <w:b/>
                <w:bCs/>
                <w:color w:val="FFFFFF"/>
                <w:sz w:val="18"/>
                <w:szCs w:val="18"/>
              </w:rPr>
            </w:pPr>
            <w:r w:rsidRPr="00D61F2E">
              <w:rPr>
                <w:rFonts w:eastAsia="Calibri" w:cs="Segoe UI"/>
                <w:b/>
                <w:bCs/>
                <w:color w:val="FFFFFF"/>
                <w:sz w:val="18"/>
                <w:szCs w:val="18"/>
              </w:rPr>
              <w:t>2023 S</w:t>
            </w:r>
          </w:p>
        </w:tc>
        <w:tc>
          <w:tcPr>
            <w:tcW w:w="625" w:type="pct"/>
            <w:shd w:val="clear" w:color="auto" w:fill="314364"/>
            <w:vAlign w:val="center"/>
          </w:tcPr>
          <w:p w14:paraId="1E5C16E3" w14:textId="77777777" w:rsidR="0021192E" w:rsidRPr="00D61F2E" w:rsidRDefault="0021192E" w:rsidP="0019343E">
            <w:pPr>
              <w:spacing w:after="0"/>
              <w:jc w:val="right"/>
              <w:rPr>
                <w:rFonts w:eastAsia="Calibri" w:cs="Segoe UI"/>
                <w:b/>
                <w:bCs/>
                <w:color w:val="FFFFFF"/>
                <w:sz w:val="18"/>
                <w:szCs w:val="18"/>
              </w:rPr>
            </w:pPr>
            <w:r w:rsidRPr="00D61F2E">
              <w:rPr>
                <w:rFonts w:eastAsia="Calibri" w:cs="Segoe UI"/>
                <w:b/>
                <w:bCs/>
                <w:color w:val="FFFFFF"/>
                <w:sz w:val="18"/>
                <w:szCs w:val="18"/>
              </w:rPr>
              <w:t>23S - 23R</w:t>
            </w:r>
          </w:p>
        </w:tc>
        <w:tc>
          <w:tcPr>
            <w:tcW w:w="389" w:type="pct"/>
            <w:shd w:val="clear" w:color="auto" w:fill="314364"/>
            <w:vAlign w:val="center"/>
          </w:tcPr>
          <w:p w14:paraId="4DE6C96C" w14:textId="77777777" w:rsidR="0021192E" w:rsidRPr="00D61F2E" w:rsidRDefault="0021192E" w:rsidP="0019343E">
            <w:pPr>
              <w:spacing w:after="0"/>
              <w:jc w:val="right"/>
              <w:rPr>
                <w:rFonts w:eastAsia="Calibri" w:cs="Segoe UI"/>
                <w:b/>
                <w:bCs/>
                <w:color w:val="FFFFFF"/>
                <w:sz w:val="18"/>
                <w:szCs w:val="18"/>
              </w:rPr>
            </w:pPr>
            <w:r w:rsidRPr="00D61F2E">
              <w:rPr>
                <w:rFonts w:eastAsia="Calibri" w:cs="Segoe UI"/>
                <w:b/>
                <w:bCs/>
                <w:color w:val="FFFFFF"/>
                <w:sz w:val="18"/>
                <w:szCs w:val="18"/>
              </w:rPr>
              <w:t>YoY</w:t>
            </w:r>
          </w:p>
        </w:tc>
      </w:tr>
      <w:tr w:rsidR="0021192E" w:rsidRPr="000330F1" w14:paraId="0E22EEF6" w14:textId="77777777" w:rsidTr="00DB26F8">
        <w:trPr>
          <w:trHeight w:val="283"/>
          <w:jc w:val="center"/>
        </w:trPr>
        <w:tc>
          <w:tcPr>
            <w:tcW w:w="1875" w:type="pct"/>
            <w:shd w:val="clear" w:color="auto" w:fill="auto"/>
            <w:vAlign w:val="center"/>
          </w:tcPr>
          <w:p w14:paraId="479EDFAB" w14:textId="77777777" w:rsidR="0021192E" w:rsidRPr="00D61F2E" w:rsidRDefault="0021192E" w:rsidP="0019343E">
            <w:pPr>
              <w:spacing w:after="0"/>
              <w:jc w:val="left"/>
              <w:rPr>
                <w:rFonts w:eastAsia="Times New Roman" w:cs="Segoe UI"/>
                <w:b/>
                <w:color w:val="000000"/>
                <w:sz w:val="18"/>
                <w:szCs w:val="18"/>
                <w:lang w:eastAsia="sk-SK"/>
              </w:rPr>
            </w:pPr>
            <w:r w:rsidRPr="00D61F2E">
              <w:rPr>
                <w:rFonts w:eastAsia="Times New Roman" w:cs="Segoe UI"/>
                <w:b/>
                <w:color w:val="000000"/>
                <w:sz w:val="18"/>
                <w:szCs w:val="18"/>
                <w:lang w:eastAsia="sk-SK"/>
              </w:rPr>
              <w:t>Výdavky spolu</w:t>
            </w:r>
          </w:p>
        </w:tc>
        <w:tc>
          <w:tcPr>
            <w:tcW w:w="703" w:type="pct"/>
            <w:shd w:val="clear" w:color="auto" w:fill="auto"/>
            <w:vAlign w:val="center"/>
          </w:tcPr>
          <w:p w14:paraId="16DD8B65" w14:textId="77777777" w:rsidR="0021192E" w:rsidRPr="0030423D" w:rsidRDefault="0021192E" w:rsidP="0019343E">
            <w:pPr>
              <w:spacing w:after="0"/>
              <w:jc w:val="right"/>
              <w:rPr>
                <w:rFonts w:eastAsia="Times New Roman" w:cs="Segoe UI"/>
                <w:b/>
                <w:color w:val="000000"/>
                <w:sz w:val="18"/>
                <w:szCs w:val="18"/>
                <w:lang w:eastAsia="sk-SK"/>
              </w:rPr>
            </w:pPr>
            <w:r w:rsidRPr="0030423D">
              <w:rPr>
                <w:rFonts w:eastAsia="Times New Roman" w:cs="Segoe UI"/>
                <w:b/>
                <w:color w:val="000000"/>
                <w:sz w:val="18"/>
                <w:szCs w:val="18"/>
                <w:lang w:eastAsia="sk-SK"/>
              </w:rPr>
              <w:t>23 554 555</w:t>
            </w:r>
          </w:p>
        </w:tc>
        <w:tc>
          <w:tcPr>
            <w:tcW w:w="704" w:type="pct"/>
            <w:shd w:val="clear" w:color="auto" w:fill="auto"/>
            <w:vAlign w:val="center"/>
          </w:tcPr>
          <w:p w14:paraId="4C3954CB" w14:textId="77777777" w:rsidR="0021192E" w:rsidRPr="0030423D" w:rsidRDefault="0021192E" w:rsidP="0019343E">
            <w:pPr>
              <w:spacing w:after="0"/>
              <w:jc w:val="right"/>
              <w:rPr>
                <w:rFonts w:eastAsia="Times New Roman" w:cs="Segoe UI"/>
                <w:b/>
                <w:color w:val="000000"/>
                <w:sz w:val="18"/>
                <w:szCs w:val="18"/>
                <w:lang w:eastAsia="sk-SK"/>
              </w:rPr>
            </w:pPr>
            <w:r w:rsidRPr="0030423D">
              <w:rPr>
                <w:rFonts w:eastAsia="Times New Roman" w:cs="Segoe UI"/>
                <w:b/>
                <w:color w:val="000000"/>
                <w:sz w:val="18"/>
                <w:szCs w:val="18"/>
                <w:lang w:eastAsia="sk-SK"/>
              </w:rPr>
              <w:t>35 040 556</w:t>
            </w:r>
          </w:p>
        </w:tc>
        <w:tc>
          <w:tcPr>
            <w:tcW w:w="703" w:type="pct"/>
            <w:shd w:val="clear" w:color="auto" w:fill="auto"/>
            <w:vAlign w:val="center"/>
          </w:tcPr>
          <w:p w14:paraId="4E76C4F0" w14:textId="77777777" w:rsidR="0021192E" w:rsidRPr="0030423D" w:rsidRDefault="0021192E" w:rsidP="0019343E">
            <w:pPr>
              <w:spacing w:after="0"/>
              <w:jc w:val="right"/>
              <w:rPr>
                <w:rFonts w:eastAsia="Times New Roman" w:cs="Segoe UI"/>
                <w:b/>
                <w:color w:val="000000"/>
                <w:sz w:val="18"/>
                <w:szCs w:val="18"/>
                <w:lang w:eastAsia="sk-SK"/>
              </w:rPr>
            </w:pPr>
            <w:r w:rsidRPr="0030423D">
              <w:rPr>
                <w:rFonts w:eastAsia="Times New Roman" w:cs="Segoe UI"/>
                <w:b/>
                <w:color w:val="000000"/>
                <w:sz w:val="18"/>
                <w:szCs w:val="18"/>
                <w:lang w:eastAsia="sk-SK"/>
              </w:rPr>
              <w:t>31 363 983</w:t>
            </w:r>
          </w:p>
        </w:tc>
        <w:tc>
          <w:tcPr>
            <w:tcW w:w="625" w:type="pct"/>
            <w:shd w:val="clear" w:color="auto" w:fill="auto"/>
            <w:vAlign w:val="center"/>
          </w:tcPr>
          <w:p w14:paraId="3D6E192F" w14:textId="77777777" w:rsidR="0021192E" w:rsidRPr="0030423D" w:rsidRDefault="0021192E" w:rsidP="0019343E">
            <w:pPr>
              <w:spacing w:after="0"/>
              <w:jc w:val="right"/>
              <w:rPr>
                <w:rFonts w:eastAsia="Times New Roman" w:cs="Segoe UI"/>
                <w:b/>
                <w:color w:val="000000"/>
                <w:sz w:val="18"/>
                <w:szCs w:val="18"/>
                <w:lang w:eastAsia="sk-SK"/>
              </w:rPr>
            </w:pPr>
            <w:r w:rsidRPr="0030423D">
              <w:rPr>
                <w:rFonts w:eastAsia="Times New Roman" w:cs="Segoe UI"/>
                <w:b/>
                <w:color w:val="000000"/>
                <w:sz w:val="18"/>
                <w:szCs w:val="18"/>
                <w:lang w:eastAsia="sk-SK"/>
              </w:rPr>
              <w:t>-3 676 573</w:t>
            </w:r>
          </w:p>
        </w:tc>
        <w:tc>
          <w:tcPr>
            <w:tcW w:w="389" w:type="pct"/>
            <w:shd w:val="clear" w:color="auto" w:fill="auto"/>
            <w:vAlign w:val="center"/>
          </w:tcPr>
          <w:p w14:paraId="43C8EC6D" w14:textId="77777777" w:rsidR="0021192E" w:rsidRPr="00D61F2E" w:rsidRDefault="0021192E" w:rsidP="0019343E">
            <w:pPr>
              <w:spacing w:after="0"/>
              <w:jc w:val="right"/>
              <w:rPr>
                <w:rFonts w:eastAsia="Times New Roman" w:cs="Segoe UI"/>
                <w:b/>
                <w:color w:val="000000"/>
                <w:sz w:val="18"/>
                <w:szCs w:val="18"/>
                <w:lang w:eastAsia="sk-SK"/>
              </w:rPr>
            </w:pPr>
            <w:r w:rsidRPr="00D61F2E">
              <w:rPr>
                <w:rFonts w:eastAsia="Times New Roman" w:cs="Segoe UI"/>
                <w:b/>
                <w:color w:val="000000"/>
                <w:sz w:val="18"/>
                <w:szCs w:val="18"/>
                <w:lang w:eastAsia="sk-SK"/>
              </w:rPr>
              <w:t>133,2</w:t>
            </w:r>
          </w:p>
        </w:tc>
      </w:tr>
      <w:tr w:rsidR="0021192E" w:rsidRPr="000330F1" w14:paraId="2BA5865C" w14:textId="77777777" w:rsidTr="00DB26F8">
        <w:trPr>
          <w:trHeight w:val="283"/>
          <w:jc w:val="center"/>
        </w:trPr>
        <w:tc>
          <w:tcPr>
            <w:tcW w:w="1875" w:type="pct"/>
            <w:vAlign w:val="center"/>
          </w:tcPr>
          <w:p w14:paraId="6D361347" w14:textId="77777777" w:rsidR="0021192E" w:rsidRPr="00D61F2E" w:rsidRDefault="0021192E" w:rsidP="0019343E">
            <w:pPr>
              <w:spacing w:after="0"/>
              <w:jc w:val="left"/>
              <w:rPr>
                <w:rFonts w:eastAsia="Times New Roman" w:cs="Segoe UI"/>
                <w:b/>
                <w:i/>
                <w:color w:val="000000"/>
                <w:sz w:val="18"/>
                <w:szCs w:val="18"/>
                <w:lang w:eastAsia="sk-SK"/>
              </w:rPr>
            </w:pPr>
            <w:r w:rsidRPr="00D61F2E">
              <w:rPr>
                <w:rFonts w:eastAsia="Times New Roman" w:cs="Segoe UI"/>
                <w:b/>
                <w:i/>
                <w:color w:val="000000"/>
                <w:sz w:val="18"/>
                <w:szCs w:val="18"/>
                <w:lang w:eastAsia="sk-SK"/>
              </w:rPr>
              <w:t>Bežné výdavky</w:t>
            </w:r>
          </w:p>
        </w:tc>
        <w:tc>
          <w:tcPr>
            <w:tcW w:w="703" w:type="pct"/>
            <w:shd w:val="clear" w:color="auto" w:fill="auto"/>
            <w:vAlign w:val="center"/>
          </w:tcPr>
          <w:p w14:paraId="4D1E0E51" w14:textId="77777777" w:rsidR="0021192E" w:rsidRPr="0030423D" w:rsidRDefault="0021192E" w:rsidP="0019343E">
            <w:pPr>
              <w:spacing w:after="0"/>
              <w:jc w:val="right"/>
              <w:rPr>
                <w:rFonts w:eastAsia="Times New Roman" w:cs="Segoe UI"/>
                <w:b/>
                <w:i/>
                <w:color w:val="000000"/>
                <w:sz w:val="18"/>
                <w:szCs w:val="18"/>
                <w:lang w:eastAsia="sk-SK"/>
              </w:rPr>
            </w:pPr>
            <w:r w:rsidRPr="0030423D">
              <w:rPr>
                <w:rFonts w:eastAsia="Times New Roman" w:cs="Segoe UI"/>
                <w:b/>
                <w:i/>
                <w:color w:val="000000"/>
                <w:sz w:val="18"/>
                <w:szCs w:val="18"/>
                <w:lang w:eastAsia="sk-SK"/>
              </w:rPr>
              <w:t>20 847 550</w:t>
            </w:r>
          </w:p>
        </w:tc>
        <w:tc>
          <w:tcPr>
            <w:tcW w:w="704" w:type="pct"/>
            <w:shd w:val="clear" w:color="auto" w:fill="auto"/>
            <w:vAlign w:val="center"/>
          </w:tcPr>
          <w:p w14:paraId="15181F7B" w14:textId="77777777" w:rsidR="0021192E" w:rsidRPr="0030423D" w:rsidRDefault="0021192E" w:rsidP="0019343E">
            <w:pPr>
              <w:spacing w:after="0"/>
              <w:jc w:val="right"/>
              <w:rPr>
                <w:rFonts w:eastAsia="Times New Roman" w:cs="Segoe UI"/>
                <w:b/>
                <w:i/>
                <w:color w:val="000000"/>
                <w:sz w:val="18"/>
                <w:szCs w:val="18"/>
                <w:lang w:eastAsia="sk-SK"/>
              </w:rPr>
            </w:pPr>
            <w:r w:rsidRPr="0030423D">
              <w:rPr>
                <w:rFonts w:eastAsia="Times New Roman" w:cs="Segoe UI"/>
                <w:b/>
                <w:i/>
                <w:color w:val="000000"/>
                <w:sz w:val="18"/>
                <w:szCs w:val="18"/>
                <w:lang w:eastAsia="sk-SK"/>
              </w:rPr>
              <w:t>29 094 461</w:t>
            </w:r>
          </w:p>
        </w:tc>
        <w:tc>
          <w:tcPr>
            <w:tcW w:w="703" w:type="pct"/>
            <w:shd w:val="clear" w:color="auto" w:fill="auto"/>
            <w:vAlign w:val="center"/>
          </w:tcPr>
          <w:p w14:paraId="597C744B" w14:textId="77777777" w:rsidR="0021192E" w:rsidRPr="0030423D" w:rsidRDefault="0021192E" w:rsidP="0019343E">
            <w:pPr>
              <w:spacing w:after="0"/>
              <w:jc w:val="right"/>
              <w:rPr>
                <w:rFonts w:eastAsia="Times New Roman" w:cs="Segoe UI"/>
                <w:b/>
                <w:i/>
                <w:color w:val="000000"/>
                <w:sz w:val="18"/>
                <w:szCs w:val="18"/>
                <w:lang w:eastAsia="sk-SK"/>
              </w:rPr>
            </w:pPr>
            <w:r w:rsidRPr="0030423D">
              <w:rPr>
                <w:rFonts w:eastAsia="Times New Roman" w:cs="Segoe UI"/>
                <w:b/>
                <w:i/>
                <w:color w:val="000000"/>
                <w:sz w:val="18"/>
                <w:szCs w:val="18"/>
                <w:lang w:eastAsia="sk-SK"/>
              </w:rPr>
              <w:t>26 649 828</w:t>
            </w:r>
          </w:p>
        </w:tc>
        <w:tc>
          <w:tcPr>
            <w:tcW w:w="625" w:type="pct"/>
            <w:shd w:val="clear" w:color="auto" w:fill="auto"/>
            <w:vAlign w:val="center"/>
          </w:tcPr>
          <w:p w14:paraId="16864D72" w14:textId="77777777" w:rsidR="0021192E" w:rsidRPr="0030423D" w:rsidRDefault="0021192E" w:rsidP="0019343E">
            <w:pPr>
              <w:spacing w:after="0"/>
              <w:jc w:val="right"/>
              <w:rPr>
                <w:rFonts w:eastAsia="Times New Roman" w:cs="Segoe UI"/>
                <w:b/>
                <w:i/>
                <w:color w:val="000000"/>
                <w:sz w:val="18"/>
                <w:szCs w:val="18"/>
                <w:lang w:eastAsia="sk-SK"/>
              </w:rPr>
            </w:pPr>
            <w:r w:rsidRPr="0030423D">
              <w:rPr>
                <w:rFonts w:eastAsia="Times New Roman" w:cs="Segoe UI"/>
                <w:b/>
                <w:i/>
                <w:color w:val="000000"/>
                <w:sz w:val="18"/>
                <w:szCs w:val="18"/>
                <w:lang w:eastAsia="sk-SK"/>
              </w:rPr>
              <w:t>-2 444 633</w:t>
            </w:r>
          </w:p>
        </w:tc>
        <w:tc>
          <w:tcPr>
            <w:tcW w:w="389" w:type="pct"/>
            <w:vAlign w:val="center"/>
          </w:tcPr>
          <w:p w14:paraId="3955CCFB" w14:textId="77777777" w:rsidR="0021192E" w:rsidRPr="00D61F2E" w:rsidRDefault="0021192E" w:rsidP="0019343E">
            <w:pPr>
              <w:spacing w:after="0"/>
              <w:jc w:val="right"/>
              <w:rPr>
                <w:rFonts w:eastAsia="Times New Roman" w:cs="Segoe UI"/>
                <w:b/>
                <w:i/>
                <w:color w:val="000000"/>
                <w:sz w:val="18"/>
                <w:szCs w:val="18"/>
                <w:lang w:eastAsia="sk-SK"/>
              </w:rPr>
            </w:pPr>
            <w:r w:rsidRPr="00D61F2E">
              <w:rPr>
                <w:rFonts w:eastAsia="Times New Roman" w:cs="Segoe UI"/>
                <w:b/>
                <w:i/>
                <w:color w:val="000000"/>
                <w:sz w:val="18"/>
                <w:szCs w:val="18"/>
                <w:lang w:eastAsia="sk-SK"/>
              </w:rPr>
              <w:t>127,8</w:t>
            </w:r>
          </w:p>
        </w:tc>
      </w:tr>
      <w:tr w:rsidR="0021192E" w:rsidRPr="000330F1" w14:paraId="45420141" w14:textId="77777777" w:rsidTr="00DB26F8">
        <w:trPr>
          <w:trHeight w:val="283"/>
          <w:jc w:val="center"/>
        </w:trPr>
        <w:tc>
          <w:tcPr>
            <w:tcW w:w="1875" w:type="pct"/>
            <w:vAlign w:val="center"/>
          </w:tcPr>
          <w:p w14:paraId="082054B6" w14:textId="77777777" w:rsidR="0021192E" w:rsidRPr="00D61F2E" w:rsidRDefault="0021192E" w:rsidP="0019343E">
            <w:pPr>
              <w:spacing w:after="0"/>
              <w:jc w:val="left"/>
              <w:rPr>
                <w:rFonts w:eastAsia="Times New Roman" w:cs="Segoe UI"/>
                <w:color w:val="000000"/>
                <w:sz w:val="18"/>
                <w:szCs w:val="18"/>
                <w:lang w:eastAsia="sk-SK"/>
              </w:rPr>
            </w:pPr>
            <w:r w:rsidRPr="00D61F2E">
              <w:rPr>
                <w:rFonts w:eastAsia="Times New Roman" w:cs="Segoe UI"/>
                <w:color w:val="000000"/>
                <w:sz w:val="18"/>
                <w:szCs w:val="18"/>
                <w:lang w:eastAsia="sk-SK"/>
              </w:rPr>
              <w:t>Mzdy, platy, služobné príjmy a ostatné osobné výdavky</w:t>
            </w:r>
          </w:p>
        </w:tc>
        <w:tc>
          <w:tcPr>
            <w:tcW w:w="703" w:type="pct"/>
            <w:shd w:val="clear" w:color="auto" w:fill="auto"/>
            <w:vAlign w:val="center"/>
          </w:tcPr>
          <w:p w14:paraId="53D6D873" w14:textId="77777777" w:rsidR="0021192E" w:rsidRPr="0030423D" w:rsidRDefault="0021192E" w:rsidP="0019343E">
            <w:pPr>
              <w:spacing w:after="0"/>
              <w:jc w:val="right"/>
              <w:rPr>
                <w:rFonts w:eastAsia="Times New Roman" w:cs="Segoe UI"/>
                <w:color w:val="000000"/>
                <w:sz w:val="18"/>
                <w:szCs w:val="18"/>
                <w:lang w:eastAsia="sk-SK"/>
              </w:rPr>
            </w:pPr>
            <w:r w:rsidRPr="0030423D">
              <w:rPr>
                <w:rFonts w:eastAsia="Times New Roman" w:cs="Segoe UI"/>
                <w:color w:val="000000"/>
                <w:sz w:val="18"/>
                <w:szCs w:val="18"/>
                <w:lang w:eastAsia="sk-SK"/>
              </w:rPr>
              <w:t>2 701 444</w:t>
            </w:r>
          </w:p>
        </w:tc>
        <w:tc>
          <w:tcPr>
            <w:tcW w:w="704" w:type="pct"/>
            <w:shd w:val="clear" w:color="auto" w:fill="auto"/>
            <w:vAlign w:val="center"/>
          </w:tcPr>
          <w:p w14:paraId="743A933C" w14:textId="77777777" w:rsidR="0021192E" w:rsidRPr="0030423D" w:rsidRDefault="0021192E" w:rsidP="0019343E">
            <w:pPr>
              <w:spacing w:after="0"/>
              <w:jc w:val="right"/>
              <w:rPr>
                <w:rFonts w:eastAsia="Times New Roman" w:cs="Segoe UI"/>
                <w:color w:val="000000"/>
                <w:sz w:val="18"/>
                <w:szCs w:val="18"/>
                <w:lang w:eastAsia="sk-SK"/>
              </w:rPr>
            </w:pPr>
            <w:r w:rsidRPr="0030423D">
              <w:rPr>
                <w:rFonts w:eastAsia="Times New Roman" w:cs="Segoe UI"/>
                <w:color w:val="000000"/>
                <w:sz w:val="18"/>
                <w:szCs w:val="18"/>
                <w:lang w:eastAsia="sk-SK"/>
              </w:rPr>
              <w:t>2 949 366</w:t>
            </w:r>
          </w:p>
        </w:tc>
        <w:tc>
          <w:tcPr>
            <w:tcW w:w="703" w:type="pct"/>
            <w:shd w:val="clear" w:color="auto" w:fill="auto"/>
            <w:vAlign w:val="center"/>
          </w:tcPr>
          <w:p w14:paraId="062F4E60" w14:textId="77777777" w:rsidR="0021192E" w:rsidRPr="0030423D" w:rsidRDefault="0021192E" w:rsidP="0019343E">
            <w:pPr>
              <w:spacing w:after="0"/>
              <w:jc w:val="right"/>
              <w:rPr>
                <w:rFonts w:eastAsia="Times New Roman" w:cs="Segoe UI"/>
                <w:color w:val="000000"/>
                <w:sz w:val="18"/>
                <w:szCs w:val="18"/>
                <w:lang w:eastAsia="sk-SK"/>
              </w:rPr>
            </w:pPr>
            <w:r w:rsidRPr="0030423D">
              <w:rPr>
                <w:rFonts w:eastAsia="Times New Roman" w:cs="Segoe UI"/>
                <w:color w:val="000000"/>
                <w:sz w:val="18"/>
                <w:szCs w:val="18"/>
                <w:lang w:eastAsia="sk-SK"/>
              </w:rPr>
              <w:t>3 019 434</w:t>
            </w:r>
          </w:p>
        </w:tc>
        <w:tc>
          <w:tcPr>
            <w:tcW w:w="625" w:type="pct"/>
            <w:shd w:val="clear" w:color="auto" w:fill="auto"/>
            <w:vAlign w:val="center"/>
          </w:tcPr>
          <w:p w14:paraId="5FDE69CD" w14:textId="77777777" w:rsidR="0021192E" w:rsidRPr="0030423D" w:rsidRDefault="0021192E" w:rsidP="0019343E">
            <w:pPr>
              <w:spacing w:after="0"/>
              <w:jc w:val="right"/>
              <w:rPr>
                <w:rFonts w:eastAsia="Times New Roman" w:cs="Segoe UI"/>
                <w:color w:val="000000"/>
                <w:sz w:val="18"/>
                <w:szCs w:val="18"/>
                <w:lang w:eastAsia="sk-SK"/>
              </w:rPr>
            </w:pPr>
            <w:r w:rsidRPr="0030423D">
              <w:rPr>
                <w:rFonts w:eastAsia="Times New Roman" w:cs="Segoe UI"/>
                <w:color w:val="000000"/>
                <w:sz w:val="18"/>
                <w:szCs w:val="18"/>
                <w:lang w:eastAsia="sk-SK"/>
              </w:rPr>
              <w:t>70 068</w:t>
            </w:r>
          </w:p>
        </w:tc>
        <w:tc>
          <w:tcPr>
            <w:tcW w:w="389" w:type="pct"/>
            <w:vAlign w:val="center"/>
          </w:tcPr>
          <w:p w14:paraId="728DCEC3" w14:textId="77777777" w:rsidR="0021192E" w:rsidRPr="00D61F2E" w:rsidRDefault="0021192E" w:rsidP="0019343E">
            <w:pPr>
              <w:spacing w:after="0"/>
              <w:jc w:val="right"/>
              <w:rPr>
                <w:rFonts w:eastAsia="Times New Roman" w:cs="Segoe UI"/>
                <w:color w:val="000000"/>
                <w:sz w:val="18"/>
                <w:szCs w:val="18"/>
                <w:lang w:eastAsia="sk-SK"/>
              </w:rPr>
            </w:pPr>
            <w:r w:rsidRPr="00D61F2E">
              <w:rPr>
                <w:rFonts w:eastAsia="Times New Roman" w:cs="Segoe UI"/>
                <w:color w:val="000000"/>
                <w:sz w:val="18"/>
                <w:szCs w:val="18"/>
                <w:lang w:eastAsia="sk-SK"/>
              </w:rPr>
              <w:t>111,8</w:t>
            </w:r>
          </w:p>
        </w:tc>
      </w:tr>
      <w:tr w:rsidR="0021192E" w:rsidRPr="000330F1" w14:paraId="7FAB7CBA" w14:textId="77777777" w:rsidTr="00DB26F8">
        <w:trPr>
          <w:trHeight w:val="283"/>
          <w:jc w:val="center"/>
        </w:trPr>
        <w:tc>
          <w:tcPr>
            <w:tcW w:w="1875" w:type="pct"/>
            <w:vAlign w:val="center"/>
          </w:tcPr>
          <w:p w14:paraId="1037028B" w14:textId="77777777" w:rsidR="0021192E" w:rsidRPr="00D61F2E" w:rsidRDefault="0021192E" w:rsidP="0019343E">
            <w:pPr>
              <w:spacing w:after="0"/>
              <w:jc w:val="left"/>
              <w:rPr>
                <w:rFonts w:eastAsia="Times New Roman" w:cs="Segoe UI"/>
                <w:color w:val="000000"/>
                <w:sz w:val="18"/>
                <w:szCs w:val="18"/>
                <w:lang w:eastAsia="sk-SK"/>
              </w:rPr>
            </w:pPr>
            <w:r w:rsidRPr="00D61F2E">
              <w:rPr>
                <w:rFonts w:eastAsia="Times New Roman" w:cs="Segoe UI"/>
                <w:color w:val="000000"/>
                <w:sz w:val="18"/>
                <w:szCs w:val="18"/>
                <w:lang w:eastAsia="sk-SK"/>
              </w:rPr>
              <w:t>Poistné a príspevok do poisťovní</w:t>
            </w:r>
          </w:p>
        </w:tc>
        <w:tc>
          <w:tcPr>
            <w:tcW w:w="703" w:type="pct"/>
            <w:shd w:val="clear" w:color="auto" w:fill="auto"/>
            <w:vAlign w:val="center"/>
          </w:tcPr>
          <w:p w14:paraId="45B5E366" w14:textId="77777777" w:rsidR="0021192E" w:rsidRPr="0030423D" w:rsidRDefault="0021192E" w:rsidP="0019343E">
            <w:pPr>
              <w:spacing w:after="0"/>
              <w:jc w:val="right"/>
              <w:rPr>
                <w:rFonts w:eastAsia="Times New Roman" w:cs="Segoe UI"/>
                <w:color w:val="000000"/>
                <w:sz w:val="18"/>
                <w:szCs w:val="18"/>
                <w:lang w:eastAsia="sk-SK"/>
              </w:rPr>
            </w:pPr>
            <w:r w:rsidRPr="0030423D">
              <w:rPr>
                <w:rFonts w:eastAsia="Times New Roman" w:cs="Segoe UI"/>
                <w:color w:val="000000"/>
                <w:sz w:val="18"/>
                <w:szCs w:val="18"/>
                <w:lang w:eastAsia="sk-SK"/>
              </w:rPr>
              <w:t>982 394</w:t>
            </w:r>
          </w:p>
        </w:tc>
        <w:tc>
          <w:tcPr>
            <w:tcW w:w="704" w:type="pct"/>
            <w:shd w:val="clear" w:color="auto" w:fill="auto"/>
            <w:vAlign w:val="center"/>
          </w:tcPr>
          <w:p w14:paraId="6DE187FC" w14:textId="77777777" w:rsidR="0021192E" w:rsidRPr="0030423D" w:rsidRDefault="0021192E" w:rsidP="0019343E">
            <w:pPr>
              <w:spacing w:after="0"/>
              <w:jc w:val="right"/>
              <w:rPr>
                <w:rFonts w:eastAsia="Times New Roman" w:cs="Segoe UI"/>
                <w:color w:val="000000"/>
                <w:sz w:val="18"/>
                <w:szCs w:val="18"/>
                <w:lang w:eastAsia="sk-SK"/>
              </w:rPr>
            </w:pPr>
            <w:r w:rsidRPr="0030423D">
              <w:rPr>
                <w:rFonts w:eastAsia="Times New Roman" w:cs="Segoe UI"/>
                <w:color w:val="000000"/>
                <w:sz w:val="18"/>
                <w:szCs w:val="18"/>
                <w:lang w:eastAsia="sk-SK"/>
              </w:rPr>
              <w:t>1 040 508</w:t>
            </w:r>
          </w:p>
        </w:tc>
        <w:tc>
          <w:tcPr>
            <w:tcW w:w="703" w:type="pct"/>
            <w:shd w:val="clear" w:color="auto" w:fill="auto"/>
            <w:vAlign w:val="center"/>
          </w:tcPr>
          <w:p w14:paraId="002AB6C7" w14:textId="77777777" w:rsidR="0021192E" w:rsidRPr="0030423D" w:rsidRDefault="0021192E" w:rsidP="0019343E">
            <w:pPr>
              <w:spacing w:after="0"/>
              <w:jc w:val="right"/>
              <w:rPr>
                <w:rFonts w:eastAsia="Times New Roman" w:cs="Segoe UI"/>
                <w:color w:val="000000"/>
                <w:sz w:val="18"/>
                <w:szCs w:val="18"/>
                <w:lang w:eastAsia="sk-SK"/>
              </w:rPr>
            </w:pPr>
            <w:r w:rsidRPr="0030423D">
              <w:rPr>
                <w:rFonts w:eastAsia="Times New Roman" w:cs="Segoe UI"/>
                <w:color w:val="000000"/>
                <w:sz w:val="18"/>
                <w:szCs w:val="18"/>
                <w:lang w:eastAsia="sk-SK"/>
              </w:rPr>
              <w:t>1 093 590</w:t>
            </w:r>
          </w:p>
        </w:tc>
        <w:tc>
          <w:tcPr>
            <w:tcW w:w="625" w:type="pct"/>
            <w:shd w:val="clear" w:color="auto" w:fill="auto"/>
            <w:vAlign w:val="center"/>
          </w:tcPr>
          <w:p w14:paraId="01B296E3" w14:textId="77777777" w:rsidR="0021192E" w:rsidRPr="0030423D" w:rsidRDefault="0021192E" w:rsidP="0019343E">
            <w:pPr>
              <w:spacing w:after="0"/>
              <w:jc w:val="right"/>
              <w:rPr>
                <w:rFonts w:eastAsia="Times New Roman" w:cs="Segoe UI"/>
                <w:color w:val="000000"/>
                <w:sz w:val="18"/>
                <w:szCs w:val="18"/>
                <w:lang w:eastAsia="sk-SK"/>
              </w:rPr>
            </w:pPr>
            <w:r w:rsidRPr="0030423D">
              <w:rPr>
                <w:rFonts w:eastAsia="Times New Roman" w:cs="Segoe UI"/>
                <w:color w:val="000000"/>
                <w:sz w:val="18"/>
                <w:szCs w:val="18"/>
                <w:lang w:eastAsia="sk-SK"/>
              </w:rPr>
              <w:t>53 082</w:t>
            </w:r>
          </w:p>
        </w:tc>
        <w:tc>
          <w:tcPr>
            <w:tcW w:w="389" w:type="pct"/>
            <w:vAlign w:val="center"/>
          </w:tcPr>
          <w:p w14:paraId="3B53247C" w14:textId="77777777" w:rsidR="0021192E" w:rsidRPr="00D61F2E" w:rsidRDefault="0021192E" w:rsidP="0019343E">
            <w:pPr>
              <w:spacing w:after="0"/>
              <w:jc w:val="right"/>
              <w:rPr>
                <w:rFonts w:eastAsia="Times New Roman" w:cs="Segoe UI"/>
                <w:color w:val="000000"/>
                <w:sz w:val="18"/>
                <w:szCs w:val="18"/>
                <w:lang w:eastAsia="sk-SK"/>
              </w:rPr>
            </w:pPr>
            <w:r w:rsidRPr="00D61F2E">
              <w:rPr>
                <w:rFonts w:eastAsia="Times New Roman" w:cs="Segoe UI"/>
                <w:color w:val="000000"/>
                <w:sz w:val="18"/>
                <w:szCs w:val="18"/>
                <w:lang w:eastAsia="sk-SK"/>
              </w:rPr>
              <w:t>111,3</w:t>
            </w:r>
          </w:p>
        </w:tc>
      </w:tr>
      <w:tr w:rsidR="0021192E" w:rsidRPr="000330F1" w14:paraId="3E4491C1" w14:textId="77777777" w:rsidTr="00DB26F8">
        <w:trPr>
          <w:trHeight w:val="283"/>
          <w:jc w:val="center"/>
        </w:trPr>
        <w:tc>
          <w:tcPr>
            <w:tcW w:w="1875" w:type="pct"/>
            <w:vAlign w:val="center"/>
          </w:tcPr>
          <w:p w14:paraId="70DCE7B9" w14:textId="77777777" w:rsidR="0021192E" w:rsidRPr="00D61F2E" w:rsidRDefault="0021192E" w:rsidP="0019343E">
            <w:pPr>
              <w:spacing w:after="0"/>
              <w:jc w:val="left"/>
              <w:rPr>
                <w:rFonts w:eastAsia="Times New Roman" w:cs="Segoe UI"/>
                <w:color w:val="000000"/>
                <w:sz w:val="18"/>
                <w:szCs w:val="18"/>
                <w:lang w:eastAsia="sk-SK"/>
              </w:rPr>
            </w:pPr>
            <w:r w:rsidRPr="00D61F2E">
              <w:rPr>
                <w:rFonts w:eastAsia="Times New Roman" w:cs="Segoe UI"/>
                <w:color w:val="000000"/>
                <w:sz w:val="18"/>
                <w:szCs w:val="18"/>
                <w:lang w:eastAsia="sk-SK"/>
              </w:rPr>
              <w:t>Tovary a služby</w:t>
            </w:r>
          </w:p>
        </w:tc>
        <w:tc>
          <w:tcPr>
            <w:tcW w:w="703" w:type="pct"/>
            <w:shd w:val="clear" w:color="auto" w:fill="auto"/>
            <w:vAlign w:val="center"/>
          </w:tcPr>
          <w:p w14:paraId="113D6330" w14:textId="77777777" w:rsidR="0021192E" w:rsidRPr="0030423D" w:rsidRDefault="0021192E" w:rsidP="0019343E">
            <w:pPr>
              <w:spacing w:after="0"/>
              <w:jc w:val="right"/>
              <w:rPr>
                <w:rFonts w:eastAsia="Times New Roman" w:cs="Segoe UI"/>
                <w:color w:val="000000"/>
                <w:sz w:val="18"/>
                <w:szCs w:val="18"/>
                <w:lang w:eastAsia="sk-SK"/>
              </w:rPr>
            </w:pPr>
            <w:r w:rsidRPr="0030423D">
              <w:rPr>
                <w:rFonts w:eastAsia="Times New Roman" w:cs="Segoe UI"/>
                <w:color w:val="000000"/>
                <w:sz w:val="18"/>
                <w:szCs w:val="18"/>
                <w:lang w:eastAsia="sk-SK"/>
              </w:rPr>
              <w:t>2 340 655</w:t>
            </w:r>
          </w:p>
        </w:tc>
        <w:tc>
          <w:tcPr>
            <w:tcW w:w="704" w:type="pct"/>
            <w:shd w:val="clear" w:color="auto" w:fill="auto"/>
            <w:vAlign w:val="center"/>
          </w:tcPr>
          <w:p w14:paraId="7B12E547" w14:textId="77777777" w:rsidR="0021192E" w:rsidRPr="0030423D" w:rsidRDefault="0021192E" w:rsidP="0019343E">
            <w:pPr>
              <w:spacing w:after="0"/>
              <w:jc w:val="right"/>
              <w:rPr>
                <w:rFonts w:eastAsia="Times New Roman" w:cs="Segoe UI"/>
                <w:color w:val="000000"/>
                <w:sz w:val="18"/>
                <w:szCs w:val="18"/>
                <w:lang w:eastAsia="sk-SK"/>
              </w:rPr>
            </w:pPr>
            <w:r w:rsidRPr="0030423D">
              <w:rPr>
                <w:rFonts w:eastAsia="Times New Roman" w:cs="Segoe UI"/>
                <w:color w:val="000000"/>
                <w:sz w:val="18"/>
                <w:szCs w:val="18"/>
                <w:lang w:eastAsia="sk-SK"/>
              </w:rPr>
              <w:t>9 407 561</w:t>
            </w:r>
          </w:p>
        </w:tc>
        <w:tc>
          <w:tcPr>
            <w:tcW w:w="703" w:type="pct"/>
            <w:shd w:val="clear" w:color="auto" w:fill="auto"/>
            <w:vAlign w:val="center"/>
          </w:tcPr>
          <w:p w14:paraId="1EF2C184" w14:textId="77777777" w:rsidR="0021192E" w:rsidRPr="0030423D" w:rsidRDefault="0021192E" w:rsidP="0019343E">
            <w:pPr>
              <w:spacing w:after="0"/>
              <w:jc w:val="right"/>
              <w:rPr>
                <w:rFonts w:eastAsia="Times New Roman" w:cs="Segoe UI"/>
                <w:color w:val="000000"/>
                <w:sz w:val="18"/>
                <w:szCs w:val="18"/>
                <w:lang w:eastAsia="sk-SK"/>
              </w:rPr>
            </w:pPr>
            <w:r w:rsidRPr="0030423D">
              <w:rPr>
                <w:rFonts w:eastAsia="Times New Roman" w:cs="Segoe UI"/>
                <w:color w:val="000000"/>
                <w:sz w:val="18"/>
                <w:szCs w:val="18"/>
                <w:lang w:eastAsia="sk-SK"/>
              </w:rPr>
              <w:t>2 490 382</w:t>
            </w:r>
          </w:p>
        </w:tc>
        <w:tc>
          <w:tcPr>
            <w:tcW w:w="625" w:type="pct"/>
            <w:shd w:val="clear" w:color="auto" w:fill="auto"/>
            <w:vAlign w:val="center"/>
          </w:tcPr>
          <w:p w14:paraId="61F6AE02" w14:textId="77777777" w:rsidR="0021192E" w:rsidRPr="0030423D" w:rsidRDefault="0021192E" w:rsidP="0019343E">
            <w:pPr>
              <w:spacing w:after="0"/>
              <w:jc w:val="right"/>
              <w:rPr>
                <w:rFonts w:eastAsia="Times New Roman" w:cs="Segoe UI"/>
                <w:color w:val="000000"/>
                <w:sz w:val="18"/>
                <w:szCs w:val="18"/>
                <w:lang w:eastAsia="sk-SK"/>
              </w:rPr>
            </w:pPr>
            <w:r w:rsidRPr="0030423D">
              <w:rPr>
                <w:rFonts w:eastAsia="Times New Roman" w:cs="Segoe UI"/>
                <w:color w:val="000000"/>
                <w:sz w:val="18"/>
                <w:szCs w:val="18"/>
                <w:lang w:eastAsia="sk-SK"/>
              </w:rPr>
              <w:t>-6 917 179</w:t>
            </w:r>
          </w:p>
        </w:tc>
        <w:tc>
          <w:tcPr>
            <w:tcW w:w="389" w:type="pct"/>
            <w:vAlign w:val="center"/>
          </w:tcPr>
          <w:p w14:paraId="4F7E6063" w14:textId="77777777" w:rsidR="0021192E" w:rsidRPr="00D61F2E" w:rsidRDefault="0021192E" w:rsidP="0019343E">
            <w:pPr>
              <w:spacing w:after="0"/>
              <w:jc w:val="right"/>
              <w:rPr>
                <w:rFonts w:eastAsia="Times New Roman" w:cs="Segoe UI"/>
                <w:color w:val="000000"/>
                <w:sz w:val="18"/>
                <w:szCs w:val="18"/>
                <w:lang w:eastAsia="sk-SK"/>
              </w:rPr>
            </w:pPr>
            <w:r w:rsidRPr="00D61F2E">
              <w:rPr>
                <w:rFonts w:eastAsia="Times New Roman" w:cs="Segoe UI"/>
                <w:color w:val="000000"/>
                <w:sz w:val="18"/>
                <w:szCs w:val="18"/>
                <w:lang w:eastAsia="sk-SK"/>
              </w:rPr>
              <w:t>106,4</w:t>
            </w:r>
          </w:p>
        </w:tc>
      </w:tr>
      <w:tr w:rsidR="0021192E" w:rsidRPr="000330F1" w14:paraId="5A8C5BB9" w14:textId="77777777" w:rsidTr="00DB26F8">
        <w:trPr>
          <w:trHeight w:val="283"/>
          <w:jc w:val="center"/>
        </w:trPr>
        <w:tc>
          <w:tcPr>
            <w:tcW w:w="1875" w:type="pct"/>
            <w:vAlign w:val="center"/>
          </w:tcPr>
          <w:p w14:paraId="67986025" w14:textId="77777777" w:rsidR="0021192E" w:rsidRPr="00D61F2E" w:rsidRDefault="0021192E" w:rsidP="0019343E">
            <w:pPr>
              <w:spacing w:after="0"/>
              <w:jc w:val="left"/>
              <w:rPr>
                <w:rFonts w:eastAsia="Times New Roman" w:cs="Segoe UI"/>
                <w:color w:val="000000"/>
                <w:sz w:val="18"/>
                <w:szCs w:val="18"/>
                <w:lang w:eastAsia="sk-SK"/>
              </w:rPr>
            </w:pPr>
            <w:r w:rsidRPr="00D61F2E">
              <w:rPr>
                <w:rFonts w:eastAsia="Times New Roman" w:cs="Segoe UI"/>
                <w:color w:val="000000"/>
                <w:sz w:val="18"/>
                <w:szCs w:val="18"/>
                <w:lang w:eastAsia="sk-SK"/>
              </w:rPr>
              <w:t>Bežné transfery</w:t>
            </w:r>
          </w:p>
        </w:tc>
        <w:tc>
          <w:tcPr>
            <w:tcW w:w="703" w:type="pct"/>
            <w:shd w:val="clear" w:color="auto" w:fill="auto"/>
            <w:vAlign w:val="center"/>
          </w:tcPr>
          <w:p w14:paraId="22671FE6" w14:textId="77777777" w:rsidR="0021192E" w:rsidRPr="0030423D" w:rsidRDefault="0021192E" w:rsidP="0019343E">
            <w:pPr>
              <w:spacing w:after="0"/>
              <w:jc w:val="right"/>
              <w:rPr>
                <w:rFonts w:eastAsia="Times New Roman" w:cs="Segoe UI"/>
                <w:color w:val="000000"/>
                <w:sz w:val="18"/>
                <w:szCs w:val="18"/>
                <w:lang w:eastAsia="sk-SK"/>
              </w:rPr>
            </w:pPr>
            <w:r w:rsidRPr="0030423D">
              <w:rPr>
                <w:rFonts w:eastAsia="Times New Roman" w:cs="Segoe UI"/>
                <w:color w:val="000000"/>
                <w:sz w:val="18"/>
                <w:szCs w:val="18"/>
                <w:lang w:eastAsia="sk-SK"/>
              </w:rPr>
              <w:t>14 822 787</w:t>
            </w:r>
          </w:p>
        </w:tc>
        <w:tc>
          <w:tcPr>
            <w:tcW w:w="704" w:type="pct"/>
            <w:shd w:val="clear" w:color="auto" w:fill="auto"/>
            <w:vAlign w:val="center"/>
          </w:tcPr>
          <w:p w14:paraId="693F7778" w14:textId="77777777" w:rsidR="0021192E" w:rsidRPr="0030423D" w:rsidRDefault="0021192E" w:rsidP="0019343E">
            <w:pPr>
              <w:spacing w:after="0"/>
              <w:jc w:val="right"/>
              <w:rPr>
                <w:rFonts w:eastAsia="Times New Roman" w:cs="Segoe UI"/>
                <w:color w:val="000000"/>
                <w:sz w:val="18"/>
                <w:szCs w:val="18"/>
                <w:lang w:eastAsia="sk-SK"/>
              </w:rPr>
            </w:pPr>
            <w:r w:rsidRPr="0030423D">
              <w:rPr>
                <w:rFonts w:eastAsia="Times New Roman" w:cs="Segoe UI"/>
                <w:color w:val="000000"/>
                <w:sz w:val="18"/>
                <w:szCs w:val="18"/>
                <w:lang w:eastAsia="sk-SK"/>
              </w:rPr>
              <w:t>15 696 756</w:t>
            </w:r>
          </w:p>
        </w:tc>
        <w:tc>
          <w:tcPr>
            <w:tcW w:w="703" w:type="pct"/>
            <w:shd w:val="clear" w:color="auto" w:fill="auto"/>
            <w:vAlign w:val="center"/>
          </w:tcPr>
          <w:p w14:paraId="42D72A48" w14:textId="77777777" w:rsidR="0021192E" w:rsidRPr="0030423D" w:rsidRDefault="0021192E" w:rsidP="0019343E">
            <w:pPr>
              <w:spacing w:after="0"/>
              <w:jc w:val="right"/>
              <w:rPr>
                <w:rFonts w:eastAsia="Times New Roman" w:cs="Segoe UI"/>
                <w:color w:val="000000"/>
                <w:sz w:val="18"/>
                <w:szCs w:val="18"/>
                <w:lang w:eastAsia="sk-SK"/>
              </w:rPr>
            </w:pPr>
            <w:r w:rsidRPr="0030423D">
              <w:rPr>
                <w:rFonts w:eastAsia="Times New Roman" w:cs="Segoe UI"/>
                <w:color w:val="000000"/>
                <w:sz w:val="18"/>
                <w:szCs w:val="18"/>
                <w:lang w:eastAsia="sk-SK"/>
              </w:rPr>
              <w:t>20 046 164</w:t>
            </w:r>
          </w:p>
        </w:tc>
        <w:tc>
          <w:tcPr>
            <w:tcW w:w="625" w:type="pct"/>
            <w:shd w:val="clear" w:color="auto" w:fill="auto"/>
            <w:vAlign w:val="center"/>
          </w:tcPr>
          <w:p w14:paraId="537DF761" w14:textId="77777777" w:rsidR="0021192E" w:rsidRPr="0030423D" w:rsidRDefault="0021192E" w:rsidP="0019343E">
            <w:pPr>
              <w:spacing w:after="0"/>
              <w:jc w:val="right"/>
              <w:rPr>
                <w:rFonts w:eastAsia="Times New Roman" w:cs="Segoe UI"/>
                <w:color w:val="000000"/>
                <w:sz w:val="18"/>
                <w:szCs w:val="18"/>
                <w:lang w:eastAsia="sk-SK"/>
              </w:rPr>
            </w:pPr>
            <w:r w:rsidRPr="0030423D">
              <w:rPr>
                <w:rFonts w:eastAsia="Times New Roman" w:cs="Segoe UI"/>
                <w:color w:val="000000"/>
                <w:sz w:val="18"/>
                <w:szCs w:val="18"/>
                <w:lang w:eastAsia="sk-SK"/>
              </w:rPr>
              <w:t>4 349 408</w:t>
            </w:r>
          </w:p>
        </w:tc>
        <w:tc>
          <w:tcPr>
            <w:tcW w:w="389" w:type="pct"/>
            <w:vAlign w:val="center"/>
          </w:tcPr>
          <w:p w14:paraId="22881B4F" w14:textId="77777777" w:rsidR="0021192E" w:rsidRPr="00D61F2E" w:rsidRDefault="0021192E" w:rsidP="0019343E">
            <w:pPr>
              <w:spacing w:after="0"/>
              <w:jc w:val="right"/>
              <w:rPr>
                <w:rFonts w:eastAsia="Times New Roman" w:cs="Segoe UI"/>
                <w:color w:val="000000"/>
                <w:sz w:val="18"/>
                <w:szCs w:val="18"/>
                <w:lang w:eastAsia="sk-SK"/>
              </w:rPr>
            </w:pPr>
            <w:r w:rsidRPr="00D61F2E">
              <w:rPr>
                <w:rFonts w:eastAsia="Times New Roman" w:cs="Segoe UI"/>
                <w:color w:val="000000"/>
                <w:sz w:val="18"/>
                <w:szCs w:val="18"/>
                <w:lang w:eastAsia="sk-SK"/>
              </w:rPr>
              <w:t>135,2</w:t>
            </w:r>
          </w:p>
        </w:tc>
      </w:tr>
      <w:tr w:rsidR="0021192E" w:rsidRPr="000330F1" w14:paraId="7B8856D9" w14:textId="77777777" w:rsidTr="00DB26F8">
        <w:trPr>
          <w:trHeight w:val="283"/>
          <w:jc w:val="center"/>
        </w:trPr>
        <w:tc>
          <w:tcPr>
            <w:tcW w:w="1875" w:type="pct"/>
            <w:vAlign w:val="center"/>
          </w:tcPr>
          <w:p w14:paraId="55A7A09F" w14:textId="4BB73107" w:rsidR="0021192E" w:rsidRPr="00D61F2E" w:rsidRDefault="0021192E" w:rsidP="0019343E">
            <w:pPr>
              <w:spacing w:after="0"/>
              <w:jc w:val="left"/>
              <w:rPr>
                <w:rFonts w:eastAsia="Times New Roman" w:cs="Segoe UI"/>
                <w:color w:val="000000"/>
                <w:sz w:val="18"/>
                <w:szCs w:val="18"/>
                <w:lang w:eastAsia="sk-SK"/>
              </w:rPr>
            </w:pPr>
            <w:r w:rsidRPr="00D61F2E">
              <w:rPr>
                <w:rFonts w:eastAsia="Times New Roman" w:cs="Segoe UI"/>
                <w:color w:val="000000"/>
                <w:sz w:val="18"/>
                <w:szCs w:val="18"/>
                <w:lang w:eastAsia="sk-SK"/>
              </w:rPr>
              <w:t>Splácanie úrokov a ostatné platby súvisiace s</w:t>
            </w:r>
            <w:r>
              <w:rPr>
                <w:rFonts w:eastAsia="Times New Roman" w:cs="Segoe UI"/>
                <w:color w:val="000000"/>
                <w:sz w:val="18"/>
                <w:szCs w:val="18"/>
                <w:lang w:eastAsia="sk-SK"/>
              </w:rPr>
              <w:t> </w:t>
            </w:r>
            <w:r w:rsidRPr="00D61F2E">
              <w:rPr>
                <w:rFonts w:eastAsia="Times New Roman" w:cs="Segoe UI"/>
                <w:color w:val="000000"/>
                <w:sz w:val="18"/>
                <w:szCs w:val="18"/>
                <w:lang w:eastAsia="sk-SK"/>
              </w:rPr>
              <w:t>úvermi</w:t>
            </w:r>
          </w:p>
        </w:tc>
        <w:tc>
          <w:tcPr>
            <w:tcW w:w="703" w:type="pct"/>
            <w:shd w:val="clear" w:color="auto" w:fill="auto"/>
            <w:vAlign w:val="center"/>
          </w:tcPr>
          <w:p w14:paraId="4CCFC85F" w14:textId="77777777" w:rsidR="0021192E" w:rsidRPr="0030423D" w:rsidRDefault="0021192E" w:rsidP="0019343E">
            <w:pPr>
              <w:spacing w:after="0"/>
              <w:jc w:val="right"/>
              <w:rPr>
                <w:rFonts w:eastAsia="Times New Roman" w:cs="Segoe UI"/>
                <w:color w:val="000000"/>
                <w:sz w:val="18"/>
                <w:szCs w:val="18"/>
                <w:lang w:eastAsia="sk-SK"/>
              </w:rPr>
            </w:pPr>
            <w:r w:rsidRPr="0030423D">
              <w:rPr>
                <w:rFonts w:eastAsia="Times New Roman" w:cs="Segoe UI"/>
                <w:color w:val="000000"/>
                <w:sz w:val="18"/>
                <w:szCs w:val="18"/>
                <w:lang w:eastAsia="sk-SK"/>
              </w:rPr>
              <w:t>270</w:t>
            </w:r>
          </w:p>
        </w:tc>
        <w:tc>
          <w:tcPr>
            <w:tcW w:w="704" w:type="pct"/>
            <w:shd w:val="clear" w:color="auto" w:fill="auto"/>
            <w:vAlign w:val="center"/>
          </w:tcPr>
          <w:p w14:paraId="5A46D1FB" w14:textId="77777777" w:rsidR="0021192E" w:rsidRPr="0030423D" w:rsidRDefault="0021192E" w:rsidP="0019343E">
            <w:pPr>
              <w:spacing w:after="0"/>
              <w:jc w:val="right"/>
              <w:rPr>
                <w:rFonts w:eastAsia="Times New Roman" w:cs="Segoe UI"/>
                <w:color w:val="000000"/>
                <w:sz w:val="18"/>
                <w:szCs w:val="18"/>
                <w:lang w:eastAsia="sk-SK"/>
              </w:rPr>
            </w:pPr>
            <w:r w:rsidRPr="0030423D">
              <w:rPr>
                <w:rFonts w:eastAsia="Times New Roman" w:cs="Segoe UI"/>
                <w:color w:val="000000"/>
                <w:sz w:val="18"/>
                <w:szCs w:val="18"/>
                <w:lang w:eastAsia="sk-SK"/>
              </w:rPr>
              <w:t>270</w:t>
            </w:r>
          </w:p>
        </w:tc>
        <w:tc>
          <w:tcPr>
            <w:tcW w:w="703" w:type="pct"/>
            <w:shd w:val="clear" w:color="auto" w:fill="auto"/>
            <w:vAlign w:val="center"/>
          </w:tcPr>
          <w:p w14:paraId="69F2727B" w14:textId="77777777" w:rsidR="0021192E" w:rsidRPr="0030423D" w:rsidRDefault="0021192E" w:rsidP="0019343E">
            <w:pPr>
              <w:spacing w:after="0"/>
              <w:jc w:val="right"/>
              <w:rPr>
                <w:rFonts w:eastAsia="Times New Roman" w:cs="Segoe UI"/>
                <w:color w:val="000000"/>
                <w:sz w:val="18"/>
                <w:szCs w:val="18"/>
                <w:lang w:eastAsia="sk-SK"/>
              </w:rPr>
            </w:pPr>
            <w:r w:rsidRPr="0030423D">
              <w:rPr>
                <w:rFonts w:eastAsia="Times New Roman" w:cs="Segoe UI"/>
                <w:color w:val="000000"/>
                <w:sz w:val="18"/>
                <w:szCs w:val="18"/>
                <w:lang w:eastAsia="sk-SK"/>
              </w:rPr>
              <w:t>258</w:t>
            </w:r>
          </w:p>
        </w:tc>
        <w:tc>
          <w:tcPr>
            <w:tcW w:w="625" w:type="pct"/>
            <w:shd w:val="clear" w:color="auto" w:fill="auto"/>
            <w:vAlign w:val="center"/>
          </w:tcPr>
          <w:p w14:paraId="151ED2E5" w14:textId="77777777" w:rsidR="0021192E" w:rsidRPr="0030423D" w:rsidRDefault="0021192E" w:rsidP="0019343E">
            <w:pPr>
              <w:spacing w:after="0"/>
              <w:jc w:val="right"/>
              <w:rPr>
                <w:rFonts w:eastAsia="Times New Roman" w:cs="Segoe UI"/>
                <w:color w:val="000000"/>
                <w:sz w:val="18"/>
                <w:szCs w:val="18"/>
                <w:lang w:eastAsia="sk-SK"/>
              </w:rPr>
            </w:pPr>
            <w:r w:rsidRPr="0030423D">
              <w:rPr>
                <w:rFonts w:eastAsia="Times New Roman" w:cs="Segoe UI"/>
                <w:color w:val="000000"/>
                <w:sz w:val="18"/>
                <w:szCs w:val="18"/>
                <w:lang w:eastAsia="sk-SK"/>
              </w:rPr>
              <w:t>-12</w:t>
            </w:r>
          </w:p>
        </w:tc>
        <w:tc>
          <w:tcPr>
            <w:tcW w:w="389" w:type="pct"/>
            <w:vAlign w:val="center"/>
          </w:tcPr>
          <w:p w14:paraId="5A8D587B" w14:textId="77777777" w:rsidR="0021192E" w:rsidRPr="00D61F2E" w:rsidRDefault="0021192E" w:rsidP="0019343E">
            <w:pPr>
              <w:spacing w:after="0"/>
              <w:jc w:val="right"/>
              <w:rPr>
                <w:rFonts w:eastAsia="Times New Roman" w:cs="Segoe UI"/>
                <w:color w:val="000000"/>
                <w:sz w:val="18"/>
                <w:szCs w:val="18"/>
                <w:lang w:eastAsia="sk-SK"/>
              </w:rPr>
            </w:pPr>
            <w:r w:rsidRPr="00D61F2E">
              <w:rPr>
                <w:rFonts w:eastAsia="Times New Roman" w:cs="Segoe UI"/>
                <w:color w:val="000000"/>
                <w:sz w:val="18"/>
                <w:szCs w:val="18"/>
                <w:lang w:eastAsia="sk-SK"/>
              </w:rPr>
              <w:t>95,56</w:t>
            </w:r>
          </w:p>
        </w:tc>
      </w:tr>
      <w:tr w:rsidR="0021192E" w:rsidRPr="000330F1" w14:paraId="1D3238A8" w14:textId="77777777" w:rsidTr="00DB26F8">
        <w:trPr>
          <w:trHeight w:val="283"/>
          <w:jc w:val="center"/>
        </w:trPr>
        <w:tc>
          <w:tcPr>
            <w:tcW w:w="1875" w:type="pct"/>
            <w:vAlign w:val="center"/>
          </w:tcPr>
          <w:p w14:paraId="3878BFD0" w14:textId="77777777" w:rsidR="0021192E" w:rsidRPr="00D61F2E" w:rsidRDefault="0021192E" w:rsidP="0019343E">
            <w:pPr>
              <w:spacing w:after="0"/>
              <w:jc w:val="left"/>
              <w:rPr>
                <w:rFonts w:eastAsia="Times New Roman" w:cs="Segoe UI"/>
                <w:b/>
                <w:i/>
                <w:color w:val="000000"/>
                <w:sz w:val="18"/>
                <w:szCs w:val="18"/>
                <w:lang w:eastAsia="sk-SK"/>
              </w:rPr>
            </w:pPr>
            <w:r w:rsidRPr="00D61F2E">
              <w:rPr>
                <w:rFonts w:eastAsia="Times New Roman" w:cs="Segoe UI"/>
                <w:b/>
                <w:i/>
                <w:color w:val="000000"/>
                <w:sz w:val="18"/>
                <w:szCs w:val="18"/>
                <w:lang w:eastAsia="sk-SK"/>
              </w:rPr>
              <w:t>Kapitálové výdavky</w:t>
            </w:r>
          </w:p>
        </w:tc>
        <w:tc>
          <w:tcPr>
            <w:tcW w:w="703" w:type="pct"/>
            <w:shd w:val="clear" w:color="auto" w:fill="auto"/>
            <w:vAlign w:val="center"/>
          </w:tcPr>
          <w:p w14:paraId="7F868AA3" w14:textId="77777777" w:rsidR="0021192E" w:rsidRPr="0030423D" w:rsidRDefault="0021192E" w:rsidP="0019343E">
            <w:pPr>
              <w:spacing w:after="0"/>
              <w:jc w:val="right"/>
              <w:rPr>
                <w:rFonts w:eastAsia="Times New Roman" w:cs="Segoe UI"/>
                <w:b/>
                <w:i/>
                <w:color w:val="000000"/>
                <w:sz w:val="18"/>
                <w:szCs w:val="18"/>
                <w:lang w:eastAsia="sk-SK"/>
              </w:rPr>
            </w:pPr>
            <w:r w:rsidRPr="0030423D">
              <w:rPr>
                <w:rFonts w:eastAsia="Times New Roman" w:cs="Segoe UI"/>
                <w:b/>
                <w:i/>
                <w:color w:val="000000"/>
                <w:sz w:val="18"/>
                <w:szCs w:val="18"/>
                <w:lang w:eastAsia="sk-SK"/>
              </w:rPr>
              <w:t>2 707 005</w:t>
            </w:r>
          </w:p>
        </w:tc>
        <w:tc>
          <w:tcPr>
            <w:tcW w:w="704" w:type="pct"/>
            <w:shd w:val="clear" w:color="auto" w:fill="auto"/>
            <w:vAlign w:val="center"/>
          </w:tcPr>
          <w:p w14:paraId="67819A0E" w14:textId="77777777" w:rsidR="0021192E" w:rsidRPr="0030423D" w:rsidRDefault="0021192E" w:rsidP="0019343E">
            <w:pPr>
              <w:spacing w:after="0"/>
              <w:jc w:val="right"/>
              <w:rPr>
                <w:rFonts w:eastAsia="Times New Roman" w:cs="Segoe UI"/>
                <w:b/>
                <w:i/>
                <w:color w:val="000000"/>
                <w:sz w:val="18"/>
                <w:szCs w:val="18"/>
                <w:lang w:eastAsia="sk-SK"/>
              </w:rPr>
            </w:pPr>
            <w:r w:rsidRPr="0030423D">
              <w:rPr>
                <w:rFonts w:eastAsia="Times New Roman" w:cs="Segoe UI"/>
                <w:b/>
                <w:i/>
                <w:color w:val="000000"/>
                <w:sz w:val="18"/>
                <w:szCs w:val="18"/>
                <w:lang w:eastAsia="sk-SK"/>
              </w:rPr>
              <w:t>5 946 095</w:t>
            </w:r>
          </w:p>
        </w:tc>
        <w:tc>
          <w:tcPr>
            <w:tcW w:w="703" w:type="pct"/>
            <w:shd w:val="clear" w:color="auto" w:fill="auto"/>
            <w:vAlign w:val="center"/>
          </w:tcPr>
          <w:p w14:paraId="71FFFB40" w14:textId="77777777" w:rsidR="0021192E" w:rsidRPr="0030423D" w:rsidRDefault="0021192E" w:rsidP="0019343E">
            <w:pPr>
              <w:spacing w:after="0"/>
              <w:jc w:val="right"/>
              <w:rPr>
                <w:rFonts w:eastAsia="Times New Roman" w:cs="Segoe UI"/>
                <w:b/>
                <w:i/>
                <w:color w:val="000000"/>
                <w:sz w:val="18"/>
                <w:szCs w:val="18"/>
                <w:lang w:eastAsia="sk-SK"/>
              </w:rPr>
            </w:pPr>
            <w:r w:rsidRPr="0030423D">
              <w:rPr>
                <w:rFonts w:eastAsia="Times New Roman" w:cs="Segoe UI"/>
                <w:b/>
                <w:i/>
                <w:color w:val="000000"/>
                <w:sz w:val="18"/>
                <w:szCs w:val="18"/>
                <w:lang w:eastAsia="sk-SK"/>
              </w:rPr>
              <w:t>4 714 155</w:t>
            </w:r>
          </w:p>
        </w:tc>
        <w:tc>
          <w:tcPr>
            <w:tcW w:w="625" w:type="pct"/>
            <w:shd w:val="clear" w:color="auto" w:fill="auto"/>
            <w:vAlign w:val="center"/>
          </w:tcPr>
          <w:p w14:paraId="0456C33C" w14:textId="77777777" w:rsidR="0021192E" w:rsidRPr="0030423D" w:rsidRDefault="0021192E" w:rsidP="0019343E">
            <w:pPr>
              <w:spacing w:after="0"/>
              <w:jc w:val="right"/>
              <w:rPr>
                <w:rFonts w:eastAsia="Times New Roman" w:cs="Segoe UI"/>
                <w:b/>
                <w:i/>
                <w:color w:val="000000"/>
                <w:sz w:val="18"/>
                <w:szCs w:val="18"/>
                <w:lang w:eastAsia="sk-SK"/>
              </w:rPr>
            </w:pPr>
            <w:r w:rsidRPr="0030423D">
              <w:rPr>
                <w:rFonts w:eastAsia="Times New Roman" w:cs="Segoe UI"/>
                <w:b/>
                <w:i/>
                <w:color w:val="000000"/>
                <w:sz w:val="18"/>
                <w:szCs w:val="18"/>
                <w:lang w:eastAsia="sk-SK"/>
              </w:rPr>
              <w:t>-1 231 940</w:t>
            </w:r>
          </w:p>
        </w:tc>
        <w:tc>
          <w:tcPr>
            <w:tcW w:w="389" w:type="pct"/>
            <w:vAlign w:val="center"/>
          </w:tcPr>
          <w:p w14:paraId="0F8C8760" w14:textId="77777777" w:rsidR="0021192E" w:rsidRPr="00D61F2E" w:rsidRDefault="0021192E" w:rsidP="0019343E">
            <w:pPr>
              <w:spacing w:after="0"/>
              <w:jc w:val="right"/>
              <w:rPr>
                <w:rFonts w:eastAsia="Times New Roman" w:cs="Segoe UI"/>
                <w:b/>
                <w:i/>
                <w:color w:val="000000"/>
                <w:sz w:val="18"/>
                <w:szCs w:val="18"/>
                <w:lang w:eastAsia="sk-SK"/>
              </w:rPr>
            </w:pPr>
            <w:r w:rsidRPr="00D61F2E">
              <w:rPr>
                <w:rFonts w:eastAsia="Times New Roman" w:cs="Segoe UI"/>
                <w:b/>
                <w:i/>
                <w:color w:val="000000"/>
                <w:sz w:val="18"/>
                <w:szCs w:val="18"/>
                <w:lang w:eastAsia="sk-SK"/>
              </w:rPr>
              <w:t>174,1</w:t>
            </w:r>
          </w:p>
        </w:tc>
      </w:tr>
      <w:tr w:rsidR="0021192E" w:rsidRPr="000330F1" w14:paraId="1C21430B" w14:textId="77777777" w:rsidTr="00DB26F8">
        <w:trPr>
          <w:trHeight w:val="283"/>
          <w:jc w:val="center"/>
        </w:trPr>
        <w:tc>
          <w:tcPr>
            <w:tcW w:w="1875" w:type="pct"/>
            <w:vAlign w:val="center"/>
          </w:tcPr>
          <w:p w14:paraId="2AB44326" w14:textId="77777777" w:rsidR="0021192E" w:rsidRPr="00D61F2E" w:rsidRDefault="0021192E" w:rsidP="0019343E">
            <w:pPr>
              <w:spacing w:after="0"/>
              <w:ind w:right="-108"/>
              <w:jc w:val="left"/>
              <w:rPr>
                <w:rFonts w:eastAsia="Times New Roman" w:cs="Segoe UI"/>
                <w:color w:val="000000"/>
                <w:sz w:val="18"/>
                <w:szCs w:val="18"/>
                <w:lang w:eastAsia="sk-SK"/>
              </w:rPr>
            </w:pPr>
            <w:r w:rsidRPr="00D61F2E">
              <w:rPr>
                <w:rFonts w:eastAsia="Times New Roman" w:cs="Segoe UI"/>
                <w:color w:val="000000"/>
                <w:sz w:val="18"/>
                <w:szCs w:val="18"/>
                <w:lang w:eastAsia="sk-SK"/>
              </w:rPr>
              <w:t>Obstarávanie kapitál. aktív</w:t>
            </w:r>
          </w:p>
        </w:tc>
        <w:tc>
          <w:tcPr>
            <w:tcW w:w="703" w:type="pct"/>
            <w:shd w:val="clear" w:color="auto" w:fill="auto"/>
            <w:vAlign w:val="center"/>
          </w:tcPr>
          <w:p w14:paraId="4919A16B" w14:textId="77777777" w:rsidR="0021192E" w:rsidRPr="0030423D" w:rsidRDefault="0021192E" w:rsidP="0019343E">
            <w:pPr>
              <w:spacing w:after="0"/>
              <w:jc w:val="right"/>
              <w:rPr>
                <w:rFonts w:eastAsia="Times New Roman" w:cs="Segoe UI"/>
                <w:color w:val="000000"/>
                <w:sz w:val="18"/>
                <w:szCs w:val="18"/>
                <w:lang w:eastAsia="sk-SK"/>
              </w:rPr>
            </w:pPr>
            <w:r w:rsidRPr="0030423D">
              <w:rPr>
                <w:rFonts w:eastAsia="Times New Roman" w:cs="Segoe UI"/>
                <w:color w:val="000000"/>
                <w:sz w:val="18"/>
                <w:szCs w:val="18"/>
                <w:lang w:eastAsia="sk-SK"/>
              </w:rPr>
              <w:t>1 183 010</w:t>
            </w:r>
          </w:p>
        </w:tc>
        <w:tc>
          <w:tcPr>
            <w:tcW w:w="704" w:type="pct"/>
            <w:shd w:val="clear" w:color="auto" w:fill="auto"/>
            <w:vAlign w:val="center"/>
          </w:tcPr>
          <w:p w14:paraId="775262EE" w14:textId="77777777" w:rsidR="0021192E" w:rsidRPr="0030423D" w:rsidRDefault="0021192E" w:rsidP="0019343E">
            <w:pPr>
              <w:spacing w:after="0"/>
              <w:jc w:val="right"/>
              <w:rPr>
                <w:rFonts w:eastAsia="Times New Roman" w:cs="Segoe UI"/>
                <w:color w:val="000000"/>
                <w:sz w:val="18"/>
                <w:szCs w:val="18"/>
                <w:lang w:eastAsia="sk-SK"/>
              </w:rPr>
            </w:pPr>
            <w:r w:rsidRPr="0030423D">
              <w:rPr>
                <w:rFonts w:eastAsia="Times New Roman" w:cs="Segoe UI"/>
                <w:color w:val="000000"/>
                <w:sz w:val="18"/>
                <w:szCs w:val="18"/>
                <w:lang w:eastAsia="sk-SK"/>
              </w:rPr>
              <w:t>2 451 521</w:t>
            </w:r>
          </w:p>
        </w:tc>
        <w:tc>
          <w:tcPr>
            <w:tcW w:w="703" w:type="pct"/>
            <w:shd w:val="clear" w:color="auto" w:fill="auto"/>
            <w:vAlign w:val="center"/>
          </w:tcPr>
          <w:p w14:paraId="2EAA353B" w14:textId="77777777" w:rsidR="0021192E" w:rsidRPr="0030423D" w:rsidRDefault="0021192E" w:rsidP="0019343E">
            <w:pPr>
              <w:spacing w:after="0"/>
              <w:jc w:val="right"/>
              <w:rPr>
                <w:rFonts w:eastAsia="Times New Roman" w:cs="Segoe UI"/>
                <w:color w:val="000000"/>
                <w:sz w:val="18"/>
                <w:szCs w:val="18"/>
                <w:lang w:eastAsia="sk-SK"/>
              </w:rPr>
            </w:pPr>
            <w:r w:rsidRPr="0030423D">
              <w:rPr>
                <w:rFonts w:eastAsia="Times New Roman" w:cs="Segoe UI"/>
                <w:color w:val="000000"/>
                <w:sz w:val="18"/>
                <w:szCs w:val="18"/>
                <w:lang w:eastAsia="sk-SK"/>
              </w:rPr>
              <w:t>1 433 149</w:t>
            </w:r>
          </w:p>
        </w:tc>
        <w:tc>
          <w:tcPr>
            <w:tcW w:w="625" w:type="pct"/>
            <w:shd w:val="clear" w:color="auto" w:fill="auto"/>
            <w:vAlign w:val="center"/>
          </w:tcPr>
          <w:p w14:paraId="52C8DA25" w14:textId="77777777" w:rsidR="0021192E" w:rsidRPr="0030423D" w:rsidRDefault="0021192E" w:rsidP="0019343E">
            <w:pPr>
              <w:spacing w:after="0"/>
              <w:jc w:val="right"/>
              <w:rPr>
                <w:rFonts w:eastAsia="Times New Roman" w:cs="Segoe UI"/>
                <w:color w:val="000000"/>
                <w:sz w:val="18"/>
                <w:szCs w:val="18"/>
                <w:lang w:eastAsia="sk-SK"/>
              </w:rPr>
            </w:pPr>
            <w:r w:rsidRPr="0030423D">
              <w:rPr>
                <w:rFonts w:eastAsia="Times New Roman" w:cs="Segoe UI"/>
                <w:color w:val="000000"/>
                <w:sz w:val="18"/>
                <w:szCs w:val="18"/>
                <w:lang w:eastAsia="sk-SK"/>
              </w:rPr>
              <w:t>-1 018 372</w:t>
            </w:r>
          </w:p>
        </w:tc>
        <w:tc>
          <w:tcPr>
            <w:tcW w:w="389" w:type="pct"/>
            <w:vAlign w:val="center"/>
          </w:tcPr>
          <w:p w14:paraId="7E65A2BE" w14:textId="77777777" w:rsidR="0021192E" w:rsidRPr="00D61F2E" w:rsidRDefault="0021192E" w:rsidP="0019343E">
            <w:pPr>
              <w:spacing w:after="0"/>
              <w:jc w:val="right"/>
              <w:rPr>
                <w:rFonts w:eastAsia="Times New Roman" w:cs="Segoe UI"/>
                <w:color w:val="000000"/>
                <w:sz w:val="18"/>
                <w:szCs w:val="18"/>
                <w:lang w:eastAsia="sk-SK"/>
              </w:rPr>
            </w:pPr>
            <w:r w:rsidRPr="00D61F2E">
              <w:rPr>
                <w:rFonts w:eastAsia="Times New Roman" w:cs="Segoe UI"/>
                <w:color w:val="000000"/>
                <w:sz w:val="18"/>
                <w:szCs w:val="18"/>
                <w:lang w:eastAsia="sk-SK"/>
              </w:rPr>
              <w:t>121,1</w:t>
            </w:r>
          </w:p>
        </w:tc>
      </w:tr>
      <w:tr w:rsidR="0021192E" w:rsidRPr="000330F1" w14:paraId="6F10D47E" w14:textId="77777777" w:rsidTr="00DB26F8">
        <w:trPr>
          <w:trHeight w:val="283"/>
          <w:jc w:val="center"/>
        </w:trPr>
        <w:tc>
          <w:tcPr>
            <w:tcW w:w="1875" w:type="pct"/>
            <w:vAlign w:val="center"/>
          </w:tcPr>
          <w:p w14:paraId="4315C5C0" w14:textId="77777777" w:rsidR="0021192E" w:rsidRPr="00D61F2E" w:rsidRDefault="0021192E" w:rsidP="0019343E">
            <w:pPr>
              <w:spacing w:after="0"/>
              <w:jc w:val="left"/>
              <w:rPr>
                <w:rFonts w:eastAsia="Times New Roman" w:cs="Segoe UI"/>
                <w:color w:val="000000"/>
                <w:sz w:val="18"/>
                <w:szCs w:val="18"/>
                <w:lang w:eastAsia="sk-SK"/>
              </w:rPr>
            </w:pPr>
            <w:r w:rsidRPr="00D61F2E">
              <w:rPr>
                <w:rFonts w:eastAsia="Times New Roman" w:cs="Segoe UI"/>
                <w:color w:val="000000"/>
                <w:sz w:val="18"/>
                <w:szCs w:val="18"/>
                <w:lang w:eastAsia="sk-SK"/>
              </w:rPr>
              <w:t>Kapitálové transfery</w:t>
            </w:r>
          </w:p>
        </w:tc>
        <w:tc>
          <w:tcPr>
            <w:tcW w:w="703" w:type="pct"/>
            <w:shd w:val="clear" w:color="auto" w:fill="auto"/>
            <w:vAlign w:val="center"/>
          </w:tcPr>
          <w:p w14:paraId="6289E9D3" w14:textId="77777777" w:rsidR="0021192E" w:rsidRPr="0030423D" w:rsidRDefault="0021192E" w:rsidP="0019343E">
            <w:pPr>
              <w:spacing w:after="0"/>
              <w:jc w:val="right"/>
              <w:rPr>
                <w:rFonts w:eastAsia="Times New Roman" w:cs="Segoe UI"/>
                <w:color w:val="000000"/>
                <w:sz w:val="18"/>
                <w:szCs w:val="18"/>
                <w:lang w:eastAsia="sk-SK"/>
              </w:rPr>
            </w:pPr>
            <w:r w:rsidRPr="0030423D">
              <w:rPr>
                <w:rFonts w:eastAsia="Times New Roman" w:cs="Segoe UI"/>
                <w:color w:val="000000"/>
                <w:sz w:val="18"/>
                <w:szCs w:val="18"/>
                <w:lang w:eastAsia="sk-SK"/>
              </w:rPr>
              <w:t>1 523 995</w:t>
            </w:r>
          </w:p>
        </w:tc>
        <w:tc>
          <w:tcPr>
            <w:tcW w:w="704" w:type="pct"/>
            <w:shd w:val="clear" w:color="auto" w:fill="auto"/>
            <w:vAlign w:val="center"/>
          </w:tcPr>
          <w:p w14:paraId="5FDC2F8C" w14:textId="77777777" w:rsidR="0021192E" w:rsidRPr="0030423D" w:rsidRDefault="0021192E" w:rsidP="0019343E">
            <w:pPr>
              <w:spacing w:after="0"/>
              <w:jc w:val="right"/>
              <w:rPr>
                <w:rFonts w:eastAsia="Times New Roman" w:cs="Segoe UI"/>
                <w:color w:val="000000"/>
                <w:sz w:val="18"/>
                <w:szCs w:val="18"/>
                <w:lang w:eastAsia="sk-SK"/>
              </w:rPr>
            </w:pPr>
            <w:r w:rsidRPr="0030423D">
              <w:rPr>
                <w:rFonts w:eastAsia="Times New Roman" w:cs="Segoe UI"/>
                <w:color w:val="000000"/>
                <w:sz w:val="18"/>
                <w:szCs w:val="18"/>
                <w:lang w:eastAsia="sk-SK"/>
              </w:rPr>
              <w:t>3 494 574</w:t>
            </w:r>
          </w:p>
        </w:tc>
        <w:tc>
          <w:tcPr>
            <w:tcW w:w="703" w:type="pct"/>
            <w:shd w:val="clear" w:color="auto" w:fill="auto"/>
            <w:vAlign w:val="center"/>
          </w:tcPr>
          <w:p w14:paraId="1D18FD48" w14:textId="77777777" w:rsidR="0021192E" w:rsidRPr="0030423D" w:rsidRDefault="0021192E" w:rsidP="0019343E">
            <w:pPr>
              <w:spacing w:after="0"/>
              <w:jc w:val="right"/>
              <w:rPr>
                <w:rFonts w:eastAsia="Times New Roman" w:cs="Segoe UI"/>
                <w:color w:val="000000"/>
                <w:sz w:val="18"/>
                <w:szCs w:val="18"/>
                <w:lang w:eastAsia="sk-SK"/>
              </w:rPr>
            </w:pPr>
            <w:r w:rsidRPr="0030423D">
              <w:rPr>
                <w:rFonts w:eastAsia="Times New Roman" w:cs="Segoe UI"/>
                <w:color w:val="000000"/>
                <w:sz w:val="18"/>
                <w:szCs w:val="18"/>
                <w:lang w:eastAsia="sk-SK"/>
              </w:rPr>
              <w:t>3 281 006</w:t>
            </w:r>
          </w:p>
        </w:tc>
        <w:tc>
          <w:tcPr>
            <w:tcW w:w="625" w:type="pct"/>
            <w:shd w:val="clear" w:color="auto" w:fill="auto"/>
            <w:vAlign w:val="center"/>
          </w:tcPr>
          <w:p w14:paraId="62B96A74" w14:textId="77777777" w:rsidR="0021192E" w:rsidRPr="0030423D" w:rsidRDefault="0021192E" w:rsidP="0019343E">
            <w:pPr>
              <w:spacing w:after="0"/>
              <w:jc w:val="right"/>
              <w:rPr>
                <w:rFonts w:eastAsia="Times New Roman" w:cs="Segoe UI"/>
                <w:color w:val="000000"/>
                <w:sz w:val="18"/>
                <w:szCs w:val="18"/>
                <w:lang w:eastAsia="sk-SK"/>
              </w:rPr>
            </w:pPr>
            <w:r w:rsidRPr="0030423D">
              <w:rPr>
                <w:rFonts w:eastAsia="Times New Roman" w:cs="Segoe UI"/>
                <w:color w:val="000000"/>
                <w:sz w:val="18"/>
                <w:szCs w:val="18"/>
                <w:lang w:eastAsia="sk-SK"/>
              </w:rPr>
              <w:t>-213 568</w:t>
            </w:r>
          </w:p>
        </w:tc>
        <w:tc>
          <w:tcPr>
            <w:tcW w:w="389" w:type="pct"/>
            <w:vAlign w:val="center"/>
          </w:tcPr>
          <w:p w14:paraId="7E35BFED" w14:textId="77777777" w:rsidR="0021192E" w:rsidRPr="00D61F2E" w:rsidRDefault="0021192E" w:rsidP="0019343E">
            <w:pPr>
              <w:spacing w:after="0"/>
              <w:jc w:val="right"/>
              <w:rPr>
                <w:rFonts w:eastAsia="Times New Roman" w:cs="Segoe UI"/>
                <w:color w:val="000000"/>
                <w:sz w:val="18"/>
                <w:szCs w:val="18"/>
                <w:lang w:eastAsia="sk-SK"/>
              </w:rPr>
            </w:pPr>
            <w:r w:rsidRPr="00D61F2E">
              <w:rPr>
                <w:rFonts w:eastAsia="Times New Roman" w:cs="Segoe UI"/>
                <w:color w:val="000000"/>
                <w:sz w:val="18"/>
                <w:szCs w:val="18"/>
                <w:lang w:eastAsia="sk-SK"/>
              </w:rPr>
              <w:t>215,3</w:t>
            </w:r>
          </w:p>
        </w:tc>
      </w:tr>
    </w:tbl>
    <w:p w14:paraId="73B4C71A" w14:textId="77777777" w:rsidR="001E1F58" w:rsidRPr="00F51595" w:rsidRDefault="001E1F58" w:rsidP="001E1F58">
      <w:pPr>
        <w:pStyle w:val="Zdroj"/>
      </w:pPr>
      <w:r w:rsidRPr="00F51595">
        <w:t>Zdroj: Návrh ŠZÚ 202</w:t>
      </w:r>
      <w:r>
        <w:t>3</w:t>
      </w:r>
      <w:r w:rsidRPr="00F51595">
        <w:t>.</w:t>
      </w:r>
      <w:r w:rsidRPr="00F51595">
        <w:br/>
        <w:t xml:space="preserve">S – skutočnosť, </w:t>
      </w:r>
      <w:r>
        <w:t xml:space="preserve">R </w:t>
      </w:r>
      <w:r w:rsidRPr="00F51595">
        <w:t>– rozpočet, YoY – medziročná zmena</w:t>
      </w:r>
    </w:p>
    <w:p w14:paraId="40048262" w14:textId="7E8FAAD3" w:rsidR="00904EA3" w:rsidRDefault="00904EA3" w:rsidP="00904EA3">
      <w:pPr>
        <w:pStyle w:val="Zkladntext0"/>
        <w:spacing w:after="120"/>
        <w:jc w:val="both"/>
        <w:rPr>
          <w:rFonts w:ascii="Segoe UI" w:eastAsia="Times New Roman" w:hAnsi="Segoe UI" w:cs="Segoe UI"/>
          <w:sz w:val="20"/>
        </w:rPr>
      </w:pPr>
      <w:r>
        <w:rPr>
          <w:rFonts w:ascii="Segoe UI" w:eastAsia="Times New Roman" w:hAnsi="Segoe UI" w:cs="Segoe UI"/>
          <w:b/>
          <w:sz w:val="20"/>
        </w:rPr>
        <w:t>Bežné výdavky</w:t>
      </w:r>
      <w:r w:rsidR="00F10ED2">
        <w:rPr>
          <w:rFonts w:ascii="Segoe UI" w:eastAsia="Times New Roman" w:hAnsi="Segoe UI" w:cs="Segoe UI"/>
          <w:b/>
          <w:sz w:val="20"/>
        </w:rPr>
        <w:t xml:space="preserve"> v roku 2023 predstavovali</w:t>
      </w:r>
      <w:r>
        <w:rPr>
          <w:rFonts w:ascii="Segoe UI" w:eastAsia="Times New Roman" w:hAnsi="Segoe UI" w:cs="Segoe UI"/>
          <w:b/>
          <w:sz w:val="20"/>
        </w:rPr>
        <w:t xml:space="preserve"> 26,6 mld. eur, čo je o 2,4 mld. eur menej než </w:t>
      </w:r>
      <w:r w:rsidR="00F10ED2">
        <w:rPr>
          <w:rFonts w:ascii="Segoe UI" w:eastAsia="Times New Roman" w:hAnsi="Segoe UI" w:cs="Segoe UI"/>
          <w:b/>
          <w:sz w:val="20"/>
        </w:rPr>
        <w:t xml:space="preserve">bolo plánované v </w:t>
      </w:r>
      <w:r>
        <w:rPr>
          <w:rFonts w:ascii="Segoe UI" w:eastAsia="Times New Roman" w:hAnsi="Segoe UI" w:cs="Segoe UI"/>
          <w:b/>
          <w:sz w:val="20"/>
        </w:rPr>
        <w:t>rozpočt</w:t>
      </w:r>
      <w:r w:rsidR="00F10ED2">
        <w:rPr>
          <w:rFonts w:ascii="Segoe UI" w:eastAsia="Times New Roman" w:hAnsi="Segoe UI" w:cs="Segoe UI"/>
          <w:b/>
          <w:sz w:val="20"/>
        </w:rPr>
        <w:t>e</w:t>
      </w:r>
      <w:r>
        <w:rPr>
          <w:rFonts w:ascii="Segoe UI" w:eastAsia="Times New Roman" w:hAnsi="Segoe UI" w:cs="Segoe UI"/>
          <w:b/>
          <w:sz w:val="20"/>
        </w:rPr>
        <w:t xml:space="preserve"> a o 5,8 mld. eur viac než </w:t>
      </w:r>
      <w:r w:rsidR="00F10ED2">
        <w:rPr>
          <w:rFonts w:ascii="Segoe UI" w:eastAsia="Times New Roman" w:hAnsi="Segoe UI" w:cs="Segoe UI"/>
          <w:b/>
          <w:sz w:val="20"/>
        </w:rPr>
        <w:t>v</w:t>
      </w:r>
      <w:r>
        <w:rPr>
          <w:rFonts w:ascii="Segoe UI" w:eastAsia="Times New Roman" w:hAnsi="Segoe UI" w:cs="Segoe UI"/>
          <w:b/>
          <w:sz w:val="20"/>
        </w:rPr>
        <w:t xml:space="preserve"> roku 2022. </w:t>
      </w:r>
      <w:r>
        <w:rPr>
          <w:rFonts w:ascii="Segoe UI" w:eastAsia="Times New Roman" w:hAnsi="Segoe UI" w:cs="Segoe UI"/>
          <w:sz w:val="20"/>
        </w:rPr>
        <w:t xml:space="preserve">Najvýznamnejšie zmeny oproti rozpočtu </w:t>
      </w:r>
      <w:r>
        <w:rPr>
          <w:rFonts w:ascii="Segoe UI" w:eastAsia="Times New Roman" w:hAnsi="Segoe UI" w:cs="Segoe UI"/>
          <w:sz w:val="20"/>
        </w:rPr>
        <w:lastRenderedPageBreak/>
        <w:t>boli zaznamenané pri položkách tovary a služby a bežné transfery. Čerpanie na položke tovary a služby je oproti rozpočtu nižšie o 73,5 %, čo zodpovedá 6,9 mld. eur. Toto výrazne nižšie čerpanie je spôsobené tým, že sa na tejto položke rozpočtujú aj zálohové</w:t>
      </w:r>
      <w:r w:rsidRPr="00F51595">
        <w:rPr>
          <w:rFonts w:ascii="Segoe UI" w:eastAsia="Times New Roman" w:hAnsi="Segoe UI" w:cs="Segoe UI"/>
          <w:sz w:val="20"/>
        </w:rPr>
        <w:t xml:space="preserve"> platby na projekty EÚ a prostriedky </w:t>
      </w:r>
      <w:r>
        <w:rPr>
          <w:rFonts w:ascii="Segoe UI" w:eastAsia="Times New Roman" w:hAnsi="Segoe UI" w:cs="Segoe UI"/>
          <w:sz w:val="20"/>
        </w:rPr>
        <w:t>ŠR</w:t>
      </w:r>
      <w:r w:rsidRPr="00F51595">
        <w:rPr>
          <w:rFonts w:ascii="Segoe UI" w:eastAsia="Times New Roman" w:hAnsi="Segoe UI" w:cs="Segoe UI"/>
          <w:sz w:val="20"/>
        </w:rPr>
        <w:t xml:space="preserve"> na</w:t>
      </w:r>
      <w:r>
        <w:rPr>
          <w:rFonts w:ascii="Segoe UI" w:eastAsia="Times New Roman" w:hAnsi="Segoe UI" w:cs="Segoe UI"/>
          <w:sz w:val="20"/>
        </w:rPr>
        <w:t xml:space="preserve"> </w:t>
      </w:r>
      <w:r w:rsidRPr="00F51595">
        <w:rPr>
          <w:rFonts w:ascii="Segoe UI" w:eastAsia="Times New Roman" w:hAnsi="Segoe UI" w:cs="Segoe UI"/>
          <w:sz w:val="20"/>
        </w:rPr>
        <w:t xml:space="preserve">spolufinancovanie. Zúčtovanie zálohových platieb sa </w:t>
      </w:r>
      <w:r>
        <w:rPr>
          <w:rFonts w:ascii="Segoe UI" w:eastAsia="Times New Roman" w:hAnsi="Segoe UI" w:cs="Segoe UI"/>
          <w:sz w:val="20"/>
        </w:rPr>
        <w:t xml:space="preserve">vykonáva na </w:t>
      </w:r>
      <w:r w:rsidRPr="00F51595">
        <w:rPr>
          <w:rFonts w:ascii="Segoe UI" w:eastAsia="Times New Roman" w:hAnsi="Segoe UI" w:cs="Segoe UI"/>
          <w:sz w:val="20"/>
        </w:rPr>
        <w:t xml:space="preserve">príslušných položkách podľa skutočne realizovaných výdavkov (napríklad bežné a kapitálové transfery). </w:t>
      </w:r>
    </w:p>
    <w:p w14:paraId="080ACA1D" w14:textId="395642AD" w:rsidR="00904EA3" w:rsidRPr="002570A4" w:rsidRDefault="00904EA3" w:rsidP="00904EA3">
      <w:pPr>
        <w:pStyle w:val="Zkladntext0"/>
        <w:spacing w:after="120"/>
        <w:jc w:val="both"/>
        <w:rPr>
          <w:rFonts w:ascii="Segoe UI" w:eastAsia="Times New Roman" w:hAnsi="Segoe UI" w:cs="Segoe UI"/>
          <w:sz w:val="20"/>
        </w:rPr>
      </w:pPr>
      <w:r w:rsidRPr="006264E2">
        <w:rPr>
          <w:rFonts w:ascii="Segoe UI" w:eastAsia="Times New Roman" w:hAnsi="Segoe UI" w:cs="Segoe UI"/>
          <w:b/>
          <w:sz w:val="20"/>
        </w:rPr>
        <w:t>Finančne najvýznamnejšou položkou ŠR sú bežné transfery zodpovedajúce 75,2 % celkových skutočných výdavkov za rok 2023 na hotovostnej báze.</w:t>
      </w:r>
      <w:r>
        <w:rPr>
          <w:rFonts w:ascii="Segoe UI" w:eastAsia="Times New Roman" w:hAnsi="Segoe UI" w:cs="Segoe UI"/>
          <w:sz w:val="20"/>
        </w:rPr>
        <w:t xml:space="preserve"> Skutočné čerpanie </w:t>
      </w:r>
      <w:r w:rsidR="002D5105">
        <w:rPr>
          <w:rFonts w:ascii="Segoe UI" w:eastAsia="Times New Roman" w:hAnsi="Segoe UI" w:cs="Segoe UI"/>
          <w:sz w:val="20"/>
        </w:rPr>
        <w:t xml:space="preserve">bolo oproti rozpočtu </w:t>
      </w:r>
      <w:r w:rsidRPr="002570A4">
        <w:rPr>
          <w:rFonts w:ascii="Segoe UI" w:eastAsia="Times New Roman" w:hAnsi="Segoe UI" w:cs="Segoe UI"/>
          <w:sz w:val="20"/>
        </w:rPr>
        <w:t xml:space="preserve">vyššie o 4,3 mld. eur, pričom väčšina tohto nárastu </w:t>
      </w:r>
      <w:r w:rsidR="00F10ED2" w:rsidRPr="002570A4">
        <w:rPr>
          <w:rFonts w:ascii="Segoe UI" w:eastAsia="Times New Roman" w:hAnsi="Segoe UI" w:cs="Segoe UI"/>
          <w:sz w:val="20"/>
        </w:rPr>
        <w:t>i</w:t>
      </w:r>
      <w:r w:rsidRPr="002570A4">
        <w:rPr>
          <w:rFonts w:ascii="Segoe UI" w:eastAsia="Times New Roman" w:hAnsi="Segoe UI" w:cs="Segoe UI"/>
          <w:sz w:val="20"/>
        </w:rPr>
        <w:t xml:space="preserve">šla na vrub MH SR </w:t>
      </w:r>
      <w:r w:rsidR="00F10ED2" w:rsidRPr="002570A4">
        <w:rPr>
          <w:rFonts w:ascii="Segoe UI" w:eastAsia="Times New Roman" w:hAnsi="Segoe UI" w:cs="Segoe UI"/>
          <w:sz w:val="20"/>
        </w:rPr>
        <w:t>(</w:t>
      </w:r>
      <w:r w:rsidRPr="002570A4">
        <w:rPr>
          <w:rFonts w:ascii="Segoe UI" w:eastAsia="Times New Roman" w:hAnsi="Segoe UI" w:cs="Segoe UI"/>
          <w:sz w:val="20"/>
        </w:rPr>
        <w:t>2,6 mld. eur</w:t>
      </w:r>
      <w:r w:rsidR="00F10ED2" w:rsidRPr="002570A4">
        <w:rPr>
          <w:rFonts w:ascii="Segoe UI" w:eastAsia="Times New Roman" w:hAnsi="Segoe UI" w:cs="Segoe UI"/>
          <w:sz w:val="20"/>
        </w:rPr>
        <w:t>)</w:t>
      </w:r>
      <w:r w:rsidRPr="002570A4">
        <w:rPr>
          <w:rFonts w:ascii="Segoe UI" w:eastAsia="Times New Roman" w:hAnsi="Segoe UI" w:cs="Segoe UI"/>
          <w:sz w:val="20"/>
        </w:rPr>
        <w:t xml:space="preserve">. Tieto prostriedky boli použité na opatrenia v rámci energopomoci a podporu hospodárstva v dôsledku konfliktu na Ukrajine. </w:t>
      </w:r>
      <w:r w:rsidR="002570A4" w:rsidRPr="002570A4">
        <w:rPr>
          <w:rFonts w:ascii="Segoe UI" w:eastAsia="Times New Roman" w:hAnsi="Segoe UI" w:cs="Segoe UI"/>
          <w:sz w:val="20"/>
        </w:rPr>
        <w:t>V rámci</w:t>
      </w:r>
      <w:r w:rsidRPr="002570A4">
        <w:rPr>
          <w:rFonts w:ascii="Segoe UI" w:eastAsia="Times New Roman" w:hAnsi="Segoe UI" w:cs="Segoe UI"/>
          <w:sz w:val="20"/>
        </w:rPr>
        <w:t xml:space="preserve"> bežn</w:t>
      </w:r>
      <w:r w:rsidR="002570A4" w:rsidRPr="002570A4">
        <w:rPr>
          <w:rFonts w:ascii="Segoe UI" w:eastAsia="Times New Roman" w:hAnsi="Segoe UI" w:cs="Segoe UI"/>
          <w:sz w:val="20"/>
        </w:rPr>
        <w:t>ých</w:t>
      </w:r>
      <w:r w:rsidRPr="002570A4">
        <w:rPr>
          <w:rFonts w:ascii="Segoe UI" w:eastAsia="Times New Roman" w:hAnsi="Segoe UI" w:cs="Segoe UI"/>
          <w:sz w:val="20"/>
        </w:rPr>
        <w:t xml:space="preserve"> transfer</w:t>
      </w:r>
      <w:r w:rsidR="002570A4" w:rsidRPr="002570A4">
        <w:rPr>
          <w:rFonts w:ascii="Segoe UI" w:eastAsia="Times New Roman" w:hAnsi="Segoe UI" w:cs="Segoe UI"/>
          <w:sz w:val="20"/>
        </w:rPr>
        <w:t xml:space="preserve"> sú </w:t>
      </w:r>
      <w:r w:rsidR="006947D9" w:rsidRPr="002570A4">
        <w:rPr>
          <w:rFonts w:ascii="Segoe UI" w:eastAsia="Times New Roman" w:hAnsi="Segoe UI" w:cs="Segoe UI"/>
          <w:sz w:val="20"/>
        </w:rPr>
        <w:t xml:space="preserve">tiež </w:t>
      </w:r>
      <w:r w:rsidRPr="002570A4">
        <w:rPr>
          <w:rFonts w:ascii="Segoe UI" w:eastAsia="Times New Roman" w:hAnsi="Segoe UI" w:cs="Segoe UI"/>
          <w:sz w:val="20"/>
        </w:rPr>
        <w:t xml:space="preserve">transfery obciam a mestám a VÚC, či transfer na zabezpečenie platobnej schopnosti SP. </w:t>
      </w:r>
    </w:p>
    <w:p w14:paraId="20F86C37" w14:textId="244815EA" w:rsidR="00904EA3" w:rsidRDefault="00904EA3" w:rsidP="00904EA3">
      <w:pPr>
        <w:pStyle w:val="Zkladntext0"/>
        <w:spacing w:after="120"/>
        <w:jc w:val="both"/>
        <w:rPr>
          <w:rFonts w:ascii="Segoe UI" w:eastAsia="Times New Roman" w:hAnsi="Segoe UI" w:cs="Segoe UI"/>
          <w:sz w:val="20"/>
        </w:rPr>
      </w:pPr>
      <w:r w:rsidRPr="002570A4">
        <w:rPr>
          <w:rFonts w:ascii="Segoe UI" w:eastAsia="Times New Roman" w:hAnsi="Segoe UI" w:cs="Segoe UI"/>
          <w:b/>
          <w:sz w:val="20"/>
        </w:rPr>
        <w:t xml:space="preserve">Medzi bežné transfery patria </w:t>
      </w:r>
      <w:r w:rsidR="002D5105" w:rsidRPr="002570A4">
        <w:rPr>
          <w:rFonts w:ascii="Segoe UI" w:eastAsia="Times New Roman" w:hAnsi="Segoe UI" w:cs="Segoe UI"/>
          <w:b/>
          <w:sz w:val="20"/>
        </w:rPr>
        <w:t>aj</w:t>
      </w:r>
      <w:r w:rsidRPr="002570A4">
        <w:rPr>
          <w:rFonts w:ascii="Segoe UI" w:eastAsia="Times New Roman" w:hAnsi="Segoe UI" w:cs="Segoe UI"/>
          <w:b/>
          <w:sz w:val="20"/>
        </w:rPr>
        <w:t xml:space="preserve"> sociálne dávky v</w:t>
      </w:r>
      <w:r w:rsidR="002D5105" w:rsidRPr="002570A4">
        <w:rPr>
          <w:rFonts w:ascii="Segoe UI" w:eastAsia="Times New Roman" w:hAnsi="Segoe UI" w:cs="Segoe UI"/>
          <w:b/>
          <w:sz w:val="20"/>
        </w:rPr>
        <w:t>o</w:t>
      </w:r>
      <w:r w:rsidRPr="002570A4">
        <w:rPr>
          <w:rFonts w:ascii="Segoe UI" w:eastAsia="Times New Roman" w:hAnsi="Segoe UI" w:cs="Segoe UI"/>
          <w:b/>
          <w:sz w:val="20"/>
        </w:rPr>
        <w:t xml:space="preserve"> výške 3,2 mld. eur</w:t>
      </w:r>
      <w:r w:rsidR="002D5105" w:rsidRPr="002570A4">
        <w:rPr>
          <w:rFonts w:ascii="Segoe UI" w:eastAsia="Times New Roman" w:hAnsi="Segoe UI" w:cs="Segoe UI"/>
          <w:b/>
          <w:sz w:val="20"/>
        </w:rPr>
        <w:t>.</w:t>
      </w:r>
      <w:r w:rsidRPr="002570A4">
        <w:rPr>
          <w:rFonts w:ascii="Segoe UI" w:eastAsia="Times New Roman" w:hAnsi="Segoe UI" w:cs="Segoe UI"/>
          <w:sz w:val="20"/>
        </w:rPr>
        <w:t xml:space="preserve"> </w:t>
      </w:r>
      <w:r w:rsidR="002D5105" w:rsidRPr="002570A4">
        <w:rPr>
          <w:rFonts w:ascii="Segoe UI" w:eastAsia="Times New Roman" w:hAnsi="Segoe UI" w:cs="Segoe UI"/>
          <w:sz w:val="20"/>
        </w:rPr>
        <w:t>Z</w:t>
      </w:r>
      <w:r w:rsidRPr="002570A4">
        <w:rPr>
          <w:rFonts w:ascii="Segoe UI" w:eastAsia="Times New Roman" w:hAnsi="Segoe UI" w:cs="Segoe UI"/>
          <w:sz w:val="20"/>
        </w:rPr>
        <w:t> </w:t>
      </w:r>
      <w:r w:rsidR="002D5105" w:rsidRPr="002570A4">
        <w:rPr>
          <w:rFonts w:ascii="Segoe UI" w:eastAsia="Times New Roman" w:hAnsi="Segoe UI" w:cs="Segoe UI"/>
          <w:sz w:val="20"/>
        </w:rPr>
        <w:t>t</w:t>
      </w:r>
      <w:r w:rsidRPr="002570A4">
        <w:rPr>
          <w:rFonts w:ascii="Segoe UI" w:eastAsia="Times New Roman" w:hAnsi="Segoe UI" w:cs="Segoe UI"/>
          <w:sz w:val="20"/>
        </w:rPr>
        <w:t>oho pripadá 779 mil. eur na prídavok na dieťa, 657 mil. eur na</w:t>
      </w:r>
      <w:r>
        <w:rPr>
          <w:rFonts w:ascii="Segoe UI" w:eastAsia="Times New Roman" w:hAnsi="Segoe UI" w:cs="Segoe UI"/>
          <w:sz w:val="20"/>
        </w:rPr>
        <w:t xml:space="preserve"> rodičovský príspevok, 610 mil. eur na kompenzáciu a 904 mil. eur na ostatné dávky poskytované štátom. Okrem sociálnych dávok sem</w:t>
      </w:r>
      <w:r w:rsidR="00525003">
        <w:rPr>
          <w:rFonts w:ascii="Segoe UI" w:eastAsia="Times New Roman" w:hAnsi="Segoe UI" w:cs="Segoe UI"/>
          <w:sz w:val="20"/>
        </w:rPr>
        <w:t xml:space="preserve"> patrí</w:t>
      </w:r>
      <w:r>
        <w:rPr>
          <w:rFonts w:ascii="Segoe UI" w:eastAsia="Times New Roman" w:hAnsi="Segoe UI" w:cs="Segoe UI"/>
          <w:sz w:val="20"/>
        </w:rPr>
        <w:t xml:space="preserve"> aj transfer na platené poistné, z ktorého bolo 2,1 mld. eur určených na štátom platené poistné pre zdravotné poisťovne. Ďalej napríklad 188 mil. eur na aktívne opatrenia trhu práce, 155 mil. eur na školy a školské zariadenia v zriaďovateľskej pôsobnosti cirkví či transfery súkromným školám vo výške 152 mil. eur. </w:t>
      </w:r>
    </w:p>
    <w:p w14:paraId="755C3DDD" w14:textId="744F98A7" w:rsidR="00904EA3" w:rsidRPr="0030423D" w:rsidRDefault="002D5105" w:rsidP="00904EA3">
      <w:pPr>
        <w:pStyle w:val="Zkladntext0"/>
        <w:spacing w:after="120"/>
        <w:jc w:val="both"/>
        <w:rPr>
          <w:rFonts w:ascii="Segoe UI" w:eastAsia="Times New Roman" w:hAnsi="Segoe UI" w:cs="Segoe UI"/>
          <w:b/>
          <w:sz w:val="20"/>
        </w:rPr>
      </w:pPr>
      <w:r>
        <w:rPr>
          <w:rFonts w:ascii="Segoe UI" w:eastAsia="Times New Roman" w:hAnsi="Segoe UI" w:cs="Segoe UI"/>
          <w:b/>
          <w:sz w:val="20"/>
        </w:rPr>
        <w:t>Skutočné čerpanie k</w:t>
      </w:r>
      <w:r w:rsidR="00904EA3" w:rsidRPr="0030423D">
        <w:rPr>
          <w:rFonts w:ascii="Segoe UI" w:eastAsia="Times New Roman" w:hAnsi="Segoe UI" w:cs="Segoe UI"/>
          <w:b/>
          <w:sz w:val="20"/>
        </w:rPr>
        <w:t>apitálov</w:t>
      </w:r>
      <w:r>
        <w:rPr>
          <w:rFonts w:ascii="Segoe UI" w:eastAsia="Times New Roman" w:hAnsi="Segoe UI" w:cs="Segoe UI"/>
          <w:b/>
          <w:sz w:val="20"/>
        </w:rPr>
        <w:t>ých</w:t>
      </w:r>
      <w:r w:rsidR="00904EA3" w:rsidRPr="0030423D">
        <w:rPr>
          <w:rFonts w:ascii="Segoe UI" w:eastAsia="Times New Roman" w:hAnsi="Segoe UI" w:cs="Segoe UI"/>
          <w:b/>
          <w:sz w:val="20"/>
        </w:rPr>
        <w:t xml:space="preserve"> výdavk</w:t>
      </w:r>
      <w:r>
        <w:rPr>
          <w:rFonts w:ascii="Segoe UI" w:eastAsia="Times New Roman" w:hAnsi="Segoe UI" w:cs="Segoe UI"/>
          <w:b/>
          <w:sz w:val="20"/>
        </w:rPr>
        <w:t>ov</w:t>
      </w:r>
      <w:r w:rsidR="00904EA3" w:rsidRPr="0030423D">
        <w:rPr>
          <w:rFonts w:ascii="Segoe UI" w:eastAsia="Times New Roman" w:hAnsi="Segoe UI" w:cs="Segoe UI"/>
          <w:b/>
          <w:sz w:val="20"/>
        </w:rPr>
        <w:t xml:space="preserve"> </w:t>
      </w:r>
      <w:r>
        <w:rPr>
          <w:rFonts w:ascii="Segoe UI" w:eastAsia="Times New Roman" w:hAnsi="Segoe UI" w:cs="Segoe UI"/>
          <w:b/>
          <w:sz w:val="20"/>
        </w:rPr>
        <w:t>v</w:t>
      </w:r>
      <w:r w:rsidR="00904EA3" w:rsidRPr="0030423D">
        <w:rPr>
          <w:rFonts w:ascii="Segoe UI" w:eastAsia="Times New Roman" w:hAnsi="Segoe UI" w:cs="Segoe UI"/>
          <w:b/>
          <w:sz w:val="20"/>
        </w:rPr>
        <w:t xml:space="preserve"> rok</w:t>
      </w:r>
      <w:r>
        <w:rPr>
          <w:rFonts w:ascii="Segoe UI" w:eastAsia="Times New Roman" w:hAnsi="Segoe UI" w:cs="Segoe UI"/>
          <w:b/>
          <w:sz w:val="20"/>
        </w:rPr>
        <w:t>u</w:t>
      </w:r>
      <w:r w:rsidR="00904EA3" w:rsidRPr="0030423D">
        <w:rPr>
          <w:rFonts w:ascii="Segoe UI" w:eastAsia="Times New Roman" w:hAnsi="Segoe UI" w:cs="Segoe UI"/>
          <w:b/>
          <w:sz w:val="20"/>
        </w:rPr>
        <w:t xml:space="preserve"> 2023 bol</w:t>
      </w:r>
      <w:r>
        <w:rPr>
          <w:rFonts w:ascii="Segoe UI" w:eastAsia="Times New Roman" w:hAnsi="Segoe UI" w:cs="Segoe UI"/>
          <w:b/>
          <w:sz w:val="20"/>
        </w:rPr>
        <w:t>o medziročne vyššie</w:t>
      </w:r>
      <w:r w:rsidR="00904EA3" w:rsidRPr="0030423D">
        <w:rPr>
          <w:rFonts w:ascii="Segoe UI" w:eastAsia="Times New Roman" w:hAnsi="Segoe UI" w:cs="Segoe UI"/>
          <w:b/>
          <w:sz w:val="20"/>
        </w:rPr>
        <w:t xml:space="preserve"> o 2 mld. eur.</w:t>
      </w:r>
      <w:r w:rsidR="00904EA3">
        <w:rPr>
          <w:rFonts w:ascii="Segoe UI" w:eastAsia="Times New Roman" w:hAnsi="Segoe UI" w:cs="Segoe UI"/>
          <w:sz w:val="20"/>
        </w:rPr>
        <w:t xml:space="preserve"> Vykazovanie kapitálových výdavkov je ovplyvnené ich pravidelným viazaním a uvoľňovaním na prelome rokov. </w:t>
      </w:r>
      <w:r w:rsidR="00904EA3" w:rsidRPr="0030423D">
        <w:rPr>
          <w:rFonts w:ascii="Segoe UI" w:eastAsia="Times New Roman" w:hAnsi="Segoe UI" w:cs="Segoe UI"/>
          <w:sz w:val="20"/>
        </w:rPr>
        <w:t>V</w:t>
      </w:r>
      <w:r w:rsidR="00904EA3">
        <w:rPr>
          <w:rFonts w:ascii="Segoe UI" w:eastAsia="Times New Roman" w:hAnsi="Segoe UI" w:cs="Segoe UI"/>
          <w:sz w:val="20"/>
        </w:rPr>
        <w:t> </w:t>
      </w:r>
      <w:r w:rsidR="00904EA3" w:rsidRPr="0030423D">
        <w:rPr>
          <w:rFonts w:ascii="Segoe UI" w:eastAsia="Times New Roman" w:hAnsi="Segoe UI" w:cs="Segoe UI"/>
          <w:sz w:val="20"/>
        </w:rPr>
        <w:t>roku 2023 sa použili kapitálové výdavky rozpočtované pred rokom 2023 v</w:t>
      </w:r>
      <w:r w:rsidR="00F3759F">
        <w:rPr>
          <w:rFonts w:ascii="Segoe UI" w:eastAsia="Times New Roman" w:hAnsi="Segoe UI" w:cs="Segoe UI"/>
          <w:sz w:val="20"/>
        </w:rPr>
        <w:t xml:space="preserve"> celkovej </w:t>
      </w:r>
      <w:r w:rsidR="00904EA3" w:rsidRPr="0030423D">
        <w:rPr>
          <w:rFonts w:ascii="Segoe UI" w:eastAsia="Times New Roman" w:hAnsi="Segoe UI" w:cs="Segoe UI"/>
          <w:sz w:val="20"/>
        </w:rPr>
        <w:t>sume 335</w:t>
      </w:r>
      <w:r w:rsidR="00904EA3">
        <w:rPr>
          <w:rFonts w:ascii="Segoe UI" w:eastAsia="Times New Roman" w:hAnsi="Segoe UI" w:cs="Segoe UI"/>
          <w:sz w:val="20"/>
        </w:rPr>
        <w:t xml:space="preserve"> mil. eur a do </w:t>
      </w:r>
      <w:r w:rsidR="00904EA3" w:rsidRPr="0030423D">
        <w:rPr>
          <w:rFonts w:ascii="Segoe UI" w:eastAsia="Times New Roman" w:hAnsi="Segoe UI" w:cs="Segoe UI"/>
          <w:sz w:val="20"/>
        </w:rPr>
        <w:t xml:space="preserve">nasledujúceho obdobia sa v roku 2023 viazali kapitálové výdavky rozpočtované v rokoch 2022 a 2023 v sume </w:t>
      </w:r>
      <w:r w:rsidR="00904EA3">
        <w:rPr>
          <w:rFonts w:ascii="Segoe UI" w:eastAsia="Times New Roman" w:hAnsi="Segoe UI" w:cs="Segoe UI"/>
          <w:sz w:val="20"/>
        </w:rPr>
        <w:t xml:space="preserve">705 mil. </w:t>
      </w:r>
      <w:r w:rsidR="00904EA3" w:rsidRPr="0030423D">
        <w:rPr>
          <w:rFonts w:ascii="Segoe UI" w:eastAsia="Times New Roman" w:hAnsi="Segoe UI" w:cs="Segoe UI"/>
          <w:sz w:val="20"/>
        </w:rPr>
        <w:t xml:space="preserve">eur. </w:t>
      </w:r>
      <w:r w:rsidR="00904EA3" w:rsidRPr="0030423D">
        <w:rPr>
          <w:rFonts w:ascii="Segoe UI" w:eastAsia="Times New Roman" w:hAnsi="Segoe UI" w:cs="Segoe UI"/>
          <w:b/>
          <w:sz w:val="20"/>
        </w:rPr>
        <w:t xml:space="preserve">Novela rozpočtových pravidiel schválená v máji 2024 upravuje túto prax a NKÚ SR bude pozorne sledovať postupy spojené s touto zmenou. </w:t>
      </w:r>
    </w:p>
    <w:p w14:paraId="3C092FB3" w14:textId="6515392B" w:rsidR="000763B9" w:rsidRPr="009D01CB" w:rsidRDefault="008A6266" w:rsidP="00904EA3">
      <w:pPr>
        <w:rPr>
          <w:rFonts w:cs="Segoe UI"/>
          <w:szCs w:val="20"/>
        </w:rPr>
      </w:pPr>
      <w:r w:rsidRPr="008A6266">
        <w:rPr>
          <w:rFonts w:cs="Segoe UI"/>
          <w:b/>
          <w:szCs w:val="20"/>
        </w:rPr>
        <w:t>Približne polovica z finančne významnejších programov jednotlivých ministerstiev mala skutočné výdavky väčšie ako boli pôvodne rozpočtované</w:t>
      </w:r>
      <w:r>
        <w:rPr>
          <w:rFonts w:cs="Segoe UI"/>
          <w:szCs w:val="20"/>
        </w:rPr>
        <w:t xml:space="preserve"> (tabuľka 7</w:t>
      </w:r>
      <w:r w:rsidRPr="009D01CB">
        <w:rPr>
          <w:rFonts w:cs="Segoe UI"/>
          <w:szCs w:val="20"/>
        </w:rPr>
        <w:t xml:space="preserve"> v</w:t>
      </w:r>
      <w:r>
        <w:rPr>
          <w:rFonts w:cs="Segoe UI"/>
          <w:szCs w:val="20"/>
        </w:rPr>
        <w:t> </w:t>
      </w:r>
      <w:r w:rsidRPr="009D01CB">
        <w:rPr>
          <w:rFonts w:cs="Segoe UI"/>
          <w:szCs w:val="20"/>
        </w:rPr>
        <w:t>prílohe</w:t>
      </w:r>
      <w:r>
        <w:rPr>
          <w:rFonts w:cs="Segoe UI"/>
          <w:szCs w:val="20"/>
        </w:rPr>
        <w:t>)</w:t>
      </w:r>
      <w:r w:rsidRPr="009D01CB">
        <w:rPr>
          <w:rFonts w:cs="Segoe UI"/>
          <w:szCs w:val="20"/>
        </w:rPr>
        <w:t>. Najväčší rozdiel v</w:t>
      </w:r>
      <w:r w:rsidR="002D5105">
        <w:rPr>
          <w:rFonts w:cs="Segoe UI"/>
          <w:szCs w:val="20"/>
        </w:rPr>
        <w:t> </w:t>
      </w:r>
      <w:r w:rsidRPr="009D01CB">
        <w:rPr>
          <w:rFonts w:cs="Segoe UI"/>
          <w:szCs w:val="20"/>
        </w:rPr>
        <w:t>čerpaní</w:t>
      </w:r>
      <w:r w:rsidR="002D5105">
        <w:rPr>
          <w:rFonts w:cs="Segoe UI"/>
          <w:szCs w:val="20"/>
        </w:rPr>
        <w:t xml:space="preserve"> oproti rozpočtu</w:t>
      </w:r>
      <w:r w:rsidRPr="009D01CB">
        <w:rPr>
          <w:rFonts w:cs="Segoe UI"/>
          <w:szCs w:val="20"/>
        </w:rPr>
        <w:t xml:space="preserve"> bol v programe Sociálna inklúzia MPSVR SR o 811 154 tis. eur. Naopak </w:t>
      </w:r>
      <w:r w:rsidR="002D5105">
        <w:rPr>
          <w:rFonts w:cs="Segoe UI"/>
          <w:szCs w:val="20"/>
        </w:rPr>
        <w:t xml:space="preserve">čerpanie v </w:t>
      </w:r>
      <w:r w:rsidRPr="009D01CB">
        <w:rPr>
          <w:rFonts w:cs="Segoe UI"/>
          <w:szCs w:val="20"/>
        </w:rPr>
        <w:t>program</w:t>
      </w:r>
      <w:r w:rsidR="002D5105">
        <w:rPr>
          <w:rFonts w:cs="Segoe UI"/>
          <w:szCs w:val="20"/>
        </w:rPr>
        <w:t>e</w:t>
      </w:r>
      <w:r w:rsidRPr="009D01CB">
        <w:rPr>
          <w:rFonts w:cs="Segoe UI"/>
          <w:szCs w:val="20"/>
        </w:rPr>
        <w:t xml:space="preserve"> MŽP SR Starostlivosť o životné prostredie </w:t>
      </w:r>
      <w:r w:rsidR="002D5105">
        <w:rPr>
          <w:rFonts w:cs="Segoe UI"/>
          <w:szCs w:val="20"/>
        </w:rPr>
        <w:t xml:space="preserve">bolo oproti rozpočtu nižšie o </w:t>
      </w:r>
      <w:r w:rsidRPr="009D01CB">
        <w:rPr>
          <w:rFonts w:cs="Segoe UI"/>
          <w:szCs w:val="20"/>
        </w:rPr>
        <w:t>883 621 tis</w:t>
      </w:r>
      <w:r>
        <w:rPr>
          <w:rFonts w:cs="Segoe UI"/>
          <w:szCs w:val="20"/>
        </w:rPr>
        <w:t>. eur.</w:t>
      </w:r>
      <w:r w:rsidR="000763B9" w:rsidRPr="009D01CB">
        <w:rPr>
          <w:rFonts w:cs="Segoe UI"/>
          <w:szCs w:val="20"/>
        </w:rPr>
        <w:t xml:space="preserve"> </w:t>
      </w:r>
    </w:p>
    <w:p w14:paraId="3FF9B1BC" w14:textId="4ECE418B" w:rsidR="001F22A4" w:rsidRDefault="002C027A" w:rsidP="005603E6">
      <w:pPr>
        <w:pStyle w:val="Nadpis3"/>
      </w:pPr>
      <w:bookmarkStart w:id="18" w:name="_Toc168567187"/>
      <w:r>
        <w:t>3.</w:t>
      </w:r>
      <w:r w:rsidR="00160F4C">
        <w:t>3</w:t>
      </w:r>
      <w:r>
        <w:t xml:space="preserve">.1 </w:t>
      </w:r>
      <w:r w:rsidR="00E43045">
        <w:t xml:space="preserve"> </w:t>
      </w:r>
      <w:r w:rsidR="00443229">
        <w:t>R</w:t>
      </w:r>
      <w:r w:rsidR="001F22A4">
        <w:t>ozpočtové opatrenia</w:t>
      </w:r>
      <w:bookmarkEnd w:id="18"/>
    </w:p>
    <w:p w14:paraId="4ED50B3F" w14:textId="4F231F76" w:rsidR="004A2208" w:rsidRPr="00C06D31" w:rsidRDefault="000763B9" w:rsidP="004A2208">
      <w:pPr>
        <w:pStyle w:val="Default"/>
        <w:spacing w:after="120" w:line="276" w:lineRule="auto"/>
        <w:jc w:val="both"/>
        <w:rPr>
          <w:rFonts w:ascii="Segoe UI" w:hAnsi="Segoe UI" w:cs="Segoe UI"/>
          <w:color w:val="auto"/>
          <w:sz w:val="20"/>
          <w:szCs w:val="20"/>
        </w:rPr>
      </w:pPr>
      <w:r w:rsidRPr="00EC733A">
        <w:rPr>
          <w:rFonts w:ascii="Segoe UI" w:hAnsi="Segoe UI" w:cs="Segoe UI"/>
          <w:b/>
          <w:color w:val="auto"/>
          <w:sz w:val="20"/>
          <w:szCs w:val="20"/>
        </w:rPr>
        <w:t>Za rok 2023 bolo vykonaných 3 84</w:t>
      </w:r>
      <w:r w:rsidR="0029006B">
        <w:rPr>
          <w:rFonts w:ascii="Segoe UI" w:hAnsi="Segoe UI" w:cs="Segoe UI"/>
          <w:b/>
          <w:color w:val="auto"/>
          <w:sz w:val="20"/>
          <w:szCs w:val="20"/>
        </w:rPr>
        <w:t>4</w:t>
      </w:r>
      <w:r w:rsidRPr="00EC733A">
        <w:rPr>
          <w:rFonts w:ascii="Segoe UI" w:hAnsi="Segoe UI" w:cs="Segoe UI"/>
          <w:b/>
          <w:color w:val="auto"/>
          <w:sz w:val="20"/>
          <w:szCs w:val="20"/>
        </w:rPr>
        <w:t xml:space="preserve"> rozpočtových opatrení </w:t>
      </w:r>
      <w:r w:rsidR="005E58A8">
        <w:rPr>
          <w:rFonts w:ascii="Segoe UI" w:hAnsi="Segoe UI" w:cs="Segoe UI"/>
          <w:b/>
          <w:color w:val="auto"/>
          <w:sz w:val="20"/>
          <w:szCs w:val="20"/>
        </w:rPr>
        <w:t xml:space="preserve">(RO) </w:t>
      </w:r>
      <w:r w:rsidRPr="00EC733A">
        <w:rPr>
          <w:rFonts w:ascii="Segoe UI" w:hAnsi="Segoe UI" w:cs="Segoe UI"/>
          <w:b/>
          <w:color w:val="auto"/>
          <w:sz w:val="20"/>
          <w:szCs w:val="20"/>
        </w:rPr>
        <w:t xml:space="preserve">a z kapitoly VPS bolo uvoľnených celkovo 5 mld. eur. </w:t>
      </w:r>
      <w:r w:rsidRPr="00EC733A">
        <w:rPr>
          <w:rFonts w:ascii="Segoe UI" w:hAnsi="Segoe UI" w:cs="Segoe UI"/>
          <w:color w:val="auto"/>
          <w:sz w:val="20"/>
          <w:szCs w:val="20"/>
        </w:rPr>
        <w:t xml:space="preserve"> </w:t>
      </w:r>
      <w:r w:rsidR="004A2208" w:rsidRPr="00C06D31">
        <w:rPr>
          <w:rFonts w:ascii="Segoe UI" w:hAnsi="Segoe UI" w:cs="Segoe UI"/>
          <w:color w:val="auto"/>
          <w:sz w:val="20"/>
          <w:szCs w:val="20"/>
        </w:rPr>
        <w:t xml:space="preserve">Celkový objem </w:t>
      </w:r>
      <w:r w:rsidR="004A2208">
        <w:rPr>
          <w:rFonts w:ascii="Segoe UI" w:hAnsi="Segoe UI" w:cs="Segoe UI"/>
          <w:color w:val="auto"/>
          <w:sz w:val="20"/>
          <w:szCs w:val="20"/>
        </w:rPr>
        <w:t>RO</w:t>
      </w:r>
      <w:r w:rsidR="004A2208" w:rsidRPr="00C06D31">
        <w:rPr>
          <w:rFonts w:ascii="Segoe UI" w:hAnsi="Segoe UI" w:cs="Segoe UI"/>
          <w:color w:val="auto"/>
          <w:sz w:val="20"/>
          <w:szCs w:val="20"/>
        </w:rPr>
        <w:t xml:space="preserve"> za rok 2023 bol na úrovni 14,2 mld. eur</w:t>
      </w:r>
      <w:r w:rsidR="00D47A29">
        <w:rPr>
          <w:rFonts w:ascii="Segoe UI" w:hAnsi="Segoe UI" w:cs="Segoe UI"/>
          <w:color w:val="auto"/>
          <w:sz w:val="20"/>
          <w:szCs w:val="20"/>
        </w:rPr>
        <w:t xml:space="preserve"> a medziročne vzrástol </w:t>
      </w:r>
      <w:r w:rsidR="004A2208">
        <w:rPr>
          <w:rFonts w:ascii="Segoe UI" w:hAnsi="Segoe UI" w:cs="Segoe UI"/>
          <w:color w:val="auto"/>
          <w:sz w:val="20"/>
          <w:szCs w:val="20"/>
        </w:rPr>
        <w:t xml:space="preserve">o 3,6 mld. eur </w:t>
      </w:r>
      <w:r w:rsidR="004A2208" w:rsidRPr="008A6266">
        <w:rPr>
          <w:rFonts w:ascii="Segoe UI" w:hAnsi="Segoe UI" w:cs="Segoe UI"/>
          <w:color w:val="auto"/>
          <w:sz w:val="20"/>
          <w:szCs w:val="20"/>
        </w:rPr>
        <w:t>(graf 11).</w:t>
      </w:r>
      <w:r w:rsidR="004A2208">
        <w:rPr>
          <w:rFonts w:ascii="Segoe UI" w:hAnsi="Segoe UI" w:cs="Segoe UI"/>
          <w:color w:val="auto"/>
          <w:sz w:val="20"/>
          <w:szCs w:val="20"/>
        </w:rPr>
        <w:t xml:space="preserve"> </w:t>
      </w:r>
    </w:p>
    <w:p w14:paraId="67D0C017" w14:textId="51AC01FC" w:rsidR="004A2208" w:rsidRPr="00EC733A" w:rsidRDefault="004A2208" w:rsidP="004A2208">
      <w:pPr>
        <w:pStyle w:val="Default"/>
        <w:spacing w:after="120" w:line="276" w:lineRule="auto"/>
        <w:jc w:val="both"/>
        <w:rPr>
          <w:rFonts w:ascii="Segoe UI" w:hAnsi="Segoe UI" w:cs="Segoe UI"/>
          <w:b/>
          <w:bCs/>
          <w:color w:val="304363"/>
          <w:sz w:val="20"/>
          <w:szCs w:val="20"/>
        </w:rPr>
      </w:pPr>
      <w:r w:rsidRPr="008A6266">
        <w:rPr>
          <w:rFonts w:ascii="Segoe UI" w:hAnsi="Segoe UI" w:cs="Segoe UI"/>
          <w:color w:val="auto"/>
          <w:sz w:val="20"/>
          <w:szCs w:val="20"/>
        </w:rPr>
        <w:t xml:space="preserve"> </w:t>
      </w:r>
      <w:r w:rsidRPr="00EC733A">
        <w:rPr>
          <w:rFonts w:ascii="Segoe UI" w:hAnsi="Segoe UI" w:cs="Segoe UI"/>
          <w:b/>
          <w:bCs/>
          <w:color w:val="304363"/>
          <w:sz w:val="20"/>
          <w:szCs w:val="20"/>
        </w:rPr>
        <w:t xml:space="preserve">Graf </w:t>
      </w:r>
      <w:r>
        <w:rPr>
          <w:rFonts w:ascii="Segoe UI" w:hAnsi="Segoe UI" w:cs="Segoe UI"/>
          <w:b/>
          <w:bCs/>
          <w:color w:val="304363"/>
          <w:sz w:val="20"/>
          <w:szCs w:val="20"/>
        </w:rPr>
        <w:t>11</w:t>
      </w:r>
      <w:r w:rsidRPr="00EC733A">
        <w:rPr>
          <w:rFonts w:ascii="Segoe UI" w:hAnsi="Segoe UI" w:cs="Segoe UI"/>
          <w:b/>
          <w:bCs/>
          <w:color w:val="304363"/>
          <w:sz w:val="20"/>
          <w:szCs w:val="20"/>
        </w:rPr>
        <w:t xml:space="preserve">: Vývoj </w:t>
      </w:r>
      <w:r>
        <w:rPr>
          <w:rFonts w:ascii="Segoe UI" w:hAnsi="Segoe UI" w:cs="Segoe UI"/>
          <w:b/>
          <w:bCs/>
          <w:color w:val="304363"/>
          <w:sz w:val="20"/>
          <w:szCs w:val="20"/>
        </w:rPr>
        <w:t xml:space="preserve">objemu a </w:t>
      </w:r>
      <w:r w:rsidRPr="00EC733A">
        <w:rPr>
          <w:rFonts w:ascii="Segoe UI" w:hAnsi="Segoe UI" w:cs="Segoe UI"/>
          <w:b/>
          <w:bCs/>
          <w:color w:val="304363"/>
          <w:sz w:val="20"/>
          <w:szCs w:val="20"/>
        </w:rPr>
        <w:t xml:space="preserve">počtu rozpočtových opatrení za obdobie 2012 – 2023 </w:t>
      </w:r>
    </w:p>
    <w:p w14:paraId="4E662632" w14:textId="77777777" w:rsidR="004A2208" w:rsidRPr="00EC733A" w:rsidRDefault="004A2208" w:rsidP="004A2208">
      <w:pPr>
        <w:pStyle w:val="Default"/>
        <w:pBdr>
          <w:top w:val="single" w:sz="4" w:space="1" w:color="auto"/>
          <w:bottom w:val="single" w:sz="4" w:space="1" w:color="auto"/>
        </w:pBdr>
        <w:spacing w:line="276" w:lineRule="auto"/>
        <w:jc w:val="both"/>
        <w:rPr>
          <w:rFonts w:ascii="Segoe UI" w:hAnsi="Segoe UI" w:cs="Segoe UI"/>
          <w:b/>
          <w:bCs/>
          <w:color w:val="304363"/>
          <w:sz w:val="20"/>
          <w:szCs w:val="20"/>
        </w:rPr>
      </w:pPr>
      <w:r>
        <w:rPr>
          <w:noProof/>
          <w:lang w:eastAsia="sk-SK"/>
        </w:rPr>
        <w:drawing>
          <wp:inline distT="0" distB="0" distL="0" distR="0" wp14:anchorId="47B49231" wp14:editId="374DA6A4">
            <wp:extent cx="5759450" cy="1828800"/>
            <wp:effectExtent l="0" t="0" r="0" b="0"/>
            <wp:docPr id="42" name="Graf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ACB3EA6" w14:textId="3FD41EF6" w:rsidR="005E58A8" w:rsidRDefault="004A2208" w:rsidP="004A2208">
      <w:pPr>
        <w:pStyle w:val="Zdroj"/>
      </w:pPr>
      <w:r>
        <w:t>Zdroj: rozpocet.sk</w:t>
      </w:r>
    </w:p>
    <w:p w14:paraId="47A2E03D" w14:textId="4CDEB1F4" w:rsidR="00B151EE" w:rsidRDefault="00B151EE" w:rsidP="00B151EE">
      <w:pPr>
        <w:pStyle w:val="Default"/>
        <w:spacing w:after="120" w:line="276" w:lineRule="auto"/>
        <w:jc w:val="both"/>
        <w:rPr>
          <w:rFonts w:ascii="Segoe UI" w:hAnsi="Segoe UI" w:cs="Segoe UI"/>
          <w:bCs/>
          <w:sz w:val="20"/>
          <w:szCs w:val="20"/>
        </w:rPr>
      </w:pPr>
      <w:r w:rsidRPr="00B151EE">
        <w:rPr>
          <w:rFonts w:ascii="Segoe UI" w:hAnsi="Segoe UI" w:cs="Segoe UI"/>
          <w:b/>
          <w:bCs/>
          <w:sz w:val="20"/>
          <w:szCs w:val="20"/>
        </w:rPr>
        <w:lastRenderedPageBreak/>
        <w:t>Takmer 2 mld. eur bolo presunutých do štyroch kapitol</w:t>
      </w:r>
      <w:r w:rsidRPr="00B151EE">
        <w:rPr>
          <w:rFonts w:ascii="Segoe UI" w:hAnsi="Segoe UI" w:cs="Segoe UI"/>
          <w:b/>
          <w:bCs/>
          <w:sz w:val="20"/>
          <w:szCs w:val="20"/>
          <w:lang w:val="en-US"/>
        </w:rPr>
        <w:t>;</w:t>
      </w:r>
      <w:r w:rsidRPr="00B151EE">
        <w:rPr>
          <w:rFonts w:ascii="Segoe UI" w:hAnsi="Segoe UI" w:cs="Segoe UI"/>
          <w:b/>
          <w:bCs/>
          <w:sz w:val="20"/>
          <w:szCs w:val="20"/>
        </w:rPr>
        <w:t xml:space="preserve"> najväčšie presuny zaznamenali kapitoly MPSVR SR (981 mil. eur), MZ SR (363 mil. eur), MD SR (332 mil. eur) a MŠVVa</w:t>
      </w:r>
      <w:r w:rsidR="00B74DF2">
        <w:rPr>
          <w:rFonts w:ascii="Segoe UI" w:hAnsi="Segoe UI" w:cs="Segoe UI"/>
          <w:b/>
          <w:bCs/>
          <w:sz w:val="20"/>
          <w:szCs w:val="20"/>
        </w:rPr>
        <w:t>Š</w:t>
      </w:r>
      <w:r w:rsidRPr="00B151EE">
        <w:rPr>
          <w:rFonts w:ascii="Segoe UI" w:hAnsi="Segoe UI" w:cs="Segoe UI"/>
          <w:b/>
          <w:bCs/>
          <w:sz w:val="20"/>
          <w:szCs w:val="20"/>
        </w:rPr>
        <w:t xml:space="preserve"> SR (326 mil. eur).</w:t>
      </w:r>
      <w:r w:rsidRPr="00EC733A">
        <w:rPr>
          <w:rFonts w:ascii="Segoe UI" w:hAnsi="Segoe UI" w:cs="Segoe UI"/>
          <w:bCs/>
          <w:sz w:val="20"/>
          <w:szCs w:val="20"/>
        </w:rPr>
        <w:t xml:space="preserve"> Najvyššia čiastka v rámci RO za minulý rok bola presunutá z ministerstva práce do kapitoly VPS, a to 900 mil. eur</w:t>
      </w:r>
      <w:r>
        <w:rPr>
          <w:rFonts w:ascii="Segoe UI" w:hAnsi="Segoe UI" w:cs="Segoe UI"/>
          <w:bCs/>
          <w:sz w:val="20"/>
          <w:szCs w:val="20"/>
        </w:rPr>
        <w:t xml:space="preserve"> určených</w:t>
      </w:r>
      <w:r w:rsidRPr="00EC733A">
        <w:rPr>
          <w:rFonts w:ascii="Segoe UI" w:hAnsi="Segoe UI" w:cs="Segoe UI"/>
          <w:bCs/>
          <w:sz w:val="20"/>
          <w:szCs w:val="20"/>
        </w:rPr>
        <w:t xml:space="preserve"> na kompenzačné opatrenia v súvislosti s rastom cien energií.</w:t>
      </w:r>
    </w:p>
    <w:p w14:paraId="3C12B30C" w14:textId="77777777" w:rsidR="000763B9" w:rsidRPr="0009273B" w:rsidRDefault="000763B9" w:rsidP="000763B9">
      <w:pPr>
        <w:autoSpaceDE w:val="0"/>
        <w:autoSpaceDN w:val="0"/>
        <w:adjustRightInd w:val="0"/>
        <w:spacing w:after="0"/>
        <w:rPr>
          <w:rFonts w:cs="Segoe UI"/>
          <w:color w:val="000000" w:themeColor="text1"/>
          <w:szCs w:val="20"/>
        </w:rPr>
      </w:pPr>
      <w:r w:rsidRPr="0009273B">
        <w:rPr>
          <w:rFonts w:cs="Segoe UI"/>
          <w:color w:val="000000" w:themeColor="text1"/>
          <w:szCs w:val="20"/>
        </w:rPr>
        <w:t xml:space="preserve">Najväčšie RO vo vybraných kapitolách boli: </w:t>
      </w:r>
    </w:p>
    <w:p w14:paraId="346BA0C3" w14:textId="783FDDD1" w:rsidR="000763B9" w:rsidRPr="0009273B" w:rsidRDefault="000763B9" w:rsidP="000763B9">
      <w:pPr>
        <w:numPr>
          <w:ilvl w:val="0"/>
          <w:numId w:val="13"/>
        </w:numPr>
        <w:autoSpaceDE w:val="0"/>
        <w:autoSpaceDN w:val="0"/>
        <w:adjustRightInd w:val="0"/>
        <w:spacing w:after="88"/>
        <w:rPr>
          <w:rFonts w:cs="Segoe UI"/>
          <w:color w:val="000000" w:themeColor="text1"/>
          <w:szCs w:val="20"/>
        </w:rPr>
      </w:pPr>
      <w:r w:rsidRPr="0009273B">
        <w:rPr>
          <w:rFonts w:cs="Segoe UI"/>
          <w:color w:val="000000" w:themeColor="text1"/>
          <w:szCs w:val="20"/>
        </w:rPr>
        <w:t xml:space="preserve">prekročenie limitu výdavkov v kapitole </w:t>
      </w:r>
      <w:r w:rsidRPr="0009273B">
        <w:rPr>
          <w:rFonts w:cs="Segoe UI"/>
          <w:b/>
          <w:bCs/>
          <w:color w:val="000000" w:themeColor="text1"/>
          <w:szCs w:val="20"/>
        </w:rPr>
        <w:t xml:space="preserve">MPSVR SR </w:t>
      </w:r>
      <w:r w:rsidRPr="0009273B">
        <w:rPr>
          <w:rFonts w:cs="Segoe UI"/>
          <w:color w:val="000000" w:themeColor="text1"/>
          <w:szCs w:val="20"/>
        </w:rPr>
        <w:t xml:space="preserve">o </w:t>
      </w:r>
      <w:r w:rsidRPr="0009273B">
        <w:rPr>
          <w:rFonts w:cs="Segoe UI"/>
          <w:b/>
          <w:bCs/>
          <w:color w:val="000000" w:themeColor="text1"/>
          <w:szCs w:val="20"/>
        </w:rPr>
        <w:t xml:space="preserve">438,6 mil. eur </w:t>
      </w:r>
      <w:r w:rsidRPr="0009273B">
        <w:rPr>
          <w:rFonts w:cs="Segoe UI"/>
          <w:color w:val="000000" w:themeColor="text1"/>
          <w:szCs w:val="20"/>
        </w:rPr>
        <w:t>(prostriedky z kapitoly VPS) –</w:t>
      </w:r>
      <w:r w:rsidRPr="0009273B">
        <w:rPr>
          <w:rFonts w:cs="Segoe UI"/>
          <w:color w:val="000000" w:themeColor="text1"/>
          <w:sz w:val="24"/>
          <w:szCs w:val="24"/>
        </w:rPr>
        <w:t xml:space="preserve"> </w:t>
      </w:r>
      <w:r w:rsidRPr="0009273B">
        <w:rPr>
          <w:rFonts w:cs="Segoe UI"/>
          <w:color w:val="000000" w:themeColor="text1"/>
          <w:szCs w:val="20"/>
        </w:rPr>
        <w:t>na dofinancovanie 13. dôchodku v súlade s novelou zákona č. 296/2020 Z. z.,</w:t>
      </w:r>
      <w:r>
        <w:rPr>
          <w:rFonts w:cs="Segoe UI"/>
          <w:color w:val="000000" w:themeColor="text1"/>
          <w:szCs w:val="20"/>
        </w:rPr>
        <w:t xml:space="preserve"> a o </w:t>
      </w:r>
      <w:r w:rsidRPr="003F270C">
        <w:rPr>
          <w:rFonts w:cs="Segoe UI"/>
          <w:b/>
          <w:color w:val="000000" w:themeColor="text1"/>
          <w:szCs w:val="20"/>
        </w:rPr>
        <w:t xml:space="preserve">269,3 mil. eur </w:t>
      </w:r>
      <w:r w:rsidRPr="0009273B">
        <w:rPr>
          <w:rFonts w:cs="Segoe UI"/>
          <w:color w:val="000000" w:themeColor="text1"/>
          <w:szCs w:val="20"/>
        </w:rPr>
        <w:t>(prostriedky z kapitoly VPS)</w:t>
      </w:r>
      <w:r>
        <w:rPr>
          <w:rFonts w:cs="Segoe UI"/>
          <w:color w:val="000000" w:themeColor="text1"/>
          <w:szCs w:val="20"/>
        </w:rPr>
        <w:t xml:space="preserve"> </w:t>
      </w:r>
      <w:r w:rsidRPr="003F270C">
        <w:rPr>
          <w:rFonts w:cs="Segoe UI"/>
          <w:color w:val="000000" w:themeColor="text1"/>
          <w:szCs w:val="20"/>
        </w:rPr>
        <w:t>– na prídavok na dieťa a prídavok pre prvákov v súlade s novelou zákona č. 600/2003 Z. z., a na príspevok na opatrovanie pre poberateľov dôchodkovej dávky v súlade s novelou zákona č. 447/2008 Z. z.</w:t>
      </w:r>
      <w:r w:rsidR="006D3199">
        <w:rPr>
          <w:rFonts w:cs="Segoe UI"/>
          <w:color w:val="000000" w:themeColor="text1"/>
          <w:szCs w:val="20"/>
          <w:lang w:val="en-US"/>
        </w:rPr>
        <w:t>;</w:t>
      </w:r>
    </w:p>
    <w:p w14:paraId="200324AB" w14:textId="771C3F33" w:rsidR="000763B9" w:rsidRDefault="000763B9" w:rsidP="000763B9">
      <w:pPr>
        <w:numPr>
          <w:ilvl w:val="0"/>
          <w:numId w:val="13"/>
        </w:numPr>
        <w:autoSpaceDE w:val="0"/>
        <w:autoSpaceDN w:val="0"/>
        <w:adjustRightInd w:val="0"/>
        <w:spacing w:after="88"/>
        <w:rPr>
          <w:rFonts w:cs="Segoe UI"/>
          <w:color w:val="000000" w:themeColor="text1"/>
          <w:szCs w:val="20"/>
        </w:rPr>
      </w:pPr>
      <w:r w:rsidRPr="0009273B">
        <w:rPr>
          <w:rFonts w:cs="Segoe UI"/>
          <w:color w:val="000000" w:themeColor="text1"/>
          <w:szCs w:val="20"/>
        </w:rPr>
        <w:t xml:space="preserve">prekročenie limitu výdavkov v kapitole </w:t>
      </w:r>
      <w:r w:rsidRPr="0009273B">
        <w:rPr>
          <w:rFonts w:cs="Segoe UI"/>
          <w:b/>
          <w:bCs/>
          <w:color w:val="000000" w:themeColor="text1"/>
          <w:szCs w:val="20"/>
        </w:rPr>
        <w:t xml:space="preserve">MZ SR </w:t>
      </w:r>
      <w:r w:rsidRPr="0009273B">
        <w:rPr>
          <w:rFonts w:cs="Segoe UI"/>
          <w:color w:val="000000" w:themeColor="text1"/>
          <w:szCs w:val="20"/>
        </w:rPr>
        <w:t>o </w:t>
      </w:r>
      <w:r w:rsidRPr="0009273B">
        <w:rPr>
          <w:rFonts w:cs="Segoe UI"/>
          <w:b/>
          <w:bCs/>
          <w:color w:val="000000" w:themeColor="text1"/>
          <w:szCs w:val="20"/>
        </w:rPr>
        <w:t xml:space="preserve">316,3 mil. eur </w:t>
      </w:r>
      <w:r w:rsidRPr="0009273B">
        <w:rPr>
          <w:rFonts w:cs="Segoe UI"/>
          <w:color w:val="000000" w:themeColor="text1"/>
          <w:szCs w:val="20"/>
        </w:rPr>
        <w:t>(prostriedky z kapitoly VPS) –   na dofinancova</w:t>
      </w:r>
      <w:r w:rsidR="006D3199">
        <w:rPr>
          <w:rFonts w:cs="Segoe UI"/>
          <w:color w:val="000000" w:themeColor="text1"/>
          <w:szCs w:val="20"/>
        </w:rPr>
        <w:t>nie platby za poistencov štátu;</w:t>
      </w:r>
    </w:p>
    <w:p w14:paraId="33A28711" w14:textId="4067C5F6" w:rsidR="000763B9" w:rsidRDefault="000763B9" w:rsidP="000763B9">
      <w:pPr>
        <w:numPr>
          <w:ilvl w:val="0"/>
          <w:numId w:val="13"/>
        </w:numPr>
        <w:autoSpaceDE w:val="0"/>
        <w:autoSpaceDN w:val="0"/>
        <w:adjustRightInd w:val="0"/>
        <w:spacing w:after="88"/>
        <w:rPr>
          <w:rFonts w:cs="Segoe UI"/>
          <w:color w:val="000000" w:themeColor="text1"/>
          <w:szCs w:val="20"/>
        </w:rPr>
      </w:pPr>
      <w:r w:rsidRPr="00BE5A90">
        <w:rPr>
          <w:rFonts w:cs="Segoe UI"/>
          <w:color w:val="000000" w:themeColor="text1"/>
          <w:szCs w:val="20"/>
        </w:rPr>
        <w:t>prekročen</w:t>
      </w:r>
      <w:r>
        <w:rPr>
          <w:rFonts w:cs="Segoe UI"/>
          <w:color w:val="000000" w:themeColor="text1"/>
          <w:szCs w:val="20"/>
        </w:rPr>
        <w:t xml:space="preserve">ie limitu výdavkov v kapitole </w:t>
      </w:r>
      <w:r w:rsidRPr="00BE5A90">
        <w:rPr>
          <w:rFonts w:cs="Segoe UI"/>
          <w:b/>
          <w:color w:val="000000" w:themeColor="text1"/>
          <w:szCs w:val="20"/>
        </w:rPr>
        <w:t>MD SR</w:t>
      </w:r>
      <w:r>
        <w:rPr>
          <w:rFonts w:cs="Segoe UI"/>
          <w:color w:val="000000" w:themeColor="text1"/>
          <w:szCs w:val="20"/>
        </w:rPr>
        <w:t xml:space="preserve"> o </w:t>
      </w:r>
      <w:r w:rsidRPr="00BE5A90">
        <w:rPr>
          <w:rFonts w:cs="Segoe UI"/>
          <w:b/>
          <w:color w:val="000000" w:themeColor="text1"/>
          <w:szCs w:val="20"/>
        </w:rPr>
        <w:t>150,8 mil. eur</w:t>
      </w:r>
      <w:r w:rsidRPr="00BE5A90">
        <w:rPr>
          <w:rFonts w:cs="Segoe UI"/>
          <w:color w:val="000000" w:themeColor="text1"/>
          <w:szCs w:val="20"/>
        </w:rPr>
        <w:t xml:space="preserve"> (</w:t>
      </w:r>
      <w:r>
        <w:rPr>
          <w:rFonts w:cs="Segoe UI"/>
          <w:color w:val="000000" w:themeColor="text1"/>
          <w:szCs w:val="20"/>
        </w:rPr>
        <w:t xml:space="preserve">prostriedky z kapitoly VPS) – </w:t>
      </w:r>
      <w:r w:rsidRPr="00BE5A90">
        <w:rPr>
          <w:rFonts w:cs="Segoe UI"/>
          <w:color w:val="000000" w:themeColor="text1"/>
          <w:szCs w:val="20"/>
        </w:rPr>
        <w:t xml:space="preserve">pre ŽSR na prevádzku </w:t>
      </w:r>
      <w:r w:rsidR="006D3199">
        <w:rPr>
          <w:rFonts w:cs="Segoe UI"/>
          <w:color w:val="000000" w:themeColor="text1"/>
          <w:szCs w:val="20"/>
        </w:rPr>
        <w:t>železničnej infraštruktúry;</w:t>
      </w:r>
    </w:p>
    <w:p w14:paraId="7D2473EF" w14:textId="68906B6A" w:rsidR="000763B9" w:rsidRPr="0009273B" w:rsidRDefault="000763B9" w:rsidP="000763B9">
      <w:pPr>
        <w:numPr>
          <w:ilvl w:val="0"/>
          <w:numId w:val="13"/>
        </w:numPr>
        <w:autoSpaceDE w:val="0"/>
        <w:autoSpaceDN w:val="0"/>
        <w:adjustRightInd w:val="0"/>
        <w:spacing w:after="88"/>
        <w:rPr>
          <w:rFonts w:cs="Segoe UI"/>
          <w:color w:val="000000" w:themeColor="text1"/>
          <w:szCs w:val="20"/>
        </w:rPr>
      </w:pPr>
      <w:r w:rsidRPr="00BE5A90">
        <w:rPr>
          <w:rFonts w:cs="Segoe UI"/>
          <w:color w:val="000000" w:themeColor="text1"/>
          <w:szCs w:val="20"/>
        </w:rPr>
        <w:t>prekročen</w:t>
      </w:r>
      <w:r>
        <w:rPr>
          <w:rFonts w:cs="Segoe UI"/>
          <w:color w:val="000000" w:themeColor="text1"/>
          <w:szCs w:val="20"/>
        </w:rPr>
        <w:t xml:space="preserve">ie limitu výdavkov v kapitole </w:t>
      </w:r>
      <w:r>
        <w:rPr>
          <w:rFonts w:cs="Segoe UI"/>
          <w:b/>
          <w:color w:val="000000" w:themeColor="text1"/>
          <w:szCs w:val="20"/>
        </w:rPr>
        <w:t>MŠVV</w:t>
      </w:r>
      <w:r w:rsidR="006D3199">
        <w:rPr>
          <w:rFonts w:cs="Segoe UI"/>
          <w:b/>
          <w:color w:val="000000" w:themeColor="text1"/>
          <w:szCs w:val="20"/>
        </w:rPr>
        <w:t>a</w:t>
      </w:r>
      <w:r w:rsidR="00B74DF2">
        <w:rPr>
          <w:rFonts w:cs="Segoe UI"/>
          <w:b/>
          <w:color w:val="000000" w:themeColor="text1"/>
          <w:szCs w:val="20"/>
        </w:rPr>
        <w:t>Š</w:t>
      </w:r>
      <w:r w:rsidRPr="00BE5A90">
        <w:rPr>
          <w:rFonts w:cs="Segoe UI"/>
          <w:b/>
          <w:color w:val="000000" w:themeColor="text1"/>
          <w:szCs w:val="20"/>
        </w:rPr>
        <w:t xml:space="preserve"> SR</w:t>
      </w:r>
      <w:r>
        <w:rPr>
          <w:rFonts w:cs="Segoe UI"/>
          <w:color w:val="000000" w:themeColor="text1"/>
          <w:szCs w:val="20"/>
        </w:rPr>
        <w:t xml:space="preserve"> o </w:t>
      </w:r>
      <w:r>
        <w:rPr>
          <w:rFonts w:cs="Segoe UI"/>
          <w:b/>
          <w:color w:val="000000" w:themeColor="text1"/>
          <w:szCs w:val="20"/>
        </w:rPr>
        <w:t>146,</w:t>
      </w:r>
      <w:r w:rsidR="005E58A8">
        <w:rPr>
          <w:rFonts w:cs="Segoe UI"/>
          <w:b/>
          <w:color w:val="000000" w:themeColor="text1"/>
          <w:szCs w:val="20"/>
        </w:rPr>
        <w:t>2</w:t>
      </w:r>
      <w:r w:rsidRPr="00BE5A90">
        <w:rPr>
          <w:rFonts w:cs="Segoe UI"/>
          <w:b/>
          <w:color w:val="000000" w:themeColor="text1"/>
          <w:szCs w:val="20"/>
        </w:rPr>
        <w:t xml:space="preserve"> mil. eur</w:t>
      </w:r>
      <w:r w:rsidRPr="00BE5A90">
        <w:rPr>
          <w:rFonts w:cs="Segoe UI"/>
          <w:color w:val="000000" w:themeColor="text1"/>
          <w:szCs w:val="20"/>
        </w:rPr>
        <w:t xml:space="preserve"> (</w:t>
      </w:r>
      <w:r>
        <w:rPr>
          <w:rFonts w:cs="Segoe UI"/>
          <w:color w:val="000000" w:themeColor="text1"/>
          <w:szCs w:val="20"/>
        </w:rPr>
        <w:t xml:space="preserve">prostriedky z kapitoly VPS) – </w:t>
      </w:r>
      <w:r w:rsidRPr="00E10219">
        <w:rPr>
          <w:rFonts w:cs="Segoe UI"/>
          <w:color w:val="000000" w:themeColor="text1"/>
          <w:szCs w:val="20"/>
        </w:rPr>
        <w:t xml:space="preserve">na </w:t>
      </w:r>
      <w:r>
        <w:rPr>
          <w:rFonts w:cs="Segoe UI"/>
          <w:color w:val="000000" w:themeColor="text1"/>
          <w:szCs w:val="20"/>
        </w:rPr>
        <w:t>úhradu výdavkov energií v školstve.</w:t>
      </w:r>
    </w:p>
    <w:p w14:paraId="67D7481D" w14:textId="3259A2E1" w:rsidR="000763B9" w:rsidRPr="00946B24" w:rsidRDefault="006D3199" w:rsidP="000763B9">
      <w:r w:rsidRPr="006D3199">
        <w:rPr>
          <w:rFonts w:cs="Segoe UI"/>
          <w:b/>
          <w:color w:val="000000"/>
          <w:szCs w:val="20"/>
        </w:rPr>
        <w:t>V prípade POO bolo začiatkom roka presunutých z predchádzajúcich rokov celkovo 1,5</w:t>
      </w:r>
      <w:r w:rsidR="005E58A8">
        <w:rPr>
          <w:rFonts w:cs="Segoe UI"/>
          <w:b/>
          <w:color w:val="000000"/>
          <w:szCs w:val="20"/>
        </w:rPr>
        <w:t>8</w:t>
      </w:r>
      <w:r w:rsidRPr="006D3199">
        <w:rPr>
          <w:rFonts w:cs="Segoe UI"/>
          <w:b/>
          <w:color w:val="000000"/>
          <w:szCs w:val="20"/>
        </w:rPr>
        <w:t xml:space="preserve"> mld. eur. </w:t>
      </w:r>
      <w:r>
        <w:rPr>
          <w:rFonts w:cs="Segoe UI"/>
          <w:color w:val="000000"/>
          <w:szCs w:val="20"/>
        </w:rPr>
        <w:t xml:space="preserve"> Na presune sa najviac podieľali rezorty školstva – 388 mil. eur, zdravotníctva – 227 mil. eur a životného prostredia </w:t>
      </w:r>
      <w:r w:rsidRPr="00DD7337">
        <w:rPr>
          <w:rFonts w:cs="Segoe UI"/>
          <w:color w:val="000000"/>
          <w:szCs w:val="20"/>
        </w:rPr>
        <w:t>– 209 mil. eur.</w:t>
      </w:r>
      <w:r>
        <w:t xml:space="preserve"> </w:t>
      </w:r>
      <w:r w:rsidR="000763B9" w:rsidRPr="0003410A">
        <w:rPr>
          <w:rFonts w:cs="Segoe UI"/>
          <w:color w:val="000000"/>
          <w:szCs w:val="20"/>
        </w:rPr>
        <w:t xml:space="preserve">Najväčšie presuny z predchádzajúcich rokov zaznamenali </w:t>
      </w:r>
      <w:r>
        <w:rPr>
          <w:rFonts w:cs="Segoe UI"/>
          <w:color w:val="000000"/>
          <w:szCs w:val="20"/>
        </w:rPr>
        <w:t>m</w:t>
      </w:r>
      <w:r w:rsidR="000763B9" w:rsidRPr="0003410A">
        <w:rPr>
          <w:rFonts w:cs="Segoe UI"/>
          <w:color w:val="000000"/>
          <w:szCs w:val="20"/>
        </w:rPr>
        <w:t xml:space="preserve">inisterstvo pôdohospodárstva – 1,46 mld. eur, </w:t>
      </w:r>
      <w:r>
        <w:rPr>
          <w:rFonts w:cs="Segoe UI"/>
          <w:color w:val="000000"/>
          <w:szCs w:val="20"/>
        </w:rPr>
        <w:t>m</w:t>
      </w:r>
      <w:r w:rsidR="000763B9" w:rsidRPr="0003410A">
        <w:rPr>
          <w:rFonts w:cs="Segoe UI"/>
          <w:color w:val="000000"/>
          <w:szCs w:val="20"/>
        </w:rPr>
        <w:t xml:space="preserve">inisterstvo hospodárstva – 1,26 mld. eur, </w:t>
      </w:r>
      <w:r>
        <w:rPr>
          <w:rFonts w:cs="Segoe UI"/>
          <w:color w:val="000000"/>
          <w:szCs w:val="20"/>
        </w:rPr>
        <w:t>m</w:t>
      </w:r>
      <w:r w:rsidR="000763B9" w:rsidRPr="0003410A">
        <w:rPr>
          <w:rFonts w:cs="Segoe UI"/>
          <w:color w:val="000000"/>
          <w:szCs w:val="20"/>
        </w:rPr>
        <w:t xml:space="preserve">inisterstvo dopravy – 957,9 mil. eur a </w:t>
      </w:r>
      <w:r>
        <w:rPr>
          <w:rFonts w:cs="Segoe UI"/>
          <w:color w:val="000000"/>
          <w:szCs w:val="20"/>
        </w:rPr>
        <w:t>m</w:t>
      </w:r>
      <w:r w:rsidR="000763B9" w:rsidRPr="0003410A">
        <w:rPr>
          <w:rFonts w:cs="Segoe UI"/>
          <w:color w:val="000000"/>
          <w:szCs w:val="20"/>
        </w:rPr>
        <w:t>inisterstvo investícií – 703,2 mil.</w:t>
      </w:r>
      <w:r w:rsidR="000763B9">
        <w:rPr>
          <w:rFonts w:cs="Segoe UI"/>
          <w:color w:val="000000"/>
          <w:szCs w:val="20"/>
        </w:rPr>
        <w:t xml:space="preserve"> </w:t>
      </w:r>
      <w:r w:rsidR="003B2095">
        <w:rPr>
          <w:rFonts w:cs="Segoe UI"/>
          <w:color w:val="000000"/>
          <w:szCs w:val="20"/>
        </w:rPr>
        <w:t xml:space="preserve">eur. </w:t>
      </w:r>
      <w:r w:rsidR="000763B9" w:rsidRPr="008160E7">
        <w:rPr>
          <w:rFonts w:cs="Segoe UI"/>
          <w:color w:val="000000"/>
          <w:szCs w:val="20"/>
        </w:rPr>
        <w:t>NKÚ SR dlhodobo upozorňuje na problém s čerpaním a na vysoké sumy presúvaných finančných prostriedkov.</w:t>
      </w:r>
    </w:p>
    <w:p w14:paraId="24C4A511" w14:textId="05F491CD" w:rsidR="001F22A4" w:rsidRDefault="00131776" w:rsidP="005603E6">
      <w:pPr>
        <w:pStyle w:val="Nadpis3"/>
      </w:pPr>
      <w:bookmarkStart w:id="19" w:name="_Toc168567188"/>
      <w:r>
        <w:t>3.</w:t>
      </w:r>
      <w:r w:rsidR="00160F4C">
        <w:t>3</w:t>
      </w:r>
      <w:r>
        <w:t xml:space="preserve">.2 </w:t>
      </w:r>
      <w:r w:rsidR="00E43045">
        <w:t xml:space="preserve"> </w:t>
      </w:r>
      <w:r w:rsidR="001F22A4">
        <w:t>Investície</w:t>
      </w:r>
      <w:bookmarkEnd w:id="19"/>
    </w:p>
    <w:p w14:paraId="2EAD721C" w14:textId="319FB829" w:rsidR="00AA6043" w:rsidRDefault="00AA6043" w:rsidP="00AA6043">
      <w:pPr>
        <w:rPr>
          <w:rFonts w:cs="Segoe UI"/>
          <w:color w:val="000000"/>
          <w:szCs w:val="20"/>
        </w:rPr>
      </w:pPr>
      <w:r w:rsidRPr="001B0ECE">
        <w:rPr>
          <w:rFonts w:cs="Segoe UI"/>
          <w:b/>
          <w:color w:val="000000"/>
          <w:szCs w:val="20"/>
        </w:rPr>
        <w:t>Rozpočet kapitálových výdavkov na rok 2023 predstavoval 5,95 mld. eur, ktor</w:t>
      </w:r>
      <w:r w:rsidR="006D3199">
        <w:rPr>
          <w:rFonts w:cs="Segoe UI"/>
          <w:b/>
          <w:color w:val="000000"/>
          <w:szCs w:val="20"/>
        </w:rPr>
        <w:t>é</w:t>
      </w:r>
      <w:r w:rsidRPr="001B0ECE">
        <w:rPr>
          <w:rFonts w:cs="Segoe UI"/>
          <w:b/>
          <w:color w:val="000000"/>
          <w:szCs w:val="20"/>
        </w:rPr>
        <w:t xml:space="preserve"> sa </w:t>
      </w:r>
      <w:r w:rsidR="004F4F5E">
        <w:rPr>
          <w:rFonts w:cs="Segoe UI"/>
          <w:b/>
          <w:color w:val="000000"/>
          <w:szCs w:val="20"/>
        </w:rPr>
        <w:t xml:space="preserve">počas roka </w:t>
      </w:r>
      <w:r w:rsidR="00F3759F">
        <w:rPr>
          <w:rFonts w:cs="Segoe UI"/>
          <w:b/>
          <w:color w:val="000000"/>
          <w:szCs w:val="20"/>
        </w:rPr>
        <w:t>cez RO</w:t>
      </w:r>
      <w:r w:rsidRPr="001B0ECE">
        <w:rPr>
          <w:rFonts w:cs="Segoe UI"/>
          <w:b/>
          <w:color w:val="000000"/>
          <w:szCs w:val="20"/>
        </w:rPr>
        <w:t xml:space="preserve"> znížil</w:t>
      </w:r>
      <w:r w:rsidR="006D3199">
        <w:rPr>
          <w:rFonts w:cs="Segoe UI"/>
          <w:b/>
          <w:color w:val="000000"/>
          <w:szCs w:val="20"/>
        </w:rPr>
        <w:t>i</w:t>
      </w:r>
      <w:r w:rsidRPr="001B0ECE">
        <w:rPr>
          <w:rFonts w:cs="Segoe UI"/>
          <w:b/>
          <w:color w:val="000000"/>
          <w:szCs w:val="20"/>
        </w:rPr>
        <w:t xml:space="preserve"> </w:t>
      </w:r>
      <w:r>
        <w:rPr>
          <w:rFonts w:cs="Segoe UI"/>
          <w:b/>
          <w:color w:val="000000"/>
          <w:szCs w:val="20"/>
        </w:rPr>
        <w:t>na 4,76</w:t>
      </w:r>
      <w:r w:rsidR="004F4F5E">
        <w:rPr>
          <w:rFonts w:cs="Segoe UI"/>
          <w:b/>
          <w:color w:val="000000"/>
          <w:szCs w:val="20"/>
        </w:rPr>
        <w:t xml:space="preserve"> mld. eur a skutočne sa vyčerpalo</w:t>
      </w:r>
      <w:r w:rsidRPr="00E07847">
        <w:rPr>
          <w:rFonts w:cs="Segoe UI"/>
          <w:color w:val="000000"/>
          <w:szCs w:val="20"/>
        </w:rPr>
        <w:t xml:space="preserve"> </w:t>
      </w:r>
      <w:r w:rsidRPr="004F4F5E">
        <w:rPr>
          <w:rFonts w:cs="Segoe UI"/>
          <w:b/>
          <w:color w:val="000000"/>
          <w:szCs w:val="20"/>
        </w:rPr>
        <w:t>4,71 mld. eur.</w:t>
      </w:r>
      <w:r w:rsidRPr="00E07847">
        <w:rPr>
          <w:rFonts w:cs="Segoe UI"/>
          <w:color w:val="000000"/>
          <w:szCs w:val="20"/>
        </w:rPr>
        <w:t xml:space="preserve"> Najviac kapitálových výdavkov</w:t>
      </w:r>
      <w:r w:rsidR="004F4F5E">
        <w:rPr>
          <w:rFonts w:cs="Segoe UI"/>
          <w:color w:val="000000"/>
          <w:szCs w:val="20"/>
        </w:rPr>
        <w:t xml:space="preserve"> v roku 2023</w:t>
      </w:r>
      <w:r w:rsidRPr="00E07847">
        <w:rPr>
          <w:rFonts w:cs="Segoe UI"/>
          <w:color w:val="000000"/>
          <w:szCs w:val="20"/>
        </w:rPr>
        <w:t xml:space="preserve"> smerovalo do kapitol MD SR (1,5 mld. eur), MIRRI SR (919 mil. eur) a MO SR (640 mil. eur). </w:t>
      </w:r>
    </w:p>
    <w:p w14:paraId="4EFF7004" w14:textId="0F4849FA" w:rsidR="00AA6043" w:rsidRPr="00E07847" w:rsidRDefault="00AA6043" w:rsidP="00AA6043">
      <w:pPr>
        <w:rPr>
          <w:rFonts w:cs="Segoe UI"/>
          <w:szCs w:val="20"/>
        </w:rPr>
      </w:pPr>
      <w:r w:rsidRPr="00E07847">
        <w:rPr>
          <w:rFonts w:cs="Segoe UI"/>
          <w:b/>
          <w:szCs w:val="20"/>
        </w:rPr>
        <w:t xml:space="preserve">Najväčší podiel investícií v rámci ŠR v roku 2023 </w:t>
      </w:r>
      <w:r w:rsidR="006D3199">
        <w:rPr>
          <w:rFonts w:cs="Segoe UI"/>
          <w:b/>
          <w:szCs w:val="20"/>
        </w:rPr>
        <w:t>pripadá na</w:t>
      </w:r>
      <w:r w:rsidRPr="00E07847">
        <w:rPr>
          <w:rFonts w:cs="Segoe UI"/>
          <w:b/>
          <w:szCs w:val="20"/>
        </w:rPr>
        <w:t xml:space="preserve"> kapitol</w:t>
      </w:r>
      <w:r w:rsidR="006D3199">
        <w:rPr>
          <w:rFonts w:cs="Segoe UI"/>
          <w:b/>
          <w:szCs w:val="20"/>
        </w:rPr>
        <w:t>u</w:t>
      </w:r>
      <w:r w:rsidRPr="00E07847">
        <w:rPr>
          <w:rFonts w:cs="Segoe UI"/>
          <w:b/>
          <w:szCs w:val="20"/>
        </w:rPr>
        <w:t xml:space="preserve"> MD SR v celkovej výške 1,4</w:t>
      </w:r>
      <w:r w:rsidR="008E52B7">
        <w:rPr>
          <w:rFonts w:cs="Segoe UI"/>
          <w:b/>
          <w:szCs w:val="20"/>
        </w:rPr>
        <w:t>6</w:t>
      </w:r>
      <w:r w:rsidRPr="00E07847">
        <w:rPr>
          <w:rFonts w:cs="Segoe UI"/>
          <w:b/>
          <w:szCs w:val="20"/>
        </w:rPr>
        <w:t xml:space="preserve"> mld. eur</w:t>
      </w:r>
      <w:r>
        <w:rPr>
          <w:rFonts w:cs="Segoe UI"/>
          <w:b/>
          <w:szCs w:val="20"/>
        </w:rPr>
        <w:t>,</w:t>
      </w:r>
      <w:r w:rsidRPr="00E07847">
        <w:rPr>
          <w:rFonts w:cs="Segoe UI"/>
          <w:b/>
          <w:szCs w:val="20"/>
        </w:rPr>
        <w:t xml:space="preserve"> m</w:t>
      </w:r>
      <w:r>
        <w:rPr>
          <w:rFonts w:cs="Segoe UI"/>
          <w:b/>
          <w:szCs w:val="20"/>
        </w:rPr>
        <w:t xml:space="preserve">edziročne o 603 mil. eur viac. </w:t>
      </w:r>
      <w:r w:rsidRPr="00E07847">
        <w:rPr>
          <w:rFonts w:cs="Segoe UI"/>
          <w:szCs w:val="20"/>
        </w:rPr>
        <w:t xml:space="preserve">Ku koncu roka bolo čerpanie výdavkov na úrovni </w:t>
      </w:r>
      <w:r w:rsidR="005E58A8">
        <w:rPr>
          <w:rFonts w:cs="Segoe UI"/>
          <w:szCs w:val="20"/>
        </w:rPr>
        <w:t>8</w:t>
      </w:r>
      <w:r w:rsidRPr="00E07847">
        <w:rPr>
          <w:rFonts w:cs="Segoe UI"/>
          <w:szCs w:val="20"/>
        </w:rPr>
        <w:t xml:space="preserve">9,8 % zo </w:t>
      </w:r>
      <w:r w:rsidR="005E58A8">
        <w:rPr>
          <w:rFonts w:cs="Segoe UI"/>
          <w:szCs w:val="20"/>
        </w:rPr>
        <w:t>schváleného rozpočtu. Takmer o 1</w:t>
      </w:r>
      <w:r w:rsidRPr="00E07847">
        <w:rPr>
          <w:rFonts w:cs="Segoe UI"/>
          <w:szCs w:val="20"/>
        </w:rPr>
        <w:t xml:space="preserve">2 </w:t>
      </w:r>
      <w:r w:rsidR="0029006B">
        <w:rPr>
          <w:rFonts w:cs="Segoe UI"/>
          <w:szCs w:val="20"/>
        </w:rPr>
        <w:t xml:space="preserve">p. b. </w:t>
      </w:r>
      <w:r w:rsidRPr="00E07847">
        <w:rPr>
          <w:rFonts w:cs="Segoe UI"/>
          <w:szCs w:val="20"/>
        </w:rPr>
        <w:t>viac ako v roku 2022</w:t>
      </w:r>
      <w:r>
        <w:rPr>
          <w:rFonts w:cs="Segoe UI"/>
          <w:szCs w:val="20"/>
        </w:rPr>
        <w:t>.</w:t>
      </w:r>
      <w:r w:rsidRPr="00E07847">
        <w:rPr>
          <w:rFonts w:cs="Segoe UI"/>
          <w:szCs w:val="20"/>
        </w:rPr>
        <w:t xml:space="preserve"> Nealokované finančné prostriedky predstavovali </w:t>
      </w:r>
      <w:r w:rsidR="006D3199">
        <w:rPr>
          <w:rFonts w:cs="Segoe UI"/>
          <w:szCs w:val="20"/>
        </w:rPr>
        <w:t>spolu</w:t>
      </w:r>
      <w:r w:rsidRPr="00E07847">
        <w:rPr>
          <w:rFonts w:cs="Segoe UI"/>
          <w:szCs w:val="20"/>
        </w:rPr>
        <w:t xml:space="preserve"> 2,1 mil. eur. V rozpočte neboli zohľadnené kapitál</w:t>
      </w:r>
      <w:r>
        <w:rPr>
          <w:rFonts w:cs="Segoe UI"/>
          <w:szCs w:val="20"/>
        </w:rPr>
        <w:t xml:space="preserve">ové </w:t>
      </w:r>
      <w:r w:rsidR="006D3199">
        <w:rPr>
          <w:rFonts w:cs="Segoe UI"/>
          <w:szCs w:val="20"/>
        </w:rPr>
        <w:t>transfery</w:t>
      </w:r>
      <w:r>
        <w:rPr>
          <w:rFonts w:cs="Segoe UI"/>
          <w:szCs w:val="20"/>
        </w:rPr>
        <w:t xml:space="preserve"> MD SR pre Národnú diaľničnú spoločnosť</w:t>
      </w:r>
      <w:r w:rsidRPr="00E07847">
        <w:rPr>
          <w:rFonts w:cs="Segoe UI"/>
          <w:szCs w:val="20"/>
        </w:rPr>
        <w:t>, a. s. v celkovej výške 482  mil. eur. Transfery boli určené na financovanie najväčších dopravných investičných projektov. Konkrétne na príprav</w:t>
      </w:r>
      <w:r w:rsidR="006D3199">
        <w:rPr>
          <w:rFonts w:cs="Segoe UI"/>
          <w:szCs w:val="20"/>
        </w:rPr>
        <w:t>u</w:t>
      </w:r>
      <w:r w:rsidRPr="00E07847">
        <w:rPr>
          <w:rFonts w:cs="Segoe UI"/>
          <w:szCs w:val="20"/>
        </w:rPr>
        <w:t xml:space="preserve"> a pokračujúc</w:t>
      </w:r>
      <w:r w:rsidR="006D3199">
        <w:rPr>
          <w:rFonts w:cs="Segoe UI"/>
          <w:szCs w:val="20"/>
        </w:rPr>
        <w:t>u</w:t>
      </w:r>
      <w:r w:rsidRPr="00E07847">
        <w:rPr>
          <w:rFonts w:cs="Segoe UI"/>
          <w:szCs w:val="20"/>
        </w:rPr>
        <w:t xml:space="preserve"> výstavb</w:t>
      </w:r>
      <w:r w:rsidR="006D3199">
        <w:rPr>
          <w:rFonts w:cs="Segoe UI"/>
          <w:szCs w:val="20"/>
        </w:rPr>
        <w:t>u</w:t>
      </w:r>
      <w:r w:rsidRPr="00E07847">
        <w:rPr>
          <w:rFonts w:cs="Segoe UI"/>
          <w:szCs w:val="20"/>
        </w:rPr>
        <w:t xml:space="preserve"> diaľnic a rýchlostných ciest na projekt D1 Hubová - Ivachnová (128 606 tis. eur), R2 Kriváň – Lovinobaňa (95 323 tis. eur) či R4 Prešov – Severný obchvat (32 550 tis. eur).</w:t>
      </w:r>
    </w:p>
    <w:p w14:paraId="13ACA4E1" w14:textId="15029B6E" w:rsidR="00E27D98" w:rsidRPr="00FD6B86" w:rsidRDefault="006D3199" w:rsidP="00E27D98">
      <w:pPr>
        <w:rPr>
          <w:rFonts w:cs="Segoe UI"/>
          <w:b/>
          <w:szCs w:val="20"/>
        </w:rPr>
      </w:pPr>
      <w:r w:rsidRPr="00FD6B86">
        <w:rPr>
          <w:rFonts w:cs="Segoe UI"/>
          <w:b/>
          <w:szCs w:val="20"/>
        </w:rPr>
        <w:t>Kapitálový transfer pre Valaliky Industrial park v roku 2022 predstavoval sumu 214 mil. eur a za minulý rok MH SR alokovalo na investičný projekt „Strategické územie Valaliky</w:t>
      </w:r>
      <w:r w:rsidR="008E52B7">
        <w:rPr>
          <w:rFonts w:cs="Segoe UI"/>
          <w:b/>
          <w:szCs w:val="20"/>
        </w:rPr>
        <w:t>“</w:t>
      </w:r>
      <w:r w:rsidRPr="00FD6B86">
        <w:rPr>
          <w:b/>
        </w:rPr>
        <w:t xml:space="preserve"> </w:t>
      </w:r>
      <w:r w:rsidR="008E52B7">
        <w:rPr>
          <w:b/>
        </w:rPr>
        <w:t xml:space="preserve">ďalších </w:t>
      </w:r>
      <w:r w:rsidRPr="00FD6B86">
        <w:rPr>
          <w:rFonts w:cs="Segoe UI"/>
          <w:b/>
          <w:szCs w:val="20"/>
        </w:rPr>
        <w:t>88,6 mil. eur.</w:t>
      </w:r>
      <w:r>
        <w:rPr>
          <w:rFonts w:cs="Segoe UI"/>
          <w:b/>
          <w:szCs w:val="20"/>
        </w:rPr>
        <w:t xml:space="preserve"> </w:t>
      </w:r>
      <w:r w:rsidR="00AA6043" w:rsidRPr="001B0ECE">
        <w:rPr>
          <w:rFonts w:cs="Segoe UI"/>
          <w:szCs w:val="20"/>
        </w:rPr>
        <w:t xml:space="preserve">Budovanie </w:t>
      </w:r>
      <w:r>
        <w:rPr>
          <w:rFonts w:cs="Segoe UI"/>
          <w:szCs w:val="20"/>
        </w:rPr>
        <w:t xml:space="preserve">tohto </w:t>
      </w:r>
      <w:r w:rsidR="00AA6043" w:rsidRPr="001B0ECE">
        <w:rPr>
          <w:rFonts w:cs="Segoe UI"/>
          <w:szCs w:val="20"/>
        </w:rPr>
        <w:t xml:space="preserve">strategického parku </w:t>
      </w:r>
      <w:r>
        <w:rPr>
          <w:rFonts w:cs="Segoe UI"/>
          <w:szCs w:val="20"/>
        </w:rPr>
        <w:t xml:space="preserve">začala </w:t>
      </w:r>
      <w:r w:rsidR="00AA6043" w:rsidRPr="001B0ECE">
        <w:rPr>
          <w:rFonts w:cs="Segoe UI"/>
          <w:szCs w:val="20"/>
        </w:rPr>
        <w:t>vláda</w:t>
      </w:r>
      <w:r>
        <w:rPr>
          <w:rFonts w:cs="Segoe UI"/>
          <w:szCs w:val="20"/>
        </w:rPr>
        <w:t xml:space="preserve"> SR </w:t>
      </w:r>
      <w:r w:rsidR="00AA6043" w:rsidRPr="001B0ECE">
        <w:rPr>
          <w:rFonts w:cs="Segoe UI"/>
          <w:szCs w:val="20"/>
        </w:rPr>
        <w:t>vydaním osvedčenia o významnej investícií v decembri 2021 a zaviazala M</w:t>
      </w:r>
      <w:r>
        <w:rPr>
          <w:rFonts w:cs="Segoe UI"/>
          <w:szCs w:val="20"/>
        </w:rPr>
        <w:t>H</w:t>
      </w:r>
      <w:r w:rsidR="00AA6043">
        <w:rPr>
          <w:rFonts w:cs="Segoe UI"/>
          <w:szCs w:val="20"/>
        </w:rPr>
        <w:t xml:space="preserve"> SR </w:t>
      </w:r>
      <w:r w:rsidR="00AA6043" w:rsidRPr="001B0ECE">
        <w:rPr>
          <w:rFonts w:cs="Segoe UI"/>
          <w:szCs w:val="20"/>
        </w:rPr>
        <w:t>pripraviť celú investíciu. Rezort založil spoločnosť Valaliky Industrial park</w:t>
      </w:r>
      <w:r w:rsidR="00AA6043">
        <w:rPr>
          <w:rFonts w:cs="Segoe UI"/>
          <w:szCs w:val="20"/>
        </w:rPr>
        <w:t>,</w:t>
      </w:r>
      <w:r>
        <w:rPr>
          <w:rFonts w:cs="Segoe UI"/>
          <w:szCs w:val="20"/>
        </w:rPr>
        <w:t xml:space="preserve"> </w:t>
      </w:r>
      <w:r w:rsidR="00AA6043">
        <w:rPr>
          <w:rFonts w:cs="Segoe UI"/>
          <w:szCs w:val="20"/>
        </w:rPr>
        <w:t>s. r. o.</w:t>
      </w:r>
      <w:r w:rsidR="00AA6043" w:rsidRPr="001B0ECE">
        <w:rPr>
          <w:rFonts w:cs="Segoe UI"/>
          <w:szCs w:val="20"/>
        </w:rPr>
        <w:t>, ktorá je priamym vykonávateľom týchto rozhodnutí a realizátorom záväzkov z investičnej zmluvy s prvým investorom v industriálnom parku – Volvo Cars. Postupný nábeh výroby automobilového závodu je naplánovaný do roka 2026. E</w:t>
      </w:r>
      <w:r>
        <w:rPr>
          <w:rFonts w:cs="Segoe UI"/>
          <w:szCs w:val="20"/>
        </w:rPr>
        <w:t>K</w:t>
      </w:r>
      <w:r w:rsidR="00AA6043" w:rsidRPr="001B0ECE">
        <w:rPr>
          <w:rFonts w:cs="Segoe UI"/>
          <w:szCs w:val="20"/>
        </w:rPr>
        <w:t xml:space="preserve"> schválila </w:t>
      </w:r>
      <w:r>
        <w:rPr>
          <w:rFonts w:cs="Segoe UI"/>
          <w:szCs w:val="20"/>
        </w:rPr>
        <w:t xml:space="preserve">na tento účel </w:t>
      </w:r>
      <w:r w:rsidR="00AA6043" w:rsidRPr="001B0ECE">
        <w:rPr>
          <w:rFonts w:cs="Segoe UI"/>
          <w:szCs w:val="20"/>
        </w:rPr>
        <w:t>poskytnutie investične</w:t>
      </w:r>
      <w:r w:rsidR="00AA6043">
        <w:rPr>
          <w:rFonts w:cs="Segoe UI"/>
          <w:szCs w:val="20"/>
        </w:rPr>
        <w:t xml:space="preserve">j pomoci vo výške 267 mil. eur. </w:t>
      </w:r>
      <w:r w:rsidR="00AA6043" w:rsidRPr="001B0ECE">
        <w:rPr>
          <w:rFonts w:cs="Segoe UI"/>
          <w:szCs w:val="20"/>
        </w:rPr>
        <w:t xml:space="preserve">Štát na výstavbu priemyselného parku vyčlenil finančné prostriedky </w:t>
      </w:r>
      <w:r w:rsidR="00AA6043">
        <w:rPr>
          <w:rFonts w:cs="Segoe UI"/>
          <w:szCs w:val="20"/>
        </w:rPr>
        <w:t xml:space="preserve">spolu </w:t>
      </w:r>
      <w:r w:rsidR="00AA6043" w:rsidRPr="001B0ECE">
        <w:rPr>
          <w:rFonts w:cs="Segoe UI"/>
          <w:szCs w:val="20"/>
        </w:rPr>
        <w:t>v celkovej vý</w:t>
      </w:r>
      <w:r w:rsidR="00AA6043">
        <w:rPr>
          <w:rFonts w:cs="Segoe UI"/>
          <w:szCs w:val="20"/>
        </w:rPr>
        <w:t xml:space="preserve">ške </w:t>
      </w:r>
      <w:r w:rsidR="00AA6043">
        <w:rPr>
          <w:rFonts w:cs="Segoe UI"/>
          <w:szCs w:val="20"/>
        </w:rPr>
        <w:lastRenderedPageBreak/>
        <w:t>730 mil. eur.</w:t>
      </w:r>
      <w:r w:rsidR="00E27D98" w:rsidRPr="00E27D98">
        <w:rPr>
          <w:rFonts w:cs="Segoe UI"/>
          <w:szCs w:val="20"/>
        </w:rPr>
        <w:t xml:space="preserve"> </w:t>
      </w:r>
      <w:r w:rsidR="00E27D98">
        <w:rPr>
          <w:rFonts w:cs="Segoe UI"/>
          <w:szCs w:val="20"/>
        </w:rPr>
        <w:t>NKÚ SR vykonáva kontrolu zameranú na p</w:t>
      </w:r>
      <w:r w:rsidR="00E27D98" w:rsidRPr="00113ACD">
        <w:rPr>
          <w:rFonts w:cs="Segoe UI"/>
          <w:szCs w:val="20"/>
        </w:rPr>
        <w:t>ríprav</w:t>
      </w:r>
      <w:r w:rsidR="00E27D98">
        <w:rPr>
          <w:rFonts w:cs="Segoe UI"/>
          <w:szCs w:val="20"/>
        </w:rPr>
        <w:t>u</w:t>
      </w:r>
      <w:r w:rsidR="00E27D98" w:rsidRPr="00113ACD">
        <w:rPr>
          <w:rFonts w:cs="Segoe UI"/>
          <w:szCs w:val="20"/>
        </w:rPr>
        <w:t xml:space="preserve"> a realizáci</w:t>
      </w:r>
      <w:r w:rsidR="00E27D98">
        <w:rPr>
          <w:rFonts w:cs="Segoe UI"/>
          <w:szCs w:val="20"/>
        </w:rPr>
        <w:t>u</w:t>
      </w:r>
      <w:r w:rsidR="00E27D98" w:rsidRPr="00113ACD">
        <w:rPr>
          <w:rFonts w:cs="Segoe UI"/>
          <w:szCs w:val="20"/>
        </w:rPr>
        <w:t xml:space="preserve"> priemyselných parkov </w:t>
      </w:r>
      <w:r w:rsidR="0065477C">
        <w:rPr>
          <w:rFonts w:cs="Segoe UI"/>
          <w:szCs w:val="20"/>
        </w:rPr>
        <w:t>(</w:t>
      </w:r>
      <w:r w:rsidR="00E27D98" w:rsidRPr="00113ACD">
        <w:rPr>
          <w:rFonts w:cs="Segoe UI"/>
          <w:szCs w:val="20"/>
        </w:rPr>
        <w:t>Rimavsk</w:t>
      </w:r>
      <w:r w:rsidR="0065477C">
        <w:rPr>
          <w:rFonts w:cs="Segoe UI"/>
          <w:szCs w:val="20"/>
        </w:rPr>
        <w:t>á</w:t>
      </w:r>
      <w:r w:rsidR="00E27D98" w:rsidRPr="00113ACD">
        <w:rPr>
          <w:rFonts w:cs="Segoe UI"/>
          <w:szCs w:val="20"/>
        </w:rPr>
        <w:t xml:space="preserve"> Sobot</w:t>
      </w:r>
      <w:r w:rsidR="0065477C">
        <w:rPr>
          <w:rFonts w:cs="Segoe UI"/>
          <w:szCs w:val="20"/>
        </w:rPr>
        <w:t>a</w:t>
      </w:r>
      <w:r w:rsidR="00E27D98" w:rsidRPr="00113ACD">
        <w:rPr>
          <w:rFonts w:cs="Segoe UI"/>
          <w:szCs w:val="20"/>
        </w:rPr>
        <w:t xml:space="preserve"> a</w:t>
      </w:r>
      <w:r w:rsidR="0065477C">
        <w:rPr>
          <w:rFonts w:cs="Segoe UI"/>
          <w:szCs w:val="20"/>
        </w:rPr>
        <w:t> </w:t>
      </w:r>
      <w:r w:rsidR="00E27D98" w:rsidRPr="00113ACD">
        <w:rPr>
          <w:rFonts w:cs="Segoe UI"/>
          <w:szCs w:val="20"/>
        </w:rPr>
        <w:t>Valalik</w:t>
      </w:r>
      <w:r w:rsidR="0065477C">
        <w:rPr>
          <w:rFonts w:cs="Segoe UI"/>
          <w:szCs w:val="20"/>
        </w:rPr>
        <w:t>y)</w:t>
      </w:r>
      <w:r w:rsidR="00E27D98">
        <w:rPr>
          <w:rFonts w:cs="Segoe UI"/>
          <w:szCs w:val="20"/>
        </w:rPr>
        <w:t xml:space="preserve"> s očakávanými výsledkami v druhom polroku 2024. </w:t>
      </w:r>
    </w:p>
    <w:p w14:paraId="32E08E94" w14:textId="7466ADBF" w:rsidR="007879DB" w:rsidRPr="00BF38E1" w:rsidRDefault="007879DB" w:rsidP="007879DB">
      <w:pPr>
        <w:rPr>
          <w:rFonts w:cs="Segoe UI"/>
          <w:szCs w:val="20"/>
        </w:rPr>
      </w:pPr>
      <w:r>
        <w:rPr>
          <w:rFonts w:cs="Segoe UI"/>
          <w:b/>
          <w:szCs w:val="20"/>
        </w:rPr>
        <w:t>O</w:t>
      </w:r>
      <w:r w:rsidRPr="00BF38E1">
        <w:rPr>
          <w:rFonts w:cs="Segoe UI"/>
          <w:b/>
          <w:szCs w:val="20"/>
        </w:rPr>
        <w:t>dhad výdavkov na projekt</w:t>
      </w:r>
      <w:r>
        <w:rPr>
          <w:rFonts w:cs="Segoe UI"/>
          <w:b/>
          <w:szCs w:val="20"/>
        </w:rPr>
        <w:t xml:space="preserve"> leteckej základne Sliač</w:t>
      </w:r>
      <w:r w:rsidRPr="00BF38E1">
        <w:rPr>
          <w:rFonts w:cs="Segoe UI"/>
          <w:b/>
          <w:szCs w:val="20"/>
        </w:rPr>
        <w:t xml:space="preserve"> v sume 126 mil. eur predložilo </w:t>
      </w:r>
      <w:r>
        <w:rPr>
          <w:rFonts w:cs="Segoe UI"/>
          <w:b/>
          <w:szCs w:val="20"/>
        </w:rPr>
        <w:t>v</w:t>
      </w:r>
      <w:r w:rsidRPr="00BF38E1">
        <w:rPr>
          <w:rFonts w:cs="Segoe UI"/>
          <w:b/>
          <w:szCs w:val="20"/>
        </w:rPr>
        <w:t xml:space="preserve"> roku 2023 MO SR na ÚHP MF SR, pričom ÚHP MF SR odporučil, aby sa stavba zrealizovala za 92 mil. eur.</w:t>
      </w:r>
      <w:r w:rsidRPr="00BF38E1">
        <w:rPr>
          <w:rFonts w:cs="Segoe UI"/>
          <w:szCs w:val="20"/>
        </w:rPr>
        <w:t xml:space="preserve"> V súvislosti s nákupom nových stíhacích lietadiel F-16 vznikla potreba investícií na leteckej základni Sliač. Pred návrhom rozhodnutia vlády SR o nákupe novej leteckej techniky v roku 2018 stanovilo MO SR sumu na realizáciu leteckej základne Sliač vo výške 55,38 mil. eur. </w:t>
      </w:r>
      <w:r w:rsidRPr="00BF38E1">
        <w:rPr>
          <w:rFonts w:cs="Segoe UI"/>
          <w:bCs/>
          <w:iCs/>
          <w:szCs w:val="20"/>
        </w:rPr>
        <w:t>MO SR v súčasnej dobe odhaduje výdavky na 15</w:t>
      </w:r>
      <w:r w:rsidR="006E53E1">
        <w:rPr>
          <w:rFonts w:cs="Segoe UI"/>
          <w:bCs/>
          <w:iCs/>
          <w:szCs w:val="20"/>
        </w:rPr>
        <w:t>0 až 200 mil. eur, čo je 3 až 4.</w:t>
      </w:r>
      <w:r w:rsidRPr="00BF38E1">
        <w:rPr>
          <w:rFonts w:cs="Segoe UI"/>
          <w:bCs/>
          <w:iCs/>
          <w:szCs w:val="20"/>
        </w:rPr>
        <w:t>násobne viac ako bolo pôvodne plánované.</w:t>
      </w:r>
      <w:r w:rsidRPr="00BF38E1">
        <w:rPr>
          <w:rFonts w:cs="Segoe UI"/>
          <w:szCs w:val="20"/>
        </w:rPr>
        <w:t xml:space="preserve"> Konečná celková suma rekonštrukcie leteckej základne Sliač bude závisieť od výsledku verejného obstávania na zhotoviteľa stavby, ktorá bude vyhlásená Agentúrou NATO pre podporu a obstarávanie v roku 2024. </w:t>
      </w:r>
      <w:r w:rsidR="006E53E1">
        <w:rPr>
          <w:rFonts w:cs="Segoe UI"/>
          <w:szCs w:val="20"/>
        </w:rPr>
        <w:t>Na</w:t>
      </w:r>
      <w:r w:rsidRPr="00BF38E1">
        <w:rPr>
          <w:rFonts w:cs="Segoe UI"/>
          <w:bCs/>
          <w:iCs/>
          <w:szCs w:val="20"/>
        </w:rPr>
        <w:t xml:space="preserve"> tento účel v roku 2020 MO SR zaslalo Agentúre NATO pre podporu a obstarávanie preddavok vo výške necelých 68 mil. eur, z ktorého sa postupne hradia výdavky za implementáciu jednotlivých projektov.</w:t>
      </w:r>
      <w:r w:rsidRPr="00BF38E1">
        <w:rPr>
          <w:rStyle w:val="Odkaznapoznmkupodiarou"/>
          <w:rFonts w:cs="Segoe UI"/>
          <w:bCs/>
          <w:iCs/>
          <w:szCs w:val="20"/>
        </w:rPr>
        <w:footnoteReference w:id="20"/>
      </w:r>
      <w:r w:rsidRPr="00BF38E1">
        <w:rPr>
          <w:rFonts w:cs="Segoe UI"/>
          <w:szCs w:val="20"/>
        </w:rPr>
        <w:t xml:space="preserve"> Zaplatené preddavky sú súčasťou </w:t>
      </w:r>
      <w:r>
        <w:rPr>
          <w:rFonts w:cs="Segoe UI"/>
          <w:szCs w:val="20"/>
        </w:rPr>
        <w:t>hotovostných</w:t>
      </w:r>
      <w:r w:rsidRPr="00BF38E1">
        <w:rPr>
          <w:rFonts w:cs="Segoe UI"/>
          <w:szCs w:val="20"/>
        </w:rPr>
        <w:t xml:space="preserve"> výdavkov MO SR a vstúpili do súvahy ako zaplatené preddavky na investičný hmotný majetok. </w:t>
      </w:r>
      <w:r w:rsidRPr="00BF38E1">
        <w:rPr>
          <w:rFonts w:cs="Segoe UI"/>
          <w:bCs/>
          <w:iCs/>
          <w:szCs w:val="20"/>
        </w:rPr>
        <w:t>Tento nárast pohľadávky eliminoval hotovostný výdavok, a preto celkový vplyv na výdavky podľa metodiky ESA 2010 bol nulový.</w:t>
      </w:r>
      <w:r w:rsidRPr="00BF38E1">
        <w:rPr>
          <w:rFonts w:cs="Segoe UI"/>
          <w:szCs w:val="20"/>
        </w:rPr>
        <w:t xml:space="preserve"> Podľa rovnakej metodiky majú byť výdavky na obstaranie majetku zaznamenané v čase dodávky, keď ekonomické vlastníctvo prejde na kupujúceho. V</w:t>
      </w:r>
      <w:r w:rsidR="006947D9">
        <w:rPr>
          <w:rFonts w:cs="Segoe UI"/>
          <w:szCs w:val="20"/>
        </w:rPr>
        <w:t> </w:t>
      </w:r>
      <w:r w:rsidRPr="00BF38E1">
        <w:rPr>
          <w:rFonts w:cs="Segoe UI"/>
          <w:szCs w:val="20"/>
        </w:rPr>
        <w:t>čase dodávky poklesne pohľadávka, čo sa zaznamená ako výdavok na obstaranie majetku.</w:t>
      </w:r>
      <w:r w:rsidRPr="00BF38E1">
        <w:rPr>
          <w:rStyle w:val="Odkaznapoznmkupodiarou"/>
          <w:rFonts w:cs="Segoe UI"/>
          <w:szCs w:val="20"/>
        </w:rPr>
        <w:footnoteReference w:id="21"/>
      </w:r>
    </w:p>
    <w:p w14:paraId="31E9BEE1" w14:textId="5F100580" w:rsidR="00AA6043" w:rsidRDefault="00AA6043" w:rsidP="00AA6043">
      <w:pPr>
        <w:rPr>
          <w:rFonts w:cs="Segoe UI"/>
          <w:szCs w:val="20"/>
        </w:rPr>
      </w:pPr>
      <w:r w:rsidRPr="00BF38E1">
        <w:rPr>
          <w:rFonts w:cs="Segoe UI"/>
          <w:b/>
          <w:szCs w:val="20"/>
        </w:rPr>
        <w:t>Významnou investíciou v zdravotníctve je výstavba koncovej nemocnice Rázsochy</w:t>
      </w:r>
      <w:r w:rsidR="00BF38E1" w:rsidRPr="00BF38E1">
        <w:rPr>
          <w:rFonts w:cs="Segoe UI"/>
          <w:b/>
          <w:szCs w:val="20"/>
        </w:rPr>
        <w:t xml:space="preserve">, ktorej vláda v roku 2023 </w:t>
      </w:r>
      <w:r w:rsidR="00BF38E1" w:rsidRPr="009D01CB">
        <w:rPr>
          <w:rFonts w:cs="Segoe UI"/>
          <w:b/>
          <w:szCs w:val="20"/>
        </w:rPr>
        <w:t>pozastavila financovanie z POO z dôvodu ned</w:t>
      </w:r>
      <w:r w:rsidR="00BF38E1">
        <w:rPr>
          <w:rFonts w:cs="Segoe UI"/>
          <w:b/>
          <w:szCs w:val="20"/>
        </w:rPr>
        <w:t xml:space="preserve">održania stanovených termínov a </w:t>
      </w:r>
      <w:r w:rsidR="00BF38E1" w:rsidRPr="009D01CB">
        <w:rPr>
          <w:rFonts w:cs="Segoe UI"/>
          <w:b/>
          <w:szCs w:val="20"/>
        </w:rPr>
        <w:t>finančné prostriedky boli realokované na výstavbu fakultnej nemocnice s poliklinikou F.D. Roosevelta v Banskej Bystrici.</w:t>
      </w:r>
      <w:r w:rsidRPr="00E07847">
        <w:rPr>
          <w:rFonts w:cs="Segoe UI"/>
          <w:szCs w:val="20"/>
        </w:rPr>
        <w:t xml:space="preserve"> Výstavba</w:t>
      </w:r>
      <w:r w:rsidR="002570A4">
        <w:rPr>
          <w:rFonts w:cs="Segoe UI"/>
          <w:szCs w:val="20"/>
        </w:rPr>
        <w:t xml:space="preserve"> nemocnice</w:t>
      </w:r>
      <w:r w:rsidRPr="00E07847">
        <w:rPr>
          <w:rFonts w:cs="Segoe UI"/>
          <w:szCs w:val="20"/>
        </w:rPr>
        <w:t xml:space="preserve"> </w:t>
      </w:r>
      <w:r w:rsidR="006947D9">
        <w:rPr>
          <w:rFonts w:cs="Segoe UI"/>
          <w:szCs w:val="20"/>
        </w:rPr>
        <w:t>Rázsoch</w:t>
      </w:r>
      <w:r w:rsidR="002570A4">
        <w:rPr>
          <w:rFonts w:cs="Segoe UI"/>
          <w:szCs w:val="20"/>
        </w:rPr>
        <w:t>y</w:t>
      </w:r>
      <w:r w:rsidR="006947D9">
        <w:rPr>
          <w:rFonts w:cs="Segoe UI"/>
          <w:szCs w:val="20"/>
        </w:rPr>
        <w:t xml:space="preserve"> </w:t>
      </w:r>
      <w:r w:rsidRPr="00E07847">
        <w:rPr>
          <w:rFonts w:cs="Segoe UI"/>
          <w:szCs w:val="20"/>
        </w:rPr>
        <w:t>sa začala už v 80-tych rokoch minulého storočia. Začiatkom 90. rokov boli práce utlmené a neskôr aj zastavené pre zrušenie financovania, keď bola nemocnica v stave hrubej stavby. V rokoch 2019</w:t>
      </w:r>
      <w:r w:rsidR="00BF38E1">
        <w:rPr>
          <w:rFonts w:cs="Segoe UI"/>
          <w:szCs w:val="20"/>
        </w:rPr>
        <w:t xml:space="preserve"> – </w:t>
      </w:r>
      <w:r w:rsidRPr="00E07847">
        <w:rPr>
          <w:rFonts w:cs="Segoe UI"/>
          <w:szCs w:val="20"/>
        </w:rPr>
        <w:t>2020 bol mohutný skelet zbúraný, pre výstavbu modernejšieho zariadenia. V júli 2022 vláda schválila výstavbu nemocnice, pričom hrubá stavba mala byť financovaná z P</w:t>
      </w:r>
      <w:r w:rsidR="00BF38E1">
        <w:rPr>
          <w:rFonts w:cs="Segoe UI"/>
          <w:szCs w:val="20"/>
        </w:rPr>
        <w:t>OO</w:t>
      </w:r>
      <w:r w:rsidRPr="00E07847">
        <w:rPr>
          <w:rFonts w:cs="Segoe UI"/>
          <w:szCs w:val="20"/>
        </w:rPr>
        <w:t xml:space="preserve"> v celkovej sume 281 mil. eur. Na projekt Rázsochy bolo od roku 2017 do 2023 vynaložených 23,8 mil. eur zo </w:t>
      </w:r>
      <w:r w:rsidR="00BF38E1">
        <w:rPr>
          <w:rFonts w:cs="Segoe UI"/>
          <w:szCs w:val="20"/>
        </w:rPr>
        <w:t>ŠR</w:t>
      </w:r>
      <w:r w:rsidRPr="00E07847">
        <w:rPr>
          <w:rFonts w:cs="Segoe UI"/>
          <w:szCs w:val="20"/>
        </w:rPr>
        <w:t xml:space="preserve"> (napr. búracie práce, projektová dokumentácia, výkup pozemkov, predbežné statické posúdenie atď.). V júli </w:t>
      </w:r>
      <w:r w:rsidR="00BE3A2B">
        <w:rPr>
          <w:rFonts w:cs="Segoe UI"/>
          <w:szCs w:val="20"/>
        </w:rPr>
        <w:t>2023</w:t>
      </w:r>
      <w:r w:rsidRPr="00E07847">
        <w:rPr>
          <w:rFonts w:cs="Segoe UI"/>
          <w:szCs w:val="20"/>
        </w:rPr>
        <w:t xml:space="preserve"> aktualizácia </w:t>
      </w:r>
      <w:r w:rsidR="00BF38E1">
        <w:rPr>
          <w:rFonts w:cs="Segoe UI"/>
          <w:szCs w:val="20"/>
        </w:rPr>
        <w:t xml:space="preserve">POO </w:t>
      </w:r>
      <w:r w:rsidRPr="00E07847">
        <w:rPr>
          <w:rFonts w:cs="Segoe UI"/>
          <w:szCs w:val="20"/>
        </w:rPr>
        <w:t xml:space="preserve">priniesla zmeny v nastavených cieľoch. </w:t>
      </w:r>
      <w:r>
        <w:rPr>
          <w:rFonts w:cs="Segoe UI"/>
          <w:szCs w:val="20"/>
        </w:rPr>
        <w:t>Podľa posledných informácií v</w:t>
      </w:r>
      <w:r w:rsidRPr="00E07847">
        <w:rPr>
          <w:rFonts w:cs="Segoe UI"/>
          <w:szCs w:val="20"/>
        </w:rPr>
        <w:t xml:space="preserve">ýstavba nemocnice Rázsochy má byť financovaná zo </w:t>
      </w:r>
      <w:r w:rsidR="00BF38E1">
        <w:rPr>
          <w:rFonts w:cs="Segoe UI"/>
          <w:szCs w:val="20"/>
        </w:rPr>
        <w:t>ŠR</w:t>
      </w:r>
      <w:r w:rsidRPr="00E07847">
        <w:rPr>
          <w:rFonts w:cs="Segoe UI"/>
          <w:szCs w:val="20"/>
        </w:rPr>
        <w:t>. Na nedostatky projektu poukázal NKÚ SR v nedávnej kontrole</w:t>
      </w:r>
      <w:r w:rsidR="00001348">
        <w:rPr>
          <w:rFonts w:cs="Segoe UI"/>
          <w:szCs w:val="20"/>
        </w:rPr>
        <w:t>.</w:t>
      </w:r>
      <w:r w:rsidR="00001348">
        <w:rPr>
          <w:rStyle w:val="Odkaznapoznmkupodiarou"/>
          <w:rFonts w:cs="Segoe UI"/>
          <w:szCs w:val="20"/>
        </w:rPr>
        <w:footnoteReference w:id="22"/>
      </w:r>
    </w:p>
    <w:p w14:paraId="7D40AE08" w14:textId="1C69A263" w:rsidR="00160F4C" w:rsidRDefault="00160F4C" w:rsidP="00160F4C">
      <w:pPr>
        <w:pStyle w:val="Nadpis2"/>
        <w:spacing w:before="0"/>
      </w:pPr>
      <w:bookmarkStart w:id="20" w:name="_Toc168567189"/>
      <w:r>
        <w:t xml:space="preserve">3.4 </w:t>
      </w:r>
      <w:r w:rsidR="00E43045">
        <w:t xml:space="preserve"> </w:t>
      </w:r>
      <w:r>
        <w:t>Rozpočtové rezervy</w:t>
      </w:r>
      <w:bookmarkEnd w:id="20"/>
    </w:p>
    <w:p w14:paraId="356175EC" w14:textId="7B55CD03" w:rsidR="00160F4C" w:rsidRDefault="00160F4C" w:rsidP="00160F4C">
      <w:pPr>
        <w:pStyle w:val="Zkladntext0"/>
        <w:spacing w:after="120"/>
        <w:jc w:val="both"/>
        <w:rPr>
          <w:rFonts w:ascii="Segoe UI" w:eastAsia="Times New Roman" w:hAnsi="Segoe UI" w:cs="Segoe UI"/>
          <w:sz w:val="20"/>
        </w:rPr>
      </w:pPr>
      <w:r w:rsidRPr="00C24448">
        <w:rPr>
          <w:rFonts w:ascii="Segoe UI" w:eastAsia="Times New Roman" w:hAnsi="Segoe UI" w:cs="Segoe UI"/>
          <w:b/>
          <w:sz w:val="20"/>
        </w:rPr>
        <w:t xml:space="preserve">Počas roka 2023 </w:t>
      </w:r>
      <w:r>
        <w:rPr>
          <w:rFonts w:ascii="Segoe UI" w:eastAsia="Times New Roman" w:hAnsi="Segoe UI" w:cs="Segoe UI"/>
          <w:b/>
          <w:sz w:val="20"/>
        </w:rPr>
        <w:t>kládlo</w:t>
      </w:r>
      <w:r w:rsidRPr="00C24448">
        <w:rPr>
          <w:rFonts w:ascii="Segoe UI" w:eastAsia="Times New Roman" w:hAnsi="Segoe UI" w:cs="Segoe UI"/>
          <w:b/>
          <w:sz w:val="20"/>
        </w:rPr>
        <w:t xml:space="preserve"> viacero faktorov </w:t>
      </w:r>
      <w:r w:rsidRPr="00155528">
        <w:rPr>
          <w:rFonts w:ascii="Segoe UI" w:eastAsia="Times New Roman" w:hAnsi="Segoe UI" w:cs="Segoe UI"/>
          <w:sz w:val="20"/>
        </w:rPr>
        <w:t>(legislatívna smršť, ceny energií, konflikt na Ukrajine)</w:t>
      </w:r>
      <w:r w:rsidRPr="00C24448">
        <w:rPr>
          <w:rFonts w:ascii="Segoe UI" w:eastAsia="Times New Roman" w:hAnsi="Segoe UI" w:cs="Segoe UI"/>
          <w:b/>
          <w:sz w:val="20"/>
        </w:rPr>
        <w:t xml:space="preserve"> vysoké nároky na rezervy, keď z rozpočtovaných 2,5 mld. eur stúplo čerpanie na konečných 4,3 mld. eur</w:t>
      </w:r>
      <w:r>
        <w:rPr>
          <w:rFonts w:ascii="Segoe UI" w:eastAsia="Times New Roman" w:hAnsi="Segoe UI" w:cs="Segoe UI"/>
          <w:b/>
          <w:sz w:val="20"/>
        </w:rPr>
        <w:t xml:space="preserve"> </w:t>
      </w:r>
      <w:r>
        <w:rPr>
          <w:rFonts w:ascii="Segoe UI" w:eastAsia="Times New Roman" w:hAnsi="Segoe UI" w:cs="Segoe UI"/>
          <w:sz w:val="20"/>
        </w:rPr>
        <w:t xml:space="preserve">(tabuľka </w:t>
      </w:r>
      <w:r w:rsidR="00574ACF">
        <w:rPr>
          <w:rFonts w:ascii="Segoe UI" w:eastAsia="Times New Roman" w:hAnsi="Segoe UI" w:cs="Segoe UI"/>
          <w:sz w:val="20"/>
        </w:rPr>
        <w:t>9</w:t>
      </w:r>
      <w:r>
        <w:rPr>
          <w:rFonts w:ascii="Segoe UI" w:eastAsia="Times New Roman" w:hAnsi="Segoe UI" w:cs="Segoe UI"/>
          <w:sz w:val="20"/>
        </w:rPr>
        <w:t xml:space="preserve">). Dve najväčšie položky v podobe rezervy </w:t>
      </w:r>
      <w:r w:rsidRPr="00034179">
        <w:rPr>
          <w:rFonts w:ascii="Segoe UI" w:eastAsia="Times New Roman" w:hAnsi="Segoe UI" w:cs="Segoe UI"/>
          <w:sz w:val="20"/>
        </w:rPr>
        <w:t xml:space="preserve">na riešenie vplyvov legislatívnych zmien </w:t>
      </w:r>
      <w:r>
        <w:rPr>
          <w:rFonts w:ascii="Segoe UI" w:eastAsia="Times New Roman" w:hAnsi="Segoe UI" w:cs="Segoe UI"/>
          <w:sz w:val="20"/>
        </w:rPr>
        <w:t xml:space="preserve">a rezervy </w:t>
      </w:r>
      <w:r w:rsidRPr="00034179">
        <w:rPr>
          <w:rFonts w:ascii="Segoe UI" w:eastAsia="Times New Roman" w:hAnsi="Segoe UI" w:cs="Segoe UI"/>
          <w:sz w:val="20"/>
        </w:rPr>
        <w:t>na kompenzačné opatrenia súvisiace s</w:t>
      </w:r>
      <w:r>
        <w:rPr>
          <w:rFonts w:ascii="Segoe UI" w:eastAsia="Times New Roman" w:hAnsi="Segoe UI" w:cs="Segoe UI"/>
          <w:sz w:val="20"/>
        </w:rPr>
        <w:t> </w:t>
      </w:r>
      <w:r w:rsidRPr="00034179">
        <w:rPr>
          <w:rFonts w:ascii="Segoe UI" w:eastAsia="Times New Roman" w:hAnsi="Segoe UI" w:cs="Segoe UI"/>
          <w:sz w:val="20"/>
        </w:rPr>
        <w:t>rastom cien energií</w:t>
      </w:r>
      <w:r>
        <w:rPr>
          <w:rFonts w:ascii="Segoe UI" w:eastAsia="Times New Roman" w:hAnsi="Segoe UI" w:cs="Segoe UI"/>
          <w:sz w:val="20"/>
        </w:rPr>
        <w:t xml:space="preserve"> pokrývajú v podstate celý rozdiel medzi skutočne uvoľnenými prostriedkami a rozpočtom. Vnútornou realokáciou týchto rezerv bolo </w:t>
      </w:r>
      <w:r>
        <w:rPr>
          <w:rFonts w:ascii="Segoe UI" w:eastAsia="Times New Roman" w:hAnsi="Segoe UI" w:cs="Segoe UI"/>
          <w:sz w:val="20"/>
        </w:rPr>
        <w:lastRenderedPageBreak/>
        <w:t xml:space="preserve">v konečnom dôsledku najväčšou položkou </w:t>
      </w:r>
      <w:r w:rsidRPr="00034179">
        <w:rPr>
          <w:rFonts w:ascii="Segoe UI" w:eastAsia="Times New Roman" w:hAnsi="Segoe UI" w:cs="Segoe UI"/>
          <w:sz w:val="20"/>
        </w:rPr>
        <w:t xml:space="preserve">dofinancovanie SP </w:t>
      </w:r>
      <w:r>
        <w:rPr>
          <w:rFonts w:ascii="Segoe UI" w:eastAsia="Times New Roman" w:hAnsi="Segoe UI" w:cs="Segoe UI"/>
          <w:sz w:val="20"/>
        </w:rPr>
        <w:t>(</w:t>
      </w:r>
      <w:r w:rsidRPr="00034179">
        <w:rPr>
          <w:rFonts w:ascii="Segoe UI" w:eastAsia="Times New Roman" w:hAnsi="Segoe UI" w:cs="Segoe UI"/>
          <w:sz w:val="20"/>
        </w:rPr>
        <w:t>1,16 mld. eur</w:t>
      </w:r>
      <w:r>
        <w:rPr>
          <w:rFonts w:ascii="Segoe UI" w:eastAsia="Times New Roman" w:hAnsi="Segoe UI" w:cs="Segoe UI"/>
          <w:sz w:val="20"/>
        </w:rPr>
        <w:t>) a na pokrytie 13. dôchodku išlo z rezervy na riešenie legislatívnych zmien ďalších 439 mil. eur.</w:t>
      </w:r>
    </w:p>
    <w:p w14:paraId="76F5B2E0" w14:textId="3D262AAA" w:rsidR="00160F4C" w:rsidRPr="006744FA" w:rsidRDefault="00160F4C" w:rsidP="00160F4C">
      <w:pPr>
        <w:spacing w:after="0"/>
        <w:rPr>
          <w:rFonts w:eastAsia="Calibri" w:cs="Times New Roman"/>
          <w:b/>
          <w:iCs/>
          <w:color w:val="314364"/>
          <w:szCs w:val="18"/>
        </w:rPr>
      </w:pPr>
      <w:r w:rsidRPr="006744FA">
        <w:rPr>
          <w:rFonts w:eastAsia="Calibri" w:cs="Times New Roman"/>
          <w:b/>
          <w:iCs/>
          <w:color w:val="314364"/>
          <w:szCs w:val="18"/>
        </w:rPr>
        <w:t xml:space="preserve">Tabuľka </w:t>
      </w:r>
      <w:r w:rsidR="00574ACF">
        <w:rPr>
          <w:rFonts w:eastAsia="Calibri" w:cs="Times New Roman"/>
          <w:b/>
          <w:iCs/>
          <w:color w:val="314364"/>
          <w:szCs w:val="18"/>
        </w:rPr>
        <w:t>9</w:t>
      </w:r>
      <w:r w:rsidRPr="006744FA">
        <w:rPr>
          <w:rFonts w:eastAsia="Calibri" w:cs="Times New Roman"/>
          <w:b/>
          <w:iCs/>
          <w:color w:val="314364"/>
          <w:szCs w:val="18"/>
        </w:rPr>
        <w:t>: Zákonné rezervy uvoľnené platobným príkazom (v tis. eur)</w:t>
      </w:r>
    </w:p>
    <w:tbl>
      <w:tblPr>
        <w:tblW w:w="5000" w:type="pct"/>
        <w:tblBorders>
          <w:bottom w:val="single" w:sz="4" w:space="0" w:color="314364"/>
          <w:insideH w:val="single" w:sz="4" w:space="0" w:color="auto"/>
        </w:tblBorders>
        <w:tblLayout w:type="fixed"/>
        <w:tblCellMar>
          <w:left w:w="70" w:type="dxa"/>
          <w:right w:w="70" w:type="dxa"/>
        </w:tblCellMar>
        <w:tblLook w:val="04A0" w:firstRow="1" w:lastRow="0" w:firstColumn="1" w:lastColumn="0" w:noHBand="0" w:noVBand="1"/>
      </w:tblPr>
      <w:tblGrid>
        <w:gridCol w:w="3829"/>
        <w:gridCol w:w="992"/>
        <w:gridCol w:w="992"/>
        <w:gridCol w:w="992"/>
        <w:gridCol w:w="1137"/>
        <w:gridCol w:w="1128"/>
      </w:tblGrid>
      <w:tr w:rsidR="00160F4C" w:rsidRPr="006744FA" w14:paraId="134B7E88" w14:textId="77777777" w:rsidTr="00A650EB">
        <w:trPr>
          <w:trHeight w:val="283"/>
        </w:trPr>
        <w:tc>
          <w:tcPr>
            <w:tcW w:w="2110" w:type="pct"/>
            <w:shd w:val="clear" w:color="auto" w:fill="314364"/>
            <w:vAlign w:val="center"/>
            <w:hideMark/>
          </w:tcPr>
          <w:p w14:paraId="4ADC3AE7" w14:textId="77777777" w:rsidR="00160F4C" w:rsidRPr="006744FA" w:rsidRDefault="00160F4C" w:rsidP="00A650EB">
            <w:pPr>
              <w:spacing w:after="0"/>
              <w:jc w:val="left"/>
              <w:rPr>
                <w:rFonts w:eastAsia="Times New Roman" w:cs="Segoe UI"/>
                <w:b/>
                <w:bCs/>
                <w:color w:val="FFFFFF" w:themeColor="background1"/>
                <w:sz w:val="16"/>
                <w:szCs w:val="16"/>
                <w:lang w:eastAsia="sk-SK"/>
              </w:rPr>
            </w:pPr>
            <w:r w:rsidRPr="006744FA">
              <w:rPr>
                <w:rFonts w:eastAsia="Times New Roman" w:cs="Segoe UI"/>
                <w:b/>
                <w:bCs/>
                <w:color w:val="FFFFFF" w:themeColor="background1"/>
                <w:sz w:val="16"/>
                <w:szCs w:val="16"/>
                <w:lang w:eastAsia="sk-SK"/>
              </w:rPr>
              <w:t>Ukazovateľ</w:t>
            </w:r>
          </w:p>
        </w:tc>
        <w:tc>
          <w:tcPr>
            <w:tcW w:w="547" w:type="pct"/>
            <w:shd w:val="clear" w:color="auto" w:fill="314364"/>
            <w:vAlign w:val="center"/>
          </w:tcPr>
          <w:p w14:paraId="7DCC8FBF" w14:textId="77777777" w:rsidR="00160F4C" w:rsidRPr="006744FA" w:rsidRDefault="00160F4C" w:rsidP="00A650EB">
            <w:pPr>
              <w:spacing w:after="0"/>
              <w:jc w:val="right"/>
              <w:rPr>
                <w:rFonts w:eastAsia="Times New Roman" w:cs="Segoe UI"/>
                <w:b/>
                <w:bCs/>
                <w:color w:val="FFFFFF" w:themeColor="background1"/>
                <w:sz w:val="16"/>
                <w:szCs w:val="16"/>
                <w:lang w:eastAsia="sk-SK"/>
              </w:rPr>
            </w:pPr>
            <w:r w:rsidRPr="006744FA">
              <w:rPr>
                <w:rFonts w:eastAsia="Times New Roman" w:cs="Segoe UI"/>
                <w:b/>
                <w:bCs/>
                <w:color w:val="FFFFFF" w:themeColor="background1"/>
                <w:sz w:val="16"/>
                <w:szCs w:val="16"/>
                <w:lang w:eastAsia="sk-SK"/>
              </w:rPr>
              <w:t>2022 S</w:t>
            </w:r>
          </w:p>
        </w:tc>
        <w:tc>
          <w:tcPr>
            <w:tcW w:w="547" w:type="pct"/>
            <w:shd w:val="clear" w:color="auto" w:fill="314364"/>
            <w:vAlign w:val="center"/>
            <w:hideMark/>
          </w:tcPr>
          <w:p w14:paraId="2BB39ECE" w14:textId="77777777" w:rsidR="00160F4C" w:rsidRPr="006744FA" w:rsidRDefault="00160F4C" w:rsidP="00A650EB">
            <w:pPr>
              <w:spacing w:after="0"/>
              <w:jc w:val="right"/>
              <w:rPr>
                <w:rFonts w:eastAsia="Times New Roman" w:cs="Segoe UI"/>
                <w:b/>
                <w:bCs/>
                <w:color w:val="FFFFFF" w:themeColor="background1"/>
                <w:sz w:val="16"/>
                <w:szCs w:val="16"/>
                <w:lang w:eastAsia="sk-SK"/>
              </w:rPr>
            </w:pPr>
            <w:r w:rsidRPr="006744FA">
              <w:rPr>
                <w:rFonts w:eastAsia="Times New Roman" w:cs="Segoe UI"/>
                <w:b/>
                <w:bCs/>
                <w:color w:val="FFFFFF" w:themeColor="background1"/>
                <w:sz w:val="16"/>
                <w:szCs w:val="16"/>
                <w:lang w:eastAsia="sk-SK"/>
              </w:rPr>
              <w:t>2023 R</w:t>
            </w:r>
          </w:p>
        </w:tc>
        <w:tc>
          <w:tcPr>
            <w:tcW w:w="547" w:type="pct"/>
            <w:shd w:val="clear" w:color="auto" w:fill="314364"/>
            <w:vAlign w:val="center"/>
            <w:hideMark/>
          </w:tcPr>
          <w:p w14:paraId="24E00799" w14:textId="77777777" w:rsidR="00160F4C" w:rsidRPr="006744FA" w:rsidRDefault="00160F4C" w:rsidP="00A650EB">
            <w:pPr>
              <w:spacing w:after="0"/>
              <w:jc w:val="right"/>
              <w:rPr>
                <w:rFonts w:eastAsia="Times New Roman" w:cs="Segoe UI"/>
                <w:b/>
                <w:bCs/>
                <w:color w:val="FFFFFF" w:themeColor="background1"/>
                <w:sz w:val="16"/>
                <w:szCs w:val="16"/>
                <w:lang w:eastAsia="sk-SK"/>
              </w:rPr>
            </w:pPr>
            <w:r w:rsidRPr="006744FA">
              <w:rPr>
                <w:rFonts w:eastAsia="Times New Roman" w:cs="Segoe UI"/>
                <w:b/>
                <w:bCs/>
                <w:color w:val="FFFFFF" w:themeColor="background1"/>
                <w:sz w:val="16"/>
                <w:szCs w:val="16"/>
                <w:lang w:eastAsia="sk-SK"/>
              </w:rPr>
              <w:t>2023 UR</w:t>
            </w:r>
            <w:r>
              <w:rPr>
                <w:rFonts w:eastAsia="Times New Roman" w:cs="Segoe UI"/>
                <w:b/>
                <w:bCs/>
                <w:color w:val="FFFFFF" w:themeColor="background1"/>
                <w:sz w:val="16"/>
                <w:szCs w:val="16"/>
                <w:lang w:eastAsia="sk-SK"/>
              </w:rPr>
              <w:t>*</w:t>
            </w:r>
          </w:p>
        </w:tc>
        <w:tc>
          <w:tcPr>
            <w:tcW w:w="627" w:type="pct"/>
            <w:shd w:val="clear" w:color="auto" w:fill="314364"/>
            <w:vAlign w:val="center"/>
            <w:hideMark/>
          </w:tcPr>
          <w:p w14:paraId="41904C5A" w14:textId="77777777" w:rsidR="00160F4C" w:rsidRPr="006744FA" w:rsidRDefault="00160F4C" w:rsidP="00A650EB">
            <w:pPr>
              <w:spacing w:after="0"/>
              <w:jc w:val="right"/>
              <w:rPr>
                <w:rFonts w:eastAsia="Times New Roman" w:cs="Segoe UI"/>
                <w:b/>
                <w:bCs/>
                <w:color w:val="FFFFFF" w:themeColor="background1"/>
                <w:sz w:val="16"/>
                <w:szCs w:val="16"/>
                <w:lang w:eastAsia="sk-SK"/>
              </w:rPr>
            </w:pPr>
            <w:r>
              <w:rPr>
                <w:rFonts w:eastAsia="Times New Roman" w:cs="Segoe UI"/>
                <w:b/>
                <w:bCs/>
                <w:color w:val="FFFFFF" w:themeColor="background1"/>
                <w:sz w:val="16"/>
                <w:szCs w:val="16"/>
                <w:lang w:eastAsia="sk-SK"/>
              </w:rPr>
              <w:t xml:space="preserve">Uvoľnené** k 31.12.2023 </w:t>
            </w:r>
          </w:p>
        </w:tc>
        <w:tc>
          <w:tcPr>
            <w:tcW w:w="622" w:type="pct"/>
            <w:shd w:val="clear" w:color="auto" w:fill="314364"/>
            <w:vAlign w:val="center"/>
          </w:tcPr>
          <w:p w14:paraId="57CDF561" w14:textId="77777777" w:rsidR="00160F4C" w:rsidRPr="006744FA" w:rsidRDefault="00160F4C" w:rsidP="00A650EB">
            <w:pPr>
              <w:spacing w:after="0"/>
              <w:jc w:val="right"/>
              <w:rPr>
                <w:rFonts w:eastAsia="Times New Roman" w:cs="Segoe UI"/>
                <w:b/>
                <w:bCs/>
                <w:color w:val="FFFFFF" w:themeColor="background1"/>
                <w:sz w:val="16"/>
                <w:szCs w:val="16"/>
                <w:lang w:eastAsia="sk-SK"/>
              </w:rPr>
            </w:pPr>
            <w:r w:rsidRPr="006744FA">
              <w:rPr>
                <w:rFonts w:eastAsia="Times New Roman" w:cs="Segoe UI"/>
                <w:b/>
                <w:bCs/>
                <w:color w:val="FFFFFF" w:themeColor="background1"/>
                <w:sz w:val="16"/>
                <w:szCs w:val="16"/>
                <w:lang w:eastAsia="sk-SK"/>
              </w:rPr>
              <w:t>Nevyčerpané k 31.12.2022</w:t>
            </w:r>
          </w:p>
        </w:tc>
      </w:tr>
      <w:tr w:rsidR="00160F4C" w:rsidRPr="006744FA" w14:paraId="719F00E6" w14:textId="77777777" w:rsidTr="00A650EB">
        <w:trPr>
          <w:trHeight w:val="283"/>
        </w:trPr>
        <w:tc>
          <w:tcPr>
            <w:tcW w:w="2110" w:type="pct"/>
            <w:shd w:val="clear" w:color="000000" w:fill="FFFFFF"/>
            <w:noWrap/>
            <w:vAlign w:val="center"/>
            <w:hideMark/>
          </w:tcPr>
          <w:p w14:paraId="5241D749" w14:textId="77777777" w:rsidR="00160F4C" w:rsidRPr="006744FA" w:rsidRDefault="00160F4C" w:rsidP="00A650EB">
            <w:pPr>
              <w:spacing w:after="0"/>
              <w:jc w:val="left"/>
              <w:rPr>
                <w:rFonts w:eastAsia="Times New Roman" w:cs="Segoe UI"/>
                <w:color w:val="000000"/>
                <w:sz w:val="16"/>
                <w:szCs w:val="16"/>
                <w:lang w:eastAsia="sk-SK"/>
              </w:rPr>
            </w:pPr>
            <w:r w:rsidRPr="006744FA">
              <w:rPr>
                <w:rFonts w:eastAsia="Times New Roman" w:cs="Segoe UI"/>
                <w:color w:val="000000"/>
                <w:sz w:val="16"/>
                <w:szCs w:val="16"/>
                <w:lang w:eastAsia="sk-SK"/>
              </w:rPr>
              <w:t>Rezerva na riešenie vplyvov legislatívnych zmien</w:t>
            </w:r>
          </w:p>
        </w:tc>
        <w:tc>
          <w:tcPr>
            <w:tcW w:w="547" w:type="pct"/>
            <w:shd w:val="clear" w:color="000000" w:fill="FFFFFF"/>
            <w:noWrap/>
            <w:vAlign w:val="center"/>
          </w:tcPr>
          <w:p w14:paraId="42ECE7FB" w14:textId="77777777" w:rsidR="00160F4C" w:rsidRPr="006744FA" w:rsidRDefault="00160F4C" w:rsidP="00A650EB">
            <w:pPr>
              <w:spacing w:after="0"/>
              <w:jc w:val="right"/>
              <w:rPr>
                <w:sz w:val="16"/>
                <w:szCs w:val="16"/>
              </w:rPr>
            </w:pPr>
            <w:r w:rsidRPr="006744FA">
              <w:rPr>
                <w:sz w:val="16"/>
                <w:szCs w:val="16"/>
              </w:rPr>
              <w:t>130 634</w:t>
            </w:r>
          </w:p>
        </w:tc>
        <w:tc>
          <w:tcPr>
            <w:tcW w:w="547" w:type="pct"/>
            <w:shd w:val="clear" w:color="000000" w:fill="FFFFFF"/>
            <w:noWrap/>
            <w:vAlign w:val="center"/>
          </w:tcPr>
          <w:p w14:paraId="158C6792" w14:textId="77777777" w:rsidR="00160F4C" w:rsidRPr="006744FA" w:rsidRDefault="00160F4C" w:rsidP="00A650EB">
            <w:pPr>
              <w:spacing w:after="0"/>
              <w:jc w:val="right"/>
              <w:rPr>
                <w:sz w:val="16"/>
                <w:szCs w:val="16"/>
              </w:rPr>
            </w:pPr>
            <w:r w:rsidRPr="006744FA">
              <w:rPr>
                <w:sz w:val="16"/>
                <w:szCs w:val="16"/>
              </w:rPr>
              <w:t>857 992</w:t>
            </w:r>
          </w:p>
        </w:tc>
        <w:tc>
          <w:tcPr>
            <w:tcW w:w="547" w:type="pct"/>
            <w:shd w:val="clear" w:color="auto" w:fill="auto"/>
            <w:noWrap/>
            <w:vAlign w:val="center"/>
            <w:hideMark/>
          </w:tcPr>
          <w:p w14:paraId="466E0848" w14:textId="77777777" w:rsidR="00160F4C" w:rsidRPr="006744FA" w:rsidRDefault="00160F4C" w:rsidP="00A650EB">
            <w:pPr>
              <w:spacing w:after="0"/>
              <w:jc w:val="right"/>
              <w:rPr>
                <w:sz w:val="16"/>
                <w:szCs w:val="16"/>
              </w:rPr>
            </w:pPr>
            <w:r w:rsidRPr="006744FA">
              <w:rPr>
                <w:sz w:val="16"/>
                <w:szCs w:val="16"/>
              </w:rPr>
              <w:t>1 831 627</w:t>
            </w:r>
          </w:p>
        </w:tc>
        <w:tc>
          <w:tcPr>
            <w:tcW w:w="627" w:type="pct"/>
            <w:shd w:val="clear" w:color="auto" w:fill="F2F2F2" w:themeFill="background1" w:themeFillShade="F2"/>
            <w:vAlign w:val="center"/>
            <w:hideMark/>
          </w:tcPr>
          <w:p w14:paraId="06408D7F" w14:textId="77777777" w:rsidR="00160F4C" w:rsidRPr="006744FA" w:rsidRDefault="00160F4C" w:rsidP="00A650EB">
            <w:pPr>
              <w:spacing w:after="0"/>
              <w:jc w:val="right"/>
              <w:rPr>
                <w:sz w:val="16"/>
                <w:szCs w:val="16"/>
              </w:rPr>
            </w:pPr>
            <w:r w:rsidRPr="006744FA">
              <w:rPr>
                <w:sz w:val="16"/>
                <w:szCs w:val="16"/>
              </w:rPr>
              <w:t>1 831 627</w:t>
            </w:r>
          </w:p>
        </w:tc>
        <w:tc>
          <w:tcPr>
            <w:tcW w:w="622" w:type="pct"/>
            <w:shd w:val="clear" w:color="000000" w:fill="FFFFFF"/>
            <w:vAlign w:val="center"/>
          </w:tcPr>
          <w:p w14:paraId="758104B8" w14:textId="77777777" w:rsidR="00160F4C" w:rsidRPr="006744FA" w:rsidRDefault="00160F4C" w:rsidP="00A650EB">
            <w:pPr>
              <w:spacing w:after="0"/>
              <w:jc w:val="right"/>
              <w:rPr>
                <w:sz w:val="16"/>
                <w:szCs w:val="16"/>
              </w:rPr>
            </w:pPr>
            <w:r w:rsidRPr="006744FA">
              <w:rPr>
                <w:sz w:val="16"/>
                <w:szCs w:val="16"/>
              </w:rPr>
              <w:t>0</w:t>
            </w:r>
          </w:p>
        </w:tc>
      </w:tr>
      <w:tr w:rsidR="00160F4C" w:rsidRPr="006744FA" w14:paraId="703EEC46" w14:textId="77777777" w:rsidTr="00A650EB">
        <w:trPr>
          <w:trHeight w:val="283"/>
        </w:trPr>
        <w:tc>
          <w:tcPr>
            <w:tcW w:w="2110" w:type="pct"/>
            <w:shd w:val="clear" w:color="000000" w:fill="FFFFFF"/>
            <w:noWrap/>
            <w:vAlign w:val="center"/>
          </w:tcPr>
          <w:p w14:paraId="7BF273B5" w14:textId="77777777" w:rsidR="00160F4C" w:rsidRPr="006744FA" w:rsidRDefault="00160F4C" w:rsidP="00A650EB">
            <w:pPr>
              <w:spacing w:after="0"/>
              <w:jc w:val="left"/>
              <w:rPr>
                <w:rFonts w:eastAsia="Times New Roman" w:cs="Segoe UI"/>
                <w:color w:val="000000"/>
                <w:sz w:val="16"/>
                <w:szCs w:val="16"/>
                <w:lang w:eastAsia="sk-SK"/>
              </w:rPr>
            </w:pPr>
            <w:r w:rsidRPr="006744FA">
              <w:rPr>
                <w:rFonts w:eastAsia="Times New Roman" w:cs="Segoe UI"/>
                <w:color w:val="000000"/>
                <w:sz w:val="16"/>
                <w:szCs w:val="16"/>
                <w:lang w:eastAsia="sk-SK"/>
              </w:rPr>
              <w:t>Rezerva na kompenzačné opatrenia súvisiace s rastom cien energií</w:t>
            </w:r>
          </w:p>
        </w:tc>
        <w:tc>
          <w:tcPr>
            <w:tcW w:w="547" w:type="pct"/>
            <w:shd w:val="clear" w:color="000000" w:fill="FFFFFF"/>
            <w:noWrap/>
            <w:vAlign w:val="center"/>
          </w:tcPr>
          <w:p w14:paraId="1F4DE636" w14:textId="77777777" w:rsidR="00160F4C" w:rsidRPr="006744FA" w:rsidRDefault="00160F4C" w:rsidP="00A650EB">
            <w:pPr>
              <w:spacing w:after="0"/>
              <w:jc w:val="right"/>
              <w:rPr>
                <w:sz w:val="16"/>
                <w:szCs w:val="16"/>
              </w:rPr>
            </w:pPr>
            <w:r w:rsidRPr="006744FA">
              <w:rPr>
                <w:sz w:val="16"/>
                <w:szCs w:val="16"/>
              </w:rPr>
              <w:t>-</w:t>
            </w:r>
          </w:p>
        </w:tc>
        <w:tc>
          <w:tcPr>
            <w:tcW w:w="547" w:type="pct"/>
            <w:shd w:val="clear" w:color="000000" w:fill="FFFFFF"/>
            <w:noWrap/>
            <w:vAlign w:val="center"/>
          </w:tcPr>
          <w:p w14:paraId="0A85580C" w14:textId="77777777" w:rsidR="00160F4C" w:rsidRPr="006744FA" w:rsidRDefault="00160F4C" w:rsidP="00A650EB">
            <w:pPr>
              <w:spacing w:after="0"/>
              <w:jc w:val="right"/>
              <w:rPr>
                <w:sz w:val="16"/>
                <w:szCs w:val="16"/>
              </w:rPr>
            </w:pPr>
            <w:r w:rsidRPr="006744FA">
              <w:rPr>
                <w:sz w:val="16"/>
                <w:szCs w:val="16"/>
              </w:rPr>
              <w:t>860 000</w:t>
            </w:r>
          </w:p>
        </w:tc>
        <w:tc>
          <w:tcPr>
            <w:tcW w:w="547" w:type="pct"/>
            <w:shd w:val="clear" w:color="auto" w:fill="auto"/>
            <w:noWrap/>
            <w:vAlign w:val="center"/>
          </w:tcPr>
          <w:p w14:paraId="388F8134" w14:textId="77777777" w:rsidR="00160F4C" w:rsidRPr="006744FA" w:rsidRDefault="00160F4C" w:rsidP="00A650EB">
            <w:pPr>
              <w:spacing w:after="0"/>
              <w:jc w:val="right"/>
              <w:rPr>
                <w:sz w:val="16"/>
                <w:szCs w:val="16"/>
              </w:rPr>
            </w:pPr>
            <w:r w:rsidRPr="006744FA">
              <w:rPr>
                <w:sz w:val="16"/>
                <w:szCs w:val="16"/>
              </w:rPr>
              <w:t>1 718 716</w:t>
            </w:r>
          </w:p>
        </w:tc>
        <w:tc>
          <w:tcPr>
            <w:tcW w:w="627" w:type="pct"/>
            <w:shd w:val="clear" w:color="auto" w:fill="F2F2F2" w:themeFill="background1" w:themeFillShade="F2"/>
            <w:vAlign w:val="center"/>
          </w:tcPr>
          <w:p w14:paraId="745C6E3F" w14:textId="77777777" w:rsidR="00160F4C" w:rsidRPr="006744FA" w:rsidRDefault="00160F4C" w:rsidP="00A650EB">
            <w:pPr>
              <w:spacing w:after="0"/>
              <w:jc w:val="right"/>
              <w:rPr>
                <w:sz w:val="16"/>
                <w:szCs w:val="16"/>
              </w:rPr>
            </w:pPr>
            <w:r w:rsidRPr="006744FA">
              <w:rPr>
                <w:sz w:val="16"/>
                <w:szCs w:val="16"/>
              </w:rPr>
              <w:t>1 718 716</w:t>
            </w:r>
          </w:p>
        </w:tc>
        <w:tc>
          <w:tcPr>
            <w:tcW w:w="622" w:type="pct"/>
            <w:shd w:val="clear" w:color="000000" w:fill="FFFFFF"/>
            <w:vAlign w:val="center"/>
          </w:tcPr>
          <w:p w14:paraId="18FE563C" w14:textId="77777777" w:rsidR="00160F4C" w:rsidRPr="006744FA" w:rsidRDefault="00160F4C" w:rsidP="00A650EB">
            <w:pPr>
              <w:spacing w:after="0"/>
              <w:jc w:val="right"/>
              <w:rPr>
                <w:sz w:val="16"/>
                <w:szCs w:val="16"/>
              </w:rPr>
            </w:pPr>
            <w:r w:rsidRPr="006744FA">
              <w:rPr>
                <w:sz w:val="16"/>
                <w:szCs w:val="16"/>
              </w:rPr>
              <w:t>0</w:t>
            </w:r>
          </w:p>
        </w:tc>
      </w:tr>
      <w:tr w:rsidR="00160F4C" w:rsidRPr="006744FA" w14:paraId="2A49E90A" w14:textId="77777777" w:rsidTr="00A650EB">
        <w:trPr>
          <w:trHeight w:val="283"/>
        </w:trPr>
        <w:tc>
          <w:tcPr>
            <w:tcW w:w="2110" w:type="pct"/>
            <w:shd w:val="clear" w:color="000000" w:fill="FFFFFF"/>
            <w:noWrap/>
            <w:vAlign w:val="center"/>
          </w:tcPr>
          <w:p w14:paraId="38FB2746" w14:textId="77777777" w:rsidR="00160F4C" w:rsidRPr="006744FA" w:rsidRDefault="00160F4C" w:rsidP="00A650EB">
            <w:pPr>
              <w:spacing w:after="0"/>
              <w:jc w:val="left"/>
              <w:rPr>
                <w:rFonts w:eastAsia="Times New Roman" w:cs="Segoe UI"/>
                <w:color w:val="000000"/>
                <w:sz w:val="16"/>
                <w:szCs w:val="16"/>
                <w:lang w:eastAsia="sk-SK"/>
              </w:rPr>
            </w:pPr>
            <w:r w:rsidRPr="006744FA">
              <w:rPr>
                <w:rFonts w:eastAsia="Times New Roman" w:cs="Segoe UI"/>
                <w:color w:val="000000"/>
                <w:sz w:val="16"/>
                <w:szCs w:val="16"/>
                <w:lang w:eastAsia="sk-SK"/>
              </w:rPr>
              <w:t>Rezerva na prostriedky EÚ a odvody do EÚ</w:t>
            </w:r>
          </w:p>
        </w:tc>
        <w:tc>
          <w:tcPr>
            <w:tcW w:w="547" w:type="pct"/>
            <w:shd w:val="clear" w:color="000000" w:fill="FFFFFF"/>
            <w:noWrap/>
            <w:vAlign w:val="center"/>
          </w:tcPr>
          <w:p w14:paraId="161E8D5C" w14:textId="77777777" w:rsidR="00160F4C" w:rsidRPr="006744FA" w:rsidRDefault="00160F4C" w:rsidP="00A650EB">
            <w:pPr>
              <w:spacing w:after="0"/>
              <w:jc w:val="right"/>
              <w:rPr>
                <w:sz w:val="16"/>
                <w:szCs w:val="16"/>
              </w:rPr>
            </w:pPr>
            <w:r w:rsidRPr="006744FA">
              <w:rPr>
                <w:sz w:val="16"/>
                <w:szCs w:val="16"/>
              </w:rPr>
              <w:t>536 679</w:t>
            </w:r>
          </w:p>
        </w:tc>
        <w:tc>
          <w:tcPr>
            <w:tcW w:w="547" w:type="pct"/>
            <w:shd w:val="clear" w:color="000000" w:fill="FFFFFF"/>
            <w:noWrap/>
            <w:vAlign w:val="center"/>
          </w:tcPr>
          <w:p w14:paraId="2D21CF99" w14:textId="77777777" w:rsidR="00160F4C" w:rsidRPr="006744FA" w:rsidRDefault="00160F4C" w:rsidP="00A650EB">
            <w:pPr>
              <w:spacing w:after="0"/>
              <w:jc w:val="right"/>
              <w:rPr>
                <w:sz w:val="16"/>
                <w:szCs w:val="16"/>
              </w:rPr>
            </w:pPr>
            <w:r w:rsidRPr="006744FA">
              <w:rPr>
                <w:sz w:val="16"/>
                <w:szCs w:val="16"/>
              </w:rPr>
              <w:t>404 870</w:t>
            </w:r>
          </w:p>
        </w:tc>
        <w:tc>
          <w:tcPr>
            <w:tcW w:w="547" w:type="pct"/>
            <w:shd w:val="clear" w:color="auto" w:fill="auto"/>
            <w:noWrap/>
            <w:vAlign w:val="center"/>
          </w:tcPr>
          <w:p w14:paraId="0525FDDF" w14:textId="77777777" w:rsidR="00160F4C" w:rsidRPr="006744FA" w:rsidRDefault="00160F4C" w:rsidP="00A650EB">
            <w:pPr>
              <w:spacing w:after="0"/>
              <w:jc w:val="right"/>
              <w:rPr>
                <w:sz w:val="16"/>
                <w:szCs w:val="16"/>
              </w:rPr>
            </w:pPr>
            <w:r w:rsidRPr="006744FA">
              <w:rPr>
                <w:sz w:val="16"/>
                <w:szCs w:val="16"/>
              </w:rPr>
              <w:t>446 823</w:t>
            </w:r>
          </w:p>
        </w:tc>
        <w:tc>
          <w:tcPr>
            <w:tcW w:w="627" w:type="pct"/>
            <w:shd w:val="clear" w:color="auto" w:fill="F2F2F2" w:themeFill="background1" w:themeFillShade="F2"/>
            <w:vAlign w:val="center"/>
          </w:tcPr>
          <w:p w14:paraId="1D890CF6" w14:textId="77777777" w:rsidR="00160F4C" w:rsidRPr="006744FA" w:rsidRDefault="00160F4C" w:rsidP="00A650EB">
            <w:pPr>
              <w:spacing w:after="0"/>
              <w:jc w:val="right"/>
              <w:rPr>
                <w:sz w:val="16"/>
                <w:szCs w:val="16"/>
              </w:rPr>
            </w:pPr>
            <w:r w:rsidRPr="006744FA">
              <w:rPr>
                <w:sz w:val="16"/>
                <w:szCs w:val="16"/>
              </w:rPr>
              <w:t>446 823</w:t>
            </w:r>
          </w:p>
        </w:tc>
        <w:tc>
          <w:tcPr>
            <w:tcW w:w="622" w:type="pct"/>
            <w:shd w:val="clear" w:color="000000" w:fill="FFFFFF"/>
            <w:vAlign w:val="center"/>
          </w:tcPr>
          <w:p w14:paraId="2DC2EEA5" w14:textId="77777777" w:rsidR="00160F4C" w:rsidRPr="006744FA" w:rsidRDefault="00160F4C" w:rsidP="00A650EB">
            <w:pPr>
              <w:spacing w:after="0"/>
              <w:jc w:val="right"/>
              <w:rPr>
                <w:sz w:val="16"/>
                <w:szCs w:val="16"/>
              </w:rPr>
            </w:pPr>
            <w:r w:rsidRPr="006744FA">
              <w:rPr>
                <w:sz w:val="16"/>
                <w:szCs w:val="16"/>
              </w:rPr>
              <w:t>0</w:t>
            </w:r>
          </w:p>
        </w:tc>
      </w:tr>
      <w:tr w:rsidR="00160F4C" w:rsidRPr="006744FA" w14:paraId="75486349" w14:textId="77777777" w:rsidTr="00A650EB">
        <w:trPr>
          <w:trHeight w:val="283"/>
        </w:trPr>
        <w:tc>
          <w:tcPr>
            <w:tcW w:w="2110" w:type="pct"/>
            <w:shd w:val="clear" w:color="000000" w:fill="FFFFFF"/>
            <w:noWrap/>
            <w:vAlign w:val="center"/>
            <w:hideMark/>
          </w:tcPr>
          <w:p w14:paraId="707DE7D7" w14:textId="77777777" w:rsidR="00160F4C" w:rsidRPr="006744FA" w:rsidRDefault="00160F4C" w:rsidP="00A650EB">
            <w:pPr>
              <w:spacing w:after="0"/>
              <w:jc w:val="left"/>
              <w:rPr>
                <w:rFonts w:eastAsia="Times New Roman" w:cs="Segoe UI"/>
                <w:color w:val="000000"/>
                <w:sz w:val="16"/>
                <w:szCs w:val="16"/>
                <w:lang w:eastAsia="sk-SK"/>
              </w:rPr>
            </w:pPr>
            <w:r w:rsidRPr="006744FA">
              <w:rPr>
                <w:rFonts w:eastAsia="Times New Roman" w:cs="Segoe UI"/>
                <w:color w:val="000000"/>
                <w:sz w:val="16"/>
                <w:szCs w:val="16"/>
                <w:lang w:eastAsia="sk-SK"/>
              </w:rPr>
              <w:t>Rezerva na mzdy a poistné</w:t>
            </w:r>
          </w:p>
        </w:tc>
        <w:tc>
          <w:tcPr>
            <w:tcW w:w="547" w:type="pct"/>
            <w:shd w:val="clear" w:color="000000" w:fill="FFFFFF"/>
            <w:noWrap/>
            <w:vAlign w:val="center"/>
          </w:tcPr>
          <w:p w14:paraId="293420B0" w14:textId="77777777" w:rsidR="00160F4C" w:rsidRPr="006744FA" w:rsidRDefault="00160F4C" w:rsidP="00A650EB">
            <w:pPr>
              <w:spacing w:after="0"/>
              <w:jc w:val="right"/>
              <w:rPr>
                <w:sz w:val="16"/>
                <w:szCs w:val="16"/>
              </w:rPr>
            </w:pPr>
            <w:r w:rsidRPr="006744FA">
              <w:rPr>
                <w:sz w:val="16"/>
                <w:szCs w:val="16"/>
              </w:rPr>
              <w:t>265 103</w:t>
            </w:r>
          </w:p>
        </w:tc>
        <w:tc>
          <w:tcPr>
            <w:tcW w:w="547" w:type="pct"/>
            <w:shd w:val="clear" w:color="000000" w:fill="FFFFFF"/>
            <w:noWrap/>
            <w:vAlign w:val="center"/>
          </w:tcPr>
          <w:p w14:paraId="4FD6C3E6" w14:textId="77777777" w:rsidR="00160F4C" w:rsidRPr="006744FA" w:rsidRDefault="00160F4C" w:rsidP="00A650EB">
            <w:pPr>
              <w:spacing w:after="0"/>
              <w:jc w:val="right"/>
              <w:rPr>
                <w:sz w:val="16"/>
                <w:szCs w:val="16"/>
              </w:rPr>
            </w:pPr>
            <w:r w:rsidRPr="006744FA">
              <w:rPr>
                <w:sz w:val="16"/>
                <w:szCs w:val="16"/>
              </w:rPr>
              <w:t>187 662</w:t>
            </w:r>
          </w:p>
        </w:tc>
        <w:tc>
          <w:tcPr>
            <w:tcW w:w="547" w:type="pct"/>
            <w:shd w:val="clear" w:color="auto" w:fill="auto"/>
            <w:noWrap/>
            <w:vAlign w:val="center"/>
            <w:hideMark/>
          </w:tcPr>
          <w:p w14:paraId="7D261EB9" w14:textId="77777777" w:rsidR="00160F4C" w:rsidRPr="006744FA" w:rsidRDefault="00160F4C" w:rsidP="00A650EB">
            <w:pPr>
              <w:spacing w:after="0"/>
              <w:jc w:val="right"/>
              <w:rPr>
                <w:sz w:val="16"/>
                <w:szCs w:val="16"/>
              </w:rPr>
            </w:pPr>
            <w:r w:rsidRPr="006744FA">
              <w:rPr>
                <w:sz w:val="16"/>
                <w:szCs w:val="16"/>
              </w:rPr>
              <w:t>190 144</w:t>
            </w:r>
          </w:p>
        </w:tc>
        <w:tc>
          <w:tcPr>
            <w:tcW w:w="627" w:type="pct"/>
            <w:shd w:val="clear" w:color="auto" w:fill="F2F2F2" w:themeFill="background1" w:themeFillShade="F2"/>
            <w:vAlign w:val="center"/>
            <w:hideMark/>
          </w:tcPr>
          <w:p w14:paraId="3A75AD0C" w14:textId="77777777" w:rsidR="00160F4C" w:rsidRPr="006744FA" w:rsidRDefault="00160F4C" w:rsidP="00A650EB">
            <w:pPr>
              <w:spacing w:after="0"/>
              <w:jc w:val="right"/>
              <w:rPr>
                <w:sz w:val="16"/>
                <w:szCs w:val="16"/>
              </w:rPr>
            </w:pPr>
            <w:r w:rsidRPr="006744FA">
              <w:rPr>
                <w:sz w:val="16"/>
                <w:szCs w:val="16"/>
              </w:rPr>
              <w:t>189 924</w:t>
            </w:r>
          </w:p>
        </w:tc>
        <w:tc>
          <w:tcPr>
            <w:tcW w:w="622" w:type="pct"/>
            <w:shd w:val="clear" w:color="000000" w:fill="FFFFFF"/>
            <w:vAlign w:val="center"/>
          </w:tcPr>
          <w:p w14:paraId="4F7C795A" w14:textId="77777777" w:rsidR="00160F4C" w:rsidRPr="006744FA" w:rsidRDefault="00160F4C" w:rsidP="00A650EB">
            <w:pPr>
              <w:spacing w:after="0"/>
              <w:jc w:val="right"/>
              <w:rPr>
                <w:sz w:val="16"/>
                <w:szCs w:val="16"/>
              </w:rPr>
            </w:pPr>
            <w:r w:rsidRPr="006744FA">
              <w:rPr>
                <w:sz w:val="16"/>
                <w:szCs w:val="16"/>
              </w:rPr>
              <w:t>220</w:t>
            </w:r>
          </w:p>
        </w:tc>
      </w:tr>
      <w:tr w:rsidR="00160F4C" w:rsidRPr="006744FA" w14:paraId="3F1DE18B" w14:textId="77777777" w:rsidTr="00A650EB">
        <w:trPr>
          <w:trHeight w:val="283"/>
        </w:trPr>
        <w:tc>
          <w:tcPr>
            <w:tcW w:w="2110" w:type="pct"/>
            <w:shd w:val="clear" w:color="000000" w:fill="FFFFFF"/>
            <w:noWrap/>
            <w:vAlign w:val="center"/>
            <w:hideMark/>
          </w:tcPr>
          <w:p w14:paraId="7515CF71" w14:textId="77777777" w:rsidR="00160F4C" w:rsidRPr="006744FA" w:rsidRDefault="00160F4C" w:rsidP="00A650EB">
            <w:pPr>
              <w:spacing w:after="0"/>
              <w:jc w:val="left"/>
              <w:rPr>
                <w:rFonts w:eastAsia="Times New Roman" w:cs="Segoe UI"/>
                <w:color w:val="000000"/>
                <w:sz w:val="16"/>
                <w:szCs w:val="16"/>
                <w:lang w:eastAsia="sk-SK"/>
              </w:rPr>
            </w:pPr>
            <w:r w:rsidRPr="006744FA">
              <w:rPr>
                <w:rFonts w:eastAsia="Times New Roman" w:cs="Segoe UI"/>
                <w:color w:val="000000"/>
                <w:sz w:val="16"/>
                <w:szCs w:val="16"/>
                <w:lang w:eastAsia="sk-SK"/>
              </w:rPr>
              <w:t>Rezerva na výdavky súvisiace s vojnovým konfliktom na Ukrajine</w:t>
            </w:r>
          </w:p>
        </w:tc>
        <w:tc>
          <w:tcPr>
            <w:tcW w:w="547" w:type="pct"/>
            <w:shd w:val="clear" w:color="000000" w:fill="FFFFFF"/>
            <w:noWrap/>
            <w:vAlign w:val="center"/>
          </w:tcPr>
          <w:p w14:paraId="60C41FDB" w14:textId="77777777" w:rsidR="00160F4C" w:rsidRPr="006744FA" w:rsidRDefault="00160F4C" w:rsidP="00A650EB">
            <w:pPr>
              <w:spacing w:after="0"/>
              <w:jc w:val="right"/>
              <w:rPr>
                <w:sz w:val="16"/>
                <w:szCs w:val="16"/>
              </w:rPr>
            </w:pPr>
            <w:r w:rsidRPr="006744FA">
              <w:rPr>
                <w:sz w:val="16"/>
                <w:szCs w:val="16"/>
              </w:rPr>
              <w:t>-</w:t>
            </w:r>
          </w:p>
        </w:tc>
        <w:tc>
          <w:tcPr>
            <w:tcW w:w="547" w:type="pct"/>
            <w:shd w:val="clear" w:color="000000" w:fill="FFFFFF"/>
            <w:noWrap/>
            <w:vAlign w:val="center"/>
          </w:tcPr>
          <w:p w14:paraId="5F06ED7F" w14:textId="77777777" w:rsidR="00160F4C" w:rsidRPr="006744FA" w:rsidRDefault="00160F4C" w:rsidP="00A650EB">
            <w:pPr>
              <w:spacing w:after="0"/>
              <w:jc w:val="right"/>
              <w:rPr>
                <w:sz w:val="16"/>
                <w:szCs w:val="16"/>
              </w:rPr>
            </w:pPr>
            <w:r w:rsidRPr="006744FA">
              <w:rPr>
                <w:sz w:val="16"/>
                <w:szCs w:val="16"/>
              </w:rPr>
              <w:t>100 000</w:t>
            </w:r>
          </w:p>
        </w:tc>
        <w:tc>
          <w:tcPr>
            <w:tcW w:w="547" w:type="pct"/>
            <w:shd w:val="clear" w:color="auto" w:fill="auto"/>
            <w:noWrap/>
            <w:vAlign w:val="center"/>
            <w:hideMark/>
          </w:tcPr>
          <w:p w14:paraId="27D21248" w14:textId="77777777" w:rsidR="00160F4C" w:rsidRPr="006744FA" w:rsidRDefault="00160F4C" w:rsidP="00A650EB">
            <w:pPr>
              <w:spacing w:after="0"/>
              <w:jc w:val="right"/>
              <w:rPr>
                <w:sz w:val="16"/>
                <w:szCs w:val="16"/>
              </w:rPr>
            </w:pPr>
            <w:r w:rsidRPr="006744FA">
              <w:rPr>
                <w:sz w:val="16"/>
                <w:szCs w:val="16"/>
              </w:rPr>
              <w:t>110 000</w:t>
            </w:r>
          </w:p>
        </w:tc>
        <w:tc>
          <w:tcPr>
            <w:tcW w:w="627" w:type="pct"/>
            <w:shd w:val="clear" w:color="auto" w:fill="F2F2F2" w:themeFill="background1" w:themeFillShade="F2"/>
            <w:vAlign w:val="center"/>
            <w:hideMark/>
          </w:tcPr>
          <w:p w14:paraId="41141246" w14:textId="77777777" w:rsidR="00160F4C" w:rsidRPr="006744FA" w:rsidRDefault="00160F4C" w:rsidP="00A650EB">
            <w:pPr>
              <w:spacing w:after="0"/>
              <w:jc w:val="right"/>
              <w:rPr>
                <w:sz w:val="16"/>
                <w:szCs w:val="16"/>
              </w:rPr>
            </w:pPr>
            <w:r w:rsidRPr="006744FA">
              <w:rPr>
                <w:sz w:val="16"/>
                <w:szCs w:val="16"/>
              </w:rPr>
              <w:t>107 015</w:t>
            </w:r>
          </w:p>
        </w:tc>
        <w:tc>
          <w:tcPr>
            <w:tcW w:w="622" w:type="pct"/>
            <w:shd w:val="clear" w:color="000000" w:fill="FFFFFF"/>
            <w:vAlign w:val="center"/>
          </w:tcPr>
          <w:p w14:paraId="3A0DD129" w14:textId="77777777" w:rsidR="00160F4C" w:rsidRPr="006744FA" w:rsidRDefault="00160F4C" w:rsidP="00A650EB">
            <w:pPr>
              <w:spacing w:after="0"/>
              <w:jc w:val="right"/>
              <w:rPr>
                <w:sz w:val="16"/>
                <w:szCs w:val="16"/>
              </w:rPr>
            </w:pPr>
            <w:r w:rsidRPr="006744FA">
              <w:rPr>
                <w:sz w:val="16"/>
                <w:szCs w:val="16"/>
              </w:rPr>
              <w:t>2 985</w:t>
            </w:r>
          </w:p>
        </w:tc>
      </w:tr>
      <w:tr w:rsidR="00160F4C" w:rsidRPr="006744FA" w14:paraId="66BCD1DB" w14:textId="77777777" w:rsidTr="00A650EB">
        <w:trPr>
          <w:trHeight w:val="283"/>
        </w:trPr>
        <w:tc>
          <w:tcPr>
            <w:tcW w:w="2110" w:type="pct"/>
            <w:shd w:val="clear" w:color="000000" w:fill="FFFFFF"/>
            <w:noWrap/>
            <w:vAlign w:val="center"/>
          </w:tcPr>
          <w:p w14:paraId="78626E8E" w14:textId="77777777" w:rsidR="00160F4C" w:rsidRPr="006744FA" w:rsidRDefault="00160F4C" w:rsidP="00A650EB">
            <w:pPr>
              <w:spacing w:after="0"/>
              <w:jc w:val="left"/>
              <w:rPr>
                <w:rFonts w:eastAsia="Times New Roman" w:cs="Segoe UI"/>
                <w:color w:val="000000"/>
                <w:sz w:val="16"/>
                <w:szCs w:val="16"/>
                <w:lang w:eastAsia="sk-SK"/>
              </w:rPr>
            </w:pPr>
            <w:r w:rsidRPr="006744FA">
              <w:rPr>
                <w:rFonts w:eastAsia="Times New Roman" w:cs="Segoe UI"/>
                <w:color w:val="000000"/>
                <w:sz w:val="16"/>
                <w:szCs w:val="16"/>
                <w:lang w:eastAsia="sk-SK"/>
              </w:rPr>
              <w:t>Rezerva na riešenie krízových situácií mimo času vojny a vojnového stavu a vykonávanie povodňových prác</w:t>
            </w:r>
          </w:p>
        </w:tc>
        <w:tc>
          <w:tcPr>
            <w:tcW w:w="547" w:type="pct"/>
            <w:shd w:val="clear" w:color="000000" w:fill="FFFFFF"/>
            <w:noWrap/>
            <w:vAlign w:val="center"/>
          </w:tcPr>
          <w:p w14:paraId="73382E5A" w14:textId="77777777" w:rsidR="00160F4C" w:rsidRPr="006744FA" w:rsidRDefault="00160F4C" w:rsidP="00A650EB">
            <w:pPr>
              <w:spacing w:after="0"/>
              <w:jc w:val="right"/>
              <w:rPr>
                <w:sz w:val="16"/>
                <w:szCs w:val="16"/>
              </w:rPr>
            </w:pPr>
            <w:r w:rsidRPr="006744FA">
              <w:rPr>
                <w:sz w:val="16"/>
                <w:szCs w:val="16"/>
              </w:rPr>
              <w:t>6 656</w:t>
            </w:r>
          </w:p>
        </w:tc>
        <w:tc>
          <w:tcPr>
            <w:tcW w:w="547" w:type="pct"/>
            <w:shd w:val="clear" w:color="000000" w:fill="FFFFFF"/>
            <w:noWrap/>
            <w:vAlign w:val="center"/>
          </w:tcPr>
          <w:p w14:paraId="4D571AC5" w14:textId="77777777" w:rsidR="00160F4C" w:rsidRPr="006744FA" w:rsidRDefault="00160F4C" w:rsidP="00A650EB">
            <w:pPr>
              <w:spacing w:after="0"/>
              <w:jc w:val="right"/>
              <w:rPr>
                <w:sz w:val="16"/>
                <w:szCs w:val="16"/>
              </w:rPr>
            </w:pPr>
            <w:r w:rsidRPr="006744FA">
              <w:rPr>
                <w:sz w:val="16"/>
                <w:szCs w:val="16"/>
              </w:rPr>
              <w:t>21 000</w:t>
            </w:r>
          </w:p>
        </w:tc>
        <w:tc>
          <w:tcPr>
            <w:tcW w:w="547" w:type="pct"/>
            <w:shd w:val="clear" w:color="auto" w:fill="auto"/>
            <w:noWrap/>
            <w:vAlign w:val="center"/>
          </w:tcPr>
          <w:p w14:paraId="21AADCF2" w14:textId="77777777" w:rsidR="00160F4C" w:rsidRPr="006744FA" w:rsidRDefault="00160F4C" w:rsidP="00A650EB">
            <w:pPr>
              <w:spacing w:after="0"/>
              <w:jc w:val="right"/>
              <w:rPr>
                <w:sz w:val="16"/>
                <w:szCs w:val="16"/>
              </w:rPr>
            </w:pPr>
            <w:r w:rsidRPr="006744FA">
              <w:rPr>
                <w:sz w:val="16"/>
                <w:szCs w:val="16"/>
              </w:rPr>
              <w:t>21 000</w:t>
            </w:r>
          </w:p>
        </w:tc>
        <w:tc>
          <w:tcPr>
            <w:tcW w:w="627" w:type="pct"/>
            <w:shd w:val="clear" w:color="auto" w:fill="F2F2F2" w:themeFill="background1" w:themeFillShade="F2"/>
            <w:vAlign w:val="center"/>
          </w:tcPr>
          <w:p w14:paraId="32EB008A" w14:textId="77777777" w:rsidR="00160F4C" w:rsidRPr="006744FA" w:rsidRDefault="00160F4C" w:rsidP="00A650EB">
            <w:pPr>
              <w:spacing w:after="0"/>
              <w:jc w:val="right"/>
              <w:rPr>
                <w:sz w:val="16"/>
                <w:szCs w:val="16"/>
              </w:rPr>
            </w:pPr>
            <w:r w:rsidRPr="006744FA">
              <w:rPr>
                <w:sz w:val="16"/>
                <w:szCs w:val="16"/>
              </w:rPr>
              <w:t>6 034</w:t>
            </w:r>
          </w:p>
        </w:tc>
        <w:tc>
          <w:tcPr>
            <w:tcW w:w="622" w:type="pct"/>
            <w:shd w:val="clear" w:color="000000" w:fill="FFFFFF"/>
            <w:vAlign w:val="center"/>
          </w:tcPr>
          <w:p w14:paraId="7C8072B0" w14:textId="77777777" w:rsidR="00160F4C" w:rsidRPr="006744FA" w:rsidRDefault="00160F4C" w:rsidP="00A650EB">
            <w:pPr>
              <w:spacing w:after="0"/>
              <w:jc w:val="right"/>
              <w:rPr>
                <w:sz w:val="16"/>
                <w:szCs w:val="16"/>
              </w:rPr>
            </w:pPr>
            <w:r w:rsidRPr="006744FA">
              <w:rPr>
                <w:sz w:val="16"/>
                <w:szCs w:val="16"/>
              </w:rPr>
              <w:t>14 966</w:t>
            </w:r>
          </w:p>
        </w:tc>
      </w:tr>
      <w:tr w:rsidR="00160F4C" w:rsidRPr="006744FA" w14:paraId="1687A07D" w14:textId="77777777" w:rsidTr="00A650EB">
        <w:trPr>
          <w:trHeight w:val="283"/>
        </w:trPr>
        <w:tc>
          <w:tcPr>
            <w:tcW w:w="2110" w:type="pct"/>
            <w:shd w:val="clear" w:color="000000" w:fill="FFFFFF"/>
            <w:noWrap/>
            <w:vAlign w:val="center"/>
            <w:hideMark/>
          </w:tcPr>
          <w:p w14:paraId="74CBAB94" w14:textId="77777777" w:rsidR="00160F4C" w:rsidRPr="006744FA" w:rsidRDefault="00160F4C" w:rsidP="00A650EB">
            <w:pPr>
              <w:spacing w:after="0"/>
              <w:jc w:val="left"/>
              <w:rPr>
                <w:rFonts w:eastAsia="Times New Roman" w:cs="Segoe UI"/>
                <w:color w:val="000000"/>
                <w:sz w:val="16"/>
                <w:szCs w:val="16"/>
                <w:lang w:eastAsia="sk-SK"/>
              </w:rPr>
            </w:pPr>
            <w:r w:rsidRPr="006744FA">
              <w:rPr>
                <w:rFonts w:eastAsia="Times New Roman" w:cs="Segoe UI"/>
                <w:color w:val="000000"/>
                <w:sz w:val="16"/>
                <w:szCs w:val="16"/>
                <w:lang w:eastAsia="sk-SK"/>
              </w:rPr>
              <w:t>Rezerva vlády SR</w:t>
            </w:r>
          </w:p>
        </w:tc>
        <w:tc>
          <w:tcPr>
            <w:tcW w:w="547" w:type="pct"/>
            <w:shd w:val="clear" w:color="000000" w:fill="FFFFFF"/>
            <w:noWrap/>
            <w:vAlign w:val="center"/>
          </w:tcPr>
          <w:p w14:paraId="4482319F" w14:textId="77777777" w:rsidR="00160F4C" w:rsidRPr="006744FA" w:rsidRDefault="00160F4C" w:rsidP="00A650EB">
            <w:pPr>
              <w:spacing w:after="0"/>
              <w:jc w:val="right"/>
              <w:rPr>
                <w:sz w:val="16"/>
                <w:szCs w:val="16"/>
              </w:rPr>
            </w:pPr>
            <w:r w:rsidRPr="006744FA">
              <w:rPr>
                <w:sz w:val="16"/>
                <w:szCs w:val="16"/>
              </w:rPr>
              <w:t>1100</w:t>
            </w:r>
          </w:p>
        </w:tc>
        <w:tc>
          <w:tcPr>
            <w:tcW w:w="547" w:type="pct"/>
            <w:shd w:val="clear" w:color="000000" w:fill="FFFFFF"/>
            <w:noWrap/>
            <w:vAlign w:val="center"/>
          </w:tcPr>
          <w:p w14:paraId="51B6671E" w14:textId="77777777" w:rsidR="00160F4C" w:rsidRPr="006744FA" w:rsidRDefault="00160F4C" w:rsidP="00A650EB">
            <w:pPr>
              <w:spacing w:after="0"/>
              <w:jc w:val="right"/>
              <w:rPr>
                <w:sz w:val="16"/>
                <w:szCs w:val="16"/>
              </w:rPr>
            </w:pPr>
            <w:r w:rsidRPr="006744FA">
              <w:rPr>
                <w:sz w:val="16"/>
                <w:szCs w:val="16"/>
              </w:rPr>
              <w:t>5 000</w:t>
            </w:r>
          </w:p>
        </w:tc>
        <w:tc>
          <w:tcPr>
            <w:tcW w:w="547" w:type="pct"/>
            <w:shd w:val="clear" w:color="auto" w:fill="auto"/>
            <w:noWrap/>
            <w:vAlign w:val="center"/>
            <w:hideMark/>
          </w:tcPr>
          <w:p w14:paraId="5D9ED93E" w14:textId="77777777" w:rsidR="00160F4C" w:rsidRPr="006744FA" w:rsidRDefault="00160F4C" w:rsidP="00A650EB">
            <w:pPr>
              <w:spacing w:after="0"/>
              <w:jc w:val="right"/>
              <w:rPr>
                <w:sz w:val="16"/>
                <w:szCs w:val="16"/>
              </w:rPr>
            </w:pPr>
            <w:r w:rsidRPr="006744FA">
              <w:rPr>
                <w:sz w:val="16"/>
                <w:szCs w:val="16"/>
              </w:rPr>
              <w:t>5 000</w:t>
            </w:r>
          </w:p>
        </w:tc>
        <w:tc>
          <w:tcPr>
            <w:tcW w:w="627" w:type="pct"/>
            <w:shd w:val="clear" w:color="auto" w:fill="F2F2F2" w:themeFill="background1" w:themeFillShade="F2"/>
            <w:vAlign w:val="center"/>
            <w:hideMark/>
          </w:tcPr>
          <w:p w14:paraId="3200F637" w14:textId="77777777" w:rsidR="00160F4C" w:rsidRPr="006744FA" w:rsidRDefault="00160F4C" w:rsidP="00A650EB">
            <w:pPr>
              <w:spacing w:after="0"/>
              <w:jc w:val="right"/>
              <w:rPr>
                <w:sz w:val="16"/>
                <w:szCs w:val="16"/>
              </w:rPr>
            </w:pPr>
            <w:r w:rsidRPr="006744FA">
              <w:rPr>
                <w:sz w:val="16"/>
                <w:szCs w:val="16"/>
              </w:rPr>
              <w:t>4 120</w:t>
            </w:r>
          </w:p>
        </w:tc>
        <w:tc>
          <w:tcPr>
            <w:tcW w:w="622" w:type="pct"/>
            <w:shd w:val="clear" w:color="000000" w:fill="FFFFFF"/>
            <w:vAlign w:val="center"/>
          </w:tcPr>
          <w:p w14:paraId="69F27BE3" w14:textId="77777777" w:rsidR="00160F4C" w:rsidRPr="006744FA" w:rsidRDefault="00160F4C" w:rsidP="00A650EB">
            <w:pPr>
              <w:spacing w:after="0"/>
              <w:jc w:val="right"/>
              <w:rPr>
                <w:sz w:val="16"/>
                <w:szCs w:val="16"/>
              </w:rPr>
            </w:pPr>
            <w:r w:rsidRPr="006744FA">
              <w:rPr>
                <w:sz w:val="16"/>
                <w:szCs w:val="16"/>
              </w:rPr>
              <w:t>880</w:t>
            </w:r>
          </w:p>
        </w:tc>
      </w:tr>
      <w:tr w:rsidR="00160F4C" w:rsidRPr="006744FA" w14:paraId="42F79AA3" w14:textId="77777777" w:rsidTr="00A650EB">
        <w:trPr>
          <w:trHeight w:val="283"/>
        </w:trPr>
        <w:tc>
          <w:tcPr>
            <w:tcW w:w="2110" w:type="pct"/>
            <w:shd w:val="clear" w:color="000000" w:fill="FFFFFF"/>
            <w:noWrap/>
            <w:vAlign w:val="center"/>
            <w:hideMark/>
          </w:tcPr>
          <w:p w14:paraId="6C2499E6" w14:textId="77777777" w:rsidR="00160F4C" w:rsidRPr="006744FA" w:rsidRDefault="00160F4C" w:rsidP="00A650EB">
            <w:pPr>
              <w:spacing w:after="0"/>
              <w:jc w:val="left"/>
              <w:rPr>
                <w:rFonts w:eastAsia="Times New Roman" w:cs="Segoe UI"/>
                <w:color w:val="000000"/>
                <w:sz w:val="16"/>
                <w:szCs w:val="16"/>
                <w:lang w:eastAsia="sk-SK"/>
              </w:rPr>
            </w:pPr>
            <w:r w:rsidRPr="006744FA">
              <w:rPr>
                <w:rFonts w:eastAsia="Times New Roman" w:cs="Segoe UI"/>
                <w:color w:val="000000"/>
                <w:sz w:val="16"/>
                <w:szCs w:val="16"/>
                <w:lang w:eastAsia="sk-SK"/>
              </w:rPr>
              <w:t>Rezerva na realizáciu súdnych a exekučných rozhodnutí</w:t>
            </w:r>
          </w:p>
        </w:tc>
        <w:tc>
          <w:tcPr>
            <w:tcW w:w="547" w:type="pct"/>
            <w:shd w:val="clear" w:color="000000" w:fill="FFFFFF"/>
            <w:noWrap/>
            <w:vAlign w:val="center"/>
          </w:tcPr>
          <w:p w14:paraId="5330F920" w14:textId="77777777" w:rsidR="00160F4C" w:rsidRPr="006744FA" w:rsidRDefault="00160F4C" w:rsidP="00A650EB">
            <w:pPr>
              <w:spacing w:after="0"/>
              <w:jc w:val="right"/>
              <w:rPr>
                <w:sz w:val="16"/>
                <w:szCs w:val="16"/>
              </w:rPr>
            </w:pPr>
            <w:r w:rsidRPr="006744FA">
              <w:rPr>
                <w:sz w:val="16"/>
                <w:szCs w:val="16"/>
              </w:rPr>
              <w:t>10 000</w:t>
            </w:r>
          </w:p>
        </w:tc>
        <w:tc>
          <w:tcPr>
            <w:tcW w:w="547" w:type="pct"/>
            <w:shd w:val="clear" w:color="000000" w:fill="FFFFFF"/>
            <w:noWrap/>
            <w:vAlign w:val="center"/>
          </w:tcPr>
          <w:p w14:paraId="18D2221C" w14:textId="77777777" w:rsidR="00160F4C" w:rsidRPr="006744FA" w:rsidRDefault="00160F4C" w:rsidP="00A650EB">
            <w:pPr>
              <w:spacing w:after="0"/>
              <w:jc w:val="right"/>
              <w:rPr>
                <w:sz w:val="16"/>
                <w:szCs w:val="16"/>
              </w:rPr>
            </w:pPr>
            <w:r w:rsidRPr="006744FA">
              <w:rPr>
                <w:sz w:val="16"/>
                <w:szCs w:val="16"/>
              </w:rPr>
              <w:t>10 000</w:t>
            </w:r>
          </w:p>
        </w:tc>
        <w:tc>
          <w:tcPr>
            <w:tcW w:w="547" w:type="pct"/>
            <w:shd w:val="clear" w:color="auto" w:fill="auto"/>
            <w:noWrap/>
            <w:vAlign w:val="center"/>
            <w:hideMark/>
          </w:tcPr>
          <w:p w14:paraId="50734BB6" w14:textId="77777777" w:rsidR="00160F4C" w:rsidRPr="006744FA" w:rsidRDefault="00160F4C" w:rsidP="00A650EB">
            <w:pPr>
              <w:spacing w:after="0"/>
              <w:jc w:val="right"/>
              <w:rPr>
                <w:sz w:val="16"/>
                <w:szCs w:val="16"/>
              </w:rPr>
            </w:pPr>
            <w:r w:rsidRPr="006744FA">
              <w:rPr>
                <w:sz w:val="16"/>
                <w:szCs w:val="16"/>
              </w:rPr>
              <w:t>10 000</w:t>
            </w:r>
          </w:p>
        </w:tc>
        <w:tc>
          <w:tcPr>
            <w:tcW w:w="627" w:type="pct"/>
            <w:shd w:val="clear" w:color="auto" w:fill="F2F2F2" w:themeFill="background1" w:themeFillShade="F2"/>
            <w:vAlign w:val="center"/>
            <w:hideMark/>
          </w:tcPr>
          <w:p w14:paraId="722C6027" w14:textId="77777777" w:rsidR="00160F4C" w:rsidRPr="006744FA" w:rsidRDefault="00160F4C" w:rsidP="00A650EB">
            <w:pPr>
              <w:spacing w:after="0"/>
              <w:jc w:val="right"/>
              <w:rPr>
                <w:sz w:val="16"/>
                <w:szCs w:val="16"/>
              </w:rPr>
            </w:pPr>
            <w:r w:rsidRPr="006744FA">
              <w:rPr>
                <w:sz w:val="16"/>
                <w:szCs w:val="16"/>
              </w:rPr>
              <w:t>2 646</w:t>
            </w:r>
          </w:p>
        </w:tc>
        <w:tc>
          <w:tcPr>
            <w:tcW w:w="622" w:type="pct"/>
            <w:shd w:val="clear" w:color="000000" w:fill="FFFFFF"/>
            <w:vAlign w:val="center"/>
          </w:tcPr>
          <w:p w14:paraId="2B71AC9C" w14:textId="77777777" w:rsidR="00160F4C" w:rsidRPr="006744FA" w:rsidRDefault="00160F4C" w:rsidP="00A650EB">
            <w:pPr>
              <w:spacing w:after="0"/>
              <w:jc w:val="right"/>
              <w:rPr>
                <w:sz w:val="16"/>
                <w:szCs w:val="16"/>
              </w:rPr>
            </w:pPr>
            <w:r w:rsidRPr="006744FA">
              <w:rPr>
                <w:sz w:val="16"/>
                <w:szCs w:val="16"/>
              </w:rPr>
              <w:t>7 354</w:t>
            </w:r>
          </w:p>
        </w:tc>
      </w:tr>
      <w:tr w:rsidR="00160F4C" w:rsidRPr="006744FA" w14:paraId="6193B5A5" w14:textId="77777777" w:rsidTr="00A650EB">
        <w:trPr>
          <w:trHeight w:val="283"/>
        </w:trPr>
        <w:tc>
          <w:tcPr>
            <w:tcW w:w="2110" w:type="pct"/>
            <w:shd w:val="clear" w:color="000000" w:fill="FFFFFF"/>
            <w:noWrap/>
            <w:vAlign w:val="center"/>
            <w:hideMark/>
          </w:tcPr>
          <w:p w14:paraId="2FF4415F" w14:textId="77777777" w:rsidR="00160F4C" w:rsidRPr="006744FA" w:rsidRDefault="00160F4C" w:rsidP="00A650EB">
            <w:pPr>
              <w:spacing w:after="0"/>
              <w:jc w:val="left"/>
              <w:rPr>
                <w:rFonts w:eastAsia="Times New Roman" w:cs="Segoe UI"/>
                <w:color w:val="000000"/>
                <w:sz w:val="16"/>
                <w:szCs w:val="16"/>
                <w:lang w:eastAsia="sk-SK"/>
              </w:rPr>
            </w:pPr>
            <w:r w:rsidRPr="006744FA">
              <w:rPr>
                <w:rFonts w:eastAsia="Times New Roman" w:cs="Segoe UI"/>
                <w:color w:val="000000"/>
                <w:sz w:val="16"/>
                <w:szCs w:val="16"/>
                <w:lang w:eastAsia="sk-SK"/>
              </w:rPr>
              <w:t>Rezerva predsedu vlády SR</w:t>
            </w:r>
          </w:p>
        </w:tc>
        <w:tc>
          <w:tcPr>
            <w:tcW w:w="547" w:type="pct"/>
            <w:shd w:val="clear" w:color="000000" w:fill="FFFFFF"/>
            <w:noWrap/>
            <w:vAlign w:val="center"/>
          </w:tcPr>
          <w:p w14:paraId="487CB167" w14:textId="77777777" w:rsidR="00160F4C" w:rsidRPr="006744FA" w:rsidRDefault="00160F4C" w:rsidP="00A650EB">
            <w:pPr>
              <w:spacing w:after="0"/>
              <w:jc w:val="right"/>
              <w:rPr>
                <w:sz w:val="16"/>
                <w:szCs w:val="16"/>
              </w:rPr>
            </w:pPr>
            <w:r w:rsidRPr="006744FA">
              <w:rPr>
                <w:sz w:val="16"/>
                <w:szCs w:val="16"/>
              </w:rPr>
              <w:t>1 942</w:t>
            </w:r>
          </w:p>
        </w:tc>
        <w:tc>
          <w:tcPr>
            <w:tcW w:w="547" w:type="pct"/>
            <w:shd w:val="clear" w:color="000000" w:fill="FFFFFF"/>
            <w:noWrap/>
            <w:vAlign w:val="center"/>
          </w:tcPr>
          <w:p w14:paraId="72AE98BA" w14:textId="77777777" w:rsidR="00160F4C" w:rsidRPr="006744FA" w:rsidRDefault="00160F4C" w:rsidP="00A650EB">
            <w:pPr>
              <w:spacing w:after="0"/>
              <w:jc w:val="right"/>
              <w:rPr>
                <w:sz w:val="16"/>
                <w:szCs w:val="16"/>
              </w:rPr>
            </w:pPr>
            <w:r w:rsidRPr="006744FA">
              <w:rPr>
                <w:sz w:val="16"/>
                <w:szCs w:val="16"/>
              </w:rPr>
              <w:t>1 500</w:t>
            </w:r>
          </w:p>
        </w:tc>
        <w:tc>
          <w:tcPr>
            <w:tcW w:w="547" w:type="pct"/>
            <w:shd w:val="clear" w:color="auto" w:fill="auto"/>
            <w:noWrap/>
            <w:vAlign w:val="center"/>
            <w:hideMark/>
          </w:tcPr>
          <w:p w14:paraId="2F260F62" w14:textId="77777777" w:rsidR="00160F4C" w:rsidRPr="006744FA" w:rsidRDefault="00160F4C" w:rsidP="00A650EB">
            <w:pPr>
              <w:spacing w:after="0"/>
              <w:jc w:val="right"/>
              <w:rPr>
                <w:sz w:val="16"/>
                <w:szCs w:val="16"/>
              </w:rPr>
            </w:pPr>
            <w:r w:rsidRPr="006744FA">
              <w:rPr>
                <w:sz w:val="16"/>
                <w:szCs w:val="16"/>
              </w:rPr>
              <w:t>2 027</w:t>
            </w:r>
          </w:p>
        </w:tc>
        <w:tc>
          <w:tcPr>
            <w:tcW w:w="627" w:type="pct"/>
            <w:shd w:val="clear" w:color="auto" w:fill="F2F2F2" w:themeFill="background1" w:themeFillShade="F2"/>
            <w:vAlign w:val="center"/>
            <w:hideMark/>
          </w:tcPr>
          <w:p w14:paraId="6228E729" w14:textId="77777777" w:rsidR="00160F4C" w:rsidRPr="006744FA" w:rsidRDefault="00160F4C" w:rsidP="00A650EB">
            <w:pPr>
              <w:spacing w:after="0"/>
              <w:jc w:val="right"/>
              <w:rPr>
                <w:sz w:val="16"/>
                <w:szCs w:val="16"/>
              </w:rPr>
            </w:pPr>
            <w:r w:rsidRPr="006744FA">
              <w:rPr>
                <w:sz w:val="16"/>
                <w:szCs w:val="16"/>
              </w:rPr>
              <w:t>2 018</w:t>
            </w:r>
          </w:p>
        </w:tc>
        <w:tc>
          <w:tcPr>
            <w:tcW w:w="622" w:type="pct"/>
            <w:shd w:val="clear" w:color="000000" w:fill="FFFFFF"/>
            <w:vAlign w:val="center"/>
          </w:tcPr>
          <w:p w14:paraId="5638F173" w14:textId="77777777" w:rsidR="00160F4C" w:rsidRPr="006744FA" w:rsidRDefault="00160F4C" w:rsidP="00A650EB">
            <w:pPr>
              <w:spacing w:after="0"/>
              <w:jc w:val="right"/>
              <w:rPr>
                <w:sz w:val="16"/>
                <w:szCs w:val="16"/>
              </w:rPr>
            </w:pPr>
            <w:r w:rsidRPr="006744FA">
              <w:rPr>
                <w:sz w:val="16"/>
                <w:szCs w:val="16"/>
              </w:rPr>
              <w:t>9</w:t>
            </w:r>
          </w:p>
        </w:tc>
      </w:tr>
      <w:tr w:rsidR="00160F4C" w:rsidRPr="006744FA" w14:paraId="0769B035" w14:textId="77777777" w:rsidTr="00A650EB">
        <w:trPr>
          <w:trHeight w:val="283"/>
        </w:trPr>
        <w:tc>
          <w:tcPr>
            <w:tcW w:w="2110" w:type="pct"/>
            <w:shd w:val="clear" w:color="000000" w:fill="FFFFFF"/>
            <w:noWrap/>
            <w:vAlign w:val="center"/>
            <w:hideMark/>
          </w:tcPr>
          <w:p w14:paraId="7AAC7838" w14:textId="77777777" w:rsidR="00160F4C" w:rsidRPr="006744FA" w:rsidRDefault="00160F4C" w:rsidP="00A650EB">
            <w:pPr>
              <w:spacing w:after="0"/>
              <w:jc w:val="left"/>
              <w:rPr>
                <w:rFonts w:eastAsia="Times New Roman" w:cs="Segoe UI"/>
                <w:color w:val="000000"/>
                <w:sz w:val="16"/>
                <w:szCs w:val="16"/>
                <w:lang w:eastAsia="sk-SK"/>
              </w:rPr>
            </w:pPr>
            <w:r w:rsidRPr="006744FA">
              <w:rPr>
                <w:rFonts w:eastAsia="Times New Roman" w:cs="Segoe UI"/>
                <w:color w:val="000000"/>
                <w:sz w:val="16"/>
                <w:szCs w:val="16"/>
                <w:lang w:eastAsia="sk-SK"/>
              </w:rPr>
              <w:t>Rezerva na negatívne vplyvy pandémie ochorenia COVID -19</w:t>
            </w:r>
          </w:p>
        </w:tc>
        <w:tc>
          <w:tcPr>
            <w:tcW w:w="547" w:type="pct"/>
            <w:shd w:val="clear" w:color="000000" w:fill="FFFFFF"/>
            <w:noWrap/>
            <w:vAlign w:val="center"/>
          </w:tcPr>
          <w:p w14:paraId="458CF128" w14:textId="77777777" w:rsidR="00160F4C" w:rsidRPr="006744FA" w:rsidRDefault="00160F4C" w:rsidP="00A650EB">
            <w:pPr>
              <w:spacing w:after="0"/>
              <w:jc w:val="right"/>
              <w:rPr>
                <w:sz w:val="16"/>
                <w:szCs w:val="16"/>
              </w:rPr>
            </w:pPr>
            <w:r w:rsidRPr="006744FA">
              <w:rPr>
                <w:sz w:val="16"/>
                <w:szCs w:val="16"/>
              </w:rPr>
              <w:t>717 441</w:t>
            </w:r>
          </w:p>
        </w:tc>
        <w:tc>
          <w:tcPr>
            <w:tcW w:w="547" w:type="pct"/>
            <w:shd w:val="clear" w:color="000000" w:fill="FFFFFF"/>
            <w:noWrap/>
            <w:vAlign w:val="center"/>
          </w:tcPr>
          <w:p w14:paraId="4B0C6C43" w14:textId="77777777" w:rsidR="00160F4C" w:rsidRPr="006744FA" w:rsidRDefault="00160F4C" w:rsidP="00A650EB">
            <w:pPr>
              <w:spacing w:after="0"/>
              <w:jc w:val="right"/>
              <w:rPr>
                <w:sz w:val="16"/>
                <w:szCs w:val="16"/>
              </w:rPr>
            </w:pPr>
            <w:r w:rsidRPr="006744FA">
              <w:rPr>
                <w:sz w:val="16"/>
                <w:szCs w:val="16"/>
              </w:rPr>
              <w:t>-</w:t>
            </w:r>
          </w:p>
        </w:tc>
        <w:tc>
          <w:tcPr>
            <w:tcW w:w="547" w:type="pct"/>
            <w:shd w:val="clear" w:color="auto" w:fill="auto"/>
            <w:noWrap/>
            <w:vAlign w:val="center"/>
            <w:hideMark/>
          </w:tcPr>
          <w:p w14:paraId="36A23349" w14:textId="77777777" w:rsidR="00160F4C" w:rsidRPr="006744FA" w:rsidRDefault="00160F4C" w:rsidP="00A650EB">
            <w:pPr>
              <w:spacing w:after="0"/>
              <w:jc w:val="right"/>
              <w:rPr>
                <w:sz w:val="16"/>
                <w:szCs w:val="16"/>
              </w:rPr>
            </w:pPr>
            <w:r w:rsidRPr="006744FA">
              <w:rPr>
                <w:sz w:val="16"/>
                <w:szCs w:val="16"/>
              </w:rPr>
              <w:t>-</w:t>
            </w:r>
          </w:p>
        </w:tc>
        <w:tc>
          <w:tcPr>
            <w:tcW w:w="627" w:type="pct"/>
            <w:shd w:val="clear" w:color="auto" w:fill="F2F2F2" w:themeFill="background1" w:themeFillShade="F2"/>
            <w:vAlign w:val="center"/>
            <w:hideMark/>
          </w:tcPr>
          <w:p w14:paraId="07965569" w14:textId="77777777" w:rsidR="00160F4C" w:rsidRPr="006744FA" w:rsidRDefault="00160F4C" w:rsidP="00A650EB">
            <w:pPr>
              <w:spacing w:after="0"/>
              <w:jc w:val="right"/>
              <w:rPr>
                <w:sz w:val="16"/>
                <w:szCs w:val="16"/>
              </w:rPr>
            </w:pPr>
            <w:r w:rsidRPr="006744FA">
              <w:rPr>
                <w:sz w:val="16"/>
                <w:szCs w:val="16"/>
              </w:rPr>
              <w:t>-</w:t>
            </w:r>
          </w:p>
        </w:tc>
        <w:tc>
          <w:tcPr>
            <w:tcW w:w="622" w:type="pct"/>
            <w:shd w:val="clear" w:color="000000" w:fill="FFFFFF"/>
            <w:vAlign w:val="center"/>
          </w:tcPr>
          <w:p w14:paraId="2D57411D" w14:textId="77777777" w:rsidR="00160F4C" w:rsidRPr="006744FA" w:rsidRDefault="00160F4C" w:rsidP="00A650EB">
            <w:pPr>
              <w:spacing w:after="0"/>
              <w:jc w:val="right"/>
              <w:rPr>
                <w:sz w:val="16"/>
                <w:szCs w:val="16"/>
              </w:rPr>
            </w:pPr>
            <w:r w:rsidRPr="006744FA">
              <w:rPr>
                <w:sz w:val="16"/>
                <w:szCs w:val="16"/>
              </w:rPr>
              <w:t>-</w:t>
            </w:r>
          </w:p>
        </w:tc>
      </w:tr>
      <w:tr w:rsidR="00160F4C" w:rsidRPr="006744FA" w14:paraId="39C4A7A4" w14:textId="77777777" w:rsidTr="00A650EB">
        <w:trPr>
          <w:trHeight w:val="283"/>
        </w:trPr>
        <w:tc>
          <w:tcPr>
            <w:tcW w:w="2110" w:type="pct"/>
            <w:shd w:val="clear" w:color="000000" w:fill="FFFFFF"/>
            <w:noWrap/>
            <w:vAlign w:val="center"/>
            <w:hideMark/>
          </w:tcPr>
          <w:p w14:paraId="7C999D58" w14:textId="77777777" w:rsidR="00160F4C" w:rsidRPr="006744FA" w:rsidRDefault="00160F4C" w:rsidP="00A650EB">
            <w:pPr>
              <w:spacing w:after="0"/>
              <w:jc w:val="left"/>
              <w:rPr>
                <w:rFonts w:eastAsia="Times New Roman" w:cs="Segoe UI"/>
                <w:color w:val="000000"/>
                <w:sz w:val="16"/>
                <w:szCs w:val="16"/>
                <w:lang w:eastAsia="sk-SK"/>
              </w:rPr>
            </w:pPr>
            <w:r w:rsidRPr="006744FA">
              <w:rPr>
                <w:rFonts w:eastAsia="Times New Roman" w:cs="Segoe UI"/>
                <w:color w:val="000000"/>
                <w:sz w:val="16"/>
                <w:szCs w:val="16"/>
                <w:lang w:eastAsia="sk-SK"/>
              </w:rPr>
              <w:t>Rezerva na výdavky v zdravotníctve</w:t>
            </w:r>
          </w:p>
        </w:tc>
        <w:tc>
          <w:tcPr>
            <w:tcW w:w="547" w:type="pct"/>
            <w:shd w:val="clear" w:color="000000" w:fill="FFFFFF"/>
            <w:noWrap/>
            <w:vAlign w:val="center"/>
          </w:tcPr>
          <w:p w14:paraId="2C362CBC" w14:textId="77777777" w:rsidR="00160F4C" w:rsidRPr="006744FA" w:rsidRDefault="00160F4C" w:rsidP="00A650EB">
            <w:pPr>
              <w:spacing w:after="0"/>
              <w:jc w:val="right"/>
              <w:rPr>
                <w:sz w:val="16"/>
                <w:szCs w:val="16"/>
              </w:rPr>
            </w:pPr>
            <w:r w:rsidRPr="006744FA">
              <w:rPr>
                <w:sz w:val="16"/>
                <w:szCs w:val="16"/>
              </w:rPr>
              <w:t>220 000</w:t>
            </w:r>
          </w:p>
        </w:tc>
        <w:tc>
          <w:tcPr>
            <w:tcW w:w="547" w:type="pct"/>
            <w:shd w:val="clear" w:color="000000" w:fill="FFFFFF"/>
            <w:noWrap/>
            <w:vAlign w:val="center"/>
          </w:tcPr>
          <w:p w14:paraId="355EF433" w14:textId="77777777" w:rsidR="00160F4C" w:rsidRPr="006744FA" w:rsidRDefault="00160F4C" w:rsidP="00A650EB">
            <w:pPr>
              <w:spacing w:after="0"/>
              <w:jc w:val="right"/>
              <w:rPr>
                <w:sz w:val="16"/>
                <w:szCs w:val="16"/>
              </w:rPr>
            </w:pPr>
            <w:r w:rsidRPr="006744FA">
              <w:rPr>
                <w:sz w:val="16"/>
                <w:szCs w:val="16"/>
              </w:rPr>
              <w:t>-</w:t>
            </w:r>
          </w:p>
        </w:tc>
        <w:tc>
          <w:tcPr>
            <w:tcW w:w="547" w:type="pct"/>
            <w:shd w:val="clear" w:color="auto" w:fill="auto"/>
            <w:noWrap/>
            <w:vAlign w:val="center"/>
            <w:hideMark/>
          </w:tcPr>
          <w:p w14:paraId="16CB2272" w14:textId="77777777" w:rsidR="00160F4C" w:rsidRPr="006744FA" w:rsidRDefault="00160F4C" w:rsidP="00A650EB">
            <w:pPr>
              <w:spacing w:after="0"/>
              <w:jc w:val="right"/>
              <w:rPr>
                <w:sz w:val="16"/>
                <w:szCs w:val="16"/>
              </w:rPr>
            </w:pPr>
            <w:r w:rsidRPr="006744FA">
              <w:rPr>
                <w:sz w:val="16"/>
                <w:szCs w:val="16"/>
              </w:rPr>
              <w:t>-</w:t>
            </w:r>
          </w:p>
        </w:tc>
        <w:tc>
          <w:tcPr>
            <w:tcW w:w="627" w:type="pct"/>
            <w:shd w:val="clear" w:color="auto" w:fill="F2F2F2" w:themeFill="background1" w:themeFillShade="F2"/>
            <w:vAlign w:val="center"/>
            <w:hideMark/>
          </w:tcPr>
          <w:p w14:paraId="09F521B2" w14:textId="77777777" w:rsidR="00160F4C" w:rsidRPr="006744FA" w:rsidRDefault="00160F4C" w:rsidP="00A650EB">
            <w:pPr>
              <w:spacing w:after="0"/>
              <w:jc w:val="right"/>
              <w:rPr>
                <w:sz w:val="16"/>
                <w:szCs w:val="16"/>
              </w:rPr>
            </w:pPr>
            <w:r w:rsidRPr="006744FA">
              <w:rPr>
                <w:sz w:val="16"/>
                <w:szCs w:val="16"/>
              </w:rPr>
              <w:t>-</w:t>
            </w:r>
          </w:p>
        </w:tc>
        <w:tc>
          <w:tcPr>
            <w:tcW w:w="622" w:type="pct"/>
            <w:shd w:val="clear" w:color="000000" w:fill="FFFFFF"/>
            <w:vAlign w:val="center"/>
          </w:tcPr>
          <w:p w14:paraId="1C1A5892" w14:textId="77777777" w:rsidR="00160F4C" w:rsidRPr="006744FA" w:rsidRDefault="00160F4C" w:rsidP="00A650EB">
            <w:pPr>
              <w:spacing w:after="0"/>
              <w:jc w:val="right"/>
              <w:rPr>
                <w:sz w:val="16"/>
                <w:szCs w:val="16"/>
              </w:rPr>
            </w:pPr>
            <w:r w:rsidRPr="006744FA">
              <w:rPr>
                <w:sz w:val="16"/>
                <w:szCs w:val="16"/>
              </w:rPr>
              <w:t>-</w:t>
            </w:r>
          </w:p>
        </w:tc>
      </w:tr>
      <w:tr w:rsidR="00160F4C" w:rsidRPr="006744FA" w14:paraId="4896F666" w14:textId="77777777" w:rsidTr="00A650EB">
        <w:trPr>
          <w:trHeight w:val="283"/>
        </w:trPr>
        <w:tc>
          <w:tcPr>
            <w:tcW w:w="2110" w:type="pct"/>
            <w:shd w:val="clear" w:color="000000" w:fill="FFFFFF"/>
            <w:noWrap/>
            <w:vAlign w:val="center"/>
            <w:hideMark/>
          </w:tcPr>
          <w:p w14:paraId="486006CF" w14:textId="77777777" w:rsidR="00160F4C" w:rsidRPr="006744FA" w:rsidRDefault="00160F4C" w:rsidP="00A650EB">
            <w:pPr>
              <w:spacing w:after="0"/>
              <w:jc w:val="left"/>
              <w:rPr>
                <w:rFonts w:eastAsia="Times New Roman" w:cs="Segoe UI"/>
                <w:b/>
                <w:color w:val="000000"/>
                <w:sz w:val="16"/>
                <w:szCs w:val="16"/>
                <w:lang w:eastAsia="sk-SK"/>
              </w:rPr>
            </w:pPr>
            <w:r w:rsidRPr="006744FA">
              <w:rPr>
                <w:rFonts w:eastAsia="Times New Roman" w:cs="Segoe UI"/>
                <w:b/>
                <w:color w:val="000000"/>
                <w:sz w:val="16"/>
                <w:szCs w:val="16"/>
                <w:lang w:eastAsia="sk-SK"/>
              </w:rPr>
              <w:t>Spolu</w:t>
            </w:r>
          </w:p>
        </w:tc>
        <w:tc>
          <w:tcPr>
            <w:tcW w:w="547" w:type="pct"/>
            <w:shd w:val="clear" w:color="000000" w:fill="FFFFFF"/>
            <w:noWrap/>
            <w:vAlign w:val="center"/>
          </w:tcPr>
          <w:p w14:paraId="26F210F0" w14:textId="77777777" w:rsidR="00160F4C" w:rsidRPr="006744FA" w:rsidRDefault="00160F4C" w:rsidP="00A650EB">
            <w:pPr>
              <w:spacing w:after="0"/>
              <w:jc w:val="right"/>
              <w:rPr>
                <w:b/>
                <w:sz w:val="16"/>
                <w:szCs w:val="16"/>
              </w:rPr>
            </w:pPr>
            <w:r w:rsidRPr="006744FA">
              <w:rPr>
                <w:b/>
                <w:sz w:val="16"/>
                <w:szCs w:val="16"/>
              </w:rPr>
              <w:t>1 889 555</w:t>
            </w:r>
          </w:p>
        </w:tc>
        <w:tc>
          <w:tcPr>
            <w:tcW w:w="547" w:type="pct"/>
            <w:shd w:val="clear" w:color="000000" w:fill="FFFFFF"/>
            <w:noWrap/>
            <w:vAlign w:val="center"/>
          </w:tcPr>
          <w:p w14:paraId="2F808395" w14:textId="77777777" w:rsidR="00160F4C" w:rsidRPr="006744FA" w:rsidRDefault="00160F4C" w:rsidP="00A650EB">
            <w:pPr>
              <w:spacing w:after="0"/>
              <w:jc w:val="right"/>
              <w:rPr>
                <w:b/>
                <w:sz w:val="16"/>
                <w:szCs w:val="16"/>
              </w:rPr>
            </w:pPr>
            <w:r w:rsidRPr="006744FA">
              <w:rPr>
                <w:b/>
                <w:sz w:val="16"/>
                <w:szCs w:val="16"/>
              </w:rPr>
              <w:t>2 448 024</w:t>
            </w:r>
          </w:p>
        </w:tc>
        <w:tc>
          <w:tcPr>
            <w:tcW w:w="547" w:type="pct"/>
            <w:shd w:val="clear" w:color="auto" w:fill="auto"/>
            <w:noWrap/>
            <w:vAlign w:val="center"/>
            <w:hideMark/>
          </w:tcPr>
          <w:p w14:paraId="7044AE0A" w14:textId="77777777" w:rsidR="00160F4C" w:rsidRPr="006744FA" w:rsidRDefault="00160F4C" w:rsidP="00A650EB">
            <w:pPr>
              <w:spacing w:after="0"/>
              <w:jc w:val="right"/>
              <w:rPr>
                <w:b/>
                <w:sz w:val="16"/>
                <w:szCs w:val="16"/>
              </w:rPr>
            </w:pPr>
            <w:r w:rsidRPr="006744FA">
              <w:rPr>
                <w:b/>
                <w:sz w:val="16"/>
                <w:szCs w:val="16"/>
              </w:rPr>
              <w:t>4 335 337</w:t>
            </w:r>
          </w:p>
        </w:tc>
        <w:tc>
          <w:tcPr>
            <w:tcW w:w="627" w:type="pct"/>
            <w:shd w:val="clear" w:color="auto" w:fill="F2F2F2" w:themeFill="background1" w:themeFillShade="F2"/>
            <w:noWrap/>
            <w:vAlign w:val="center"/>
            <w:hideMark/>
          </w:tcPr>
          <w:p w14:paraId="15D59758" w14:textId="77777777" w:rsidR="00160F4C" w:rsidRPr="006744FA" w:rsidRDefault="00160F4C" w:rsidP="00A650EB">
            <w:pPr>
              <w:spacing w:after="0"/>
              <w:jc w:val="right"/>
              <w:rPr>
                <w:b/>
                <w:sz w:val="16"/>
                <w:szCs w:val="16"/>
              </w:rPr>
            </w:pPr>
            <w:r w:rsidRPr="006744FA">
              <w:rPr>
                <w:b/>
                <w:sz w:val="16"/>
                <w:szCs w:val="16"/>
              </w:rPr>
              <w:t>4 308 923</w:t>
            </w:r>
          </w:p>
        </w:tc>
        <w:tc>
          <w:tcPr>
            <w:tcW w:w="622" w:type="pct"/>
            <w:shd w:val="clear" w:color="000000" w:fill="FFFFFF"/>
            <w:noWrap/>
            <w:vAlign w:val="center"/>
            <w:hideMark/>
          </w:tcPr>
          <w:p w14:paraId="3E1BB90D" w14:textId="77777777" w:rsidR="00160F4C" w:rsidRPr="006744FA" w:rsidRDefault="00160F4C" w:rsidP="00A650EB">
            <w:pPr>
              <w:spacing w:after="0"/>
              <w:jc w:val="right"/>
              <w:rPr>
                <w:b/>
                <w:sz w:val="16"/>
                <w:szCs w:val="16"/>
              </w:rPr>
            </w:pPr>
            <w:r w:rsidRPr="006744FA">
              <w:rPr>
                <w:b/>
                <w:sz w:val="16"/>
                <w:szCs w:val="16"/>
              </w:rPr>
              <w:t>26 414</w:t>
            </w:r>
          </w:p>
        </w:tc>
      </w:tr>
    </w:tbl>
    <w:p w14:paraId="62777641" w14:textId="28E3128E" w:rsidR="00160F4C" w:rsidRPr="00C24448" w:rsidRDefault="00160F4C" w:rsidP="00160F4C">
      <w:pPr>
        <w:pStyle w:val="Zdroj"/>
      </w:pPr>
      <w:r w:rsidRPr="00C24448">
        <w:t>Zdroj: MF SR, ÚV SR</w:t>
      </w:r>
      <w:r>
        <w:t xml:space="preserve"> </w:t>
      </w:r>
      <w:r w:rsidR="000B79B0">
        <w:t>.</w:t>
      </w:r>
      <w:r>
        <w:br/>
      </w:r>
      <w:r w:rsidRPr="00C24448">
        <w:t>* Upravený rozpočet predstavuje celkový disponibilný zdroj prostriedkov jednotlivých rezerv v roku 2023</w:t>
      </w:r>
      <w:r w:rsidR="000B79B0">
        <w:t>.</w:t>
      </w:r>
      <w:r>
        <w:br/>
      </w:r>
      <w:r w:rsidRPr="00C24448">
        <w:t xml:space="preserve">** Zohľadňuje uvoľnenie prostriedkov prostredníctvom rozpočtových </w:t>
      </w:r>
      <w:r>
        <w:t>opatrení a platobných príkazov.</w:t>
      </w:r>
    </w:p>
    <w:p w14:paraId="1C00753B" w14:textId="2CA2CEC7" w:rsidR="00160F4C" w:rsidRDefault="00160F4C" w:rsidP="00160F4C">
      <w:pPr>
        <w:pStyle w:val="Zkladntext0"/>
        <w:spacing w:after="120"/>
        <w:jc w:val="both"/>
        <w:rPr>
          <w:rFonts w:ascii="Arial Narrow" w:hAnsi="Arial Narrow" w:cs="Times New Roman"/>
        </w:rPr>
      </w:pPr>
      <w:r w:rsidRPr="00536542">
        <w:rPr>
          <w:rFonts w:ascii="Segoe UI" w:eastAsia="Times New Roman" w:hAnsi="Segoe UI" w:cs="Segoe UI"/>
          <w:b/>
          <w:sz w:val="20"/>
        </w:rPr>
        <w:t xml:space="preserve">Príkladom kreatívnej práce s rezervami môže byť rozpustenie </w:t>
      </w:r>
      <w:r>
        <w:rPr>
          <w:rFonts w:ascii="Segoe UI" w:eastAsia="Times New Roman" w:hAnsi="Segoe UI" w:cs="Segoe UI"/>
          <w:b/>
          <w:sz w:val="20"/>
        </w:rPr>
        <w:t>rezervy</w:t>
      </w:r>
      <w:r w:rsidRPr="00536542">
        <w:rPr>
          <w:rFonts w:ascii="Segoe UI" w:eastAsia="Times New Roman" w:hAnsi="Segoe UI" w:cs="Segoe UI"/>
          <w:b/>
          <w:sz w:val="20"/>
        </w:rPr>
        <w:t xml:space="preserve"> na energopomoc presúvaním </w:t>
      </w:r>
      <w:r w:rsidR="005579D6">
        <w:rPr>
          <w:rFonts w:ascii="Segoe UI" w:eastAsia="Times New Roman" w:hAnsi="Segoe UI" w:cs="Segoe UI"/>
          <w:b/>
          <w:sz w:val="20"/>
        </w:rPr>
        <w:t>až</w:t>
      </w:r>
      <w:r w:rsidRPr="00536542">
        <w:rPr>
          <w:rFonts w:ascii="Segoe UI" w:eastAsia="Times New Roman" w:hAnsi="Segoe UI" w:cs="Segoe UI"/>
          <w:b/>
          <w:sz w:val="20"/>
        </w:rPr>
        <w:t xml:space="preserve"> na dorovnanie dôchodkov a platby za poistencov štátu.</w:t>
      </w:r>
      <w:r>
        <w:rPr>
          <w:rFonts w:ascii="Segoe UI" w:eastAsia="Times New Roman" w:hAnsi="Segoe UI" w:cs="Segoe UI"/>
          <w:sz w:val="20"/>
        </w:rPr>
        <w:t xml:space="preserve"> NKÚ SR upozornil v stanovisku k ŠR/RVS na roky 2023 až 2025, že </w:t>
      </w:r>
      <w:r w:rsidRPr="00536542">
        <w:rPr>
          <w:rFonts w:ascii="Segoe UI" w:eastAsia="Times New Roman" w:hAnsi="Segoe UI" w:cs="Segoe UI"/>
          <w:sz w:val="20"/>
        </w:rPr>
        <w:t>v</w:t>
      </w:r>
      <w:r>
        <w:rPr>
          <w:rFonts w:ascii="Segoe UI" w:eastAsia="Times New Roman" w:hAnsi="Segoe UI" w:cs="Segoe UI"/>
          <w:sz w:val="20"/>
        </w:rPr>
        <w:t> </w:t>
      </w:r>
      <w:r w:rsidRPr="00536542">
        <w:rPr>
          <w:rFonts w:ascii="Segoe UI" w:eastAsia="Times New Roman" w:hAnsi="Segoe UI" w:cs="Segoe UI"/>
          <w:sz w:val="20"/>
        </w:rPr>
        <w:t>kapitole MPSVR SR sú výdavky na kompenzačné opatrenia pre domácnosti v</w:t>
      </w:r>
      <w:r>
        <w:rPr>
          <w:rFonts w:ascii="Segoe UI" w:eastAsia="Times New Roman" w:hAnsi="Segoe UI" w:cs="Segoe UI"/>
          <w:sz w:val="20"/>
        </w:rPr>
        <w:t> </w:t>
      </w:r>
      <w:r w:rsidRPr="00536542">
        <w:rPr>
          <w:rFonts w:ascii="Segoe UI" w:eastAsia="Times New Roman" w:hAnsi="Segoe UI" w:cs="Segoe UI"/>
          <w:sz w:val="20"/>
        </w:rPr>
        <w:t>súvislosti s</w:t>
      </w:r>
      <w:r>
        <w:rPr>
          <w:rFonts w:ascii="Segoe UI" w:eastAsia="Times New Roman" w:hAnsi="Segoe UI" w:cs="Segoe UI"/>
          <w:sz w:val="20"/>
        </w:rPr>
        <w:t> </w:t>
      </w:r>
      <w:r w:rsidRPr="00536542">
        <w:rPr>
          <w:rFonts w:ascii="Segoe UI" w:eastAsia="Times New Roman" w:hAnsi="Segoe UI" w:cs="Segoe UI"/>
          <w:sz w:val="20"/>
        </w:rPr>
        <w:t>rastom cien energií v</w:t>
      </w:r>
      <w:r>
        <w:rPr>
          <w:rFonts w:ascii="Segoe UI" w:eastAsia="Times New Roman" w:hAnsi="Segoe UI" w:cs="Segoe UI"/>
          <w:sz w:val="20"/>
        </w:rPr>
        <w:t> </w:t>
      </w:r>
      <w:r w:rsidRPr="00536542">
        <w:rPr>
          <w:rFonts w:ascii="Segoe UI" w:eastAsia="Times New Roman" w:hAnsi="Segoe UI" w:cs="Segoe UI"/>
          <w:sz w:val="20"/>
        </w:rPr>
        <w:t xml:space="preserve">sume 900 mil. eur zaradené nesprávne </w:t>
      </w:r>
      <w:r w:rsidR="005579D6">
        <w:rPr>
          <w:rFonts w:ascii="Segoe UI" w:eastAsia="Times New Roman" w:hAnsi="Segoe UI" w:cs="Segoe UI"/>
          <w:sz w:val="20"/>
        </w:rPr>
        <w:t>na a</w:t>
      </w:r>
      <w:r w:rsidRPr="00536542">
        <w:rPr>
          <w:rFonts w:ascii="Segoe UI" w:eastAsia="Times New Roman" w:hAnsi="Segoe UI" w:cs="Segoe UI"/>
          <w:sz w:val="20"/>
        </w:rPr>
        <w:t>parát ministerstva, pričom chýba</w:t>
      </w:r>
      <w:r>
        <w:rPr>
          <w:rFonts w:ascii="Segoe UI" w:eastAsia="Times New Roman" w:hAnsi="Segoe UI" w:cs="Segoe UI"/>
          <w:sz w:val="20"/>
        </w:rPr>
        <w:t>lo</w:t>
      </w:r>
      <w:r w:rsidRPr="00536542">
        <w:rPr>
          <w:rFonts w:ascii="Segoe UI" w:eastAsia="Times New Roman" w:hAnsi="Segoe UI" w:cs="Segoe UI"/>
          <w:sz w:val="20"/>
        </w:rPr>
        <w:t xml:space="preserve"> aj presné zadefinovanie ich použitia.</w:t>
      </w:r>
      <w:r>
        <w:rPr>
          <w:rFonts w:ascii="Segoe UI" w:eastAsia="Times New Roman" w:hAnsi="Segoe UI" w:cs="Segoe UI"/>
          <w:sz w:val="20"/>
        </w:rPr>
        <w:t xml:space="preserve"> Tieto prostriedky boli počas roka 2023 ďalej presunuté do VPS, spolu s rovnako určenými 210 mil. eur z MH SR a 108 mil. eur z MD </w:t>
      </w:r>
      <w:r w:rsidR="00A57228">
        <w:rPr>
          <w:rFonts w:ascii="Segoe UI" w:eastAsia="Times New Roman" w:hAnsi="Segoe UI" w:cs="Segoe UI"/>
          <w:sz w:val="20"/>
        </w:rPr>
        <w:t> </w:t>
      </w:r>
      <w:r>
        <w:rPr>
          <w:rFonts w:ascii="Segoe UI" w:eastAsia="Times New Roman" w:hAnsi="Segoe UI" w:cs="Segoe UI"/>
          <w:sz w:val="20"/>
        </w:rPr>
        <w:t>SR. Následne sa v rámci VPS rozdelili do rezervy na riešenie legislatívnych zmien (z ktorej sa 820 mil. eur použil</w:t>
      </w:r>
      <w:r w:rsidR="005579D6">
        <w:rPr>
          <w:rFonts w:ascii="Segoe UI" w:eastAsia="Times New Roman" w:hAnsi="Segoe UI" w:cs="Segoe UI"/>
          <w:sz w:val="20"/>
        </w:rPr>
        <w:t>o</w:t>
      </w:r>
      <w:r>
        <w:rPr>
          <w:rFonts w:ascii="Segoe UI" w:eastAsia="Times New Roman" w:hAnsi="Segoe UI" w:cs="Segoe UI"/>
          <w:sz w:val="20"/>
        </w:rPr>
        <w:t xml:space="preserve"> na transfer SP), na dofinancovanie platby za poistencov štátu (316 mil. eur) a ešte raz na transfer SP (240 mil. eur). Zvyšok do transferu SP vo výške 1,16 mld. eur pochádzal z rezervy</w:t>
      </w:r>
      <w:r w:rsidRPr="001F04A9">
        <w:rPr>
          <w:rFonts w:ascii="Segoe UI" w:eastAsia="Times New Roman" w:hAnsi="Segoe UI" w:cs="Segoe UI"/>
          <w:sz w:val="20"/>
        </w:rPr>
        <w:t xml:space="preserve"> na prostriedky E</w:t>
      </w:r>
      <w:r>
        <w:rPr>
          <w:rFonts w:ascii="Segoe UI" w:eastAsia="Times New Roman" w:hAnsi="Segoe UI" w:cs="Segoe UI"/>
          <w:sz w:val="20"/>
        </w:rPr>
        <w:t>Ú</w:t>
      </w:r>
      <w:r w:rsidRPr="001F04A9">
        <w:rPr>
          <w:rFonts w:ascii="Segoe UI" w:eastAsia="Times New Roman" w:hAnsi="Segoe UI" w:cs="Segoe UI"/>
          <w:sz w:val="20"/>
        </w:rPr>
        <w:t xml:space="preserve"> a</w:t>
      </w:r>
      <w:r>
        <w:rPr>
          <w:rFonts w:ascii="Segoe UI" w:eastAsia="Times New Roman" w:hAnsi="Segoe UI" w:cs="Segoe UI"/>
          <w:sz w:val="20"/>
        </w:rPr>
        <w:t> </w:t>
      </w:r>
      <w:r w:rsidRPr="001F04A9">
        <w:rPr>
          <w:rFonts w:ascii="Segoe UI" w:eastAsia="Times New Roman" w:hAnsi="Segoe UI" w:cs="Segoe UI"/>
          <w:sz w:val="20"/>
        </w:rPr>
        <w:t>o</w:t>
      </w:r>
      <w:r>
        <w:rPr>
          <w:rFonts w:ascii="Segoe UI" w:eastAsia="Times New Roman" w:hAnsi="Segoe UI" w:cs="Segoe UI"/>
          <w:sz w:val="20"/>
        </w:rPr>
        <w:t xml:space="preserve">dvody EÚ vo výške 100 mil. eur. Transfer na zabezpečenie platobnej schopnosti SP bol využitý predovšetkým na </w:t>
      </w:r>
      <w:r w:rsidRPr="001F04A9">
        <w:rPr>
          <w:rFonts w:ascii="Segoe UI" w:eastAsia="Times New Roman" w:hAnsi="Segoe UI" w:cs="Segoe UI"/>
          <w:sz w:val="20"/>
        </w:rPr>
        <w:t>vyplatenie valorizovaných dôchodkov, rodičovských dôchodkov a</w:t>
      </w:r>
      <w:r>
        <w:rPr>
          <w:rFonts w:ascii="Segoe UI" w:eastAsia="Times New Roman" w:hAnsi="Segoe UI" w:cs="Segoe UI"/>
          <w:sz w:val="20"/>
        </w:rPr>
        <w:t> </w:t>
      </w:r>
      <w:r w:rsidRPr="001F04A9">
        <w:rPr>
          <w:rFonts w:ascii="Segoe UI" w:eastAsia="Times New Roman" w:hAnsi="Segoe UI" w:cs="Segoe UI"/>
          <w:sz w:val="20"/>
        </w:rPr>
        <w:t>ostatných dávok</w:t>
      </w:r>
      <w:r w:rsidR="005579D6">
        <w:rPr>
          <w:rFonts w:ascii="Segoe UI" w:eastAsia="Times New Roman" w:hAnsi="Segoe UI" w:cs="Segoe UI"/>
          <w:sz w:val="20"/>
        </w:rPr>
        <w:t xml:space="preserve"> SP</w:t>
      </w:r>
      <w:r>
        <w:rPr>
          <w:rFonts w:ascii="Segoe UI" w:eastAsia="Times New Roman" w:hAnsi="Segoe UI" w:cs="Segoe UI"/>
          <w:sz w:val="20"/>
        </w:rPr>
        <w:t xml:space="preserve">. </w:t>
      </w:r>
    </w:p>
    <w:p w14:paraId="589E1533" w14:textId="4195CFF1" w:rsidR="00160F4C" w:rsidRDefault="00160F4C" w:rsidP="00160F4C">
      <w:pPr>
        <w:pStyle w:val="Zkladntext0"/>
        <w:spacing w:after="120"/>
        <w:jc w:val="both"/>
        <w:rPr>
          <w:rFonts w:ascii="Segoe UI" w:eastAsia="Times New Roman" w:hAnsi="Segoe UI" w:cs="Segoe UI"/>
          <w:sz w:val="20"/>
        </w:rPr>
      </w:pPr>
      <w:r w:rsidRPr="00D325AF">
        <w:rPr>
          <w:rFonts w:ascii="Segoe UI" w:eastAsia="Times New Roman" w:hAnsi="Segoe UI" w:cs="Segoe UI"/>
          <w:b/>
          <w:sz w:val="20"/>
        </w:rPr>
        <w:t>Súčasťou rezervy na prostriedky EÚ a odvody do EÚ bola aj rezerva na splatenie úrokov z</w:t>
      </w:r>
      <w:r w:rsidR="006E53E1">
        <w:rPr>
          <w:rFonts w:ascii="Segoe UI" w:eastAsia="Times New Roman" w:hAnsi="Segoe UI" w:cs="Segoe UI"/>
          <w:b/>
          <w:sz w:val="20"/>
        </w:rPr>
        <w:t> </w:t>
      </w:r>
      <w:r w:rsidRPr="00D325AF">
        <w:rPr>
          <w:rFonts w:ascii="Segoe UI" w:eastAsia="Times New Roman" w:hAnsi="Segoe UI" w:cs="Segoe UI"/>
          <w:b/>
          <w:sz w:val="20"/>
        </w:rPr>
        <w:t>omeškania</w:t>
      </w:r>
      <w:r w:rsidR="006E53E1">
        <w:rPr>
          <w:rFonts w:ascii="Segoe UI" w:eastAsia="Times New Roman" w:hAnsi="Segoe UI" w:cs="Segoe UI"/>
          <w:b/>
          <w:sz w:val="20"/>
        </w:rPr>
        <w:t>,</w:t>
      </w:r>
      <w:r w:rsidRPr="00D325AF">
        <w:rPr>
          <w:rFonts w:ascii="Segoe UI" w:eastAsia="Times New Roman" w:hAnsi="Segoe UI" w:cs="Segoe UI"/>
          <w:b/>
          <w:sz w:val="20"/>
        </w:rPr>
        <w:t xml:space="preserve"> vyplývajúca zo straty na tradičných vlastných zdrojoch vo výške 249 mil. eur.</w:t>
      </w:r>
      <w:r>
        <w:rPr>
          <w:rFonts w:ascii="Segoe UI" w:eastAsia="Times New Roman" w:hAnsi="Segoe UI" w:cs="Segoe UI"/>
          <w:sz w:val="20"/>
        </w:rPr>
        <w:t xml:space="preserve"> Istina v podobe mimoriadneho odvodu </w:t>
      </w:r>
      <w:r w:rsidRPr="00D325AF">
        <w:rPr>
          <w:rFonts w:ascii="Segoe UI" w:eastAsia="Times New Roman" w:hAnsi="Segoe UI" w:cs="Segoe UI"/>
          <w:sz w:val="20"/>
        </w:rPr>
        <w:t>do rozpočtu EÚ vo výške</w:t>
      </w:r>
      <w:r>
        <w:rPr>
          <w:rFonts w:ascii="Segoe UI" w:eastAsia="Times New Roman" w:hAnsi="Segoe UI" w:cs="Segoe UI"/>
          <w:sz w:val="20"/>
        </w:rPr>
        <w:t xml:space="preserve"> 277</w:t>
      </w:r>
      <w:r w:rsidRPr="00D325AF">
        <w:rPr>
          <w:rFonts w:ascii="Segoe UI" w:eastAsia="Times New Roman" w:hAnsi="Segoe UI" w:cs="Segoe UI"/>
          <w:sz w:val="20"/>
        </w:rPr>
        <w:t xml:space="preserve"> mil. eur</w:t>
      </w:r>
      <w:r>
        <w:rPr>
          <w:rFonts w:ascii="Segoe UI" w:eastAsia="Times New Roman" w:hAnsi="Segoe UI" w:cs="Segoe UI"/>
          <w:sz w:val="20"/>
        </w:rPr>
        <w:t xml:space="preserve"> bola uhradená v roku 2021. Týkalo sa to </w:t>
      </w:r>
      <w:r w:rsidRPr="00D325AF">
        <w:rPr>
          <w:rFonts w:ascii="Segoe UI" w:eastAsia="Times New Roman" w:hAnsi="Segoe UI" w:cs="Segoe UI"/>
          <w:sz w:val="20"/>
        </w:rPr>
        <w:t>sporu k</w:t>
      </w:r>
      <w:r>
        <w:rPr>
          <w:rFonts w:ascii="Segoe UI" w:eastAsia="Times New Roman" w:hAnsi="Segoe UI" w:cs="Segoe UI"/>
          <w:sz w:val="20"/>
        </w:rPr>
        <w:t> </w:t>
      </w:r>
      <w:r w:rsidRPr="00D325AF">
        <w:rPr>
          <w:rFonts w:ascii="Segoe UI" w:eastAsia="Times New Roman" w:hAnsi="Segoe UI" w:cs="Segoe UI"/>
          <w:sz w:val="20"/>
        </w:rPr>
        <w:t>podhodnoteniu dovezeného textilu a</w:t>
      </w:r>
      <w:r>
        <w:rPr>
          <w:rFonts w:ascii="Segoe UI" w:eastAsia="Times New Roman" w:hAnsi="Segoe UI" w:cs="Segoe UI"/>
          <w:sz w:val="20"/>
        </w:rPr>
        <w:t> </w:t>
      </w:r>
      <w:r w:rsidRPr="00D325AF">
        <w:rPr>
          <w:rFonts w:ascii="Segoe UI" w:eastAsia="Times New Roman" w:hAnsi="Segoe UI" w:cs="Segoe UI"/>
          <w:sz w:val="20"/>
        </w:rPr>
        <w:t>obuvi z</w:t>
      </w:r>
      <w:r>
        <w:rPr>
          <w:rFonts w:ascii="Segoe UI" w:eastAsia="Times New Roman" w:hAnsi="Segoe UI" w:cs="Segoe UI"/>
          <w:sz w:val="20"/>
        </w:rPr>
        <w:t> </w:t>
      </w:r>
      <w:r w:rsidRPr="00D325AF">
        <w:rPr>
          <w:rFonts w:ascii="Segoe UI" w:eastAsia="Times New Roman" w:hAnsi="Segoe UI" w:cs="Segoe UI"/>
          <w:sz w:val="20"/>
        </w:rPr>
        <w:t>Čín</w:t>
      </w:r>
      <w:r>
        <w:rPr>
          <w:rFonts w:ascii="Segoe UI" w:eastAsia="Times New Roman" w:hAnsi="Segoe UI" w:cs="Segoe UI"/>
          <w:sz w:val="20"/>
        </w:rPr>
        <w:t xml:space="preserve">y. Táto rezerva nebola čerpaná a 100 mil. eur z nej bolo presunutých na transfer do SP. </w:t>
      </w:r>
    </w:p>
    <w:p w14:paraId="43A02B48" w14:textId="6F071DEE" w:rsidR="00160F4C" w:rsidRDefault="00160F4C" w:rsidP="00160F4C">
      <w:pPr>
        <w:pStyle w:val="Zkladntext0"/>
        <w:spacing w:after="120"/>
        <w:jc w:val="both"/>
        <w:rPr>
          <w:rFonts w:ascii="Segoe UI" w:eastAsia="Times New Roman" w:hAnsi="Segoe UI" w:cs="Segoe UI"/>
          <w:sz w:val="20"/>
        </w:rPr>
      </w:pPr>
      <w:r w:rsidRPr="00735B00">
        <w:rPr>
          <w:rFonts w:ascii="Segoe UI" w:eastAsia="Times New Roman" w:hAnsi="Segoe UI" w:cs="Segoe UI"/>
          <w:sz w:val="20"/>
        </w:rPr>
        <w:t>Rezerva na výdavky súvisiace s vojnovým konfliktom na Ukrajine</w:t>
      </w:r>
      <w:r>
        <w:rPr>
          <w:rFonts w:ascii="Segoe UI" w:eastAsia="Times New Roman" w:hAnsi="Segoe UI" w:cs="Segoe UI"/>
          <w:sz w:val="20"/>
        </w:rPr>
        <w:t xml:space="preserve"> bola rozpočtovaná vo výške 100 mil. eur a v priebehu roka doplnená v rámci VPS o 10 mil. eur z rezervy na prostriedky EÚ a odvody do EÚ. Prostriedky boli uvoľnené v </w:t>
      </w:r>
      <w:r w:rsidR="005579D6">
        <w:rPr>
          <w:rFonts w:ascii="Segoe UI" w:eastAsia="Times New Roman" w:hAnsi="Segoe UI" w:cs="Segoe UI"/>
          <w:sz w:val="20"/>
        </w:rPr>
        <w:t>sume</w:t>
      </w:r>
      <w:r>
        <w:rPr>
          <w:rFonts w:ascii="Segoe UI" w:eastAsia="Times New Roman" w:hAnsi="Segoe UI" w:cs="Segoe UI"/>
          <w:sz w:val="20"/>
        </w:rPr>
        <w:t xml:space="preserve"> 87 mil. eur, </w:t>
      </w:r>
      <w:r w:rsidR="005579D6">
        <w:rPr>
          <w:rFonts w:ascii="Segoe UI" w:eastAsia="Times New Roman" w:hAnsi="Segoe UI" w:cs="Segoe UI"/>
          <w:sz w:val="20"/>
        </w:rPr>
        <w:t>najmä</w:t>
      </w:r>
      <w:r>
        <w:rPr>
          <w:rFonts w:ascii="Segoe UI" w:eastAsia="Times New Roman" w:hAnsi="Segoe UI" w:cs="Segoe UI"/>
          <w:sz w:val="20"/>
        </w:rPr>
        <w:t xml:space="preserve"> na príspevok na ubytovanie odídencov, úhradu zdravotnej starostlivosti nepoisteným osobám a dávky v hmotnej núdzi. Na výplatu 13. dôchodkov bolo </w:t>
      </w:r>
      <w:r>
        <w:rPr>
          <w:rFonts w:ascii="Segoe UI" w:eastAsia="Times New Roman" w:hAnsi="Segoe UI" w:cs="Segoe UI"/>
          <w:sz w:val="20"/>
        </w:rPr>
        <w:lastRenderedPageBreak/>
        <w:t>presunutých 20 mil. eur do rezervy na legislatívne vplyvy a</w:t>
      </w:r>
      <w:r w:rsidR="005579D6">
        <w:rPr>
          <w:rFonts w:ascii="Segoe UI" w:eastAsia="Times New Roman" w:hAnsi="Segoe UI" w:cs="Segoe UI"/>
          <w:sz w:val="20"/>
        </w:rPr>
        <w:t xml:space="preserve"> zostávajúce </w:t>
      </w:r>
      <w:r>
        <w:rPr>
          <w:rFonts w:ascii="Segoe UI" w:eastAsia="Times New Roman" w:hAnsi="Segoe UI" w:cs="Segoe UI"/>
          <w:sz w:val="20"/>
        </w:rPr>
        <w:t xml:space="preserve">3 mil. eur predstavujú nevyčerpaný zostatok. </w:t>
      </w:r>
    </w:p>
    <w:p w14:paraId="72A93641" w14:textId="77777777" w:rsidR="00160F4C" w:rsidRPr="00E41A29" w:rsidRDefault="00160F4C" w:rsidP="00160F4C">
      <w:pPr>
        <w:pStyle w:val="Zkladntext0"/>
        <w:spacing w:after="120"/>
        <w:jc w:val="both"/>
        <w:rPr>
          <w:rFonts w:ascii="Segoe UI" w:eastAsia="Times New Roman" w:hAnsi="Segoe UI" w:cs="Segoe UI"/>
          <w:sz w:val="20"/>
        </w:rPr>
      </w:pPr>
      <w:r w:rsidRPr="006727BB">
        <w:rPr>
          <w:rFonts w:ascii="Segoe UI" w:eastAsia="Times New Roman" w:hAnsi="Segoe UI" w:cs="Segoe UI"/>
          <w:b/>
          <w:sz w:val="20"/>
        </w:rPr>
        <w:t>NKÚ SR vo svojich stanoviskách dlhodobo poukazuje na to, že nevyčerpané rezervy by prioritne mali byť použité na znižovanie deficitu verejných financií</w:t>
      </w:r>
      <w:r>
        <w:rPr>
          <w:rFonts w:ascii="Segoe UI" w:eastAsia="Times New Roman" w:hAnsi="Segoe UI" w:cs="Segoe UI"/>
          <w:b/>
          <w:sz w:val="20"/>
        </w:rPr>
        <w:t>.</w:t>
      </w:r>
      <w:r w:rsidRPr="006727BB">
        <w:rPr>
          <w:rFonts w:ascii="Segoe UI" w:eastAsia="Times New Roman" w:hAnsi="Segoe UI" w:cs="Segoe UI"/>
          <w:b/>
          <w:sz w:val="20"/>
        </w:rPr>
        <w:t xml:space="preserve"> </w:t>
      </w:r>
      <w:r>
        <w:rPr>
          <w:rFonts w:ascii="Segoe UI" w:eastAsia="Times New Roman" w:hAnsi="Segoe UI" w:cs="Segoe UI"/>
          <w:b/>
          <w:sz w:val="20"/>
        </w:rPr>
        <w:t xml:space="preserve">NKÚ SR upozorňuje aj </w:t>
      </w:r>
      <w:r w:rsidRPr="006727BB">
        <w:rPr>
          <w:rFonts w:ascii="Segoe UI" w:eastAsia="Times New Roman" w:hAnsi="Segoe UI" w:cs="Segoe UI"/>
          <w:b/>
          <w:sz w:val="20"/>
        </w:rPr>
        <w:t>na veľký rozsah</w:t>
      </w:r>
      <w:r>
        <w:rPr>
          <w:rFonts w:ascii="Segoe UI" w:eastAsia="Times New Roman" w:hAnsi="Segoe UI" w:cs="Segoe UI"/>
          <w:b/>
          <w:sz w:val="20"/>
        </w:rPr>
        <w:t xml:space="preserve"> rezerv</w:t>
      </w:r>
      <w:r w:rsidRPr="006727BB">
        <w:rPr>
          <w:rFonts w:ascii="Segoe UI" w:eastAsia="Times New Roman" w:hAnsi="Segoe UI" w:cs="Segoe UI"/>
          <w:b/>
          <w:sz w:val="20"/>
        </w:rPr>
        <w:t xml:space="preserve">, </w:t>
      </w:r>
      <w:r>
        <w:rPr>
          <w:rFonts w:ascii="Segoe UI" w:eastAsia="Times New Roman" w:hAnsi="Segoe UI" w:cs="Segoe UI"/>
          <w:b/>
          <w:sz w:val="20"/>
        </w:rPr>
        <w:t xml:space="preserve">ich vysoký </w:t>
      </w:r>
      <w:r w:rsidRPr="006727BB">
        <w:rPr>
          <w:rFonts w:ascii="Segoe UI" w:eastAsia="Times New Roman" w:hAnsi="Segoe UI" w:cs="Segoe UI"/>
          <w:b/>
          <w:sz w:val="20"/>
        </w:rPr>
        <w:t>podiel na celom rozpočte a</w:t>
      </w:r>
      <w:r>
        <w:rPr>
          <w:rFonts w:ascii="Segoe UI" w:eastAsia="Times New Roman" w:hAnsi="Segoe UI" w:cs="Segoe UI"/>
          <w:b/>
          <w:sz w:val="20"/>
        </w:rPr>
        <w:t xml:space="preserve"> na </w:t>
      </w:r>
      <w:r w:rsidRPr="006727BB">
        <w:rPr>
          <w:rFonts w:ascii="Segoe UI" w:eastAsia="Times New Roman" w:hAnsi="Segoe UI" w:cs="Segoe UI"/>
          <w:b/>
          <w:sz w:val="20"/>
        </w:rPr>
        <w:t>značné právomoci ministra financií pri nakladaní s nimi.</w:t>
      </w:r>
      <w:r w:rsidRPr="00E41A29">
        <w:rPr>
          <w:rFonts w:ascii="Segoe UI" w:eastAsia="Times New Roman" w:hAnsi="Segoe UI" w:cs="Segoe UI"/>
          <w:b/>
          <w:sz w:val="20"/>
        </w:rPr>
        <w:t xml:space="preserve"> </w:t>
      </w:r>
      <w:r w:rsidRPr="00E41A29">
        <w:rPr>
          <w:rFonts w:ascii="Segoe UI" w:eastAsia="Times New Roman" w:hAnsi="Segoe UI" w:cs="Segoe UI"/>
          <w:sz w:val="20"/>
        </w:rPr>
        <w:t xml:space="preserve">Pre vyššiu transparentnosť NKÚ SR </w:t>
      </w:r>
      <w:r>
        <w:rPr>
          <w:rFonts w:ascii="Segoe UI" w:eastAsia="Times New Roman" w:hAnsi="Segoe UI" w:cs="Segoe UI"/>
          <w:sz w:val="20"/>
        </w:rPr>
        <w:t>vlani odporúčal na</w:t>
      </w:r>
      <w:r w:rsidRPr="00E41A29">
        <w:rPr>
          <w:rFonts w:ascii="Segoe UI" w:eastAsia="Times New Roman" w:hAnsi="Segoe UI" w:cs="Segoe UI"/>
          <w:sz w:val="20"/>
        </w:rPr>
        <w:t xml:space="preserve"> základe kontrol a analýz legislatívne upraviť tvorbu</w:t>
      </w:r>
      <w:r>
        <w:rPr>
          <w:rFonts w:ascii="Segoe UI" w:eastAsia="Times New Roman" w:hAnsi="Segoe UI" w:cs="Segoe UI"/>
          <w:sz w:val="20"/>
        </w:rPr>
        <w:t xml:space="preserve"> rezerv</w:t>
      </w:r>
      <w:r w:rsidRPr="00E41A29">
        <w:rPr>
          <w:rFonts w:ascii="Segoe UI" w:eastAsia="Times New Roman" w:hAnsi="Segoe UI" w:cs="Segoe UI"/>
          <w:sz w:val="20"/>
        </w:rPr>
        <w:t xml:space="preserve">, </w:t>
      </w:r>
      <w:r>
        <w:rPr>
          <w:rFonts w:ascii="Segoe UI" w:eastAsia="Times New Roman" w:hAnsi="Segoe UI" w:cs="Segoe UI"/>
          <w:sz w:val="20"/>
        </w:rPr>
        <w:t xml:space="preserve">ich </w:t>
      </w:r>
      <w:r w:rsidRPr="00E41A29">
        <w:rPr>
          <w:rFonts w:ascii="Segoe UI" w:eastAsia="Times New Roman" w:hAnsi="Segoe UI" w:cs="Segoe UI"/>
          <w:sz w:val="20"/>
        </w:rPr>
        <w:t xml:space="preserve">použitie na konkrétne účely, rušenie </w:t>
      </w:r>
      <w:r>
        <w:rPr>
          <w:rFonts w:ascii="Segoe UI" w:eastAsia="Times New Roman" w:hAnsi="Segoe UI" w:cs="Segoe UI"/>
          <w:sz w:val="20"/>
        </w:rPr>
        <w:t xml:space="preserve">rezerv </w:t>
      </w:r>
      <w:r w:rsidRPr="00E41A29">
        <w:rPr>
          <w:rFonts w:ascii="Segoe UI" w:eastAsia="Times New Roman" w:hAnsi="Segoe UI" w:cs="Segoe UI"/>
          <w:sz w:val="20"/>
        </w:rPr>
        <w:t>a</w:t>
      </w:r>
      <w:r>
        <w:rPr>
          <w:rFonts w:ascii="Segoe UI" w:eastAsia="Times New Roman" w:hAnsi="Segoe UI" w:cs="Segoe UI"/>
          <w:sz w:val="20"/>
        </w:rPr>
        <w:t xml:space="preserve"> ich </w:t>
      </w:r>
      <w:r w:rsidRPr="00E41A29">
        <w:rPr>
          <w:rFonts w:ascii="Segoe UI" w:eastAsia="Times New Roman" w:hAnsi="Segoe UI" w:cs="Segoe UI"/>
          <w:sz w:val="20"/>
        </w:rPr>
        <w:t xml:space="preserve">možnosť/nemožnosť presúvania na iné výdavkové tituly. </w:t>
      </w:r>
      <w:r>
        <w:rPr>
          <w:rFonts w:ascii="Segoe UI" w:eastAsia="Times New Roman" w:hAnsi="Segoe UI" w:cs="Segoe UI"/>
          <w:sz w:val="20"/>
        </w:rPr>
        <w:t xml:space="preserve">Novela zákona o rozpočtových pravidlách, schválená 9. mája 2024, upravuje okrem iného aj narábanie s rezervami v rámci rozpočtu. NKÚ SR verí, že implementácia schválených zmien RPVS bude reflektovať na odporúčania týkajúce sa rezerv. </w:t>
      </w:r>
    </w:p>
    <w:p w14:paraId="4EF2DB37" w14:textId="269C2917" w:rsidR="00B16203" w:rsidRDefault="00B16203" w:rsidP="00B16203">
      <w:pPr>
        <w:pStyle w:val="Nadpis2"/>
      </w:pPr>
      <w:bookmarkStart w:id="21" w:name="_Toc168567190"/>
      <w:r>
        <w:t>3.</w:t>
      </w:r>
      <w:r w:rsidR="006922FF">
        <w:t>5</w:t>
      </w:r>
      <w:r>
        <w:t xml:space="preserve"> </w:t>
      </w:r>
      <w:r w:rsidR="00E43045">
        <w:t xml:space="preserve"> </w:t>
      </w:r>
      <w:r>
        <w:t>Príjmy zo sociálneho poistenia</w:t>
      </w:r>
      <w:bookmarkEnd w:id="21"/>
    </w:p>
    <w:p w14:paraId="55D0ACBD" w14:textId="62845083" w:rsidR="00B16203" w:rsidRPr="00A51405" w:rsidRDefault="00B16203" w:rsidP="00B16203">
      <w:pPr>
        <w:rPr>
          <w:rFonts w:cs="Segoe UI"/>
          <w:szCs w:val="20"/>
        </w:rPr>
      </w:pPr>
      <w:r w:rsidRPr="00BF38E1">
        <w:rPr>
          <w:rFonts w:cs="Segoe UI"/>
          <w:b/>
          <w:szCs w:val="20"/>
        </w:rPr>
        <w:t>Príjmy S</w:t>
      </w:r>
      <w:r w:rsidR="00BE3A2B">
        <w:rPr>
          <w:rFonts w:cs="Segoe UI"/>
          <w:b/>
          <w:szCs w:val="20"/>
        </w:rPr>
        <w:t>P</w:t>
      </w:r>
      <w:r w:rsidRPr="00BF38E1">
        <w:rPr>
          <w:rFonts w:cs="Segoe UI"/>
          <w:b/>
          <w:szCs w:val="20"/>
        </w:rPr>
        <w:t xml:space="preserve"> dosiahli</w:t>
      </w:r>
      <w:r w:rsidR="00BF38E1" w:rsidRPr="00BF38E1">
        <w:rPr>
          <w:rFonts w:cs="Segoe UI"/>
          <w:b/>
          <w:szCs w:val="20"/>
        </w:rPr>
        <w:t xml:space="preserve"> v roku 2023</w:t>
      </w:r>
      <w:r w:rsidRPr="00BF38E1">
        <w:rPr>
          <w:rFonts w:cs="Segoe UI"/>
          <w:b/>
          <w:szCs w:val="20"/>
        </w:rPr>
        <w:t xml:space="preserve"> 11</w:t>
      </w:r>
      <w:r w:rsidR="00BF38E1" w:rsidRPr="00BF38E1">
        <w:rPr>
          <w:rFonts w:cs="Segoe UI"/>
          <w:b/>
          <w:szCs w:val="20"/>
        </w:rPr>
        <w:t>,</w:t>
      </w:r>
      <w:r w:rsidRPr="00BF38E1">
        <w:rPr>
          <w:rFonts w:cs="Segoe UI"/>
          <w:b/>
          <w:szCs w:val="20"/>
        </w:rPr>
        <w:t>7 ml</w:t>
      </w:r>
      <w:r w:rsidR="00BF38E1" w:rsidRPr="00BF38E1">
        <w:rPr>
          <w:rFonts w:cs="Segoe UI"/>
          <w:b/>
          <w:szCs w:val="20"/>
        </w:rPr>
        <w:t>d</w:t>
      </w:r>
      <w:r w:rsidRPr="00BF38E1">
        <w:rPr>
          <w:rFonts w:cs="Segoe UI"/>
          <w:b/>
          <w:szCs w:val="20"/>
        </w:rPr>
        <w:t>. eur, medziročne vzrástli o 16,9 % a oproti schválenému rozpočtu o 9,2 %. Na ich raste sa významnou mierou podieľal transfer finančných prostriedkov zo ŠR v historicky najvyššej sume 1</w:t>
      </w:r>
      <w:r w:rsidR="00BF38E1" w:rsidRPr="00BF38E1">
        <w:rPr>
          <w:rFonts w:cs="Segoe UI"/>
          <w:b/>
          <w:szCs w:val="20"/>
        </w:rPr>
        <w:t>,</w:t>
      </w:r>
      <w:r w:rsidRPr="00BF38E1">
        <w:rPr>
          <w:rFonts w:cs="Segoe UI"/>
          <w:b/>
          <w:szCs w:val="20"/>
        </w:rPr>
        <w:t>16 ml</w:t>
      </w:r>
      <w:r w:rsidR="00BF38E1" w:rsidRPr="00BF38E1">
        <w:rPr>
          <w:rFonts w:cs="Segoe UI"/>
          <w:b/>
          <w:szCs w:val="20"/>
        </w:rPr>
        <w:t>d</w:t>
      </w:r>
      <w:r w:rsidRPr="00BF38E1">
        <w:rPr>
          <w:rFonts w:cs="Segoe UI"/>
          <w:b/>
          <w:szCs w:val="20"/>
        </w:rPr>
        <w:t>. eur, o ktorom sa v pôvodnom návrhu rozpočtu neuvažovalo.</w:t>
      </w:r>
      <w:r w:rsidRPr="00A51405">
        <w:rPr>
          <w:rFonts w:cs="Segoe UI"/>
          <w:szCs w:val="20"/>
        </w:rPr>
        <w:t xml:space="preserve"> Presun bol realizovaný z kapitoly VPS na zabezpečenie platobnej schopnosti SP v súvislosti so zvýšenými dôchodkovými dávkami. Kým v roku 2022 podiel transferu zo ŠR predstavoval len 1 %, v nasledujúcom roku sa jeho podiel zvýšil na takmer 10 % (graf </w:t>
      </w:r>
      <w:r w:rsidR="00BF38E1">
        <w:rPr>
          <w:rFonts w:cs="Segoe UI"/>
          <w:szCs w:val="20"/>
        </w:rPr>
        <w:t>12</w:t>
      </w:r>
      <w:r w:rsidRPr="00A51405">
        <w:rPr>
          <w:rFonts w:cs="Segoe UI"/>
          <w:szCs w:val="20"/>
        </w:rPr>
        <w:t xml:space="preserve">). </w:t>
      </w:r>
    </w:p>
    <w:p w14:paraId="417FADBF" w14:textId="3ACDD4DC" w:rsidR="00B16203" w:rsidRPr="00A51405" w:rsidRDefault="00B16203" w:rsidP="00B16203">
      <w:pPr>
        <w:rPr>
          <w:rFonts w:cs="Segoe UI"/>
          <w:color w:val="000000"/>
          <w:szCs w:val="20"/>
        </w:rPr>
      </w:pPr>
      <w:r w:rsidRPr="00BF38E1">
        <w:rPr>
          <w:rFonts w:cs="Segoe UI"/>
          <w:b/>
          <w:szCs w:val="20"/>
        </w:rPr>
        <w:t xml:space="preserve">Samotné príjmy zo sociálneho poistenia boli však nižšie </w:t>
      </w:r>
      <w:r w:rsidR="00BF38E1" w:rsidRPr="00BF38E1">
        <w:rPr>
          <w:rFonts w:cs="Segoe UI"/>
          <w:b/>
          <w:szCs w:val="20"/>
        </w:rPr>
        <w:t>oproti očakávaniam</w:t>
      </w:r>
      <w:r w:rsidRPr="00BF38E1">
        <w:rPr>
          <w:rFonts w:cs="Segoe UI"/>
          <w:b/>
          <w:szCs w:val="20"/>
        </w:rPr>
        <w:t xml:space="preserve"> o 172,5 mil. eur.</w:t>
      </w:r>
      <w:r w:rsidRPr="00A51405">
        <w:rPr>
          <w:rFonts w:cs="Segoe UI"/>
          <w:szCs w:val="20"/>
        </w:rPr>
        <w:t xml:space="preserve"> Rozhodujúcom mierou sa na nich podieľali príjmy z </w:t>
      </w:r>
      <w:r w:rsidRPr="00A51405">
        <w:rPr>
          <w:rFonts w:cs="Segoe UI"/>
          <w:color w:val="000000"/>
          <w:szCs w:val="20"/>
        </w:rPr>
        <w:t xml:space="preserve">bežného poistného od </w:t>
      </w:r>
      <w:r w:rsidR="00BF38E1">
        <w:rPr>
          <w:rFonts w:cs="Segoe UI"/>
          <w:color w:val="000000"/>
          <w:szCs w:val="20"/>
        </w:rPr>
        <w:t>EAO</w:t>
      </w:r>
      <w:r w:rsidRPr="00A51405">
        <w:rPr>
          <w:rFonts w:cs="Segoe UI"/>
          <w:color w:val="000000"/>
          <w:szCs w:val="20"/>
        </w:rPr>
        <w:t xml:space="preserve"> (84,2 % príjmov SP),  poistné od štátu (3,4 %) a dl</w:t>
      </w:r>
      <w:r w:rsidR="00BF38E1">
        <w:rPr>
          <w:rFonts w:cs="Segoe UI"/>
          <w:color w:val="000000"/>
          <w:szCs w:val="20"/>
        </w:rPr>
        <w:t>žné poistné (2,1 %) (graf 12).</w:t>
      </w:r>
    </w:p>
    <w:p w14:paraId="45DCD80D" w14:textId="77777777" w:rsidR="0029006B" w:rsidRPr="00056169" w:rsidRDefault="0029006B" w:rsidP="0029006B">
      <w:pPr>
        <w:pStyle w:val="Default"/>
        <w:spacing w:line="276" w:lineRule="auto"/>
        <w:jc w:val="both"/>
        <w:rPr>
          <w:color w:val="314364"/>
          <w:sz w:val="18"/>
        </w:rPr>
      </w:pPr>
      <w:r w:rsidRPr="00113ACD">
        <w:rPr>
          <w:rFonts w:ascii="Segoe UI" w:hAnsi="Segoe UI" w:cs="Segoe UI"/>
          <w:b/>
          <w:bCs/>
          <w:color w:val="304363"/>
          <w:sz w:val="20"/>
          <w:szCs w:val="20"/>
        </w:rPr>
        <w:t>Graf 12: Štruktúra príjmov Sociálnej poisťovne v rokoch 2022 a 2023 (v %)</w:t>
      </w:r>
    </w:p>
    <w:tbl>
      <w:tblPr>
        <w:tblStyle w:val="Mriekatabuky"/>
        <w:tblW w:w="504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9152"/>
      </w:tblGrid>
      <w:tr w:rsidR="0029006B" w:rsidRPr="00C75134" w14:paraId="2EB3C4FA" w14:textId="77777777" w:rsidTr="00A81877">
        <w:trPr>
          <w:trHeight w:val="3118"/>
        </w:trPr>
        <w:tc>
          <w:tcPr>
            <w:tcW w:w="9152" w:type="dxa"/>
            <w:tcBorders>
              <w:top w:val="single" w:sz="4" w:space="0" w:color="314364"/>
              <w:bottom w:val="single" w:sz="4" w:space="0" w:color="314364"/>
            </w:tcBorders>
            <w:vAlign w:val="center"/>
          </w:tcPr>
          <w:p w14:paraId="44593E31" w14:textId="77777777" w:rsidR="0029006B" w:rsidRPr="00C75134" w:rsidRDefault="0029006B" w:rsidP="00A81877">
            <w:pPr>
              <w:spacing w:after="0"/>
              <w:rPr>
                <w:b/>
                <w:color w:val="576431"/>
              </w:rPr>
            </w:pPr>
            <w:r>
              <w:rPr>
                <w:noProof/>
                <w:lang w:eastAsia="sk-SK"/>
              </w:rPr>
              <w:t xml:space="preserve"> </w:t>
            </w:r>
            <w:r>
              <w:rPr>
                <w:noProof/>
                <w:lang w:eastAsia="sk-SK"/>
              </w:rPr>
              <w:drawing>
                <wp:inline distT="0" distB="0" distL="0" distR="0" wp14:anchorId="13D5712E" wp14:editId="7E63B5E4">
                  <wp:extent cx="2806700" cy="1962150"/>
                  <wp:effectExtent l="0" t="0" r="0" b="0"/>
                  <wp:docPr id="38" name="Graf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Pr>
                <w:noProof/>
                <w:lang w:eastAsia="sk-SK"/>
              </w:rPr>
              <w:drawing>
                <wp:inline distT="0" distB="0" distL="0" distR="0" wp14:anchorId="5245F745" wp14:editId="612BED41">
                  <wp:extent cx="2832100" cy="1962150"/>
                  <wp:effectExtent l="0" t="0" r="6350" b="0"/>
                  <wp:docPr id="10" name="Graf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r>
    </w:tbl>
    <w:p w14:paraId="4198893B" w14:textId="6C8096EB" w:rsidR="0029006B" w:rsidRPr="00FF3ADB" w:rsidRDefault="0029006B" w:rsidP="0029006B">
      <w:pPr>
        <w:pStyle w:val="Zdroj"/>
      </w:pPr>
      <w:r w:rsidRPr="00FF3ADB">
        <w:t>Zdroj:</w:t>
      </w:r>
      <w:r>
        <w:t xml:space="preserve"> Správa o hospodárení Sociálnej poisťovne v roku 2022, Správa o hospodárení Sociálnej poisťovne v roku 2023.</w:t>
      </w:r>
    </w:p>
    <w:p w14:paraId="133F3EF5" w14:textId="63DE72B0" w:rsidR="00B16203" w:rsidRPr="00A51405" w:rsidRDefault="00B16203" w:rsidP="00B16203">
      <w:pPr>
        <w:rPr>
          <w:rFonts w:cs="Segoe UI"/>
          <w:bCs/>
          <w:color w:val="000000"/>
          <w:szCs w:val="20"/>
        </w:rPr>
      </w:pPr>
      <w:r w:rsidRPr="00BF38E1">
        <w:rPr>
          <w:rFonts w:cs="Segoe UI"/>
          <w:b/>
          <w:bCs/>
          <w:color w:val="000000"/>
          <w:szCs w:val="20"/>
        </w:rPr>
        <w:t xml:space="preserve">Príjmy </w:t>
      </w:r>
      <w:r w:rsidRPr="00BF38E1">
        <w:rPr>
          <w:rFonts w:cs="Segoe UI"/>
          <w:b/>
          <w:color w:val="000000"/>
          <w:szCs w:val="20"/>
        </w:rPr>
        <w:t xml:space="preserve">od </w:t>
      </w:r>
      <w:r w:rsidRPr="00BF38E1">
        <w:rPr>
          <w:rFonts w:cs="Segoe UI"/>
          <w:b/>
          <w:bCs/>
          <w:color w:val="000000"/>
          <w:szCs w:val="20"/>
        </w:rPr>
        <w:t>EAO</w:t>
      </w:r>
      <w:r w:rsidRPr="00BF38E1">
        <w:rPr>
          <w:rFonts w:cs="Segoe UI"/>
          <w:b/>
          <w:color w:val="000000"/>
          <w:szCs w:val="20"/>
        </w:rPr>
        <w:t xml:space="preserve"> z </w:t>
      </w:r>
      <w:r w:rsidRPr="00BF38E1">
        <w:rPr>
          <w:rFonts w:cs="Segoe UI"/>
          <w:b/>
          <w:bCs/>
          <w:color w:val="000000"/>
          <w:szCs w:val="20"/>
        </w:rPr>
        <w:t>bežného poistného</w:t>
      </w:r>
      <w:r w:rsidRPr="00BF38E1">
        <w:rPr>
          <w:rFonts w:cs="Segoe UI"/>
          <w:b/>
          <w:color w:val="000000"/>
          <w:szCs w:val="20"/>
        </w:rPr>
        <w:t xml:space="preserve"> vo výške 9</w:t>
      </w:r>
      <w:r w:rsidR="00BF38E1" w:rsidRPr="00BF38E1">
        <w:rPr>
          <w:rFonts w:cs="Segoe UI"/>
          <w:b/>
          <w:color w:val="000000"/>
          <w:szCs w:val="20"/>
        </w:rPr>
        <w:t>,9</w:t>
      </w:r>
      <w:r w:rsidRPr="00BF38E1">
        <w:rPr>
          <w:rFonts w:cs="Segoe UI"/>
          <w:b/>
          <w:color w:val="000000"/>
          <w:szCs w:val="20"/>
        </w:rPr>
        <w:t xml:space="preserve"> ml</w:t>
      </w:r>
      <w:r w:rsidR="00BF38E1" w:rsidRPr="00BF38E1">
        <w:rPr>
          <w:rFonts w:cs="Segoe UI"/>
          <w:b/>
          <w:color w:val="000000"/>
          <w:szCs w:val="20"/>
        </w:rPr>
        <w:t>d</w:t>
      </w:r>
      <w:r w:rsidRPr="00BF38E1">
        <w:rPr>
          <w:rFonts w:cs="Segoe UI"/>
          <w:b/>
          <w:color w:val="000000"/>
          <w:szCs w:val="20"/>
        </w:rPr>
        <w:t>. eur boli</w:t>
      </w:r>
      <w:r w:rsidRPr="00BF38E1">
        <w:rPr>
          <w:rFonts w:cs="Segoe UI"/>
          <w:b/>
          <w:bCs/>
          <w:color w:val="000000"/>
          <w:szCs w:val="20"/>
        </w:rPr>
        <w:t xml:space="preserve"> nižšie o 209,3 mil. eur </w:t>
      </w:r>
      <w:r w:rsidRPr="00BF38E1">
        <w:rPr>
          <w:rFonts w:cs="Segoe UI"/>
          <w:b/>
          <w:color w:val="000000"/>
          <w:szCs w:val="20"/>
        </w:rPr>
        <w:t>v porovnaní</w:t>
      </w:r>
      <w:r w:rsidRPr="00BF38E1">
        <w:rPr>
          <w:rFonts w:cs="Segoe UI"/>
          <w:b/>
          <w:bCs/>
          <w:color w:val="000000"/>
          <w:szCs w:val="20"/>
        </w:rPr>
        <w:t xml:space="preserve"> </w:t>
      </w:r>
      <w:r w:rsidRPr="00BF38E1">
        <w:rPr>
          <w:rFonts w:cs="Segoe UI"/>
          <w:b/>
          <w:color w:val="000000"/>
          <w:szCs w:val="20"/>
        </w:rPr>
        <w:t xml:space="preserve">so schváleným rozpočtom a </w:t>
      </w:r>
      <w:r w:rsidRPr="00BF38E1">
        <w:rPr>
          <w:rFonts w:cs="Segoe UI"/>
          <w:b/>
          <w:bCs/>
          <w:color w:val="000000"/>
          <w:szCs w:val="20"/>
        </w:rPr>
        <w:t xml:space="preserve">vyššie </w:t>
      </w:r>
      <w:r w:rsidRPr="00BF38E1">
        <w:rPr>
          <w:rFonts w:cs="Segoe UI"/>
          <w:b/>
          <w:color w:val="000000"/>
          <w:szCs w:val="20"/>
        </w:rPr>
        <w:t xml:space="preserve">oproti roku 2022 </w:t>
      </w:r>
      <w:r w:rsidRPr="00BF38E1">
        <w:rPr>
          <w:rFonts w:cs="Segoe UI"/>
          <w:b/>
          <w:bCs/>
          <w:color w:val="000000"/>
          <w:szCs w:val="20"/>
        </w:rPr>
        <w:t>o 788,7 mil. eur</w:t>
      </w:r>
      <w:r w:rsidRPr="00BF38E1">
        <w:rPr>
          <w:rFonts w:cs="Segoe UI"/>
          <w:b/>
          <w:color w:val="000000"/>
          <w:szCs w:val="20"/>
        </w:rPr>
        <w:t>.</w:t>
      </w:r>
      <w:r w:rsidRPr="00A51405">
        <w:rPr>
          <w:rFonts w:cs="Segoe UI"/>
          <w:color w:val="000000"/>
          <w:szCs w:val="20"/>
        </w:rPr>
        <w:t xml:space="preserve"> </w:t>
      </w:r>
      <w:r w:rsidRPr="00A51405">
        <w:rPr>
          <w:rFonts w:cs="Segoe UI"/>
          <w:szCs w:val="20"/>
        </w:rPr>
        <w:t xml:space="preserve">MPSVR SR poukázalo SP poistné </w:t>
      </w:r>
      <w:r>
        <w:rPr>
          <w:rFonts w:cs="Segoe UI"/>
          <w:szCs w:val="20"/>
        </w:rPr>
        <w:t xml:space="preserve">od štátu </w:t>
      </w:r>
      <w:r w:rsidRPr="00A51405">
        <w:rPr>
          <w:rFonts w:cs="Segoe UI"/>
          <w:szCs w:val="20"/>
        </w:rPr>
        <w:t xml:space="preserve">v sume 397,2 mil. eur, nižšie o 5,3 mil. eur ako sa plánovalo, aj keď o 14,2 mil. eur viac ako v roku 2022. </w:t>
      </w:r>
      <w:r w:rsidRPr="00A51405">
        <w:rPr>
          <w:rFonts w:cs="Segoe UI"/>
          <w:color w:val="000000"/>
          <w:szCs w:val="20"/>
        </w:rPr>
        <w:t>Plnenie príjmov z dlžného poistného v roku 2023</w:t>
      </w:r>
      <w:r w:rsidRPr="00A51405">
        <w:rPr>
          <w:rFonts w:cs="Segoe UI"/>
          <w:bCs/>
          <w:color w:val="000000"/>
          <w:szCs w:val="20"/>
        </w:rPr>
        <w:t xml:space="preserve"> </w:t>
      </w:r>
      <w:r w:rsidRPr="00A51405">
        <w:rPr>
          <w:rFonts w:cs="Segoe UI"/>
          <w:color w:val="000000"/>
          <w:szCs w:val="20"/>
        </w:rPr>
        <w:t xml:space="preserve">bolo v porovnaní so schváleným rozpočtom </w:t>
      </w:r>
      <w:r w:rsidRPr="00A51405">
        <w:rPr>
          <w:rFonts w:cs="Segoe UI"/>
          <w:bCs/>
          <w:color w:val="000000"/>
          <w:szCs w:val="20"/>
        </w:rPr>
        <w:t>vyššie o 47,1 mil. eur.</w:t>
      </w:r>
    </w:p>
    <w:p w14:paraId="7C5F078E" w14:textId="38780B36" w:rsidR="00B16203" w:rsidRDefault="00B16203" w:rsidP="00B16203">
      <w:pPr>
        <w:rPr>
          <w:rFonts w:eastAsia="Times New Roman" w:cs="Segoe UI"/>
          <w:color w:val="000000"/>
          <w:szCs w:val="20"/>
          <w:lang w:eastAsia="sk-SK"/>
        </w:rPr>
      </w:pPr>
      <w:r w:rsidRPr="00BF38E1">
        <w:rPr>
          <w:rFonts w:cs="Segoe UI"/>
          <w:b/>
          <w:szCs w:val="20"/>
        </w:rPr>
        <w:t>Nižší výber poistného od EAO ovplyvnilo schválenie odvodovej úľavy pre potravinárov a výhodný odchod zamestnancov a samostatne zárobkovo činných osôb (SZČO) do predčasného starobného dôchodku.</w:t>
      </w:r>
      <w:r w:rsidRPr="00A51405">
        <w:rPr>
          <w:rFonts w:cs="Segoe UI"/>
          <w:szCs w:val="20"/>
        </w:rPr>
        <w:t xml:space="preserve"> Prispel k tomu vysoký podiel SZČO</w:t>
      </w:r>
      <w:r w:rsidR="00966CBF">
        <w:rPr>
          <w:rFonts w:cs="Segoe UI"/>
          <w:szCs w:val="20"/>
        </w:rPr>
        <w:t>, 79,5 %,</w:t>
      </w:r>
      <w:r w:rsidRPr="00A51405">
        <w:rPr>
          <w:rFonts w:cs="Segoe UI"/>
          <w:szCs w:val="20"/>
        </w:rPr>
        <w:t xml:space="preserve"> </w:t>
      </w:r>
      <w:r w:rsidR="00966CBF">
        <w:rPr>
          <w:rFonts w:cs="Segoe UI"/>
          <w:szCs w:val="20"/>
        </w:rPr>
        <w:t xml:space="preserve">ktorí </w:t>
      </w:r>
      <w:r w:rsidRPr="00A51405">
        <w:rPr>
          <w:rFonts w:cs="Segoe UI"/>
          <w:szCs w:val="20"/>
        </w:rPr>
        <w:t>plati</w:t>
      </w:r>
      <w:r w:rsidR="00966CBF">
        <w:rPr>
          <w:rFonts w:cs="Segoe UI"/>
          <w:szCs w:val="20"/>
        </w:rPr>
        <w:t>li</w:t>
      </w:r>
      <w:r w:rsidRPr="00A51405">
        <w:rPr>
          <w:rFonts w:cs="Segoe UI"/>
          <w:szCs w:val="20"/>
        </w:rPr>
        <w:t xml:space="preserve"> príspevky na sociálne poistenie z minimálneho vymeriavacieho základu</w:t>
      </w:r>
      <w:r w:rsidR="00462688">
        <w:rPr>
          <w:rFonts w:cs="Segoe UI"/>
          <w:szCs w:val="20"/>
        </w:rPr>
        <w:t xml:space="preserve"> </w:t>
      </w:r>
      <w:r w:rsidR="0021192E">
        <w:rPr>
          <w:rFonts w:cs="Segoe UI"/>
          <w:szCs w:val="20"/>
        </w:rPr>
        <w:t xml:space="preserve">(box </w:t>
      </w:r>
      <w:r w:rsidR="006922FF">
        <w:rPr>
          <w:rFonts w:cs="Segoe UI"/>
          <w:szCs w:val="20"/>
        </w:rPr>
        <w:t>4</w:t>
      </w:r>
      <w:r w:rsidR="0021192E">
        <w:rPr>
          <w:rFonts w:cs="Segoe UI"/>
          <w:szCs w:val="20"/>
        </w:rPr>
        <w:t>)</w:t>
      </w:r>
      <w:r w:rsidRPr="00A51405">
        <w:rPr>
          <w:rFonts w:cs="Segoe UI"/>
          <w:szCs w:val="20"/>
        </w:rPr>
        <w:t>. Okrem toho sa na tom podieľal aj</w:t>
      </w:r>
      <w:r w:rsidRPr="00A51405">
        <w:rPr>
          <w:rFonts w:eastAsia="Times New Roman" w:cs="Segoe UI"/>
          <w:color w:val="000000"/>
          <w:szCs w:val="20"/>
          <w:lang w:eastAsia="sk-SK"/>
        </w:rPr>
        <w:t xml:space="preserve"> výber sociálnych </w:t>
      </w:r>
      <w:r w:rsidRPr="00A51405">
        <w:rPr>
          <w:rFonts w:eastAsia="Times New Roman" w:cs="Segoe UI"/>
          <w:color w:val="000000"/>
          <w:szCs w:val="20"/>
          <w:lang w:eastAsia="sk-SK"/>
        </w:rPr>
        <w:lastRenderedPageBreak/>
        <w:t>odvodov zo zdravotníckych zariadení; objem pohľadávok voči zdravotníckym zariadeniam medziročne stúpol o 198,1 mil. eur.</w:t>
      </w:r>
    </w:p>
    <w:tbl>
      <w:tblPr>
        <w:tblStyle w:val="Mriekatabuky"/>
        <w:tblW w:w="0" w:type="auto"/>
        <w:tblBorders>
          <w:top w:val="single" w:sz="4" w:space="0" w:color="314364" w:themeColor="text2"/>
          <w:left w:val="single" w:sz="4" w:space="0" w:color="314364" w:themeColor="text2"/>
          <w:bottom w:val="single" w:sz="4" w:space="0" w:color="314364" w:themeColor="text2"/>
          <w:right w:val="single" w:sz="4" w:space="0" w:color="314364" w:themeColor="text2"/>
          <w:insideH w:val="none" w:sz="0" w:space="0" w:color="auto"/>
          <w:insideV w:val="none" w:sz="0" w:space="0" w:color="auto"/>
        </w:tblBorders>
        <w:shd w:val="clear" w:color="auto" w:fill="EBF0FB" w:themeFill="background2" w:themeFillTint="33"/>
        <w:tblLook w:val="04A0" w:firstRow="1" w:lastRow="0" w:firstColumn="1" w:lastColumn="0" w:noHBand="0" w:noVBand="1"/>
      </w:tblPr>
      <w:tblGrid>
        <w:gridCol w:w="9060"/>
      </w:tblGrid>
      <w:tr w:rsidR="0021192E" w:rsidRPr="00AC3675" w14:paraId="2576A320" w14:textId="77777777" w:rsidTr="0023515F">
        <w:tc>
          <w:tcPr>
            <w:tcW w:w="9060" w:type="dxa"/>
            <w:shd w:val="clear" w:color="auto" w:fill="EBF0FB" w:themeFill="background2" w:themeFillTint="33"/>
          </w:tcPr>
          <w:p w14:paraId="17525CFE" w14:textId="253CF0EA" w:rsidR="0021192E" w:rsidRPr="00767017" w:rsidRDefault="0021192E" w:rsidP="0023515F">
            <w:pPr>
              <w:spacing w:before="120" w:line="240" w:lineRule="auto"/>
              <w:rPr>
                <w:b/>
                <w:szCs w:val="18"/>
              </w:rPr>
            </w:pPr>
            <w:r w:rsidRPr="00767017">
              <w:rPr>
                <w:b/>
                <w:szCs w:val="18"/>
              </w:rPr>
              <w:t xml:space="preserve">BOX </w:t>
            </w:r>
            <w:r w:rsidR="006922FF">
              <w:rPr>
                <w:b/>
                <w:szCs w:val="18"/>
              </w:rPr>
              <w:t>4</w:t>
            </w:r>
            <w:r w:rsidRPr="00767017">
              <w:rPr>
                <w:b/>
                <w:szCs w:val="18"/>
              </w:rPr>
              <w:t xml:space="preserve">: </w:t>
            </w:r>
            <w:r>
              <w:rPr>
                <w:b/>
                <w:szCs w:val="18"/>
              </w:rPr>
              <w:t>Fiktívni živnostníci</w:t>
            </w:r>
          </w:p>
          <w:p w14:paraId="4DC6355E" w14:textId="77777777" w:rsidR="0021192E" w:rsidRDefault="0021192E" w:rsidP="0023515F">
            <w:pPr>
              <w:tabs>
                <w:tab w:val="left" w:pos="3024"/>
              </w:tabs>
              <w:rPr>
                <w:sz w:val="18"/>
              </w:rPr>
            </w:pPr>
            <w:r w:rsidRPr="00700041">
              <w:rPr>
                <w:b/>
                <w:sz w:val="18"/>
              </w:rPr>
              <w:t>NKÚ SR upozorňuje na problematiku fiktívnych živnostníkov vo svojich stanoviskách k návrhu ŠZÚ SR už od roku 2021.</w:t>
            </w:r>
            <w:r>
              <w:rPr>
                <w:sz w:val="18"/>
              </w:rPr>
              <w:t xml:space="preserve"> </w:t>
            </w:r>
            <w:r w:rsidRPr="00700041">
              <w:rPr>
                <w:b/>
                <w:sz w:val="18"/>
              </w:rPr>
              <w:t>V rámci analytického komentára</w:t>
            </w:r>
            <w:r>
              <w:rPr>
                <w:rStyle w:val="Odkaznapoznmkupodiarou"/>
                <w:b/>
                <w:sz w:val="18"/>
              </w:rPr>
              <w:footnoteReference w:id="23"/>
            </w:r>
            <w:r w:rsidRPr="00700041">
              <w:rPr>
                <w:b/>
                <w:sz w:val="18"/>
              </w:rPr>
              <w:t xml:space="preserve"> z roku 2023 sa NKÚ SR venoval najmä vyslaným fiktívnym živnostníkom, ktorí môžu vďaka výnimke platiť dane a odvody na Slovensku.</w:t>
            </w:r>
            <w:r>
              <w:rPr>
                <w:sz w:val="18"/>
              </w:rPr>
              <w:t xml:space="preserve"> </w:t>
            </w:r>
          </w:p>
          <w:p w14:paraId="47FA40B9" w14:textId="6E8079A4" w:rsidR="0021192E" w:rsidRDefault="0021192E" w:rsidP="0023515F">
            <w:pPr>
              <w:tabs>
                <w:tab w:val="left" w:pos="3024"/>
              </w:tabs>
              <w:rPr>
                <w:sz w:val="18"/>
              </w:rPr>
            </w:pPr>
            <w:r>
              <w:rPr>
                <w:sz w:val="18"/>
              </w:rPr>
              <w:t>ÚHP na analytický komentár NKÚ SR nadviazal a vo svojej práci sa zameral na domácich fiktívnych živnostníkov, ktorými Slovensko v EÚ vyniká.</w:t>
            </w:r>
            <w:r>
              <w:rPr>
                <w:rStyle w:val="Odkaznapoznmkupodiarou"/>
                <w:sz w:val="18"/>
              </w:rPr>
              <w:footnoteReference w:id="24"/>
            </w:r>
            <w:r>
              <w:rPr>
                <w:sz w:val="18"/>
              </w:rPr>
              <w:t xml:space="preserve"> Podľa štatistík pracuj</w:t>
            </w:r>
            <w:r w:rsidR="00851C8A">
              <w:rPr>
                <w:sz w:val="18"/>
              </w:rPr>
              <w:t>ú</w:t>
            </w:r>
            <w:r>
              <w:rPr>
                <w:sz w:val="18"/>
              </w:rPr>
              <w:t xml:space="preserve"> na živnosť desiatky tisíc ľudí, aj napriek tomu, že v skutočnosti môže ísť o pracovný pome</w:t>
            </w:r>
            <w:r w:rsidR="0065477C">
              <w:rPr>
                <w:sz w:val="18"/>
              </w:rPr>
              <w:t>r.</w:t>
            </w:r>
          </w:p>
          <w:p w14:paraId="6691D06C" w14:textId="0D921117" w:rsidR="0021192E" w:rsidRDefault="0065477C" w:rsidP="0023515F">
            <w:pPr>
              <w:tabs>
                <w:tab w:val="left" w:pos="3024"/>
              </w:tabs>
              <w:rPr>
                <w:sz w:val="18"/>
              </w:rPr>
            </w:pPr>
            <w:r>
              <w:rPr>
                <w:sz w:val="18"/>
              </w:rPr>
              <w:t xml:space="preserve">Výhody, ktoré boli pôvodne zamýšľané na podporu podnikania, sú častokrát využívané podnikmi na znižovanie si vlastných odvodov, čím štát prichádza o stovky miliónov eur a zamestnanci o práva, ochranu a dôchodok. </w:t>
            </w:r>
            <w:r w:rsidR="0021192E">
              <w:rPr>
                <w:sz w:val="18"/>
              </w:rPr>
              <w:t>Podľa analytického komentára ÚHP je najzávažnejším problémom z pohľadu štátu ako regulátora pracovného trhu, že sa obchádza zákonník práce</w:t>
            </w:r>
            <w:r w:rsidR="00DE2A9C">
              <w:rPr>
                <w:rStyle w:val="Odkaznapoznmkupodiarou"/>
                <w:sz w:val="18"/>
              </w:rPr>
              <w:footnoteReference w:id="25"/>
            </w:r>
            <w:r w:rsidR="0021192E">
              <w:rPr>
                <w:sz w:val="18"/>
              </w:rPr>
              <w:t xml:space="preserve">, dôsledkom čoho dochádza k strate na daniach a odvodoch, kriví sa konkurenčné prostredie, znižuje ochrana pracovníkov a vytvára sa problém čierneho pasažiera v dôchodkovom a zdravotníckom systéme. </w:t>
            </w:r>
          </w:p>
          <w:p w14:paraId="02F5A990" w14:textId="02041AF4" w:rsidR="0021192E" w:rsidRPr="00E81FBC" w:rsidRDefault="0021192E" w:rsidP="0023515F">
            <w:pPr>
              <w:tabs>
                <w:tab w:val="left" w:pos="3024"/>
              </w:tabs>
            </w:pPr>
            <w:r>
              <w:rPr>
                <w:b/>
                <w:sz w:val="18"/>
              </w:rPr>
              <w:t>Ak by sa všetci fiktívni živnostníci zamestnali na zodpovedajúci pracovný pomer, celkový výber daní a odvodov by sa mohol zvýšiť až o 648 mil. eur</w:t>
            </w:r>
            <w:r w:rsidR="00DE2A9C">
              <w:rPr>
                <w:b/>
                <w:sz w:val="18"/>
              </w:rPr>
              <w:t xml:space="preserve"> ročne</w:t>
            </w:r>
            <w:r>
              <w:rPr>
                <w:b/>
                <w:sz w:val="18"/>
              </w:rPr>
              <w:t xml:space="preserve">. </w:t>
            </w:r>
            <w:r>
              <w:rPr>
                <w:sz w:val="18"/>
              </w:rPr>
              <w:t>Dosiahnuť takéto zlepšenie však nie je reálne, nakoľko v súčasnosti neexistuje krajina EÚ, ktorá by mala menej ako 7 % fiktívnych živnostníkov. Na zvrátenie negatívneho trendu je preto potrebné zvýšenie intenzity kontrol zo strany inšpekcie práce, ako aj zváženie takých úprav v legislatíve, ktoré umožnia lepšiu identifikáciu závislej práce a odhaľovanie fiktívnych živností. (ÚHP, 2024)</w:t>
            </w:r>
          </w:p>
        </w:tc>
      </w:tr>
    </w:tbl>
    <w:p w14:paraId="0250B270" w14:textId="521DBFB2" w:rsidR="00B16203" w:rsidRDefault="00B16203" w:rsidP="00B16203">
      <w:pPr>
        <w:pStyle w:val="Nadpis2"/>
        <w:rPr>
          <w:rFonts w:eastAsia="Calibri"/>
        </w:rPr>
      </w:pPr>
      <w:bookmarkStart w:id="22" w:name="_Toc168567191"/>
      <w:r>
        <w:rPr>
          <w:rFonts w:eastAsia="Calibri"/>
        </w:rPr>
        <w:t>3.</w:t>
      </w:r>
      <w:r w:rsidR="006922FF">
        <w:rPr>
          <w:rFonts w:eastAsia="Calibri"/>
        </w:rPr>
        <w:t>6</w:t>
      </w:r>
      <w:r w:rsidR="00E43045">
        <w:rPr>
          <w:rFonts w:eastAsia="Calibri"/>
        </w:rPr>
        <w:t xml:space="preserve"> </w:t>
      </w:r>
      <w:r>
        <w:rPr>
          <w:rFonts w:eastAsia="Calibri"/>
        </w:rPr>
        <w:t xml:space="preserve"> Príjmy verejného zdravotného poistenia</w:t>
      </w:r>
      <w:bookmarkEnd w:id="22"/>
    </w:p>
    <w:p w14:paraId="6CDA2A5B" w14:textId="7BB6C202" w:rsidR="00B16203" w:rsidRDefault="00B16203" w:rsidP="00B16203">
      <w:pPr>
        <w:rPr>
          <w:rFonts w:cs="Segoe UI"/>
        </w:rPr>
      </w:pPr>
      <w:r w:rsidRPr="004E260C">
        <w:rPr>
          <w:rFonts w:cs="Segoe UI"/>
          <w:b/>
        </w:rPr>
        <w:t xml:space="preserve">Zdravotné odvody platené </w:t>
      </w:r>
      <w:r>
        <w:rPr>
          <w:rFonts w:cs="Segoe UI"/>
          <w:b/>
        </w:rPr>
        <w:t>EAO spôsobili</w:t>
      </w:r>
      <w:r w:rsidRPr="004E260C">
        <w:rPr>
          <w:rFonts w:cs="Segoe UI"/>
          <w:b/>
        </w:rPr>
        <w:t xml:space="preserve"> v roku 2023 o 80,9 mil. </w:t>
      </w:r>
      <w:r w:rsidR="00DA7110">
        <w:rPr>
          <w:rFonts w:cs="Segoe UI"/>
          <w:b/>
        </w:rPr>
        <w:t xml:space="preserve">eur </w:t>
      </w:r>
      <w:r w:rsidRPr="004E260C">
        <w:rPr>
          <w:rFonts w:cs="Segoe UI"/>
          <w:b/>
        </w:rPr>
        <w:t>nižšie</w:t>
      </w:r>
      <w:r>
        <w:rPr>
          <w:rFonts w:cs="Segoe UI"/>
          <w:b/>
        </w:rPr>
        <w:t xml:space="preserve"> príjmy</w:t>
      </w:r>
      <w:r w:rsidRPr="004E260C">
        <w:rPr>
          <w:rFonts w:cs="Segoe UI"/>
          <w:b/>
        </w:rPr>
        <w:t xml:space="preserve"> ak</w:t>
      </w:r>
      <w:r>
        <w:rPr>
          <w:rFonts w:cs="Segoe UI"/>
          <w:b/>
        </w:rPr>
        <w:t>o predpokladal rozpočet na</w:t>
      </w:r>
      <w:r w:rsidRPr="004E260C">
        <w:rPr>
          <w:rFonts w:cs="Segoe UI"/>
          <w:b/>
        </w:rPr>
        <w:t xml:space="preserve"> </w:t>
      </w:r>
      <w:r>
        <w:rPr>
          <w:rFonts w:cs="Segoe UI"/>
          <w:b/>
        </w:rPr>
        <w:t xml:space="preserve">konsolidovanej báze na </w:t>
      </w:r>
      <w:r w:rsidRPr="004E260C">
        <w:rPr>
          <w:rFonts w:cs="Segoe UI"/>
          <w:b/>
        </w:rPr>
        <w:t>rok</w:t>
      </w:r>
      <w:r>
        <w:rPr>
          <w:rFonts w:cs="Segoe UI"/>
          <w:b/>
        </w:rPr>
        <w:t xml:space="preserve"> 2023</w:t>
      </w:r>
      <w:r w:rsidRPr="004E260C">
        <w:rPr>
          <w:rFonts w:cs="Segoe UI"/>
          <w:b/>
        </w:rPr>
        <w:t>.</w:t>
      </w:r>
      <w:r>
        <w:rPr>
          <w:rFonts w:cs="Segoe UI"/>
          <w:b/>
        </w:rPr>
        <w:t xml:space="preserve"> </w:t>
      </w:r>
      <w:r>
        <w:rPr>
          <w:rFonts w:cs="Segoe UI"/>
        </w:rPr>
        <w:t>Príčinou zaostávania výberu zdravotných odvodov bol slabší ako očakávaný vývoj na trhu práce, a výber zároveň zaostával za vývojom mzdovej bázy.</w:t>
      </w:r>
    </w:p>
    <w:p w14:paraId="0897E3B2" w14:textId="109E532F" w:rsidR="00B16203" w:rsidRPr="004E260C" w:rsidRDefault="00B16203" w:rsidP="00B16203">
      <w:pPr>
        <w:rPr>
          <w:rFonts w:cs="Segoe UI"/>
        </w:rPr>
      </w:pPr>
      <w:r>
        <w:rPr>
          <w:rFonts w:cs="Segoe UI"/>
          <w:b/>
        </w:rPr>
        <w:t xml:space="preserve">Napriek nižšiemu ako plánovanému výberu dosiahli </w:t>
      </w:r>
      <w:r w:rsidRPr="00C064E2">
        <w:rPr>
          <w:rFonts w:cs="Segoe UI"/>
          <w:b/>
        </w:rPr>
        <w:t xml:space="preserve">zdravotné poisťovne </w:t>
      </w:r>
      <w:r w:rsidRPr="00234BA5">
        <w:rPr>
          <w:rFonts w:cs="Segoe UI"/>
        </w:rPr>
        <w:t>(ZP)</w:t>
      </w:r>
      <w:r>
        <w:rPr>
          <w:rFonts w:cs="Segoe UI"/>
          <w:b/>
        </w:rPr>
        <w:t xml:space="preserve"> na</w:t>
      </w:r>
      <w:r>
        <w:rPr>
          <w:rFonts w:cs="Segoe UI"/>
        </w:rPr>
        <w:t> </w:t>
      </w:r>
      <w:r>
        <w:rPr>
          <w:rFonts w:cs="Segoe UI"/>
          <w:b/>
        </w:rPr>
        <w:t>hotovostnej</w:t>
      </w:r>
      <w:r w:rsidRPr="00C064E2">
        <w:rPr>
          <w:rFonts w:cs="Segoe UI"/>
          <w:b/>
        </w:rPr>
        <w:t xml:space="preserve"> báze celkovo hospodársky prebytok vo výške 223,3 mil. eur</w:t>
      </w:r>
      <w:r>
        <w:rPr>
          <w:rFonts w:cs="Segoe UI"/>
        </w:rPr>
        <w:t xml:space="preserve">, čo je oproti rozpočtu viac o 179 mil. eur. Podstatný vplyv mal vyšší výber zdravotných odvodových príjmov o 385,6 mil. eur, najmä </w:t>
      </w:r>
      <w:r w:rsidR="0065477C">
        <w:rPr>
          <w:rFonts w:cs="Segoe UI"/>
        </w:rPr>
        <w:t xml:space="preserve">cez </w:t>
      </w:r>
      <w:r>
        <w:rPr>
          <w:rFonts w:cs="Segoe UI"/>
        </w:rPr>
        <w:t xml:space="preserve">zvýšenie platby za poistencov štátu. </w:t>
      </w:r>
    </w:p>
    <w:p w14:paraId="4606C6CE" w14:textId="58DA3E57" w:rsidR="00B16203" w:rsidRDefault="00B16203" w:rsidP="00B16203">
      <w:pPr>
        <w:rPr>
          <w:rFonts w:cs="Segoe UI"/>
        </w:rPr>
      </w:pPr>
      <w:r w:rsidRPr="00234BA5">
        <w:rPr>
          <w:rFonts w:cs="Segoe UI"/>
          <w:b/>
        </w:rPr>
        <w:t>Prostredníctvom MZ SR boli v roku 2023 vynaložené v hotovostnom vyjadrení transfery na preddavky poistného za skupiny osôb ustanovené zákonom</w:t>
      </w:r>
      <w:r w:rsidRPr="00234BA5">
        <w:rPr>
          <w:rStyle w:val="Odkaznapoznmkupodiarou"/>
          <w:rFonts w:cs="Segoe UI"/>
        </w:rPr>
        <w:footnoteReference w:id="26"/>
      </w:r>
      <w:r w:rsidRPr="00234BA5">
        <w:rPr>
          <w:rFonts w:cs="Segoe UI"/>
          <w:b/>
        </w:rPr>
        <w:t xml:space="preserve"> v sume 2,08 mld. eur.</w:t>
      </w:r>
      <w:r>
        <w:rPr>
          <w:rFonts w:cs="Segoe UI"/>
        </w:rPr>
        <w:t xml:space="preserve"> Nárast oproti schválenému rozpočtu</w:t>
      </w:r>
      <w:r w:rsidR="0065477C">
        <w:rPr>
          <w:rFonts w:cs="Segoe UI"/>
        </w:rPr>
        <w:t xml:space="preserve"> bol zabezpečený prostredníctvom dvoch</w:t>
      </w:r>
      <w:r>
        <w:rPr>
          <w:rFonts w:cs="Segoe UI"/>
        </w:rPr>
        <w:t xml:space="preserve"> RO. Prvé RO povolilo prekročenie limitu výdavkov z dôvodu stabilizácie ambulantného sektora kvôli zvýšeným výdavkom na pokrytie rastu cien energií v sume 147 mil. eur.</w:t>
      </w:r>
    </w:p>
    <w:p w14:paraId="0D05ADF2" w14:textId="39E6C63B" w:rsidR="00B16203" w:rsidRDefault="00B16203" w:rsidP="00BF38E1">
      <w:pPr>
        <w:rPr>
          <w:rFonts w:cs="Segoe UI"/>
        </w:rPr>
      </w:pPr>
      <w:r w:rsidRPr="005D113B">
        <w:rPr>
          <w:rFonts w:cs="Segoe UI"/>
          <w:b/>
        </w:rPr>
        <w:t xml:space="preserve">Vzhľadom na podfinancovanie </w:t>
      </w:r>
      <w:r w:rsidR="00E837BB">
        <w:rPr>
          <w:rFonts w:cs="Segoe UI"/>
          <w:b/>
        </w:rPr>
        <w:t>zdravotníckeho sektora</w:t>
      </w:r>
      <w:r w:rsidRPr="005D113B">
        <w:rPr>
          <w:rFonts w:cs="Segoe UI"/>
          <w:b/>
        </w:rPr>
        <w:t xml:space="preserve"> realizovalo MF SR v spolupráci s MZ SR v septembri 2023 aj druhé RO, ktorým sa zvýšila </w:t>
      </w:r>
      <w:r>
        <w:rPr>
          <w:rFonts w:cs="Segoe UI"/>
          <w:b/>
        </w:rPr>
        <w:t xml:space="preserve">hotovostná </w:t>
      </w:r>
      <w:r w:rsidRPr="005D113B">
        <w:rPr>
          <w:rFonts w:cs="Segoe UI"/>
          <w:b/>
        </w:rPr>
        <w:t xml:space="preserve">agregátna platba za poistencov štátu o 316,3 mil. eur v systéme </w:t>
      </w:r>
      <w:r w:rsidR="00B35AF3">
        <w:rPr>
          <w:rFonts w:cs="Segoe UI"/>
          <w:b/>
        </w:rPr>
        <w:t xml:space="preserve">verejného zdravotného poistenia </w:t>
      </w:r>
      <w:r w:rsidR="00B35AF3" w:rsidRPr="00B35AF3">
        <w:rPr>
          <w:rFonts w:cs="Segoe UI"/>
        </w:rPr>
        <w:t>(</w:t>
      </w:r>
      <w:r w:rsidRPr="00B35AF3">
        <w:rPr>
          <w:rFonts w:cs="Segoe UI"/>
        </w:rPr>
        <w:t>VZP</w:t>
      </w:r>
      <w:r w:rsidR="00B35AF3" w:rsidRPr="00B35AF3">
        <w:rPr>
          <w:rFonts w:cs="Segoe UI"/>
        </w:rPr>
        <w:t>)</w:t>
      </w:r>
      <w:r w:rsidRPr="00B35AF3">
        <w:rPr>
          <w:rFonts w:cs="Segoe UI"/>
        </w:rPr>
        <w:t>.</w:t>
      </w:r>
      <w:r w:rsidRPr="003C282D">
        <w:rPr>
          <w:rFonts w:cs="Segoe UI"/>
        </w:rPr>
        <w:t xml:space="preserve"> </w:t>
      </w:r>
      <w:r>
        <w:rPr>
          <w:rFonts w:cs="Segoe UI"/>
        </w:rPr>
        <w:t>Prostriedky boli určené na dofinancovanie poistného za poistencov štátu vyplývajúce z reálnych výdavkov na zdravotnú starostlivosť.</w:t>
      </w:r>
      <w:r w:rsidRPr="003C282D">
        <w:rPr>
          <w:rFonts w:cs="Segoe UI"/>
        </w:rPr>
        <w:t xml:space="preserve"> Alokácia bola rozdel</w:t>
      </w:r>
      <w:r>
        <w:rPr>
          <w:rFonts w:cs="Segoe UI"/>
        </w:rPr>
        <w:t>ená v pomere 55 % pre VšZP a 45</w:t>
      </w:r>
      <w:r w:rsidRPr="003C282D">
        <w:rPr>
          <w:rFonts w:cs="Segoe UI"/>
        </w:rPr>
        <w:t xml:space="preserve"> % pre súkromné </w:t>
      </w:r>
      <w:r w:rsidR="00BF38E1">
        <w:rPr>
          <w:rFonts w:cs="Segoe UI"/>
        </w:rPr>
        <w:t>ZP</w:t>
      </w:r>
      <w:r w:rsidRPr="003C282D">
        <w:rPr>
          <w:rFonts w:cs="Segoe UI"/>
        </w:rPr>
        <w:t>.</w:t>
      </w:r>
      <w:r>
        <w:rPr>
          <w:rFonts w:cs="Segoe UI"/>
        </w:rPr>
        <w:t xml:space="preserve"> Na základe </w:t>
      </w:r>
      <w:r w:rsidR="00BF38E1">
        <w:rPr>
          <w:rFonts w:cs="Segoe UI"/>
        </w:rPr>
        <w:t>t</w:t>
      </w:r>
      <w:r>
        <w:rPr>
          <w:rFonts w:cs="Segoe UI"/>
        </w:rPr>
        <w:t xml:space="preserve">oho </w:t>
      </w:r>
      <w:r>
        <w:rPr>
          <w:rFonts w:cs="Segoe UI"/>
        </w:rPr>
        <w:lastRenderedPageBreak/>
        <w:t>ÚDZS vyhlásil, že všetky tri ZP majú k 30.</w:t>
      </w:r>
      <w:r w:rsidR="00BF38E1">
        <w:rPr>
          <w:rFonts w:cs="Segoe UI"/>
        </w:rPr>
        <w:t xml:space="preserve"> </w:t>
      </w:r>
      <w:r>
        <w:rPr>
          <w:rFonts w:cs="Segoe UI"/>
        </w:rPr>
        <w:t>9.</w:t>
      </w:r>
      <w:r w:rsidR="00BF38E1">
        <w:rPr>
          <w:rFonts w:cs="Segoe UI"/>
        </w:rPr>
        <w:t xml:space="preserve"> </w:t>
      </w:r>
      <w:r>
        <w:rPr>
          <w:rFonts w:cs="Segoe UI"/>
        </w:rPr>
        <w:t>2023 dostatočnú likviditu. Prílev peňazí do VZP kladne ovplyvnil výšku priemernej mesačnej platby, ktorá sa zvýšila na úroveň 60 eur/mes. v roku 2023. V porovnaní s</w:t>
      </w:r>
      <w:r w:rsidR="00C87CB6">
        <w:rPr>
          <w:rFonts w:cs="Segoe UI"/>
        </w:rPr>
        <w:t> </w:t>
      </w:r>
      <w:r>
        <w:rPr>
          <w:rFonts w:cs="Segoe UI"/>
        </w:rPr>
        <w:t>Č</w:t>
      </w:r>
      <w:r w:rsidR="00C87CB6">
        <w:rPr>
          <w:rFonts w:cs="Segoe UI"/>
        </w:rPr>
        <w:t>eskou republikou</w:t>
      </w:r>
      <w:r>
        <w:rPr>
          <w:rFonts w:cs="Segoe UI"/>
        </w:rPr>
        <w:t xml:space="preserve"> však stále zaostávame, nakoľko v roku 2022 mal</w:t>
      </w:r>
      <w:r w:rsidR="005579D6">
        <w:rPr>
          <w:rFonts w:cs="Segoe UI"/>
        </w:rPr>
        <w:t>a</w:t>
      </w:r>
      <w:r>
        <w:rPr>
          <w:rFonts w:cs="Segoe UI"/>
        </w:rPr>
        <w:t xml:space="preserve"> platbu za poistenca štátu vo výške 72 eur/mes. a na rok 2023 predpoklada</w:t>
      </w:r>
      <w:r w:rsidR="005579D6">
        <w:rPr>
          <w:rFonts w:cs="Segoe UI"/>
        </w:rPr>
        <w:t>li</w:t>
      </w:r>
      <w:r>
        <w:rPr>
          <w:rFonts w:cs="Segoe UI"/>
        </w:rPr>
        <w:t xml:space="preserve"> približne 80 eur/mes.</w:t>
      </w:r>
      <w:r>
        <w:rPr>
          <w:rStyle w:val="Odkaznapoznmkupodiarou"/>
          <w:rFonts w:cs="Segoe UI"/>
        </w:rPr>
        <w:footnoteReference w:id="27"/>
      </w:r>
      <w:r>
        <w:rPr>
          <w:rFonts w:cs="Segoe UI"/>
        </w:rPr>
        <w:t xml:space="preserve"> Na základe zvýšenia platby za poistencov štátu sa zlepšila finančná situácia, likvidita aj schopnosť plniť svoje záväzky pre ZP vyplývajúce z VZP. Mesačná platba EAO sa medziročne zvýšila o 16 eur mesačne, čím dosiahla úroveň 188 eur/mes. za jedného poistenca a celkovo tak priniesla do systému VZP cez päť mld. eur.</w:t>
      </w:r>
    </w:p>
    <w:p w14:paraId="5018B9B8" w14:textId="1B0A133F" w:rsidR="00DB26F8" w:rsidRDefault="00DB26F8" w:rsidP="00DB26F8">
      <w:pPr>
        <w:rPr>
          <w:rFonts w:cs="Segoe UI"/>
        </w:rPr>
      </w:pPr>
      <w:r w:rsidRPr="00234BA5">
        <w:rPr>
          <w:rFonts w:cs="Segoe UI"/>
          <w:b/>
        </w:rPr>
        <w:t xml:space="preserve">V rámci vývoja </w:t>
      </w:r>
      <w:r w:rsidR="0065477C" w:rsidRPr="00234BA5">
        <w:rPr>
          <w:rFonts w:cs="Segoe UI"/>
          <w:b/>
        </w:rPr>
        <w:t xml:space="preserve">platby </w:t>
      </w:r>
      <w:r w:rsidR="00127A20" w:rsidRPr="00234BA5">
        <w:rPr>
          <w:rFonts w:cs="Segoe UI"/>
          <w:b/>
        </w:rPr>
        <w:t>zdravotného</w:t>
      </w:r>
      <w:r w:rsidRPr="00234BA5">
        <w:rPr>
          <w:rFonts w:cs="Segoe UI"/>
          <w:b/>
        </w:rPr>
        <w:t xml:space="preserve"> </w:t>
      </w:r>
      <w:r w:rsidR="00851C8A">
        <w:rPr>
          <w:rFonts w:cs="Segoe UI"/>
          <w:b/>
        </w:rPr>
        <w:t>poistenia</w:t>
      </w:r>
      <w:r w:rsidR="00851C8A" w:rsidRPr="00234BA5">
        <w:rPr>
          <w:rFonts w:cs="Segoe UI"/>
          <w:b/>
        </w:rPr>
        <w:t xml:space="preserve"> </w:t>
      </w:r>
      <w:r w:rsidRPr="00234BA5">
        <w:rPr>
          <w:rFonts w:cs="Segoe UI"/>
          <w:b/>
        </w:rPr>
        <w:t>za poistenca štátu je viditeľná dlhodobá stagnácia oproti platbe EAO</w:t>
      </w:r>
      <w:r>
        <w:rPr>
          <w:rFonts w:cs="Segoe UI"/>
        </w:rPr>
        <w:t xml:space="preserve"> (graf 13). </w:t>
      </w:r>
      <w:r w:rsidR="0065477C">
        <w:rPr>
          <w:rFonts w:cs="Segoe UI"/>
        </w:rPr>
        <w:t>D</w:t>
      </w:r>
      <w:r>
        <w:rPr>
          <w:rFonts w:cs="Segoe UI"/>
        </w:rPr>
        <w:t xml:space="preserve">lhodobé podfinancovanie </w:t>
      </w:r>
      <w:r w:rsidR="0065477C">
        <w:rPr>
          <w:rFonts w:cs="Segoe UI"/>
        </w:rPr>
        <w:t xml:space="preserve">a výkyvy </w:t>
      </w:r>
      <w:r>
        <w:rPr>
          <w:rFonts w:cs="Segoe UI"/>
        </w:rPr>
        <w:t>vo výške mesačného poistného za poistenca štátu mohlo spôsobovať nepredvídateľnosť príjmovej stránky rozpočtu ZZ a spôsobiť nep</w:t>
      </w:r>
      <w:r w:rsidR="0065477C">
        <w:rPr>
          <w:rFonts w:cs="Segoe UI"/>
        </w:rPr>
        <w:t>latenie</w:t>
      </w:r>
      <w:r>
        <w:rPr>
          <w:rFonts w:cs="Segoe UI"/>
        </w:rPr>
        <w:t xml:space="preserve"> záväzkov voči dodávateľom </w:t>
      </w:r>
      <w:r w:rsidRPr="00166317">
        <w:rPr>
          <w:rFonts w:cs="Segoe UI"/>
        </w:rPr>
        <w:t>ZZ (viac v kapitole 5</w:t>
      </w:r>
      <w:r w:rsidR="00B35AF3">
        <w:rPr>
          <w:rFonts w:cs="Segoe UI"/>
        </w:rPr>
        <w:t>.1</w:t>
      </w:r>
      <w:r w:rsidRPr="00166317">
        <w:rPr>
          <w:rFonts w:cs="Segoe UI"/>
        </w:rPr>
        <w:t>).</w:t>
      </w:r>
      <w:r>
        <w:rPr>
          <w:rFonts w:cs="Segoe UI"/>
        </w:rPr>
        <w:t xml:space="preserve"> Nepriaznivú situáciu z časti rieši novela zákona o zdravotnom poistení,</w:t>
      </w:r>
      <w:r>
        <w:rPr>
          <w:rStyle w:val="Odkaznapoznmkupodiarou"/>
          <w:rFonts w:cs="Segoe UI"/>
        </w:rPr>
        <w:footnoteReference w:id="28"/>
      </w:r>
      <w:r>
        <w:rPr>
          <w:rFonts w:cs="Segoe UI"/>
        </w:rPr>
        <w:t xml:space="preserve"> ktorou sa zavádza mesačná platba za poistenca štátu vo výške 4,5 %</w:t>
      </w:r>
      <w:r w:rsidR="00851C8A">
        <w:rPr>
          <w:rFonts w:cs="Segoe UI"/>
        </w:rPr>
        <w:t xml:space="preserve"> vymeriavacieho základu</w:t>
      </w:r>
      <w:r>
        <w:rPr>
          <w:rFonts w:cs="Segoe UI"/>
        </w:rPr>
        <w:t xml:space="preserve"> </w:t>
      </w:r>
      <w:r w:rsidR="00851C8A">
        <w:rPr>
          <w:rFonts w:cs="Segoe UI"/>
        </w:rPr>
        <w:t>(</w:t>
      </w:r>
      <w:r>
        <w:rPr>
          <w:rFonts w:cs="Segoe UI"/>
        </w:rPr>
        <w:t>priemernej mzdy v SR spred dvoch rokov</w:t>
      </w:r>
      <w:r w:rsidR="00851C8A">
        <w:rPr>
          <w:rFonts w:cs="Segoe UI"/>
        </w:rPr>
        <w:t>)</w:t>
      </w:r>
      <w:r>
        <w:rPr>
          <w:rFonts w:cs="Segoe UI"/>
        </w:rPr>
        <w:t>. Mesačné platb</w:t>
      </w:r>
      <w:r w:rsidR="0065477C">
        <w:rPr>
          <w:rFonts w:cs="Segoe UI"/>
        </w:rPr>
        <w:t>y od EAO</w:t>
      </w:r>
      <w:r>
        <w:rPr>
          <w:rFonts w:cs="Segoe UI"/>
        </w:rPr>
        <w:t xml:space="preserve">, ako aj agregátne ročné poistné EAO, sú predvídateľné a dlhodobo rastúce. </w:t>
      </w:r>
    </w:p>
    <w:p w14:paraId="7FE7DB88" w14:textId="77777777" w:rsidR="0029006B" w:rsidRDefault="0029006B" w:rsidP="0029006B">
      <w:pPr>
        <w:spacing w:after="0"/>
        <w:rPr>
          <w:rFonts w:cs="Segoe UI"/>
        </w:rPr>
      </w:pPr>
      <w:bookmarkStart w:id="23" w:name="_Toc165621615"/>
      <w:r w:rsidRPr="00113ACD">
        <w:rPr>
          <w:rFonts w:cs="Segoe UI"/>
          <w:b/>
          <w:bCs/>
          <w:color w:val="304363"/>
          <w:szCs w:val="20"/>
        </w:rPr>
        <w:t>Graf 1</w:t>
      </w:r>
      <w:r>
        <w:rPr>
          <w:rFonts w:cs="Segoe UI"/>
          <w:b/>
          <w:bCs/>
          <w:color w:val="304363"/>
          <w:szCs w:val="20"/>
        </w:rPr>
        <w:t>3</w:t>
      </w:r>
      <w:r w:rsidRPr="00113ACD">
        <w:rPr>
          <w:rFonts w:cs="Segoe UI"/>
          <w:b/>
          <w:bCs/>
          <w:color w:val="304363"/>
          <w:szCs w:val="20"/>
        </w:rPr>
        <w:t xml:space="preserve">: </w:t>
      </w:r>
      <w:r>
        <w:rPr>
          <w:rFonts w:cs="Segoe UI"/>
          <w:b/>
          <w:bCs/>
          <w:color w:val="304363"/>
          <w:szCs w:val="20"/>
        </w:rPr>
        <w:t xml:space="preserve">Príjmy </w:t>
      </w:r>
      <w:r w:rsidRPr="00307F0B">
        <w:rPr>
          <w:rFonts w:cs="Segoe UI"/>
          <w:b/>
          <w:bCs/>
          <w:color w:val="304363"/>
          <w:szCs w:val="20"/>
        </w:rPr>
        <w:t>V</w:t>
      </w:r>
      <w:r>
        <w:rPr>
          <w:rFonts w:cs="Segoe UI"/>
          <w:b/>
          <w:bCs/>
          <w:color w:val="304363"/>
          <w:szCs w:val="20"/>
        </w:rPr>
        <w:t xml:space="preserve">ZP </w:t>
      </w:r>
      <w:r w:rsidRPr="00307F0B">
        <w:rPr>
          <w:rFonts w:cs="Segoe UI"/>
          <w:b/>
          <w:bCs/>
          <w:color w:val="304363"/>
          <w:szCs w:val="20"/>
        </w:rPr>
        <w:t>a vývoj priemernej mes</w:t>
      </w:r>
      <w:r>
        <w:rPr>
          <w:rFonts w:cs="Segoe UI"/>
          <w:b/>
          <w:bCs/>
          <w:color w:val="304363"/>
          <w:szCs w:val="20"/>
        </w:rPr>
        <w:t>ačnej</w:t>
      </w:r>
      <w:r w:rsidRPr="00307F0B">
        <w:rPr>
          <w:rFonts w:cs="Segoe UI"/>
          <w:b/>
          <w:bCs/>
          <w:color w:val="304363"/>
          <w:szCs w:val="20"/>
        </w:rPr>
        <w:t xml:space="preserve"> platby za poistencov</w:t>
      </w:r>
      <w:r>
        <w:rPr>
          <w:rFonts w:cs="Segoe UI"/>
          <w:b/>
          <w:bCs/>
          <w:color w:val="304363"/>
          <w:szCs w:val="20"/>
        </w:rPr>
        <w:t xml:space="preserve"> štátu</w:t>
      </w:r>
      <w:r w:rsidRPr="00307F0B">
        <w:rPr>
          <w:rFonts w:cs="Segoe UI"/>
          <w:b/>
          <w:bCs/>
          <w:color w:val="304363"/>
          <w:szCs w:val="20"/>
        </w:rPr>
        <w:t xml:space="preserve"> v rokoch 2013 – 2023</w:t>
      </w:r>
    </w:p>
    <w:tbl>
      <w:tblPr>
        <w:tblStyle w:val="Mriekatabuky"/>
        <w:tblW w:w="0" w:type="auto"/>
        <w:tblLook w:val="04A0" w:firstRow="1" w:lastRow="0" w:firstColumn="1" w:lastColumn="0" w:noHBand="0" w:noVBand="1"/>
      </w:tblPr>
      <w:tblGrid>
        <w:gridCol w:w="9070"/>
      </w:tblGrid>
      <w:tr w:rsidR="0029006B" w14:paraId="66B84132" w14:textId="77777777" w:rsidTr="00A81877">
        <w:trPr>
          <w:trHeight w:val="3685"/>
        </w:trPr>
        <w:tc>
          <w:tcPr>
            <w:tcW w:w="9060" w:type="dxa"/>
            <w:tcBorders>
              <w:top w:val="single" w:sz="4" w:space="0" w:color="314364" w:themeColor="text2"/>
              <w:left w:val="nil"/>
              <w:bottom w:val="single" w:sz="4" w:space="0" w:color="314364" w:themeColor="text2"/>
              <w:right w:val="nil"/>
            </w:tcBorders>
          </w:tcPr>
          <w:p w14:paraId="7CDDDEC6" w14:textId="77777777" w:rsidR="0029006B" w:rsidRDefault="0029006B" w:rsidP="00A81877">
            <w:pPr>
              <w:spacing w:after="0"/>
              <w:rPr>
                <w:rFonts w:cs="Segoe UI"/>
              </w:rPr>
            </w:pPr>
            <w:r>
              <w:rPr>
                <w:noProof/>
                <w:lang w:eastAsia="sk-SK"/>
              </w:rPr>
              <w:drawing>
                <wp:inline distT="0" distB="0" distL="0" distR="0" wp14:anchorId="28678827" wp14:editId="26DF0255">
                  <wp:extent cx="5676900" cy="2295525"/>
                  <wp:effectExtent l="0" t="0" r="0" b="0"/>
                  <wp:docPr id="2"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c>
      </w:tr>
    </w:tbl>
    <w:p w14:paraId="45AA1153" w14:textId="77777777" w:rsidR="0029006B" w:rsidRDefault="0029006B" w:rsidP="0029006B">
      <w:pPr>
        <w:pStyle w:val="Zdroj"/>
      </w:pPr>
      <w:r>
        <w:t xml:space="preserve">Zdroj: </w:t>
      </w:r>
      <w:r w:rsidRPr="00307F0B">
        <w:t>ÚDZS SR. Spracovanie NKÚ</w:t>
      </w:r>
      <w:r>
        <w:t xml:space="preserve"> SR</w:t>
      </w:r>
      <w:r w:rsidRPr="00307F0B">
        <w:t>.</w:t>
      </w:r>
    </w:p>
    <w:p w14:paraId="6CC38EBC" w14:textId="5375B6CE" w:rsidR="00BB71F6" w:rsidRPr="005603E6" w:rsidRDefault="00BB71F6" w:rsidP="00BB71F6">
      <w:pPr>
        <w:pStyle w:val="Nadpis2"/>
      </w:pPr>
      <w:bookmarkStart w:id="24" w:name="_Toc168567192"/>
      <w:r>
        <w:t>3.</w:t>
      </w:r>
      <w:r w:rsidR="006922FF">
        <w:t>7</w:t>
      </w:r>
      <w:r>
        <w:t xml:space="preserve"> </w:t>
      </w:r>
      <w:r w:rsidR="00E43045">
        <w:t xml:space="preserve"> </w:t>
      </w:r>
      <w:r w:rsidR="003951EA">
        <w:t>Štátne f</w:t>
      </w:r>
      <w:r w:rsidRPr="005603E6">
        <w:t>inančné aktíva</w:t>
      </w:r>
      <w:bookmarkEnd w:id="23"/>
      <w:bookmarkEnd w:id="24"/>
    </w:p>
    <w:p w14:paraId="496892D9" w14:textId="6D6F3770" w:rsidR="003951EA" w:rsidRDefault="003951EA" w:rsidP="003951EA">
      <w:pPr>
        <w:rPr>
          <w:rFonts w:eastAsia="Calibri" w:cs="Times New Roman"/>
        </w:rPr>
      </w:pPr>
      <w:r w:rsidRPr="00CD7A26">
        <w:rPr>
          <w:rFonts w:eastAsia="Calibri" w:cs="Times New Roman"/>
        </w:rPr>
        <w:t xml:space="preserve">Štátne finančné aktíva (ŠFA) sú súčasťou návrhu ŠR/RVS, no finančné operácie so ŠFA nie sú súčasťou príjmov alebo výdavkov ŠR. V súlade so zákonom o rozpočtových pravidlách vykonáva MF SR správu ŠFA. Najväčšie pohyby na vybraných účtoch ŠFA nastali </w:t>
      </w:r>
      <w:r>
        <w:rPr>
          <w:rFonts w:eastAsia="Calibri" w:cs="Times New Roman"/>
        </w:rPr>
        <w:t xml:space="preserve">v roku 2023 pri osobitnom odvode finančných inštitúcií a pri </w:t>
      </w:r>
      <w:r w:rsidRPr="00CD7A26">
        <w:rPr>
          <w:rFonts w:eastAsia="Calibri" w:cs="Times New Roman"/>
        </w:rPr>
        <w:t xml:space="preserve">prostriedkoch z FNM/MH Manažmentu </w:t>
      </w:r>
      <w:r>
        <w:rPr>
          <w:rFonts w:eastAsia="Calibri" w:cs="Times New Roman"/>
        </w:rPr>
        <w:t xml:space="preserve">(tabuľka </w:t>
      </w:r>
      <w:r w:rsidR="00322F02">
        <w:rPr>
          <w:rFonts w:eastAsia="Calibri" w:cs="Times New Roman"/>
        </w:rPr>
        <w:t>10</w:t>
      </w:r>
      <w:r w:rsidRPr="00CD7A26">
        <w:rPr>
          <w:rFonts w:eastAsia="Calibri" w:cs="Times New Roman"/>
        </w:rPr>
        <w:t>).</w:t>
      </w:r>
    </w:p>
    <w:p w14:paraId="658901BD" w14:textId="77777777" w:rsidR="00BE3A2B" w:rsidRPr="00CD7A26" w:rsidRDefault="00BE3A2B" w:rsidP="00BE3A2B">
      <w:pPr>
        <w:keepNext/>
        <w:spacing w:after="0"/>
        <w:rPr>
          <w:rFonts w:eastAsia="Calibri" w:cs="Times New Roman"/>
          <w:b/>
          <w:iCs/>
          <w:color w:val="314364"/>
          <w:szCs w:val="18"/>
        </w:rPr>
      </w:pPr>
      <w:r>
        <w:rPr>
          <w:rFonts w:eastAsia="Calibri" w:cs="Times New Roman"/>
          <w:b/>
          <w:iCs/>
          <w:color w:val="314364"/>
          <w:szCs w:val="18"/>
        </w:rPr>
        <w:t>Tabuľka 10</w:t>
      </w:r>
      <w:r w:rsidRPr="00CD7A26">
        <w:rPr>
          <w:rFonts w:eastAsia="Calibri" w:cs="Times New Roman"/>
          <w:b/>
          <w:iCs/>
          <w:color w:val="314364"/>
          <w:szCs w:val="18"/>
        </w:rPr>
        <w:t>: Pohyby na vybraných účtoch ŠFA (v tis. eur)</w:t>
      </w:r>
    </w:p>
    <w:tbl>
      <w:tblPr>
        <w:tblW w:w="5000" w:type="pct"/>
        <w:tblLayout w:type="fixed"/>
        <w:tblCellMar>
          <w:left w:w="70" w:type="dxa"/>
          <w:right w:w="70" w:type="dxa"/>
        </w:tblCellMar>
        <w:tblLook w:val="04A0" w:firstRow="1" w:lastRow="0" w:firstColumn="1" w:lastColumn="0" w:noHBand="0" w:noVBand="1"/>
      </w:tblPr>
      <w:tblGrid>
        <w:gridCol w:w="5732"/>
        <w:gridCol w:w="1114"/>
        <w:gridCol w:w="1114"/>
        <w:gridCol w:w="1110"/>
      </w:tblGrid>
      <w:tr w:rsidR="00E837BB" w:rsidRPr="00CD7A26" w14:paraId="643E3742" w14:textId="77777777" w:rsidTr="00DB26F8">
        <w:trPr>
          <w:trHeight w:val="283"/>
          <w:tblHeader/>
        </w:trPr>
        <w:tc>
          <w:tcPr>
            <w:tcW w:w="3159" w:type="pct"/>
            <w:tcBorders>
              <w:top w:val="nil"/>
              <w:left w:val="nil"/>
              <w:bottom w:val="nil"/>
              <w:right w:val="nil"/>
            </w:tcBorders>
            <w:shd w:val="clear" w:color="000000" w:fill="314364"/>
            <w:vAlign w:val="center"/>
            <w:hideMark/>
          </w:tcPr>
          <w:p w14:paraId="5414981C" w14:textId="77777777" w:rsidR="00E837BB" w:rsidRPr="00F35306" w:rsidRDefault="00E837BB" w:rsidP="0019343E">
            <w:pPr>
              <w:spacing w:after="0"/>
              <w:jc w:val="left"/>
              <w:rPr>
                <w:rFonts w:eastAsia="Times New Roman" w:cs="Segoe UI"/>
                <w:b/>
                <w:bCs/>
                <w:color w:val="FFFFFF"/>
                <w:sz w:val="18"/>
                <w:szCs w:val="18"/>
                <w:lang w:eastAsia="sk-SK"/>
              </w:rPr>
            </w:pPr>
            <w:r w:rsidRPr="00F35306">
              <w:rPr>
                <w:rFonts w:eastAsia="Times New Roman" w:cs="Segoe UI"/>
                <w:b/>
                <w:bCs/>
                <w:color w:val="FFFFFF"/>
                <w:sz w:val="18"/>
                <w:szCs w:val="18"/>
                <w:lang w:eastAsia="sk-SK"/>
              </w:rPr>
              <w:t xml:space="preserve">Štátne finančné aktíva (tis. eur) </w:t>
            </w:r>
          </w:p>
        </w:tc>
        <w:tc>
          <w:tcPr>
            <w:tcW w:w="614" w:type="pct"/>
            <w:tcBorders>
              <w:top w:val="nil"/>
              <w:left w:val="nil"/>
              <w:bottom w:val="nil"/>
              <w:right w:val="nil"/>
            </w:tcBorders>
            <w:shd w:val="clear" w:color="000000" w:fill="314364"/>
            <w:vAlign w:val="center"/>
            <w:hideMark/>
          </w:tcPr>
          <w:p w14:paraId="199AAB0E" w14:textId="77777777" w:rsidR="00E837BB" w:rsidRPr="00F35306" w:rsidRDefault="00E837BB" w:rsidP="0019343E">
            <w:pPr>
              <w:spacing w:after="0"/>
              <w:jc w:val="right"/>
              <w:rPr>
                <w:rFonts w:eastAsia="Times New Roman" w:cs="Segoe UI"/>
                <w:b/>
                <w:bCs/>
                <w:color w:val="FFFFFF"/>
                <w:sz w:val="18"/>
                <w:szCs w:val="18"/>
                <w:lang w:eastAsia="sk-SK"/>
              </w:rPr>
            </w:pPr>
            <w:r w:rsidRPr="00F35306">
              <w:rPr>
                <w:rFonts w:eastAsia="Times New Roman" w:cs="Segoe UI"/>
                <w:b/>
                <w:bCs/>
                <w:color w:val="FFFFFF"/>
                <w:sz w:val="18"/>
                <w:szCs w:val="18"/>
                <w:lang w:eastAsia="sk-SK"/>
              </w:rPr>
              <w:t>2022 S</w:t>
            </w:r>
          </w:p>
        </w:tc>
        <w:tc>
          <w:tcPr>
            <w:tcW w:w="614" w:type="pct"/>
            <w:tcBorders>
              <w:top w:val="nil"/>
              <w:left w:val="nil"/>
              <w:bottom w:val="nil"/>
              <w:right w:val="nil"/>
            </w:tcBorders>
            <w:shd w:val="clear" w:color="000000" w:fill="314364"/>
            <w:vAlign w:val="center"/>
            <w:hideMark/>
          </w:tcPr>
          <w:p w14:paraId="5DA102A3" w14:textId="77777777" w:rsidR="00E837BB" w:rsidRPr="00F35306" w:rsidRDefault="00E837BB" w:rsidP="0019343E">
            <w:pPr>
              <w:spacing w:after="0"/>
              <w:jc w:val="right"/>
              <w:rPr>
                <w:rFonts w:eastAsia="Times New Roman" w:cs="Segoe UI"/>
                <w:b/>
                <w:bCs/>
                <w:color w:val="FFFFFF"/>
                <w:sz w:val="18"/>
                <w:szCs w:val="18"/>
                <w:lang w:eastAsia="sk-SK"/>
              </w:rPr>
            </w:pPr>
            <w:r w:rsidRPr="00F35306">
              <w:rPr>
                <w:rFonts w:eastAsia="Times New Roman" w:cs="Segoe UI"/>
                <w:b/>
                <w:bCs/>
                <w:color w:val="FFFFFF"/>
                <w:sz w:val="18"/>
                <w:szCs w:val="18"/>
                <w:lang w:eastAsia="sk-SK"/>
              </w:rPr>
              <w:t>2023 S</w:t>
            </w:r>
          </w:p>
        </w:tc>
        <w:tc>
          <w:tcPr>
            <w:tcW w:w="612" w:type="pct"/>
            <w:tcBorders>
              <w:top w:val="nil"/>
              <w:left w:val="nil"/>
              <w:bottom w:val="nil"/>
              <w:right w:val="nil"/>
            </w:tcBorders>
            <w:shd w:val="clear" w:color="000000" w:fill="314364"/>
            <w:vAlign w:val="center"/>
          </w:tcPr>
          <w:p w14:paraId="04EF1D28" w14:textId="77777777" w:rsidR="00E837BB" w:rsidRPr="00F35306" w:rsidRDefault="00E837BB" w:rsidP="0019343E">
            <w:pPr>
              <w:spacing w:after="0"/>
              <w:jc w:val="right"/>
              <w:rPr>
                <w:rFonts w:eastAsia="Times New Roman" w:cs="Segoe UI"/>
                <w:b/>
                <w:bCs/>
                <w:color w:val="FFFFFF"/>
                <w:sz w:val="18"/>
                <w:szCs w:val="18"/>
                <w:lang w:eastAsia="sk-SK"/>
              </w:rPr>
            </w:pPr>
            <w:r w:rsidRPr="00F35306">
              <w:rPr>
                <w:rFonts w:eastAsia="Times New Roman" w:cs="Segoe UI"/>
                <w:b/>
                <w:bCs/>
                <w:color w:val="FFFFFF"/>
                <w:sz w:val="18"/>
                <w:szCs w:val="18"/>
                <w:lang w:eastAsia="sk-SK"/>
              </w:rPr>
              <w:t>23S-22S</w:t>
            </w:r>
          </w:p>
        </w:tc>
      </w:tr>
      <w:tr w:rsidR="00E837BB" w:rsidRPr="00CD7A26" w14:paraId="3F475C04" w14:textId="77777777" w:rsidTr="00DB26F8">
        <w:trPr>
          <w:trHeight w:val="283"/>
        </w:trPr>
        <w:tc>
          <w:tcPr>
            <w:tcW w:w="3159" w:type="pct"/>
            <w:tcBorders>
              <w:top w:val="nil"/>
              <w:left w:val="nil"/>
              <w:bottom w:val="single" w:sz="4" w:space="0" w:color="auto"/>
              <w:right w:val="nil"/>
            </w:tcBorders>
            <w:shd w:val="clear" w:color="000000" w:fill="FFFFFF"/>
            <w:noWrap/>
            <w:vAlign w:val="center"/>
            <w:hideMark/>
          </w:tcPr>
          <w:p w14:paraId="41DAD3DD" w14:textId="77777777" w:rsidR="00E837BB" w:rsidRPr="00F35306" w:rsidRDefault="00E837BB" w:rsidP="0019343E">
            <w:pPr>
              <w:spacing w:after="0"/>
              <w:jc w:val="left"/>
              <w:rPr>
                <w:rFonts w:eastAsia="Times New Roman" w:cs="Segoe UI"/>
                <w:b/>
                <w:color w:val="000000"/>
                <w:sz w:val="18"/>
                <w:szCs w:val="18"/>
                <w:lang w:eastAsia="sk-SK"/>
              </w:rPr>
            </w:pPr>
            <w:r w:rsidRPr="00F35306">
              <w:rPr>
                <w:rFonts w:eastAsia="Times New Roman" w:cs="Segoe UI"/>
                <w:b/>
                <w:color w:val="000000"/>
                <w:sz w:val="18"/>
                <w:szCs w:val="18"/>
                <w:lang w:eastAsia="sk-SK"/>
              </w:rPr>
              <w:t>Stav k 1.1.</w:t>
            </w:r>
          </w:p>
        </w:tc>
        <w:tc>
          <w:tcPr>
            <w:tcW w:w="614" w:type="pct"/>
            <w:tcBorders>
              <w:top w:val="nil"/>
              <w:left w:val="nil"/>
              <w:bottom w:val="single" w:sz="4" w:space="0" w:color="auto"/>
              <w:right w:val="nil"/>
            </w:tcBorders>
            <w:shd w:val="clear" w:color="000000" w:fill="FFFFFF"/>
            <w:noWrap/>
            <w:vAlign w:val="center"/>
            <w:hideMark/>
          </w:tcPr>
          <w:p w14:paraId="7F3C487F" w14:textId="77777777" w:rsidR="00E837BB" w:rsidRPr="00F35306" w:rsidRDefault="00E837BB" w:rsidP="0019343E">
            <w:pPr>
              <w:spacing w:after="0"/>
              <w:jc w:val="right"/>
              <w:rPr>
                <w:rFonts w:eastAsia="Times New Roman" w:cs="Segoe UI"/>
                <w:b/>
                <w:color w:val="000000"/>
                <w:sz w:val="18"/>
                <w:szCs w:val="18"/>
                <w:lang w:eastAsia="sk-SK"/>
              </w:rPr>
            </w:pPr>
            <w:r w:rsidRPr="00F35306">
              <w:rPr>
                <w:rFonts w:eastAsia="Times New Roman" w:cs="Segoe UI"/>
                <w:b/>
                <w:color w:val="000000"/>
                <w:sz w:val="18"/>
                <w:szCs w:val="18"/>
                <w:lang w:eastAsia="sk-SK"/>
              </w:rPr>
              <w:t>3 419 084</w:t>
            </w:r>
          </w:p>
        </w:tc>
        <w:tc>
          <w:tcPr>
            <w:tcW w:w="614" w:type="pct"/>
            <w:tcBorders>
              <w:top w:val="nil"/>
              <w:left w:val="nil"/>
              <w:bottom w:val="single" w:sz="4" w:space="0" w:color="auto"/>
              <w:right w:val="nil"/>
            </w:tcBorders>
            <w:shd w:val="clear" w:color="000000" w:fill="FFFFFF"/>
            <w:noWrap/>
            <w:vAlign w:val="center"/>
            <w:hideMark/>
          </w:tcPr>
          <w:p w14:paraId="46B638E2" w14:textId="77777777" w:rsidR="00E837BB" w:rsidRPr="00F35306" w:rsidRDefault="00E837BB" w:rsidP="0019343E">
            <w:pPr>
              <w:spacing w:after="0"/>
              <w:jc w:val="right"/>
              <w:rPr>
                <w:rFonts w:eastAsia="Times New Roman" w:cs="Segoe UI"/>
                <w:b/>
                <w:color w:val="000000"/>
                <w:sz w:val="18"/>
                <w:szCs w:val="18"/>
                <w:lang w:eastAsia="sk-SK"/>
              </w:rPr>
            </w:pPr>
            <w:r w:rsidRPr="00F35306">
              <w:rPr>
                <w:rFonts w:eastAsia="Times New Roman" w:cs="Segoe UI"/>
                <w:b/>
                <w:color w:val="000000"/>
                <w:sz w:val="18"/>
                <w:szCs w:val="18"/>
                <w:lang w:eastAsia="sk-SK"/>
              </w:rPr>
              <w:t>3 196 933</w:t>
            </w:r>
          </w:p>
        </w:tc>
        <w:tc>
          <w:tcPr>
            <w:tcW w:w="612" w:type="pct"/>
            <w:tcBorders>
              <w:top w:val="nil"/>
              <w:left w:val="nil"/>
              <w:bottom w:val="single" w:sz="4" w:space="0" w:color="auto"/>
              <w:right w:val="nil"/>
            </w:tcBorders>
            <w:shd w:val="clear" w:color="000000" w:fill="FFFFFF"/>
            <w:vAlign w:val="center"/>
          </w:tcPr>
          <w:p w14:paraId="57B11389" w14:textId="77777777" w:rsidR="00E837BB" w:rsidRPr="00F35306" w:rsidRDefault="00E837BB" w:rsidP="0019343E">
            <w:pPr>
              <w:spacing w:after="0"/>
              <w:jc w:val="right"/>
              <w:rPr>
                <w:rFonts w:eastAsia="Times New Roman" w:cs="Segoe UI"/>
                <w:b/>
                <w:color w:val="000000"/>
                <w:sz w:val="18"/>
                <w:szCs w:val="18"/>
                <w:lang w:eastAsia="sk-SK"/>
              </w:rPr>
            </w:pPr>
            <w:r w:rsidRPr="00F35306">
              <w:rPr>
                <w:rFonts w:eastAsia="Times New Roman" w:cs="Segoe UI"/>
                <w:b/>
                <w:color w:val="000000"/>
                <w:sz w:val="18"/>
                <w:szCs w:val="18"/>
                <w:lang w:eastAsia="sk-SK"/>
              </w:rPr>
              <w:t>-222 151</w:t>
            </w:r>
          </w:p>
        </w:tc>
      </w:tr>
      <w:tr w:rsidR="00E837BB" w:rsidRPr="00CD7A26" w14:paraId="4218B160" w14:textId="77777777" w:rsidTr="00DB26F8">
        <w:trPr>
          <w:trHeight w:val="283"/>
        </w:trPr>
        <w:tc>
          <w:tcPr>
            <w:tcW w:w="3159" w:type="pct"/>
            <w:tcBorders>
              <w:top w:val="nil"/>
              <w:left w:val="nil"/>
              <w:bottom w:val="nil"/>
              <w:right w:val="nil"/>
            </w:tcBorders>
            <w:shd w:val="clear" w:color="000000" w:fill="FFFFFF"/>
            <w:noWrap/>
            <w:vAlign w:val="center"/>
            <w:hideMark/>
          </w:tcPr>
          <w:p w14:paraId="2FA1D8DA" w14:textId="16FD35EA" w:rsidR="00E837BB" w:rsidRPr="00F35306" w:rsidRDefault="00E837BB" w:rsidP="006E53E1">
            <w:pPr>
              <w:spacing w:after="0"/>
              <w:jc w:val="left"/>
              <w:rPr>
                <w:rFonts w:eastAsia="Times New Roman" w:cs="Segoe UI"/>
                <w:i/>
                <w:color w:val="000000"/>
                <w:sz w:val="18"/>
                <w:szCs w:val="18"/>
                <w:lang w:eastAsia="sk-SK"/>
              </w:rPr>
            </w:pPr>
            <w:r w:rsidRPr="00F35306">
              <w:rPr>
                <w:rFonts w:eastAsia="Times New Roman" w:cs="Segoe UI"/>
                <w:i/>
                <w:color w:val="000000"/>
                <w:sz w:val="18"/>
                <w:szCs w:val="18"/>
                <w:lang w:eastAsia="sk-SK"/>
              </w:rPr>
              <w:t xml:space="preserve">Príjmy </w:t>
            </w:r>
            <w:r w:rsidR="006E53E1">
              <w:rPr>
                <w:rFonts w:eastAsia="Times New Roman" w:cs="Segoe UI"/>
                <w:i/>
                <w:color w:val="000000"/>
                <w:sz w:val="18"/>
                <w:szCs w:val="18"/>
                <w:lang w:eastAsia="sk-SK"/>
              </w:rPr>
              <w:t xml:space="preserve">– </w:t>
            </w:r>
            <w:r w:rsidRPr="00F35306">
              <w:rPr>
                <w:rFonts w:eastAsia="Times New Roman" w:cs="Segoe UI"/>
                <w:i/>
                <w:color w:val="000000"/>
                <w:sz w:val="18"/>
                <w:szCs w:val="18"/>
                <w:lang w:eastAsia="sk-SK"/>
              </w:rPr>
              <w:t>zvýšenie ŠFA</w:t>
            </w:r>
          </w:p>
        </w:tc>
        <w:tc>
          <w:tcPr>
            <w:tcW w:w="614" w:type="pct"/>
            <w:tcBorders>
              <w:top w:val="nil"/>
              <w:left w:val="nil"/>
              <w:bottom w:val="nil"/>
              <w:right w:val="nil"/>
            </w:tcBorders>
            <w:shd w:val="clear" w:color="000000" w:fill="FFFFFF"/>
            <w:noWrap/>
            <w:vAlign w:val="center"/>
            <w:hideMark/>
          </w:tcPr>
          <w:p w14:paraId="4214AB2A" w14:textId="77777777" w:rsidR="00E837BB" w:rsidRPr="00F35306" w:rsidRDefault="00E837BB" w:rsidP="0019343E">
            <w:pPr>
              <w:spacing w:after="0"/>
              <w:jc w:val="right"/>
              <w:rPr>
                <w:rFonts w:eastAsia="Times New Roman" w:cs="Segoe UI"/>
                <w:i/>
                <w:color w:val="000000"/>
                <w:sz w:val="18"/>
                <w:szCs w:val="18"/>
                <w:lang w:eastAsia="sk-SK"/>
              </w:rPr>
            </w:pPr>
            <w:r w:rsidRPr="00F35306">
              <w:rPr>
                <w:rFonts w:eastAsia="Times New Roman" w:cs="Segoe UI"/>
                <w:i/>
                <w:color w:val="000000"/>
                <w:sz w:val="18"/>
                <w:szCs w:val="18"/>
                <w:lang w:eastAsia="sk-SK"/>
              </w:rPr>
              <w:t>1 056 782</w:t>
            </w:r>
          </w:p>
        </w:tc>
        <w:tc>
          <w:tcPr>
            <w:tcW w:w="614" w:type="pct"/>
            <w:tcBorders>
              <w:top w:val="nil"/>
              <w:left w:val="nil"/>
              <w:bottom w:val="nil"/>
              <w:right w:val="nil"/>
            </w:tcBorders>
            <w:shd w:val="clear" w:color="000000" w:fill="FFFFFF"/>
            <w:noWrap/>
            <w:vAlign w:val="center"/>
            <w:hideMark/>
          </w:tcPr>
          <w:p w14:paraId="2DF73EB4" w14:textId="77777777" w:rsidR="00E837BB" w:rsidRPr="00F35306" w:rsidRDefault="00E837BB" w:rsidP="0019343E">
            <w:pPr>
              <w:spacing w:after="0"/>
              <w:jc w:val="right"/>
              <w:rPr>
                <w:rFonts w:eastAsia="Times New Roman" w:cs="Segoe UI"/>
                <w:i/>
                <w:color w:val="000000"/>
                <w:sz w:val="18"/>
                <w:szCs w:val="18"/>
                <w:lang w:eastAsia="sk-SK"/>
              </w:rPr>
            </w:pPr>
            <w:r w:rsidRPr="00F35306">
              <w:rPr>
                <w:rFonts w:eastAsia="Times New Roman" w:cs="Segoe UI"/>
                <w:i/>
                <w:color w:val="000000"/>
                <w:sz w:val="18"/>
                <w:szCs w:val="18"/>
                <w:lang w:eastAsia="sk-SK"/>
              </w:rPr>
              <w:t>167 155</w:t>
            </w:r>
          </w:p>
        </w:tc>
        <w:tc>
          <w:tcPr>
            <w:tcW w:w="612" w:type="pct"/>
            <w:tcBorders>
              <w:top w:val="nil"/>
              <w:left w:val="nil"/>
              <w:bottom w:val="nil"/>
              <w:right w:val="nil"/>
            </w:tcBorders>
            <w:shd w:val="clear" w:color="000000" w:fill="FFFFFF"/>
            <w:vAlign w:val="center"/>
          </w:tcPr>
          <w:p w14:paraId="012D4E12" w14:textId="77777777" w:rsidR="00E837BB" w:rsidRPr="00F35306" w:rsidRDefault="00E837BB" w:rsidP="0019343E">
            <w:pPr>
              <w:spacing w:after="0"/>
              <w:jc w:val="right"/>
              <w:rPr>
                <w:rFonts w:eastAsia="Times New Roman" w:cs="Segoe UI"/>
                <w:i/>
                <w:color w:val="000000"/>
                <w:sz w:val="18"/>
                <w:szCs w:val="18"/>
                <w:lang w:eastAsia="sk-SK"/>
              </w:rPr>
            </w:pPr>
            <w:r w:rsidRPr="00F35306">
              <w:rPr>
                <w:rFonts w:eastAsia="Times New Roman" w:cs="Segoe UI"/>
                <w:i/>
                <w:color w:val="000000"/>
                <w:sz w:val="18"/>
                <w:szCs w:val="18"/>
                <w:lang w:eastAsia="sk-SK"/>
              </w:rPr>
              <w:t>-889 627</w:t>
            </w:r>
          </w:p>
        </w:tc>
      </w:tr>
      <w:tr w:rsidR="00E837BB" w:rsidRPr="00CD7A26" w14:paraId="47B2C629" w14:textId="77777777" w:rsidTr="00DB26F8">
        <w:trPr>
          <w:trHeight w:val="283"/>
        </w:trPr>
        <w:tc>
          <w:tcPr>
            <w:tcW w:w="3159" w:type="pct"/>
            <w:tcBorders>
              <w:top w:val="nil"/>
              <w:left w:val="nil"/>
              <w:bottom w:val="nil"/>
              <w:right w:val="nil"/>
            </w:tcBorders>
            <w:shd w:val="clear" w:color="000000" w:fill="FFFFFF"/>
            <w:noWrap/>
            <w:vAlign w:val="center"/>
            <w:hideMark/>
          </w:tcPr>
          <w:p w14:paraId="4859897D" w14:textId="77777777" w:rsidR="00E837BB" w:rsidRPr="00F35306" w:rsidRDefault="00E837BB" w:rsidP="0019343E">
            <w:pPr>
              <w:spacing w:after="0"/>
              <w:jc w:val="left"/>
              <w:rPr>
                <w:rFonts w:eastAsia="Times New Roman" w:cs="Segoe UI"/>
                <w:color w:val="000000"/>
                <w:sz w:val="18"/>
                <w:szCs w:val="18"/>
                <w:lang w:eastAsia="sk-SK"/>
              </w:rPr>
            </w:pPr>
            <w:r w:rsidRPr="00F35306">
              <w:rPr>
                <w:rFonts w:eastAsia="Times New Roman" w:cs="Segoe UI"/>
                <w:color w:val="000000"/>
                <w:sz w:val="18"/>
                <w:szCs w:val="18"/>
                <w:lang w:eastAsia="sk-SK"/>
              </w:rPr>
              <w:t xml:space="preserve">   účelové prostriedky z FNM/MH Manažment, a.</w:t>
            </w:r>
            <w:r>
              <w:rPr>
                <w:rFonts w:eastAsia="Times New Roman" w:cs="Segoe UI"/>
                <w:color w:val="000000"/>
                <w:sz w:val="18"/>
                <w:szCs w:val="18"/>
                <w:lang w:eastAsia="sk-SK"/>
              </w:rPr>
              <w:t xml:space="preserve"> </w:t>
            </w:r>
            <w:r w:rsidRPr="00F35306">
              <w:rPr>
                <w:rFonts w:eastAsia="Times New Roman" w:cs="Segoe UI"/>
                <w:color w:val="000000"/>
                <w:sz w:val="18"/>
                <w:szCs w:val="18"/>
                <w:lang w:eastAsia="sk-SK"/>
              </w:rPr>
              <w:t>s.</w:t>
            </w:r>
          </w:p>
        </w:tc>
        <w:tc>
          <w:tcPr>
            <w:tcW w:w="614" w:type="pct"/>
            <w:tcBorders>
              <w:top w:val="nil"/>
              <w:left w:val="nil"/>
              <w:bottom w:val="nil"/>
              <w:right w:val="nil"/>
            </w:tcBorders>
            <w:shd w:val="clear" w:color="000000" w:fill="FFFFFF"/>
            <w:noWrap/>
            <w:vAlign w:val="center"/>
            <w:hideMark/>
          </w:tcPr>
          <w:p w14:paraId="483B5719" w14:textId="77777777" w:rsidR="00E837BB" w:rsidRPr="00F35306" w:rsidRDefault="00E837BB" w:rsidP="0019343E">
            <w:pPr>
              <w:spacing w:after="0"/>
              <w:jc w:val="right"/>
              <w:rPr>
                <w:rFonts w:eastAsia="Times New Roman" w:cs="Segoe UI"/>
                <w:color w:val="000000"/>
                <w:sz w:val="18"/>
                <w:szCs w:val="18"/>
                <w:lang w:eastAsia="sk-SK"/>
              </w:rPr>
            </w:pPr>
            <w:r w:rsidRPr="00F35306">
              <w:rPr>
                <w:rFonts w:eastAsia="Times New Roman" w:cs="Segoe UI"/>
                <w:color w:val="000000"/>
                <w:sz w:val="18"/>
                <w:szCs w:val="18"/>
                <w:lang w:eastAsia="sk-SK"/>
              </w:rPr>
              <w:t>414 925</w:t>
            </w:r>
          </w:p>
        </w:tc>
        <w:tc>
          <w:tcPr>
            <w:tcW w:w="614" w:type="pct"/>
            <w:tcBorders>
              <w:top w:val="nil"/>
              <w:left w:val="nil"/>
              <w:bottom w:val="nil"/>
              <w:right w:val="nil"/>
            </w:tcBorders>
            <w:shd w:val="clear" w:color="000000" w:fill="FFFFFF"/>
            <w:noWrap/>
            <w:vAlign w:val="center"/>
            <w:hideMark/>
          </w:tcPr>
          <w:p w14:paraId="27893CD7" w14:textId="77777777" w:rsidR="00E837BB" w:rsidRPr="00F35306" w:rsidRDefault="00E837BB" w:rsidP="0019343E">
            <w:pPr>
              <w:spacing w:after="0"/>
              <w:jc w:val="right"/>
              <w:rPr>
                <w:rFonts w:eastAsia="Times New Roman" w:cs="Segoe UI"/>
                <w:color w:val="000000"/>
                <w:sz w:val="18"/>
                <w:szCs w:val="18"/>
                <w:lang w:eastAsia="sk-SK"/>
              </w:rPr>
            </w:pPr>
            <w:r w:rsidRPr="00F35306">
              <w:rPr>
                <w:rFonts w:eastAsia="Times New Roman" w:cs="Segoe UI"/>
                <w:color w:val="000000"/>
                <w:sz w:val="18"/>
                <w:szCs w:val="18"/>
                <w:lang w:eastAsia="sk-SK"/>
              </w:rPr>
              <w:t>1 571</w:t>
            </w:r>
          </w:p>
        </w:tc>
        <w:tc>
          <w:tcPr>
            <w:tcW w:w="612" w:type="pct"/>
            <w:tcBorders>
              <w:top w:val="nil"/>
              <w:left w:val="nil"/>
              <w:bottom w:val="nil"/>
              <w:right w:val="nil"/>
            </w:tcBorders>
            <w:shd w:val="clear" w:color="000000" w:fill="FFFFFF"/>
            <w:vAlign w:val="center"/>
          </w:tcPr>
          <w:p w14:paraId="56EFC704" w14:textId="77777777" w:rsidR="00E837BB" w:rsidRPr="00F35306" w:rsidRDefault="00E837BB" w:rsidP="0019343E">
            <w:pPr>
              <w:spacing w:after="0"/>
              <w:jc w:val="right"/>
              <w:rPr>
                <w:rFonts w:eastAsia="Times New Roman" w:cs="Segoe UI"/>
                <w:color w:val="000000"/>
                <w:sz w:val="18"/>
                <w:szCs w:val="18"/>
                <w:lang w:eastAsia="sk-SK"/>
              </w:rPr>
            </w:pPr>
            <w:r w:rsidRPr="00F35306">
              <w:rPr>
                <w:rFonts w:eastAsia="Times New Roman" w:cs="Segoe UI"/>
                <w:color w:val="000000"/>
                <w:sz w:val="18"/>
                <w:szCs w:val="18"/>
                <w:lang w:eastAsia="sk-SK"/>
              </w:rPr>
              <w:t>-413 354</w:t>
            </w:r>
          </w:p>
        </w:tc>
      </w:tr>
      <w:tr w:rsidR="00E837BB" w:rsidRPr="00CD7A26" w14:paraId="035E5DCB" w14:textId="77777777" w:rsidTr="00DB26F8">
        <w:trPr>
          <w:trHeight w:val="283"/>
        </w:trPr>
        <w:tc>
          <w:tcPr>
            <w:tcW w:w="3159" w:type="pct"/>
            <w:tcBorders>
              <w:top w:val="nil"/>
              <w:left w:val="nil"/>
              <w:bottom w:val="nil"/>
              <w:right w:val="nil"/>
            </w:tcBorders>
            <w:shd w:val="clear" w:color="000000" w:fill="FFFFFF"/>
            <w:noWrap/>
            <w:vAlign w:val="center"/>
            <w:hideMark/>
          </w:tcPr>
          <w:p w14:paraId="3068E757" w14:textId="77777777" w:rsidR="00E837BB" w:rsidRPr="00F35306" w:rsidRDefault="00E837BB" w:rsidP="0019343E">
            <w:pPr>
              <w:spacing w:after="0"/>
              <w:jc w:val="left"/>
              <w:rPr>
                <w:rFonts w:eastAsia="Times New Roman" w:cs="Segoe UI"/>
                <w:color w:val="000000"/>
                <w:sz w:val="18"/>
                <w:szCs w:val="18"/>
                <w:lang w:eastAsia="sk-SK"/>
              </w:rPr>
            </w:pPr>
            <w:r w:rsidRPr="00F35306">
              <w:rPr>
                <w:rFonts w:eastAsia="Times New Roman" w:cs="Segoe UI"/>
                <w:color w:val="000000"/>
                <w:sz w:val="18"/>
                <w:szCs w:val="18"/>
                <w:lang w:eastAsia="sk-SK"/>
              </w:rPr>
              <w:t xml:space="preserve">   návratné finančné výpomoci</w:t>
            </w:r>
          </w:p>
        </w:tc>
        <w:tc>
          <w:tcPr>
            <w:tcW w:w="614" w:type="pct"/>
            <w:tcBorders>
              <w:top w:val="nil"/>
              <w:left w:val="nil"/>
              <w:bottom w:val="nil"/>
              <w:right w:val="nil"/>
            </w:tcBorders>
            <w:shd w:val="clear" w:color="000000" w:fill="FFFFFF"/>
            <w:noWrap/>
            <w:vAlign w:val="center"/>
            <w:hideMark/>
          </w:tcPr>
          <w:p w14:paraId="1773705C" w14:textId="77777777" w:rsidR="00E837BB" w:rsidRPr="00F35306" w:rsidRDefault="00E837BB" w:rsidP="0019343E">
            <w:pPr>
              <w:spacing w:after="0"/>
              <w:jc w:val="right"/>
              <w:rPr>
                <w:rFonts w:eastAsia="Times New Roman" w:cs="Segoe UI"/>
                <w:color w:val="000000"/>
                <w:sz w:val="18"/>
                <w:szCs w:val="18"/>
                <w:lang w:eastAsia="sk-SK"/>
              </w:rPr>
            </w:pPr>
            <w:r w:rsidRPr="00F35306">
              <w:rPr>
                <w:rFonts w:eastAsia="Times New Roman" w:cs="Segoe UI"/>
                <w:color w:val="000000"/>
                <w:sz w:val="18"/>
                <w:szCs w:val="18"/>
                <w:lang w:eastAsia="sk-SK"/>
              </w:rPr>
              <w:t>550 112</w:t>
            </w:r>
          </w:p>
        </w:tc>
        <w:tc>
          <w:tcPr>
            <w:tcW w:w="614" w:type="pct"/>
            <w:tcBorders>
              <w:top w:val="nil"/>
              <w:left w:val="nil"/>
              <w:bottom w:val="nil"/>
              <w:right w:val="nil"/>
            </w:tcBorders>
            <w:shd w:val="clear" w:color="000000" w:fill="FFFFFF"/>
            <w:noWrap/>
            <w:vAlign w:val="center"/>
            <w:hideMark/>
          </w:tcPr>
          <w:p w14:paraId="42AA2CAC" w14:textId="77777777" w:rsidR="00E837BB" w:rsidRPr="00F35306" w:rsidRDefault="00E837BB" w:rsidP="0019343E">
            <w:pPr>
              <w:spacing w:after="0"/>
              <w:jc w:val="right"/>
              <w:rPr>
                <w:rFonts w:eastAsia="Times New Roman" w:cs="Segoe UI"/>
                <w:color w:val="000000"/>
                <w:sz w:val="18"/>
                <w:szCs w:val="18"/>
                <w:lang w:eastAsia="sk-SK"/>
              </w:rPr>
            </w:pPr>
            <w:r w:rsidRPr="00F35306">
              <w:rPr>
                <w:rFonts w:eastAsia="Times New Roman" w:cs="Segoe UI"/>
                <w:color w:val="000000"/>
                <w:sz w:val="18"/>
                <w:szCs w:val="18"/>
                <w:lang w:eastAsia="sk-SK"/>
              </w:rPr>
              <w:t>58 430</w:t>
            </w:r>
          </w:p>
        </w:tc>
        <w:tc>
          <w:tcPr>
            <w:tcW w:w="612" w:type="pct"/>
            <w:tcBorders>
              <w:top w:val="nil"/>
              <w:left w:val="nil"/>
              <w:bottom w:val="nil"/>
              <w:right w:val="nil"/>
            </w:tcBorders>
            <w:shd w:val="clear" w:color="000000" w:fill="FFFFFF"/>
            <w:vAlign w:val="center"/>
          </w:tcPr>
          <w:p w14:paraId="1580A59E" w14:textId="77777777" w:rsidR="00E837BB" w:rsidRPr="00F35306" w:rsidRDefault="00E837BB" w:rsidP="0019343E">
            <w:pPr>
              <w:spacing w:after="0"/>
              <w:jc w:val="right"/>
              <w:rPr>
                <w:rFonts w:eastAsia="Times New Roman" w:cs="Segoe UI"/>
                <w:color w:val="000000"/>
                <w:sz w:val="18"/>
                <w:szCs w:val="18"/>
                <w:lang w:eastAsia="sk-SK"/>
              </w:rPr>
            </w:pPr>
            <w:r w:rsidRPr="00F35306">
              <w:rPr>
                <w:rFonts w:eastAsia="Times New Roman" w:cs="Segoe UI"/>
                <w:color w:val="000000"/>
                <w:sz w:val="18"/>
                <w:szCs w:val="18"/>
                <w:lang w:eastAsia="sk-SK"/>
              </w:rPr>
              <w:t>-491 682</w:t>
            </w:r>
          </w:p>
        </w:tc>
      </w:tr>
      <w:tr w:rsidR="00E837BB" w:rsidRPr="00CD7A26" w14:paraId="1DD25FAF" w14:textId="77777777" w:rsidTr="00DB26F8">
        <w:trPr>
          <w:trHeight w:val="283"/>
        </w:trPr>
        <w:tc>
          <w:tcPr>
            <w:tcW w:w="3159" w:type="pct"/>
            <w:tcBorders>
              <w:top w:val="nil"/>
              <w:left w:val="nil"/>
              <w:bottom w:val="nil"/>
              <w:right w:val="nil"/>
            </w:tcBorders>
            <w:shd w:val="clear" w:color="000000" w:fill="FFFFFF"/>
            <w:noWrap/>
            <w:vAlign w:val="center"/>
            <w:hideMark/>
          </w:tcPr>
          <w:p w14:paraId="5640DB7C" w14:textId="77777777" w:rsidR="00E837BB" w:rsidRPr="00F35306" w:rsidRDefault="00E837BB" w:rsidP="0019343E">
            <w:pPr>
              <w:spacing w:after="0"/>
              <w:jc w:val="left"/>
              <w:rPr>
                <w:rFonts w:eastAsia="Times New Roman" w:cs="Segoe UI"/>
                <w:color w:val="000000"/>
                <w:sz w:val="18"/>
                <w:szCs w:val="18"/>
                <w:lang w:eastAsia="sk-SK"/>
              </w:rPr>
            </w:pPr>
            <w:r w:rsidRPr="00F35306">
              <w:rPr>
                <w:rFonts w:eastAsia="Times New Roman" w:cs="Segoe UI"/>
                <w:color w:val="000000"/>
                <w:sz w:val="18"/>
                <w:szCs w:val="18"/>
                <w:lang w:eastAsia="sk-SK"/>
              </w:rPr>
              <w:t xml:space="preserve">   osobitný odvod finančných inštitúcií</w:t>
            </w:r>
          </w:p>
        </w:tc>
        <w:tc>
          <w:tcPr>
            <w:tcW w:w="614" w:type="pct"/>
            <w:tcBorders>
              <w:top w:val="nil"/>
              <w:left w:val="nil"/>
              <w:bottom w:val="nil"/>
              <w:right w:val="nil"/>
            </w:tcBorders>
            <w:shd w:val="clear" w:color="000000" w:fill="FFFFFF"/>
            <w:noWrap/>
            <w:vAlign w:val="center"/>
            <w:hideMark/>
          </w:tcPr>
          <w:p w14:paraId="1F01A538" w14:textId="77777777" w:rsidR="00E837BB" w:rsidRPr="00F35306" w:rsidRDefault="00E837BB" w:rsidP="0019343E">
            <w:pPr>
              <w:spacing w:after="0"/>
              <w:jc w:val="right"/>
              <w:rPr>
                <w:rFonts w:eastAsia="Times New Roman" w:cs="Segoe UI"/>
                <w:color w:val="000000"/>
                <w:sz w:val="18"/>
                <w:szCs w:val="18"/>
                <w:lang w:eastAsia="sk-SK"/>
              </w:rPr>
            </w:pPr>
            <w:r w:rsidRPr="00F35306">
              <w:rPr>
                <w:rFonts w:eastAsia="Times New Roman" w:cs="Segoe UI"/>
                <w:color w:val="000000"/>
                <w:sz w:val="18"/>
                <w:szCs w:val="18"/>
                <w:lang w:eastAsia="sk-SK"/>
              </w:rPr>
              <w:t>0</w:t>
            </w:r>
          </w:p>
        </w:tc>
        <w:tc>
          <w:tcPr>
            <w:tcW w:w="614" w:type="pct"/>
            <w:tcBorders>
              <w:top w:val="nil"/>
              <w:left w:val="nil"/>
              <w:bottom w:val="nil"/>
              <w:right w:val="nil"/>
            </w:tcBorders>
            <w:shd w:val="clear" w:color="000000" w:fill="FFFFFF"/>
            <w:noWrap/>
            <w:vAlign w:val="center"/>
            <w:hideMark/>
          </w:tcPr>
          <w:p w14:paraId="1D2C0A3F" w14:textId="77777777" w:rsidR="00E837BB" w:rsidRPr="00F35306" w:rsidRDefault="00E837BB" w:rsidP="0019343E">
            <w:pPr>
              <w:spacing w:after="0"/>
              <w:jc w:val="right"/>
              <w:rPr>
                <w:rFonts w:eastAsia="Times New Roman" w:cs="Segoe UI"/>
                <w:color w:val="000000"/>
                <w:sz w:val="18"/>
                <w:szCs w:val="18"/>
                <w:lang w:eastAsia="sk-SK"/>
              </w:rPr>
            </w:pPr>
            <w:r w:rsidRPr="00F35306">
              <w:rPr>
                <w:rFonts w:eastAsia="Times New Roman" w:cs="Segoe UI"/>
                <w:color w:val="000000"/>
                <w:sz w:val="18"/>
                <w:szCs w:val="18"/>
                <w:lang w:eastAsia="sk-SK"/>
              </w:rPr>
              <w:t>0</w:t>
            </w:r>
          </w:p>
        </w:tc>
        <w:tc>
          <w:tcPr>
            <w:tcW w:w="612" w:type="pct"/>
            <w:tcBorders>
              <w:top w:val="nil"/>
              <w:left w:val="nil"/>
              <w:bottom w:val="nil"/>
              <w:right w:val="nil"/>
            </w:tcBorders>
            <w:shd w:val="clear" w:color="000000" w:fill="FFFFFF"/>
            <w:vAlign w:val="center"/>
          </w:tcPr>
          <w:p w14:paraId="3D91CF81" w14:textId="77777777" w:rsidR="00E837BB" w:rsidRPr="00F35306" w:rsidRDefault="00E837BB" w:rsidP="0019343E">
            <w:pPr>
              <w:spacing w:after="0"/>
              <w:jc w:val="right"/>
              <w:rPr>
                <w:rFonts w:eastAsia="Times New Roman" w:cs="Segoe UI"/>
                <w:color w:val="000000"/>
                <w:sz w:val="18"/>
                <w:szCs w:val="18"/>
                <w:lang w:eastAsia="sk-SK"/>
              </w:rPr>
            </w:pPr>
            <w:r w:rsidRPr="00F35306">
              <w:rPr>
                <w:rFonts w:eastAsia="Times New Roman" w:cs="Segoe UI"/>
                <w:color w:val="000000"/>
                <w:sz w:val="18"/>
                <w:szCs w:val="18"/>
                <w:lang w:eastAsia="sk-SK"/>
              </w:rPr>
              <w:t>0</w:t>
            </w:r>
          </w:p>
        </w:tc>
      </w:tr>
      <w:tr w:rsidR="00E837BB" w:rsidRPr="00CD7A26" w14:paraId="3C148EA7" w14:textId="77777777" w:rsidTr="00DB26F8">
        <w:trPr>
          <w:trHeight w:val="283"/>
        </w:trPr>
        <w:tc>
          <w:tcPr>
            <w:tcW w:w="3159" w:type="pct"/>
            <w:tcBorders>
              <w:top w:val="nil"/>
              <w:left w:val="nil"/>
              <w:bottom w:val="nil"/>
              <w:right w:val="nil"/>
            </w:tcBorders>
            <w:shd w:val="clear" w:color="000000" w:fill="FFFFFF"/>
            <w:noWrap/>
            <w:vAlign w:val="center"/>
            <w:hideMark/>
          </w:tcPr>
          <w:p w14:paraId="2AAD6B8E" w14:textId="77777777" w:rsidR="00E837BB" w:rsidRPr="00F35306" w:rsidRDefault="00E837BB" w:rsidP="0019343E">
            <w:pPr>
              <w:spacing w:after="0"/>
              <w:jc w:val="left"/>
              <w:rPr>
                <w:rFonts w:eastAsia="Times New Roman" w:cs="Segoe UI"/>
                <w:color w:val="000000"/>
                <w:sz w:val="18"/>
                <w:szCs w:val="18"/>
                <w:lang w:eastAsia="sk-SK"/>
              </w:rPr>
            </w:pPr>
            <w:r w:rsidRPr="00F35306">
              <w:rPr>
                <w:rFonts w:eastAsia="Times New Roman" w:cs="Segoe UI"/>
                <w:color w:val="000000"/>
                <w:sz w:val="18"/>
                <w:szCs w:val="18"/>
                <w:lang w:eastAsia="sk-SK"/>
              </w:rPr>
              <w:t xml:space="preserve">   osobitný odvod z podnikania v regulovaných odvetviach</w:t>
            </w:r>
          </w:p>
        </w:tc>
        <w:tc>
          <w:tcPr>
            <w:tcW w:w="614" w:type="pct"/>
            <w:tcBorders>
              <w:top w:val="nil"/>
              <w:left w:val="nil"/>
              <w:bottom w:val="nil"/>
              <w:right w:val="nil"/>
            </w:tcBorders>
            <w:shd w:val="clear" w:color="000000" w:fill="FFFFFF"/>
            <w:noWrap/>
            <w:vAlign w:val="center"/>
            <w:hideMark/>
          </w:tcPr>
          <w:p w14:paraId="65ED4EA4" w14:textId="77777777" w:rsidR="00E837BB" w:rsidRPr="00F35306" w:rsidRDefault="00E837BB" w:rsidP="0019343E">
            <w:pPr>
              <w:spacing w:after="0"/>
              <w:jc w:val="right"/>
              <w:rPr>
                <w:rFonts w:eastAsia="Times New Roman" w:cs="Segoe UI"/>
                <w:color w:val="000000"/>
                <w:sz w:val="18"/>
                <w:szCs w:val="18"/>
                <w:lang w:eastAsia="sk-SK"/>
              </w:rPr>
            </w:pPr>
            <w:r w:rsidRPr="00F35306">
              <w:rPr>
                <w:rFonts w:eastAsia="Times New Roman" w:cs="Segoe UI"/>
                <w:color w:val="000000"/>
                <w:sz w:val="18"/>
                <w:szCs w:val="18"/>
                <w:lang w:eastAsia="sk-SK"/>
              </w:rPr>
              <w:t>91 465</w:t>
            </w:r>
          </w:p>
        </w:tc>
        <w:tc>
          <w:tcPr>
            <w:tcW w:w="614" w:type="pct"/>
            <w:tcBorders>
              <w:top w:val="nil"/>
              <w:left w:val="nil"/>
              <w:bottom w:val="nil"/>
              <w:right w:val="nil"/>
            </w:tcBorders>
            <w:shd w:val="clear" w:color="000000" w:fill="FFFFFF"/>
            <w:noWrap/>
            <w:vAlign w:val="center"/>
            <w:hideMark/>
          </w:tcPr>
          <w:p w14:paraId="5BEEC7B0" w14:textId="77777777" w:rsidR="00E837BB" w:rsidRPr="00F35306" w:rsidRDefault="00E837BB" w:rsidP="0019343E">
            <w:pPr>
              <w:spacing w:after="0"/>
              <w:jc w:val="right"/>
              <w:rPr>
                <w:rFonts w:eastAsia="Times New Roman" w:cs="Segoe UI"/>
                <w:color w:val="000000"/>
                <w:sz w:val="18"/>
                <w:szCs w:val="18"/>
                <w:lang w:eastAsia="sk-SK"/>
              </w:rPr>
            </w:pPr>
            <w:r w:rsidRPr="00F35306">
              <w:rPr>
                <w:rFonts w:eastAsia="Times New Roman" w:cs="Segoe UI"/>
                <w:color w:val="000000"/>
                <w:sz w:val="18"/>
                <w:szCs w:val="18"/>
                <w:lang w:eastAsia="sk-SK"/>
              </w:rPr>
              <w:t>105 552</w:t>
            </w:r>
          </w:p>
        </w:tc>
        <w:tc>
          <w:tcPr>
            <w:tcW w:w="612" w:type="pct"/>
            <w:tcBorders>
              <w:top w:val="nil"/>
              <w:left w:val="nil"/>
              <w:bottom w:val="nil"/>
              <w:right w:val="nil"/>
            </w:tcBorders>
            <w:shd w:val="clear" w:color="000000" w:fill="FFFFFF"/>
            <w:vAlign w:val="center"/>
          </w:tcPr>
          <w:p w14:paraId="726F8A2B" w14:textId="77777777" w:rsidR="00E837BB" w:rsidRPr="00F35306" w:rsidRDefault="00E837BB" w:rsidP="0019343E">
            <w:pPr>
              <w:spacing w:after="0"/>
              <w:jc w:val="right"/>
              <w:rPr>
                <w:rFonts w:eastAsia="Times New Roman" w:cs="Segoe UI"/>
                <w:color w:val="000000"/>
                <w:sz w:val="18"/>
                <w:szCs w:val="18"/>
                <w:lang w:eastAsia="sk-SK"/>
              </w:rPr>
            </w:pPr>
            <w:r w:rsidRPr="00F35306">
              <w:rPr>
                <w:rFonts w:eastAsia="Times New Roman" w:cs="Segoe UI"/>
                <w:color w:val="000000"/>
                <w:sz w:val="18"/>
                <w:szCs w:val="18"/>
                <w:lang w:eastAsia="sk-SK"/>
              </w:rPr>
              <w:t>14 087</w:t>
            </w:r>
          </w:p>
        </w:tc>
      </w:tr>
      <w:tr w:rsidR="00E837BB" w:rsidRPr="00CD7A26" w14:paraId="1D5D436A" w14:textId="77777777" w:rsidTr="00DB26F8">
        <w:trPr>
          <w:trHeight w:val="283"/>
        </w:trPr>
        <w:tc>
          <w:tcPr>
            <w:tcW w:w="3159" w:type="pct"/>
            <w:tcBorders>
              <w:top w:val="nil"/>
              <w:left w:val="nil"/>
              <w:bottom w:val="nil"/>
              <w:right w:val="nil"/>
            </w:tcBorders>
            <w:shd w:val="clear" w:color="000000" w:fill="FFFFFF"/>
            <w:noWrap/>
            <w:vAlign w:val="center"/>
            <w:hideMark/>
          </w:tcPr>
          <w:p w14:paraId="7BB18065" w14:textId="77777777" w:rsidR="00E837BB" w:rsidRPr="00F35306" w:rsidRDefault="00E837BB" w:rsidP="0019343E">
            <w:pPr>
              <w:spacing w:after="0"/>
              <w:jc w:val="left"/>
              <w:rPr>
                <w:rFonts w:eastAsia="Times New Roman" w:cs="Segoe UI"/>
                <w:color w:val="000000"/>
                <w:sz w:val="18"/>
                <w:szCs w:val="18"/>
                <w:lang w:eastAsia="sk-SK"/>
              </w:rPr>
            </w:pPr>
            <w:r w:rsidRPr="00F35306">
              <w:rPr>
                <w:rFonts w:eastAsia="Times New Roman" w:cs="Segoe UI"/>
                <w:color w:val="000000"/>
                <w:sz w:val="18"/>
                <w:szCs w:val="18"/>
                <w:lang w:eastAsia="sk-SK"/>
              </w:rPr>
              <w:lastRenderedPageBreak/>
              <w:t xml:space="preserve">   ďalšie </w:t>
            </w:r>
          </w:p>
        </w:tc>
        <w:tc>
          <w:tcPr>
            <w:tcW w:w="614" w:type="pct"/>
            <w:tcBorders>
              <w:top w:val="nil"/>
              <w:left w:val="nil"/>
              <w:bottom w:val="nil"/>
              <w:right w:val="nil"/>
            </w:tcBorders>
            <w:shd w:val="clear" w:color="000000" w:fill="FFFFFF"/>
            <w:noWrap/>
            <w:vAlign w:val="center"/>
            <w:hideMark/>
          </w:tcPr>
          <w:p w14:paraId="49F52CA9" w14:textId="77777777" w:rsidR="00E837BB" w:rsidRPr="00F35306" w:rsidRDefault="00E837BB" w:rsidP="0019343E">
            <w:pPr>
              <w:spacing w:after="0"/>
              <w:jc w:val="right"/>
              <w:rPr>
                <w:rFonts w:eastAsia="Times New Roman" w:cs="Segoe UI"/>
                <w:color w:val="000000"/>
                <w:sz w:val="18"/>
                <w:szCs w:val="18"/>
                <w:lang w:eastAsia="sk-SK"/>
              </w:rPr>
            </w:pPr>
            <w:r w:rsidRPr="00F35306">
              <w:rPr>
                <w:rFonts w:eastAsia="Times New Roman" w:cs="Segoe UI"/>
                <w:color w:val="000000"/>
                <w:sz w:val="18"/>
                <w:szCs w:val="18"/>
                <w:lang w:eastAsia="sk-SK"/>
              </w:rPr>
              <w:t>279</w:t>
            </w:r>
          </w:p>
        </w:tc>
        <w:tc>
          <w:tcPr>
            <w:tcW w:w="614" w:type="pct"/>
            <w:tcBorders>
              <w:top w:val="nil"/>
              <w:left w:val="nil"/>
              <w:bottom w:val="nil"/>
              <w:right w:val="nil"/>
            </w:tcBorders>
            <w:shd w:val="clear" w:color="000000" w:fill="FFFFFF"/>
            <w:noWrap/>
            <w:vAlign w:val="center"/>
            <w:hideMark/>
          </w:tcPr>
          <w:p w14:paraId="5DBF36A5" w14:textId="77777777" w:rsidR="00E837BB" w:rsidRPr="00F35306" w:rsidRDefault="00E837BB" w:rsidP="0019343E">
            <w:pPr>
              <w:spacing w:after="0"/>
              <w:jc w:val="right"/>
              <w:rPr>
                <w:rFonts w:eastAsia="Times New Roman" w:cs="Segoe UI"/>
                <w:color w:val="000000"/>
                <w:sz w:val="18"/>
                <w:szCs w:val="18"/>
                <w:lang w:eastAsia="sk-SK"/>
              </w:rPr>
            </w:pPr>
            <w:r w:rsidRPr="00F35306">
              <w:rPr>
                <w:rFonts w:eastAsia="Times New Roman" w:cs="Segoe UI"/>
                <w:color w:val="000000"/>
                <w:sz w:val="18"/>
                <w:szCs w:val="18"/>
                <w:lang w:eastAsia="sk-SK"/>
              </w:rPr>
              <w:t>1 602</w:t>
            </w:r>
          </w:p>
        </w:tc>
        <w:tc>
          <w:tcPr>
            <w:tcW w:w="612" w:type="pct"/>
            <w:tcBorders>
              <w:top w:val="nil"/>
              <w:left w:val="nil"/>
              <w:bottom w:val="nil"/>
              <w:right w:val="nil"/>
            </w:tcBorders>
            <w:shd w:val="clear" w:color="000000" w:fill="FFFFFF"/>
            <w:vAlign w:val="center"/>
          </w:tcPr>
          <w:p w14:paraId="0BA03D53" w14:textId="77777777" w:rsidR="00E837BB" w:rsidRPr="00F35306" w:rsidRDefault="00E837BB" w:rsidP="0019343E">
            <w:pPr>
              <w:spacing w:after="0"/>
              <w:jc w:val="right"/>
              <w:rPr>
                <w:rFonts w:eastAsia="Times New Roman" w:cs="Segoe UI"/>
                <w:color w:val="000000"/>
                <w:sz w:val="18"/>
                <w:szCs w:val="18"/>
                <w:lang w:eastAsia="sk-SK"/>
              </w:rPr>
            </w:pPr>
            <w:r w:rsidRPr="00F35306">
              <w:rPr>
                <w:rFonts w:eastAsia="Times New Roman" w:cs="Segoe UI"/>
                <w:color w:val="000000"/>
                <w:sz w:val="18"/>
                <w:szCs w:val="18"/>
                <w:lang w:eastAsia="sk-SK"/>
              </w:rPr>
              <w:t>1 323</w:t>
            </w:r>
          </w:p>
        </w:tc>
      </w:tr>
      <w:tr w:rsidR="00E837BB" w:rsidRPr="00CD7A26" w14:paraId="50DF010B" w14:textId="77777777" w:rsidTr="00DB26F8">
        <w:trPr>
          <w:trHeight w:val="283"/>
        </w:trPr>
        <w:tc>
          <w:tcPr>
            <w:tcW w:w="3159" w:type="pct"/>
            <w:tcBorders>
              <w:top w:val="nil"/>
              <w:left w:val="nil"/>
              <w:bottom w:val="nil"/>
              <w:right w:val="nil"/>
            </w:tcBorders>
            <w:shd w:val="clear" w:color="000000" w:fill="FFFFFF"/>
            <w:noWrap/>
            <w:vAlign w:val="center"/>
            <w:hideMark/>
          </w:tcPr>
          <w:p w14:paraId="1DEFFE12" w14:textId="24BFD22E" w:rsidR="00E837BB" w:rsidRPr="00F35306" w:rsidRDefault="00E837BB" w:rsidP="006E53E1">
            <w:pPr>
              <w:spacing w:after="0"/>
              <w:jc w:val="left"/>
              <w:rPr>
                <w:rFonts w:eastAsia="Times New Roman" w:cs="Segoe UI"/>
                <w:i/>
                <w:color w:val="000000"/>
                <w:sz w:val="18"/>
                <w:szCs w:val="18"/>
                <w:lang w:eastAsia="sk-SK"/>
              </w:rPr>
            </w:pPr>
            <w:r w:rsidRPr="00F35306">
              <w:rPr>
                <w:rFonts w:eastAsia="Times New Roman" w:cs="Segoe UI"/>
                <w:i/>
                <w:color w:val="000000"/>
                <w:sz w:val="18"/>
                <w:szCs w:val="18"/>
                <w:lang w:eastAsia="sk-SK"/>
              </w:rPr>
              <w:t xml:space="preserve">Výdavky </w:t>
            </w:r>
            <w:r w:rsidR="006E53E1">
              <w:rPr>
                <w:rFonts w:eastAsia="Times New Roman" w:cs="Segoe UI"/>
                <w:i/>
                <w:color w:val="000000"/>
                <w:sz w:val="18"/>
                <w:szCs w:val="18"/>
                <w:lang w:eastAsia="sk-SK"/>
              </w:rPr>
              <w:t xml:space="preserve">– </w:t>
            </w:r>
            <w:r w:rsidRPr="00F35306">
              <w:rPr>
                <w:rFonts w:eastAsia="Times New Roman" w:cs="Segoe UI"/>
                <w:i/>
                <w:color w:val="000000"/>
                <w:sz w:val="18"/>
                <w:szCs w:val="18"/>
                <w:lang w:eastAsia="sk-SK"/>
              </w:rPr>
              <w:t>zníženie na účtoch ŠFA</w:t>
            </w:r>
          </w:p>
        </w:tc>
        <w:tc>
          <w:tcPr>
            <w:tcW w:w="614" w:type="pct"/>
            <w:tcBorders>
              <w:top w:val="nil"/>
              <w:left w:val="nil"/>
              <w:bottom w:val="nil"/>
              <w:right w:val="nil"/>
            </w:tcBorders>
            <w:shd w:val="clear" w:color="000000" w:fill="FFFFFF"/>
            <w:noWrap/>
            <w:vAlign w:val="center"/>
            <w:hideMark/>
          </w:tcPr>
          <w:p w14:paraId="6BE5F9CD" w14:textId="77777777" w:rsidR="00E837BB" w:rsidRPr="00F35306" w:rsidRDefault="00E837BB" w:rsidP="0019343E">
            <w:pPr>
              <w:spacing w:after="0"/>
              <w:jc w:val="right"/>
              <w:rPr>
                <w:rFonts w:eastAsia="Times New Roman" w:cs="Segoe UI"/>
                <w:i/>
                <w:color w:val="000000"/>
                <w:sz w:val="18"/>
                <w:szCs w:val="18"/>
                <w:lang w:eastAsia="sk-SK"/>
              </w:rPr>
            </w:pPr>
            <w:r w:rsidRPr="00F35306">
              <w:rPr>
                <w:rFonts w:eastAsia="Times New Roman" w:cs="Segoe UI"/>
                <w:i/>
                <w:color w:val="000000"/>
                <w:sz w:val="18"/>
                <w:szCs w:val="18"/>
                <w:lang w:eastAsia="sk-SK"/>
              </w:rPr>
              <w:t>1 278 933</w:t>
            </w:r>
          </w:p>
        </w:tc>
        <w:tc>
          <w:tcPr>
            <w:tcW w:w="614" w:type="pct"/>
            <w:tcBorders>
              <w:top w:val="nil"/>
              <w:left w:val="nil"/>
              <w:bottom w:val="nil"/>
              <w:right w:val="nil"/>
            </w:tcBorders>
            <w:shd w:val="clear" w:color="000000" w:fill="FFFFFF"/>
            <w:noWrap/>
            <w:vAlign w:val="center"/>
            <w:hideMark/>
          </w:tcPr>
          <w:p w14:paraId="70AD2AC0" w14:textId="77777777" w:rsidR="00E837BB" w:rsidRPr="00F35306" w:rsidRDefault="00E837BB" w:rsidP="0019343E">
            <w:pPr>
              <w:spacing w:after="0"/>
              <w:jc w:val="right"/>
              <w:rPr>
                <w:rFonts w:eastAsia="Times New Roman" w:cs="Segoe UI"/>
                <w:i/>
                <w:color w:val="000000"/>
                <w:sz w:val="18"/>
                <w:szCs w:val="18"/>
                <w:lang w:eastAsia="sk-SK"/>
              </w:rPr>
            </w:pPr>
            <w:r w:rsidRPr="00F35306">
              <w:rPr>
                <w:rFonts w:eastAsia="Times New Roman" w:cs="Segoe UI"/>
                <w:i/>
                <w:color w:val="000000"/>
                <w:sz w:val="18"/>
                <w:szCs w:val="18"/>
                <w:lang w:eastAsia="sk-SK"/>
              </w:rPr>
              <w:t>322 885</w:t>
            </w:r>
          </w:p>
        </w:tc>
        <w:tc>
          <w:tcPr>
            <w:tcW w:w="612" w:type="pct"/>
            <w:tcBorders>
              <w:top w:val="nil"/>
              <w:left w:val="nil"/>
              <w:bottom w:val="nil"/>
              <w:right w:val="nil"/>
            </w:tcBorders>
            <w:shd w:val="clear" w:color="000000" w:fill="FFFFFF"/>
            <w:vAlign w:val="center"/>
          </w:tcPr>
          <w:p w14:paraId="3E4DFC90" w14:textId="77777777" w:rsidR="00E837BB" w:rsidRPr="00F35306" w:rsidRDefault="00E837BB" w:rsidP="0019343E">
            <w:pPr>
              <w:spacing w:after="0"/>
              <w:jc w:val="right"/>
              <w:rPr>
                <w:rFonts w:eastAsia="Times New Roman" w:cs="Segoe UI"/>
                <w:i/>
                <w:color w:val="000000"/>
                <w:sz w:val="18"/>
                <w:szCs w:val="18"/>
                <w:lang w:eastAsia="sk-SK"/>
              </w:rPr>
            </w:pPr>
            <w:r w:rsidRPr="00F35306">
              <w:rPr>
                <w:rFonts w:eastAsia="Times New Roman" w:cs="Segoe UI"/>
                <w:i/>
                <w:color w:val="000000"/>
                <w:sz w:val="18"/>
                <w:szCs w:val="18"/>
                <w:lang w:eastAsia="sk-SK"/>
              </w:rPr>
              <w:t>-956 048</w:t>
            </w:r>
          </w:p>
        </w:tc>
      </w:tr>
      <w:tr w:rsidR="00E837BB" w:rsidRPr="00CD7A26" w14:paraId="02913445" w14:textId="77777777" w:rsidTr="00DB26F8">
        <w:trPr>
          <w:trHeight w:val="283"/>
        </w:trPr>
        <w:tc>
          <w:tcPr>
            <w:tcW w:w="3159" w:type="pct"/>
            <w:tcBorders>
              <w:top w:val="nil"/>
              <w:left w:val="nil"/>
              <w:bottom w:val="nil"/>
              <w:right w:val="nil"/>
            </w:tcBorders>
            <w:shd w:val="clear" w:color="000000" w:fill="FFFFFF"/>
            <w:noWrap/>
            <w:vAlign w:val="center"/>
            <w:hideMark/>
          </w:tcPr>
          <w:p w14:paraId="1637EFF2" w14:textId="77777777" w:rsidR="00E837BB" w:rsidRPr="00F35306" w:rsidRDefault="00E837BB" w:rsidP="0019343E">
            <w:pPr>
              <w:spacing w:after="0"/>
              <w:jc w:val="left"/>
              <w:rPr>
                <w:rFonts w:eastAsia="Times New Roman" w:cs="Segoe UI"/>
                <w:color w:val="000000"/>
                <w:sz w:val="18"/>
                <w:szCs w:val="18"/>
                <w:lang w:eastAsia="sk-SK"/>
              </w:rPr>
            </w:pPr>
            <w:r w:rsidRPr="00F35306">
              <w:rPr>
                <w:rFonts w:eastAsia="Times New Roman" w:cs="Segoe UI"/>
                <w:color w:val="000000"/>
                <w:sz w:val="18"/>
                <w:szCs w:val="18"/>
                <w:lang w:eastAsia="sk-SK"/>
              </w:rPr>
              <w:t xml:space="preserve">   účelové prostriedky z FNM/ MH Manažment, a.</w:t>
            </w:r>
            <w:r>
              <w:rPr>
                <w:rFonts w:eastAsia="Times New Roman" w:cs="Segoe UI"/>
                <w:color w:val="000000"/>
                <w:sz w:val="18"/>
                <w:szCs w:val="18"/>
                <w:lang w:eastAsia="sk-SK"/>
              </w:rPr>
              <w:t xml:space="preserve"> </w:t>
            </w:r>
            <w:r w:rsidRPr="00F35306">
              <w:rPr>
                <w:rFonts w:eastAsia="Times New Roman" w:cs="Segoe UI"/>
                <w:color w:val="000000"/>
                <w:sz w:val="18"/>
                <w:szCs w:val="18"/>
                <w:lang w:eastAsia="sk-SK"/>
              </w:rPr>
              <w:t>s.</w:t>
            </w:r>
          </w:p>
        </w:tc>
        <w:tc>
          <w:tcPr>
            <w:tcW w:w="614" w:type="pct"/>
            <w:tcBorders>
              <w:top w:val="nil"/>
              <w:left w:val="nil"/>
              <w:bottom w:val="nil"/>
              <w:right w:val="nil"/>
            </w:tcBorders>
            <w:shd w:val="clear" w:color="000000" w:fill="FFFFFF"/>
            <w:noWrap/>
            <w:vAlign w:val="center"/>
            <w:hideMark/>
          </w:tcPr>
          <w:p w14:paraId="4F886904" w14:textId="77777777" w:rsidR="00E837BB" w:rsidRPr="00F35306" w:rsidRDefault="00E837BB" w:rsidP="0019343E">
            <w:pPr>
              <w:spacing w:after="0"/>
              <w:jc w:val="right"/>
              <w:rPr>
                <w:rFonts w:eastAsia="Times New Roman" w:cs="Segoe UI"/>
                <w:color w:val="000000"/>
                <w:sz w:val="18"/>
                <w:szCs w:val="18"/>
                <w:lang w:eastAsia="sk-SK"/>
              </w:rPr>
            </w:pPr>
            <w:r w:rsidRPr="00F35306">
              <w:rPr>
                <w:rFonts w:eastAsia="Times New Roman" w:cs="Segoe UI"/>
                <w:color w:val="000000"/>
                <w:sz w:val="18"/>
                <w:szCs w:val="18"/>
                <w:lang w:eastAsia="sk-SK"/>
              </w:rPr>
              <w:t>506 322</w:t>
            </w:r>
          </w:p>
        </w:tc>
        <w:tc>
          <w:tcPr>
            <w:tcW w:w="614" w:type="pct"/>
            <w:tcBorders>
              <w:top w:val="nil"/>
              <w:left w:val="nil"/>
              <w:bottom w:val="nil"/>
              <w:right w:val="nil"/>
            </w:tcBorders>
            <w:shd w:val="clear" w:color="000000" w:fill="FFFFFF"/>
            <w:noWrap/>
            <w:vAlign w:val="center"/>
            <w:hideMark/>
          </w:tcPr>
          <w:p w14:paraId="3F319F7C" w14:textId="77777777" w:rsidR="00E837BB" w:rsidRPr="00F35306" w:rsidRDefault="00E837BB" w:rsidP="0019343E">
            <w:pPr>
              <w:spacing w:after="0"/>
              <w:jc w:val="right"/>
              <w:rPr>
                <w:rFonts w:eastAsia="Times New Roman" w:cs="Segoe UI"/>
                <w:color w:val="000000"/>
                <w:sz w:val="18"/>
                <w:szCs w:val="18"/>
                <w:lang w:eastAsia="sk-SK"/>
              </w:rPr>
            </w:pPr>
            <w:r w:rsidRPr="00F35306">
              <w:rPr>
                <w:rFonts w:eastAsia="Times New Roman" w:cs="Segoe UI"/>
                <w:color w:val="000000"/>
                <w:sz w:val="18"/>
                <w:szCs w:val="18"/>
                <w:lang w:eastAsia="sk-SK"/>
              </w:rPr>
              <w:t>107 264</w:t>
            </w:r>
          </w:p>
        </w:tc>
        <w:tc>
          <w:tcPr>
            <w:tcW w:w="612" w:type="pct"/>
            <w:tcBorders>
              <w:top w:val="nil"/>
              <w:left w:val="nil"/>
              <w:bottom w:val="nil"/>
              <w:right w:val="nil"/>
            </w:tcBorders>
            <w:shd w:val="clear" w:color="000000" w:fill="FFFFFF"/>
            <w:vAlign w:val="center"/>
          </w:tcPr>
          <w:p w14:paraId="6DC03A80" w14:textId="77777777" w:rsidR="00E837BB" w:rsidRPr="00F35306" w:rsidRDefault="00E837BB" w:rsidP="0019343E">
            <w:pPr>
              <w:spacing w:after="0"/>
              <w:jc w:val="right"/>
              <w:rPr>
                <w:rFonts w:eastAsia="Times New Roman" w:cs="Segoe UI"/>
                <w:color w:val="000000"/>
                <w:sz w:val="18"/>
                <w:szCs w:val="18"/>
                <w:lang w:eastAsia="sk-SK"/>
              </w:rPr>
            </w:pPr>
            <w:r w:rsidRPr="00F35306">
              <w:rPr>
                <w:rFonts w:eastAsia="Times New Roman" w:cs="Segoe UI"/>
                <w:color w:val="000000"/>
                <w:sz w:val="18"/>
                <w:szCs w:val="18"/>
                <w:lang w:eastAsia="sk-SK"/>
              </w:rPr>
              <w:t>-399 058</w:t>
            </w:r>
          </w:p>
        </w:tc>
      </w:tr>
      <w:tr w:rsidR="00E837BB" w:rsidRPr="00CD7A26" w14:paraId="6B915135" w14:textId="77777777" w:rsidTr="00DB26F8">
        <w:trPr>
          <w:trHeight w:val="283"/>
        </w:trPr>
        <w:tc>
          <w:tcPr>
            <w:tcW w:w="3159" w:type="pct"/>
            <w:tcBorders>
              <w:top w:val="nil"/>
              <w:left w:val="nil"/>
              <w:bottom w:val="nil"/>
              <w:right w:val="nil"/>
            </w:tcBorders>
            <w:shd w:val="clear" w:color="000000" w:fill="FFFFFF"/>
            <w:noWrap/>
            <w:vAlign w:val="center"/>
            <w:hideMark/>
          </w:tcPr>
          <w:p w14:paraId="178EE09C" w14:textId="1044CFC6" w:rsidR="00E837BB" w:rsidRPr="00F35306" w:rsidRDefault="006E53E1" w:rsidP="0019343E">
            <w:pPr>
              <w:spacing w:after="0"/>
              <w:jc w:val="left"/>
              <w:rPr>
                <w:rFonts w:eastAsia="Times New Roman" w:cs="Segoe UI"/>
                <w:color w:val="000000"/>
                <w:sz w:val="18"/>
                <w:szCs w:val="18"/>
                <w:lang w:eastAsia="sk-SK"/>
              </w:rPr>
            </w:pPr>
            <w:r>
              <w:rPr>
                <w:rFonts w:eastAsia="Times New Roman" w:cs="Segoe UI"/>
                <w:color w:val="000000"/>
                <w:sz w:val="18"/>
                <w:szCs w:val="18"/>
                <w:lang w:eastAsia="sk-SK"/>
              </w:rPr>
              <w:t xml:space="preserve">   návratné finančné výpomoci</w:t>
            </w:r>
          </w:p>
        </w:tc>
        <w:tc>
          <w:tcPr>
            <w:tcW w:w="614" w:type="pct"/>
            <w:tcBorders>
              <w:top w:val="nil"/>
              <w:left w:val="nil"/>
              <w:bottom w:val="nil"/>
              <w:right w:val="nil"/>
            </w:tcBorders>
            <w:shd w:val="clear" w:color="000000" w:fill="FFFFFF"/>
            <w:noWrap/>
            <w:vAlign w:val="center"/>
            <w:hideMark/>
          </w:tcPr>
          <w:p w14:paraId="6CB69E59" w14:textId="77777777" w:rsidR="00E837BB" w:rsidRPr="00F35306" w:rsidRDefault="00E837BB" w:rsidP="0019343E">
            <w:pPr>
              <w:spacing w:after="0"/>
              <w:jc w:val="right"/>
              <w:rPr>
                <w:rFonts w:eastAsia="Times New Roman" w:cs="Segoe UI"/>
                <w:color w:val="000000"/>
                <w:sz w:val="18"/>
                <w:szCs w:val="18"/>
                <w:lang w:eastAsia="sk-SK"/>
              </w:rPr>
            </w:pPr>
            <w:r w:rsidRPr="00F35306">
              <w:rPr>
                <w:rFonts w:eastAsia="Times New Roman" w:cs="Segoe UI"/>
                <w:color w:val="000000"/>
                <w:sz w:val="18"/>
                <w:szCs w:val="18"/>
                <w:lang w:eastAsia="sk-SK"/>
              </w:rPr>
              <w:t>643 786</w:t>
            </w:r>
          </w:p>
        </w:tc>
        <w:tc>
          <w:tcPr>
            <w:tcW w:w="614" w:type="pct"/>
            <w:tcBorders>
              <w:top w:val="nil"/>
              <w:left w:val="nil"/>
              <w:bottom w:val="nil"/>
              <w:right w:val="nil"/>
            </w:tcBorders>
            <w:shd w:val="clear" w:color="000000" w:fill="FFFFFF"/>
            <w:noWrap/>
            <w:vAlign w:val="center"/>
            <w:hideMark/>
          </w:tcPr>
          <w:p w14:paraId="34E5AEE6" w14:textId="77777777" w:rsidR="00E837BB" w:rsidRPr="00F35306" w:rsidRDefault="00E837BB" w:rsidP="0019343E">
            <w:pPr>
              <w:spacing w:after="0"/>
              <w:jc w:val="right"/>
              <w:rPr>
                <w:rFonts w:eastAsia="Times New Roman" w:cs="Segoe UI"/>
                <w:color w:val="000000"/>
                <w:sz w:val="18"/>
                <w:szCs w:val="18"/>
                <w:lang w:eastAsia="sk-SK"/>
              </w:rPr>
            </w:pPr>
            <w:r w:rsidRPr="00F35306">
              <w:rPr>
                <w:rFonts w:eastAsia="Times New Roman" w:cs="Segoe UI"/>
                <w:color w:val="000000"/>
                <w:sz w:val="18"/>
                <w:szCs w:val="18"/>
                <w:lang w:eastAsia="sk-SK"/>
              </w:rPr>
              <w:t>20 500</w:t>
            </w:r>
          </w:p>
        </w:tc>
        <w:tc>
          <w:tcPr>
            <w:tcW w:w="612" w:type="pct"/>
            <w:tcBorders>
              <w:top w:val="nil"/>
              <w:left w:val="nil"/>
              <w:bottom w:val="nil"/>
              <w:right w:val="nil"/>
            </w:tcBorders>
            <w:shd w:val="clear" w:color="000000" w:fill="FFFFFF"/>
            <w:vAlign w:val="center"/>
          </w:tcPr>
          <w:p w14:paraId="6A737D0D" w14:textId="77777777" w:rsidR="00E837BB" w:rsidRPr="00F35306" w:rsidRDefault="00E837BB" w:rsidP="0019343E">
            <w:pPr>
              <w:spacing w:after="0"/>
              <w:jc w:val="right"/>
              <w:rPr>
                <w:rFonts w:eastAsia="Times New Roman" w:cs="Segoe UI"/>
                <w:color w:val="000000"/>
                <w:sz w:val="18"/>
                <w:szCs w:val="18"/>
                <w:lang w:eastAsia="sk-SK"/>
              </w:rPr>
            </w:pPr>
            <w:r w:rsidRPr="00F35306">
              <w:rPr>
                <w:rFonts w:eastAsia="Times New Roman" w:cs="Segoe UI"/>
                <w:color w:val="000000"/>
                <w:sz w:val="18"/>
                <w:szCs w:val="18"/>
                <w:lang w:eastAsia="sk-SK"/>
              </w:rPr>
              <w:t>-623 286</w:t>
            </w:r>
          </w:p>
        </w:tc>
      </w:tr>
      <w:tr w:rsidR="00E837BB" w:rsidRPr="00CD7A26" w14:paraId="2BE013AC" w14:textId="77777777" w:rsidTr="00DB26F8">
        <w:trPr>
          <w:trHeight w:val="283"/>
        </w:trPr>
        <w:tc>
          <w:tcPr>
            <w:tcW w:w="3159" w:type="pct"/>
            <w:tcBorders>
              <w:top w:val="nil"/>
              <w:left w:val="nil"/>
              <w:bottom w:val="nil"/>
              <w:right w:val="nil"/>
            </w:tcBorders>
            <w:shd w:val="clear" w:color="000000" w:fill="FFFFFF"/>
            <w:noWrap/>
            <w:vAlign w:val="center"/>
            <w:hideMark/>
          </w:tcPr>
          <w:p w14:paraId="40E55743" w14:textId="77777777" w:rsidR="00E837BB" w:rsidRPr="00F35306" w:rsidRDefault="00E837BB" w:rsidP="0019343E">
            <w:pPr>
              <w:spacing w:after="0"/>
              <w:jc w:val="left"/>
              <w:rPr>
                <w:rFonts w:eastAsia="Times New Roman" w:cs="Segoe UI"/>
                <w:color w:val="000000"/>
                <w:sz w:val="18"/>
                <w:szCs w:val="18"/>
                <w:lang w:eastAsia="sk-SK"/>
              </w:rPr>
            </w:pPr>
            <w:r w:rsidRPr="00F35306">
              <w:rPr>
                <w:rFonts w:eastAsia="Times New Roman" w:cs="Segoe UI"/>
                <w:color w:val="000000"/>
                <w:sz w:val="18"/>
                <w:szCs w:val="18"/>
                <w:lang w:eastAsia="sk-SK"/>
              </w:rPr>
              <w:t xml:space="preserve">   osobitný odvod finančných inštitúcií</w:t>
            </w:r>
          </w:p>
        </w:tc>
        <w:tc>
          <w:tcPr>
            <w:tcW w:w="614" w:type="pct"/>
            <w:tcBorders>
              <w:top w:val="nil"/>
              <w:left w:val="nil"/>
              <w:bottom w:val="nil"/>
              <w:right w:val="nil"/>
            </w:tcBorders>
            <w:shd w:val="clear" w:color="000000" w:fill="FFFFFF"/>
            <w:noWrap/>
            <w:vAlign w:val="center"/>
            <w:hideMark/>
          </w:tcPr>
          <w:p w14:paraId="088E421C" w14:textId="77777777" w:rsidR="00E837BB" w:rsidRPr="00F35306" w:rsidRDefault="00E837BB" w:rsidP="0019343E">
            <w:pPr>
              <w:spacing w:after="0"/>
              <w:jc w:val="right"/>
              <w:rPr>
                <w:rFonts w:eastAsia="Times New Roman" w:cs="Segoe UI"/>
                <w:color w:val="000000"/>
                <w:sz w:val="18"/>
                <w:szCs w:val="18"/>
                <w:lang w:eastAsia="sk-SK"/>
              </w:rPr>
            </w:pPr>
            <w:r w:rsidRPr="00F35306">
              <w:rPr>
                <w:rFonts w:eastAsia="Times New Roman" w:cs="Segoe UI"/>
                <w:color w:val="000000"/>
                <w:sz w:val="18"/>
                <w:szCs w:val="18"/>
                <w:lang w:eastAsia="sk-SK"/>
              </w:rPr>
              <w:t>128 733</w:t>
            </w:r>
          </w:p>
        </w:tc>
        <w:tc>
          <w:tcPr>
            <w:tcW w:w="614" w:type="pct"/>
            <w:tcBorders>
              <w:top w:val="nil"/>
              <w:left w:val="nil"/>
              <w:bottom w:val="nil"/>
              <w:right w:val="nil"/>
            </w:tcBorders>
            <w:shd w:val="clear" w:color="000000" w:fill="FFFFFF"/>
            <w:noWrap/>
            <w:vAlign w:val="center"/>
            <w:hideMark/>
          </w:tcPr>
          <w:p w14:paraId="548AD24F" w14:textId="77777777" w:rsidR="00E837BB" w:rsidRPr="00F35306" w:rsidRDefault="00E837BB" w:rsidP="0019343E">
            <w:pPr>
              <w:spacing w:after="0"/>
              <w:jc w:val="right"/>
              <w:rPr>
                <w:rFonts w:eastAsia="Times New Roman" w:cs="Segoe UI"/>
                <w:color w:val="000000"/>
                <w:sz w:val="18"/>
                <w:szCs w:val="18"/>
                <w:lang w:eastAsia="sk-SK"/>
              </w:rPr>
            </w:pPr>
            <w:r w:rsidRPr="00F35306">
              <w:rPr>
                <w:rFonts w:eastAsia="Times New Roman" w:cs="Segoe UI"/>
                <w:color w:val="000000"/>
                <w:sz w:val="18"/>
                <w:szCs w:val="18"/>
                <w:lang w:eastAsia="sk-SK"/>
              </w:rPr>
              <w:t>188 630</w:t>
            </w:r>
          </w:p>
        </w:tc>
        <w:tc>
          <w:tcPr>
            <w:tcW w:w="612" w:type="pct"/>
            <w:tcBorders>
              <w:top w:val="nil"/>
              <w:left w:val="nil"/>
              <w:bottom w:val="nil"/>
              <w:right w:val="nil"/>
            </w:tcBorders>
            <w:shd w:val="clear" w:color="000000" w:fill="FFFFFF"/>
            <w:vAlign w:val="center"/>
          </w:tcPr>
          <w:p w14:paraId="6CB30BFE" w14:textId="77777777" w:rsidR="00E837BB" w:rsidRPr="00F35306" w:rsidRDefault="00E837BB" w:rsidP="0019343E">
            <w:pPr>
              <w:spacing w:after="0"/>
              <w:jc w:val="right"/>
              <w:rPr>
                <w:rFonts w:eastAsia="Times New Roman" w:cs="Segoe UI"/>
                <w:color w:val="000000"/>
                <w:sz w:val="18"/>
                <w:szCs w:val="18"/>
                <w:lang w:eastAsia="sk-SK"/>
              </w:rPr>
            </w:pPr>
            <w:r w:rsidRPr="00F35306">
              <w:rPr>
                <w:rFonts w:eastAsia="Times New Roman" w:cs="Segoe UI"/>
                <w:color w:val="000000"/>
                <w:sz w:val="18"/>
                <w:szCs w:val="18"/>
                <w:lang w:eastAsia="sk-SK"/>
              </w:rPr>
              <w:t>59 897</w:t>
            </w:r>
          </w:p>
        </w:tc>
      </w:tr>
      <w:tr w:rsidR="00E837BB" w:rsidRPr="00CD7A26" w14:paraId="7899F6B6" w14:textId="77777777" w:rsidTr="00DB26F8">
        <w:trPr>
          <w:trHeight w:val="283"/>
        </w:trPr>
        <w:tc>
          <w:tcPr>
            <w:tcW w:w="3159" w:type="pct"/>
            <w:tcBorders>
              <w:top w:val="nil"/>
              <w:left w:val="nil"/>
              <w:bottom w:val="nil"/>
              <w:right w:val="nil"/>
            </w:tcBorders>
            <w:shd w:val="clear" w:color="000000" w:fill="FFFFFF"/>
            <w:noWrap/>
            <w:vAlign w:val="center"/>
            <w:hideMark/>
          </w:tcPr>
          <w:p w14:paraId="4E5F85D3" w14:textId="77777777" w:rsidR="00E837BB" w:rsidRPr="00F35306" w:rsidRDefault="00E837BB" w:rsidP="0019343E">
            <w:pPr>
              <w:spacing w:after="0"/>
              <w:jc w:val="left"/>
              <w:rPr>
                <w:rFonts w:eastAsia="Times New Roman" w:cs="Segoe UI"/>
                <w:color w:val="000000"/>
                <w:sz w:val="18"/>
                <w:szCs w:val="18"/>
                <w:lang w:eastAsia="sk-SK"/>
              </w:rPr>
            </w:pPr>
            <w:r w:rsidRPr="00F35306">
              <w:rPr>
                <w:rFonts w:eastAsia="Times New Roman" w:cs="Segoe UI"/>
                <w:color w:val="000000"/>
                <w:sz w:val="18"/>
                <w:szCs w:val="18"/>
                <w:lang w:eastAsia="sk-SK"/>
              </w:rPr>
              <w:t xml:space="preserve">   osobitný odvod z podnikania v regulovaných odvetviach</w:t>
            </w:r>
          </w:p>
        </w:tc>
        <w:tc>
          <w:tcPr>
            <w:tcW w:w="614" w:type="pct"/>
            <w:tcBorders>
              <w:top w:val="nil"/>
              <w:left w:val="nil"/>
              <w:bottom w:val="nil"/>
              <w:right w:val="nil"/>
            </w:tcBorders>
            <w:shd w:val="clear" w:color="000000" w:fill="FFFFFF"/>
            <w:noWrap/>
            <w:vAlign w:val="center"/>
            <w:hideMark/>
          </w:tcPr>
          <w:p w14:paraId="5E2ACE3A" w14:textId="77777777" w:rsidR="00E837BB" w:rsidRPr="00F35306" w:rsidRDefault="00E837BB" w:rsidP="0019343E">
            <w:pPr>
              <w:spacing w:after="0"/>
              <w:jc w:val="right"/>
              <w:rPr>
                <w:rFonts w:eastAsia="Times New Roman" w:cs="Segoe UI"/>
                <w:color w:val="000000"/>
                <w:sz w:val="18"/>
                <w:szCs w:val="18"/>
                <w:lang w:eastAsia="sk-SK"/>
              </w:rPr>
            </w:pPr>
            <w:r w:rsidRPr="00F35306">
              <w:rPr>
                <w:rFonts w:eastAsia="Times New Roman" w:cs="Segoe UI"/>
                <w:color w:val="000000"/>
                <w:sz w:val="18"/>
                <w:szCs w:val="18"/>
                <w:lang w:eastAsia="sk-SK"/>
              </w:rPr>
              <w:t>0</w:t>
            </w:r>
          </w:p>
        </w:tc>
        <w:tc>
          <w:tcPr>
            <w:tcW w:w="614" w:type="pct"/>
            <w:tcBorders>
              <w:top w:val="nil"/>
              <w:left w:val="nil"/>
              <w:bottom w:val="nil"/>
              <w:right w:val="nil"/>
            </w:tcBorders>
            <w:shd w:val="clear" w:color="000000" w:fill="FFFFFF"/>
            <w:noWrap/>
            <w:vAlign w:val="center"/>
            <w:hideMark/>
          </w:tcPr>
          <w:p w14:paraId="2B36742B" w14:textId="77777777" w:rsidR="00E837BB" w:rsidRPr="00F35306" w:rsidRDefault="00E837BB" w:rsidP="0019343E">
            <w:pPr>
              <w:spacing w:after="0"/>
              <w:jc w:val="right"/>
              <w:rPr>
                <w:rFonts w:eastAsia="Times New Roman" w:cs="Segoe UI"/>
                <w:color w:val="000000"/>
                <w:sz w:val="18"/>
                <w:szCs w:val="18"/>
                <w:lang w:eastAsia="sk-SK"/>
              </w:rPr>
            </w:pPr>
            <w:r w:rsidRPr="00F35306">
              <w:rPr>
                <w:rFonts w:eastAsia="Times New Roman" w:cs="Segoe UI"/>
                <w:color w:val="000000"/>
                <w:sz w:val="18"/>
                <w:szCs w:val="18"/>
                <w:lang w:eastAsia="sk-SK"/>
              </w:rPr>
              <w:t>6 433</w:t>
            </w:r>
          </w:p>
        </w:tc>
        <w:tc>
          <w:tcPr>
            <w:tcW w:w="612" w:type="pct"/>
            <w:tcBorders>
              <w:top w:val="nil"/>
              <w:left w:val="nil"/>
              <w:bottom w:val="nil"/>
              <w:right w:val="nil"/>
            </w:tcBorders>
            <w:shd w:val="clear" w:color="000000" w:fill="FFFFFF"/>
            <w:vAlign w:val="center"/>
          </w:tcPr>
          <w:p w14:paraId="63135B14" w14:textId="77777777" w:rsidR="00E837BB" w:rsidRPr="00F35306" w:rsidRDefault="00E837BB" w:rsidP="0019343E">
            <w:pPr>
              <w:spacing w:after="0"/>
              <w:jc w:val="right"/>
              <w:rPr>
                <w:rFonts w:eastAsia="Times New Roman" w:cs="Segoe UI"/>
                <w:color w:val="000000"/>
                <w:sz w:val="18"/>
                <w:szCs w:val="18"/>
                <w:lang w:eastAsia="sk-SK"/>
              </w:rPr>
            </w:pPr>
            <w:r w:rsidRPr="00F35306">
              <w:rPr>
                <w:rFonts w:eastAsia="Times New Roman" w:cs="Segoe UI"/>
                <w:color w:val="000000"/>
                <w:sz w:val="18"/>
                <w:szCs w:val="18"/>
                <w:lang w:eastAsia="sk-SK"/>
              </w:rPr>
              <w:t>6 433</w:t>
            </w:r>
          </w:p>
        </w:tc>
      </w:tr>
      <w:tr w:rsidR="00E837BB" w:rsidRPr="00CD7A26" w14:paraId="60E6D85E" w14:textId="77777777" w:rsidTr="00DB26F8">
        <w:trPr>
          <w:trHeight w:val="283"/>
        </w:trPr>
        <w:tc>
          <w:tcPr>
            <w:tcW w:w="3159" w:type="pct"/>
            <w:tcBorders>
              <w:top w:val="nil"/>
              <w:left w:val="nil"/>
              <w:bottom w:val="nil"/>
              <w:right w:val="nil"/>
            </w:tcBorders>
            <w:shd w:val="clear" w:color="000000" w:fill="FFFFFF"/>
            <w:noWrap/>
            <w:vAlign w:val="center"/>
            <w:hideMark/>
          </w:tcPr>
          <w:p w14:paraId="459AAC43" w14:textId="77777777" w:rsidR="00E837BB" w:rsidRPr="00F35306" w:rsidRDefault="00E837BB" w:rsidP="0019343E">
            <w:pPr>
              <w:spacing w:after="0"/>
              <w:jc w:val="left"/>
              <w:rPr>
                <w:rFonts w:eastAsia="Times New Roman" w:cs="Segoe UI"/>
                <w:color w:val="000000"/>
                <w:sz w:val="18"/>
                <w:szCs w:val="18"/>
                <w:lang w:eastAsia="sk-SK"/>
              </w:rPr>
            </w:pPr>
            <w:r w:rsidRPr="00F35306">
              <w:rPr>
                <w:rFonts w:eastAsia="Times New Roman" w:cs="Segoe UI"/>
                <w:color w:val="000000"/>
                <w:sz w:val="18"/>
                <w:szCs w:val="18"/>
                <w:lang w:eastAsia="sk-SK"/>
              </w:rPr>
              <w:t xml:space="preserve">   ďalšie </w:t>
            </w:r>
          </w:p>
        </w:tc>
        <w:tc>
          <w:tcPr>
            <w:tcW w:w="614" w:type="pct"/>
            <w:tcBorders>
              <w:top w:val="nil"/>
              <w:left w:val="nil"/>
              <w:bottom w:val="nil"/>
              <w:right w:val="nil"/>
            </w:tcBorders>
            <w:shd w:val="clear" w:color="000000" w:fill="FFFFFF"/>
            <w:noWrap/>
            <w:vAlign w:val="center"/>
            <w:hideMark/>
          </w:tcPr>
          <w:p w14:paraId="03E8D38B" w14:textId="77777777" w:rsidR="00E837BB" w:rsidRPr="00F35306" w:rsidRDefault="00E837BB" w:rsidP="0019343E">
            <w:pPr>
              <w:spacing w:after="0"/>
              <w:jc w:val="right"/>
              <w:rPr>
                <w:rFonts w:eastAsia="Times New Roman" w:cs="Segoe UI"/>
                <w:color w:val="000000"/>
                <w:sz w:val="18"/>
                <w:szCs w:val="18"/>
                <w:lang w:eastAsia="sk-SK"/>
              </w:rPr>
            </w:pPr>
            <w:r w:rsidRPr="00F35306">
              <w:rPr>
                <w:rFonts w:eastAsia="Times New Roman" w:cs="Segoe UI"/>
                <w:color w:val="000000"/>
                <w:sz w:val="18"/>
                <w:szCs w:val="18"/>
                <w:lang w:eastAsia="sk-SK"/>
              </w:rPr>
              <w:t>92</w:t>
            </w:r>
          </w:p>
        </w:tc>
        <w:tc>
          <w:tcPr>
            <w:tcW w:w="614" w:type="pct"/>
            <w:tcBorders>
              <w:top w:val="nil"/>
              <w:left w:val="nil"/>
              <w:bottom w:val="nil"/>
              <w:right w:val="nil"/>
            </w:tcBorders>
            <w:shd w:val="clear" w:color="000000" w:fill="FFFFFF"/>
            <w:noWrap/>
            <w:vAlign w:val="center"/>
            <w:hideMark/>
          </w:tcPr>
          <w:p w14:paraId="16082097" w14:textId="77777777" w:rsidR="00E837BB" w:rsidRPr="00F35306" w:rsidRDefault="00E837BB" w:rsidP="0019343E">
            <w:pPr>
              <w:spacing w:after="0"/>
              <w:jc w:val="right"/>
              <w:rPr>
                <w:rFonts w:eastAsia="Times New Roman" w:cs="Segoe UI"/>
                <w:color w:val="000000"/>
                <w:sz w:val="18"/>
                <w:szCs w:val="18"/>
                <w:lang w:eastAsia="sk-SK"/>
              </w:rPr>
            </w:pPr>
            <w:r w:rsidRPr="00F35306">
              <w:rPr>
                <w:rFonts w:eastAsia="Times New Roman" w:cs="Segoe UI"/>
                <w:color w:val="000000"/>
                <w:sz w:val="18"/>
                <w:szCs w:val="18"/>
                <w:lang w:eastAsia="sk-SK"/>
              </w:rPr>
              <w:t>58</w:t>
            </w:r>
          </w:p>
        </w:tc>
        <w:tc>
          <w:tcPr>
            <w:tcW w:w="612" w:type="pct"/>
            <w:tcBorders>
              <w:top w:val="nil"/>
              <w:left w:val="nil"/>
              <w:bottom w:val="nil"/>
              <w:right w:val="nil"/>
            </w:tcBorders>
            <w:shd w:val="clear" w:color="000000" w:fill="FFFFFF"/>
            <w:vAlign w:val="center"/>
          </w:tcPr>
          <w:p w14:paraId="50D6F0F5" w14:textId="77777777" w:rsidR="00E837BB" w:rsidRPr="00F35306" w:rsidRDefault="00E837BB" w:rsidP="0019343E">
            <w:pPr>
              <w:spacing w:after="0"/>
              <w:jc w:val="right"/>
              <w:rPr>
                <w:rFonts w:eastAsia="Times New Roman" w:cs="Segoe UI"/>
                <w:color w:val="000000"/>
                <w:sz w:val="18"/>
                <w:szCs w:val="18"/>
                <w:lang w:eastAsia="sk-SK"/>
              </w:rPr>
            </w:pPr>
            <w:r w:rsidRPr="00F35306">
              <w:rPr>
                <w:rFonts w:eastAsia="Times New Roman" w:cs="Segoe UI"/>
                <w:color w:val="000000"/>
                <w:sz w:val="18"/>
                <w:szCs w:val="18"/>
                <w:lang w:eastAsia="sk-SK"/>
              </w:rPr>
              <w:t>-34</w:t>
            </w:r>
          </w:p>
        </w:tc>
      </w:tr>
      <w:tr w:rsidR="00E837BB" w:rsidRPr="00CD7A26" w14:paraId="66B70DD6" w14:textId="77777777" w:rsidTr="00DB26F8">
        <w:trPr>
          <w:trHeight w:val="283"/>
        </w:trPr>
        <w:tc>
          <w:tcPr>
            <w:tcW w:w="3159" w:type="pct"/>
            <w:tcBorders>
              <w:top w:val="nil"/>
              <w:left w:val="nil"/>
              <w:bottom w:val="single" w:sz="4" w:space="0" w:color="auto"/>
              <w:right w:val="nil"/>
            </w:tcBorders>
            <w:shd w:val="clear" w:color="000000" w:fill="FFFFFF"/>
            <w:noWrap/>
            <w:vAlign w:val="center"/>
            <w:hideMark/>
          </w:tcPr>
          <w:p w14:paraId="13078789" w14:textId="77777777" w:rsidR="00E837BB" w:rsidRPr="00F35306" w:rsidRDefault="00E837BB" w:rsidP="0019343E">
            <w:pPr>
              <w:spacing w:after="0"/>
              <w:jc w:val="left"/>
              <w:rPr>
                <w:rFonts w:eastAsia="Times New Roman" w:cs="Segoe UI"/>
                <w:b/>
                <w:color w:val="000000"/>
                <w:sz w:val="18"/>
                <w:szCs w:val="18"/>
                <w:lang w:eastAsia="sk-SK"/>
              </w:rPr>
            </w:pPr>
            <w:r w:rsidRPr="00F35306">
              <w:rPr>
                <w:rFonts w:eastAsia="Times New Roman" w:cs="Segoe UI"/>
                <w:b/>
                <w:color w:val="000000"/>
                <w:sz w:val="18"/>
                <w:szCs w:val="18"/>
                <w:lang w:eastAsia="sk-SK"/>
              </w:rPr>
              <w:t>Stav k 31.12.</w:t>
            </w:r>
          </w:p>
        </w:tc>
        <w:tc>
          <w:tcPr>
            <w:tcW w:w="614" w:type="pct"/>
            <w:tcBorders>
              <w:top w:val="nil"/>
              <w:left w:val="nil"/>
              <w:bottom w:val="single" w:sz="4" w:space="0" w:color="auto"/>
              <w:right w:val="nil"/>
            </w:tcBorders>
            <w:shd w:val="clear" w:color="000000" w:fill="FFFFFF"/>
            <w:noWrap/>
            <w:vAlign w:val="center"/>
            <w:hideMark/>
          </w:tcPr>
          <w:p w14:paraId="1EFA1F7D" w14:textId="77777777" w:rsidR="00E837BB" w:rsidRPr="00F35306" w:rsidRDefault="00E837BB" w:rsidP="0019343E">
            <w:pPr>
              <w:spacing w:after="0"/>
              <w:jc w:val="right"/>
              <w:rPr>
                <w:rFonts w:eastAsia="Times New Roman" w:cs="Segoe UI"/>
                <w:b/>
                <w:color w:val="000000"/>
                <w:sz w:val="18"/>
                <w:szCs w:val="18"/>
                <w:lang w:eastAsia="sk-SK"/>
              </w:rPr>
            </w:pPr>
            <w:r w:rsidRPr="00F35306">
              <w:rPr>
                <w:rFonts w:eastAsia="Times New Roman" w:cs="Segoe UI"/>
                <w:b/>
                <w:color w:val="000000"/>
                <w:sz w:val="18"/>
                <w:szCs w:val="18"/>
                <w:lang w:eastAsia="sk-SK"/>
              </w:rPr>
              <w:t>3 196 933</w:t>
            </w:r>
          </w:p>
        </w:tc>
        <w:tc>
          <w:tcPr>
            <w:tcW w:w="614" w:type="pct"/>
            <w:tcBorders>
              <w:top w:val="nil"/>
              <w:left w:val="nil"/>
              <w:bottom w:val="single" w:sz="4" w:space="0" w:color="auto"/>
              <w:right w:val="nil"/>
            </w:tcBorders>
            <w:shd w:val="clear" w:color="000000" w:fill="FFFFFF"/>
            <w:noWrap/>
            <w:vAlign w:val="center"/>
            <w:hideMark/>
          </w:tcPr>
          <w:p w14:paraId="7C96D0E7" w14:textId="77777777" w:rsidR="00E837BB" w:rsidRPr="00F35306" w:rsidRDefault="00E837BB" w:rsidP="0019343E">
            <w:pPr>
              <w:spacing w:after="0"/>
              <w:jc w:val="right"/>
              <w:rPr>
                <w:rFonts w:eastAsia="Times New Roman" w:cs="Segoe UI"/>
                <w:b/>
                <w:color w:val="000000"/>
                <w:sz w:val="18"/>
                <w:szCs w:val="18"/>
                <w:lang w:eastAsia="sk-SK"/>
              </w:rPr>
            </w:pPr>
            <w:r w:rsidRPr="00F35306">
              <w:rPr>
                <w:rFonts w:eastAsia="Times New Roman" w:cs="Segoe UI"/>
                <w:b/>
                <w:color w:val="000000"/>
                <w:sz w:val="18"/>
                <w:szCs w:val="18"/>
                <w:lang w:eastAsia="sk-SK"/>
              </w:rPr>
              <w:t>3 041 203</w:t>
            </w:r>
          </w:p>
        </w:tc>
        <w:tc>
          <w:tcPr>
            <w:tcW w:w="612" w:type="pct"/>
            <w:tcBorders>
              <w:top w:val="nil"/>
              <w:left w:val="nil"/>
              <w:bottom w:val="single" w:sz="4" w:space="0" w:color="auto"/>
              <w:right w:val="nil"/>
            </w:tcBorders>
            <w:shd w:val="clear" w:color="000000" w:fill="FFFFFF"/>
            <w:vAlign w:val="center"/>
          </w:tcPr>
          <w:p w14:paraId="40D92D99" w14:textId="77777777" w:rsidR="00E837BB" w:rsidRPr="00F35306" w:rsidRDefault="00E837BB" w:rsidP="0019343E">
            <w:pPr>
              <w:spacing w:after="0"/>
              <w:jc w:val="right"/>
              <w:rPr>
                <w:rFonts w:eastAsia="Times New Roman" w:cs="Segoe UI"/>
                <w:b/>
                <w:color w:val="000000"/>
                <w:sz w:val="18"/>
                <w:szCs w:val="18"/>
                <w:lang w:eastAsia="sk-SK"/>
              </w:rPr>
            </w:pPr>
            <w:r w:rsidRPr="00F35306">
              <w:rPr>
                <w:rFonts w:eastAsia="Times New Roman" w:cs="Segoe UI"/>
                <w:b/>
                <w:color w:val="000000"/>
                <w:sz w:val="18"/>
                <w:szCs w:val="18"/>
                <w:lang w:eastAsia="sk-SK"/>
              </w:rPr>
              <w:t>-155 730</w:t>
            </w:r>
          </w:p>
        </w:tc>
      </w:tr>
      <w:tr w:rsidR="00E837BB" w:rsidRPr="00CD7A26" w14:paraId="2A0EDAE0" w14:textId="77777777" w:rsidTr="00DB26F8">
        <w:trPr>
          <w:trHeight w:val="283"/>
        </w:trPr>
        <w:tc>
          <w:tcPr>
            <w:tcW w:w="3159" w:type="pct"/>
            <w:tcBorders>
              <w:top w:val="nil"/>
              <w:left w:val="nil"/>
              <w:bottom w:val="nil"/>
              <w:right w:val="nil"/>
            </w:tcBorders>
            <w:shd w:val="clear" w:color="000000" w:fill="FFFFFF"/>
            <w:noWrap/>
            <w:vAlign w:val="center"/>
            <w:hideMark/>
          </w:tcPr>
          <w:p w14:paraId="179AC0FB" w14:textId="77777777" w:rsidR="00E837BB" w:rsidRPr="00F35306" w:rsidRDefault="00E837BB" w:rsidP="0019343E">
            <w:pPr>
              <w:spacing w:after="0"/>
              <w:jc w:val="left"/>
              <w:rPr>
                <w:rFonts w:eastAsia="Times New Roman" w:cs="Segoe UI"/>
                <w:color w:val="000000"/>
                <w:sz w:val="18"/>
                <w:szCs w:val="18"/>
                <w:lang w:eastAsia="sk-SK"/>
              </w:rPr>
            </w:pPr>
            <w:r w:rsidRPr="00F35306">
              <w:rPr>
                <w:rFonts w:eastAsia="Times New Roman" w:cs="Segoe UI"/>
                <w:color w:val="000000"/>
                <w:sz w:val="18"/>
                <w:szCs w:val="18"/>
                <w:lang w:eastAsia="sk-SK"/>
              </w:rPr>
              <w:t>účet FNM/MH Manažment, a.</w:t>
            </w:r>
            <w:r>
              <w:rPr>
                <w:rFonts w:eastAsia="Times New Roman" w:cs="Segoe UI"/>
                <w:color w:val="000000"/>
                <w:sz w:val="18"/>
                <w:szCs w:val="18"/>
                <w:lang w:eastAsia="sk-SK"/>
              </w:rPr>
              <w:t xml:space="preserve"> </w:t>
            </w:r>
            <w:r w:rsidRPr="00F35306">
              <w:rPr>
                <w:rFonts w:eastAsia="Times New Roman" w:cs="Segoe UI"/>
                <w:color w:val="000000"/>
                <w:sz w:val="18"/>
                <w:szCs w:val="18"/>
                <w:lang w:eastAsia="sk-SK"/>
              </w:rPr>
              <w:t>s.</w:t>
            </w:r>
          </w:p>
        </w:tc>
        <w:tc>
          <w:tcPr>
            <w:tcW w:w="614" w:type="pct"/>
            <w:tcBorders>
              <w:top w:val="nil"/>
              <w:left w:val="nil"/>
              <w:bottom w:val="nil"/>
              <w:right w:val="nil"/>
            </w:tcBorders>
            <w:shd w:val="clear" w:color="000000" w:fill="FFFFFF"/>
            <w:noWrap/>
            <w:vAlign w:val="center"/>
            <w:hideMark/>
          </w:tcPr>
          <w:p w14:paraId="002B8B6D" w14:textId="77777777" w:rsidR="00E837BB" w:rsidRPr="00F35306" w:rsidRDefault="00E837BB" w:rsidP="0019343E">
            <w:pPr>
              <w:spacing w:after="0"/>
              <w:jc w:val="right"/>
              <w:rPr>
                <w:rFonts w:eastAsia="Times New Roman" w:cs="Segoe UI"/>
                <w:color w:val="000000"/>
                <w:sz w:val="18"/>
                <w:szCs w:val="18"/>
                <w:lang w:eastAsia="sk-SK"/>
              </w:rPr>
            </w:pPr>
            <w:r w:rsidRPr="00F35306">
              <w:rPr>
                <w:rFonts w:eastAsia="Times New Roman" w:cs="Segoe UI"/>
                <w:color w:val="000000"/>
                <w:sz w:val="18"/>
                <w:szCs w:val="18"/>
                <w:lang w:eastAsia="sk-SK"/>
              </w:rPr>
              <w:t>1 019 165</w:t>
            </w:r>
          </w:p>
        </w:tc>
        <w:tc>
          <w:tcPr>
            <w:tcW w:w="614" w:type="pct"/>
            <w:tcBorders>
              <w:top w:val="nil"/>
              <w:left w:val="nil"/>
              <w:bottom w:val="nil"/>
              <w:right w:val="nil"/>
            </w:tcBorders>
            <w:shd w:val="clear" w:color="000000" w:fill="FFFFFF"/>
            <w:noWrap/>
            <w:vAlign w:val="center"/>
            <w:hideMark/>
          </w:tcPr>
          <w:p w14:paraId="2190975C" w14:textId="77777777" w:rsidR="00E837BB" w:rsidRPr="00F35306" w:rsidRDefault="00E837BB" w:rsidP="0019343E">
            <w:pPr>
              <w:spacing w:after="0"/>
              <w:jc w:val="right"/>
              <w:rPr>
                <w:rFonts w:eastAsia="Times New Roman" w:cs="Segoe UI"/>
                <w:color w:val="000000"/>
                <w:sz w:val="18"/>
                <w:szCs w:val="18"/>
                <w:lang w:eastAsia="sk-SK"/>
              </w:rPr>
            </w:pPr>
            <w:r w:rsidRPr="00F35306">
              <w:rPr>
                <w:rFonts w:eastAsia="Times New Roman" w:cs="Segoe UI"/>
                <w:color w:val="000000"/>
                <w:sz w:val="18"/>
                <w:szCs w:val="18"/>
                <w:lang w:eastAsia="sk-SK"/>
              </w:rPr>
              <w:t>913 473</w:t>
            </w:r>
          </w:p>
        </w:tc>
        <w:tc>
          <w:tcPr>
            <w:tcW w:w="612" w:type="pct"/>
            <w:tcBorders>
              <w:top w:val="nil"/>
              <w:left w:val="nil"/>
              <w:bottom w:val="nil"/>
              <w:right w:val="nil"/>
            </w:tcBorders>
            <w:shd w:val="clear" w:color="000000" w:fill="FFFFFF"/>
            <w:vAlign w:val="center"/>
          </w:tcPr>
          <w:p w14:paraId="430B7831" w14:textId="77777777" w:rsidR="00E837BB" w:rsidRPr="00F35306" w:rsidRDefault="00E837BB" w:rsidP="0019343E">
            <w:pPr>
              <w:spacing w:after="0"/>
              <w:jc w:val="right"/>
              <w:rPr>
                <w:rFonts w:eastAsia="Times New Roman" w:cs="Segoe UI"/>
                <w:color w:val="000000"/>
                <w:sz w:val="18"/>
                <w:szCs w:val="18"/>
                <w:lang w:eastAsia="sk-SK"/>
              </w:rPr>
            </w:pPr>
            <w:r w:rsidRPr="00F35306">
              <w:rPr>
                <w:rFonts w:eastAsia="Times New Roman" w:cs="Segoe UI"/>
                <w:color w:val="000000"/>
                <w:sz w:val="18"/>
                <w:szCs w:val="18"/>
                <w:lang w:eastAsia="sk-SK"/>
              </w:rPr>
              <w:t>-105 692</w:t>
            </w:r>
          </w:p>
        </w:tc>
      </w:tr>
      <w:tr w:rsidR="00E837BB" w:rsidRPr="00CD7A26" w14:paraId="2E7F7092" w14:textId="77777777" w:rsidTr="00DB26F8">
        <w:trPr>
          <w:trHeight w:val="283"/>
        </w:trPr>
        <w:tc>
          <w:tcPr>
            <w:tcW w:w="3159" w:type="pct"/>
            <w:tcBorders>
              <w:top w:val="nil"/>
              <w:left w:val="nil"/>
              <w:bottom w:val="nil"/>
              <w:right w:val="nil"/>
            </w:tcBorders>
            <w:shd w:val="clear" w:color="000000" w:fill="FFFFFF"/>
            <w:noWrap/>
            <w:vAlign w:val="center"/>
            <w:hideMark/>
          </w:tcPr>
          <w:p w14:paraId="16EF8C82" w14:textId="77777777" w:rsidR="00E837BB" w:rsidRPr="00F35306" w:rsidRDefault="00E837BB" w:rsidP="0019343E">
            <w:pPr>
              <w:spacing w:after="0"/>
              <w:jc w:val="left"/>
              <w:rPr>
                <w:rFonts w:eastAsia="Times New Roman" w:cs="Segoe UI"/>
                <w:color w:val="000000"/>
                <w:sz w:val="18"/>
                <w:szCs w:val="18"/>
                <w:lang w:eastAsia="sk-SK"/>
              </w:rPr>
            </w:pPr>
            <w:r w:rsidRPr="00F35306">
              <w:rPr>
                <w:rFonts w:eastAsia="Times New Roman" w:cs="Segoe UI"/>
                <w:color w:val="000000"/>
                <w:sz w:val="18"/>
                <w:szCs w:val="18"/>
                <w:lang w:eastAsia="sk-SK"/>
              </w:rPr>
              <w:t>účet NFV</w:t>
            </w:r>
          </w:p>
        </w:tc>
        <w:tc>
          <w:tcPr>
            <w:tcW w:w="614" w:type="pct"/>
            <w:tcBorders>
              <w:top w:val="nil"/>
              <w:left w:val="nil"/>
              <w:bottom w:val="nil"/>
              <w:right w:val="nil"/>
            </w:tcBorders>
            <w:shd w:val="clear" w:color="000000" w:fill="FFFFFF"/>
            <w:noWrap/>
            <w:vAlign w:val="center"/>
            <w:hideMark/>
          </w:tcPr>
          <w:p w14:paraId="0EBB5A71" w14:textId="77777777" w:rsidR="00E837BB" w:rsidRPr="00F35306" w:rsidRDefault="00E837BB" w:rsidP="0019343E">
            <w:pPr>
              <w:spacing w:after="0"/>
              <w:jc w:val="right"/>
              <w:rPr>
                <w:rFonts w:eastAsia="Times New Roman" w:cs="Segoe UI"/>
                <w:color w:val="000000"/>
                <w:sz w:val="18"/>
                <w:szCs w:val="18"/>
                <w:lang w:eastAsia="sk-SK"/>
              </w:rPr>
            </w:pPr>
            <w:r w:rsidRPr="00F35306">
              <w:rPr>
                <w:rFonts w:eastAsia="Times New Roman" w:cs="Segoe UI"/>
                <w:color w:val="000000"/>
                <w:sz w:val="18"/>
                <w:szCs w:val="18"/>
                <w:lang w:eastAsia="sk-SK"/>
              </w:rPr>
              <w:t>58 315</w:t>
            </w:r>
          </w:p>
        </w:tc>
        <w:tc>
          <w:tcPr>
            <w:tcW w:w="614" w:type="pct"/>
            <w:tcBorders>
              <w:top w:val="nil"/>
              <w:left w:val="nil"/>
              <w:bottom w:val="nil"/>
              <w:right w:val="nil"/>
            </w:tcBorders>
            <w:shd w:val="clear" w:color="000000" w:fill="FFFFFF"/>
            <w:noWrap/>
            <w:vAlign w:val="center"/>
            <w:hideMark/>
          </w:tcPr>
          <w:p w14:paraId="4489689B" w14:textId="77777777" w:rsidR="00E837BB" w:rsidRPr="00F35306" w:rsidRDefault="00E837BB" w:rsidP="0019343E">
            <w:pPr>
              <w:spacing w:after="0"/>
              <w:jc w:val="right"/>
              <w:rPr>
                <w:rFonts w:eastAsia="Times New Roman" w:cs="Segoe UI"/>
                <w:color w:val="000000"/>
                <w:sz w:val="18"/>
                <w:szCs w:val="18"/>
                <w:lang w:eastAsia="sk-SK"/>
              </w:rPr>
            </w:pPr>
            <w:r w:rsidRPr="00F35306">
              <w:rPr>
                <w:rFonts w:eastAsia="Times New Roman" w:cs="Segoe UI"/>
                <w:color w:val="000000"/>
                <w:sz w:val="18"/>
                <w:szCs w:val="18"/>
                <w:lang w:eastAsia="sk-SK"/>
              </w:rPr>
              <w:t>96 245</w:t>
            </w:r>
          </w:p>
        </w:tc>
        <w:tc>
          <w:tcPr>
            <w:tcW w:w="612" w:type="pct"/>
            <w:tcBorders>
              <w:top w:val="nil"/>
              <w:left w:val="nil"/>
              <w:bottom w:val="nil"/>
              <w:right w:val="nil"/>
            </w:tcBorders>
            <w:shd w:val="clear" w:color="000000" w:fill="FFFFFF"/>
            <w:vAlign w:val="center"/>
          </w:tcPr>
          <w:p w14:paraId="667EEE0E" w14:textId="77777777" w:rsidR="00E837BB" w:rsidRPr="00F35306" w:rsidRDefault="00E837BB" w:rsidP="0019343E">
            <w:pPr>
              <w:spacing w:after="0"/>
              <w:jc w:val="right"/>
              <w:rPr>
                <w:rFonts w:eastAsia="Times New Roman" w:cs="Segoe UI"/>
                <w:color w:val="000000"/>
                <w:sz w:val="18"/>
                <w:szCs w:val="18"/>
                <w:lang w:eastAsia="sk-SK"/>
              </w:rPr>
            </w:pPr>
            <w:r w:rsidRPr="00F35306">
              <w:rPr>
                <w:rFonts w:eastAsia="Times New Roman" w:cs="Segoe UI"/>
                <w:color w:val="000000"/>
                <w:sz w:val="18"/>
                <w:szCs w:val="18"/>
                <w:lang w:eastAsia="sk-SK"/>
              </w:rPr>
              <w:t>37 930</w:t>
            </w:r>
          </w:p>
        </w:tc>
      </w:tr>
      <w:tr w:rsidR="00E837BB" w:rsidRPr="00CD7A26" w14:paraId="24EA6726" w14:textId="77777777" w:rsidTr="00DB26F8">
        <w:trPr>
          <w:trHeight w:val="283"/>
        </w:trPr>
        <w:tc>
          <w:tcPr>
            <w:tcW w:w="3159" w:type="pct"/>
            <w:tcBorders>
              <w:top w:val="nil"/>
              <w:left w:val="nil"/>
              <w:bottom w:val="nil"/>
              <w:right w:val="nil"/>
            </w:tcBorders>
            <w:shd w:val="clear" w:color="000000" w:fill="FFFFFF"/>
            <w:noWrap/>
            <w:vAlign w:val="center"/>
            <w:hideMark/>
          </w:tcPr>
          <w:p w14:paraId="6A0E5093" w14:textId="77777777" w:rsidR="00E837BB" w:rsidRPr="00F35306" w:rsidRDefault="00E837BB" w:rsidP="0019343E">
            <w:pPr>
              <w:spacing w:after="0"/>
              <w:jc w:val="left"/>
              <w:rPr>
                <w:rFonts w:eastAsia="Times New Roman" w:cs="Segoe UI"/>
                <w:color w:val="000000"/>
                <w:sz w:val="18"/>
                <w:szCs w:val="18"/>
                <w:lang w:eastAsia="sk-SK"/>
              </w:rPr>
            </w:pPr>
            <w:r w:rsidRPr="00F35306">
              <w:rPr>
                <w:rFonts w:eastAsia="Times New Roman" w:cs="Segoe UI"/>
                <w:color w:val="000000"/>
                <w:sz w:val="18"/>
                <w:szCs w:val="18"/>
                <w:lang w:eastAsia="sk-SK"/>
              </w:rPr>
              <w:t>účet osobitného odvodu finančných inštitúcií</w:t>
            </w:r>
          </w:p>
        </w:tc>
        <w:tc>
          <w:tcPr>
            <w:tcW w:w="614" w:type="pct"/>
            <w:tcBorders>
              <w:top w:val="nil"/>
              <w:left w:val="nil"/>
              <w:bottom w:val="nil"/>
              <w:right w:val="nil"/>
            </w:tcBorders>
            <w:shd w:val="clear" w:color="000000" w:fill="FFFFFF"/>
            <w:noWrap/>
            <w:vAlign w:val="center"/>
            <w:hideMark/>
          </w:tcPr>
          <w:p w14:paraId="306264EA" w14:textId="77777777" w:rsidR="00E837BB" w:rsidRPr="00F35306" w:rsidRDefault="00E837BB" w:rsidP="0019343E">
            <w:pPr>
              <w:spacing w:after="0"/>
              <w:jc w:val="right"/>
              <w:rPr>
                <w:rFonts w:eastAsia="Times New Roman" w:cs="Segoe UI"/>
                <w:color w:val="000000"/>
                <w:sz w:val="18"/>
                <w:szCs w:val="18"/>
                <w:lang w:eastAsia="sk-SK"/>
              </w:rPr>
            </w:pPr>
            <w:r w:rsidRPr="00F35306">
              <w:rPr>
                <w:rFonts w:eastAsia="Times New Roman" w:cs="Segoe UI"/>
                <w:color w:val="000000"/>
                <w:sz w:val="18"/>
                <w:szCs w:val="18"/>
                <w:lang w:eastAsia="sk-SK"/>
              </w:rPr>
              <w:t>1 122 786</w:t>
            </w:r>
          </w:p>
        </w:tc>
        <w:tc>
          <w:tcPr>
            <w:tcW w:w="614" w:type="pct"/>
            <w:tcBorders>
              <w:top w:val="nil"/>
              <w:left w:val="nil"/>
              <w:bottom w:val="nil"/>
              <w:right w:val="nil"/>
            </w:tcBorders>
            <w:shd w:val="clear" w:color="000000" w:fill="FFFFFF"/>
            <w:noWrap/>
            <w:vAlign w:val="center"/>
            <w:hideMark/>
          </w:tcPr>
          <w:p w14:paraId="49C622D3" w14:textId="77777777" w:rsidR="00E837BB" w:rsidRPr="00F35306" w:rsidRDefault="00E837BB" w:rsidP="0019343E">
            <w:pPr>
              <w:spacing w:after="0"/>
              <w:jc w:val="right"/>
              <w:rPr>
                <w:rFonts w:eastAsia="Times New Roman" w:cs="Segoe UI"/>
                <w:color w:val="000000"/>
                <w:sz w:val="18"/>
                <w:szCs w:val="18"/>
                <w:lang w:eastAsia="sk-SK"/>
              </w:rPr>
            </w:pPr>
            <w:r w:rsidRPr="00F35306">
              <w:rPr>
                <w:rFonts w:eastAsia="Times New Roman" w:cs="Segoe UI"/>
                <w:color w:val="000000"/>
                <w:sz w:val="18"/>
                <w:szCs w:val="18"/>
                <w:lang w:eastAsia="sk-SK"/>
              </w:rPr>
              <w:t>934 156</w:t>
            </w:r>
          </w:p>
        </w:tc>
        <w:tc>
          <w:tcPr>
            <w:tcW w:w="612" w:type="pct"/>
            <w:tcBorders>
              <w:top w:val="nil"/>
              <w:left w:val="nil"/>
              <w:bottom w:val="nil"/>
              <w:right w:val="nil"/>
            </w:tcBorders>
            <w:shd w:val="clear" w:color="000000" w:fill="FFFFFF"/>
            <w:vAlign w:val="center"/>
          </w:tcPr>
          <w:p w14:paraId="5132CCDF" w14:textId="77777777" w:rsidR="00E837BB" w:rsidRPr="00F35306" w:rsidRDefault="00E837BB" w:rsidP="0019343E">
            <w:pPr>
              <w:spacing w:after="0"/>
              <w:jc w:val="right"/>
              <w:rPr>
                <w:rFonts w:eastAsia="Times New Roman" w:cs="Segoe UI"/>
                <w:color w:val="000000"/>
                <w:sz w:val="18"/>
                <w:szCs w:val="18"/>
                <w:lang w:eastAsia="sk-SK"/>
              </w:rPr>
            </w:pPr>
            <w:r w:rsidRPr="00F35306">
              <w:rPr>
                <w:rFonts w:eastAsia="Times New Roman" w:cs="Segoe UI"/>
                <w:color w:val="000000"/>
                <w:sz w:val="18"/>
                <w:szCs w:val="18"/>
                <w:lang w:eastAsia="sk-SK"/>
              </w:rPr>
              <w:t>-188 630</w:t>
            </w:r>
          </w:p>
        </w:tc>
      </w:tr>
      <w:tr w:rsidR="00E837BB" w:rsidRPr="00CD7A26" w14:paraId="2178AA83" w14:textId="77777777" w:rsidTr="00DB26F8">
        <w:trPr>
          <w:trHeight w:val="283"/>
        </w:trPr>
        <w:tc>
          <w:tcPr>
            <w:tcW w:w="3159" w:type="pct"/>
            <w:tcBorders>
              <w:top w:val="nil"/>
              <w:left w:val="nil"/>
              <w:right w:val="nil"/>
            </w:tcBorders>
            <w:shd w:val="clear" w:color="000000" w:fill="FFFFFF"/>
            <w:noWrap/>
            <w:vAlign w:val="center"/>
            <w:hideMark/>
          </w:tcPr>
          <w:p w14:paraId="4F83D201" w14:textId="77777777" w:rsidR="00E837BB" w:rsidRPr="00F35306" w:rsidRDefault="00E837BB" w:rsidP="0019343E">
            <w:pPr>
              <w:spacing w:after="0"/>
              <w:jc w:val="left"/>
              <w:rPr>
                <w:rFonts w:eastAsia="Times New Roman" w:cs="Segoe UI"/>
                <w:color w:val="000000"/>
                <w:sz w:val="18"/>
                <w:szCs w:val="18"/>
                <w:lang w:eastAsia="sk-SK"/>
              </w:rPr>
            </w:pPr>
            <w:r w:rsidRPr="00F35306">
              <w:rPr>
                <w:rFonts w:eastAsia="Times New Roman" w:cs="Segoe UI"/>
                <w:color w:val="000000"/>
                <w:sz w:val="18"/>
                <w:szCs w:val="18"/>
                <w:lang w:eastAsia="sk-SK"/>
              </w:rPr>
              <w:t>účet osobitného odvodu z podnikania v regulovaných odvetviach</w:t>
            </w:r>
          </w:p>
        </w:tc>
        <w:tc>
          <w:tcPr>
            <w:tcW w:w="614" w:type="pct"/>
            <w:tcBorders>
              <w:top w:val="nil"/>
              <w:left w:val="nil"/>
              <w:right w:val="nil"/>
            </w:tcBorders>
            <w:shd w:val="clear" w:color="000000" w:fill="FFFFFF"/>
            <w:noWrap/>
            <w:vAlign w:val="center"/>
            <w:hideMark/>
          </w:tcPr>
          <w:p w14:paraId="4B23C0E4" w14:textId="77777777" w:rsidR="00E837BB" w:rsidRPr="00F35306" w:rsidRDefault="00E837BB" w:rsidP="0019343E">
            <w:pPr>
              <w:spacing w:after="0"/>
              <w:jc w:val="right"/>
              <w:rPr>
                <w:rFonts w:eastAsia="Times New Roman" w:cs="Segoe UI"/>
                <w:color w:val="000000"/>
                <w:sz w:val="18"/>
                <w:szCs w:val="18"/>
                <w:lang w:eastAsia="sk-SK"/>
              </w:rPr>
            </w:pPr>
            <w:r w:rsidRPr="00F35306">
              <w:rPr>
                <w:rFonts w:eastAsia="Times New Roman" w:cs="Segoe UI"/>
                <w:color w:val="000000"/>
                <w:sz w:val="18"/>
                <w:szCs w:val="18"/>
                <w:lang w:eastAsia="sk-SK"/>
              </w:rPr>
              <w:t>919 804</w:t>
            </w:r>
          </w:p>
        </w:tc>
        <w:tc>
          <w:tcPr>
            <w:tcW w:w="614" w:type="pct"/>
            <w:tcBorders>
              <w:top w:val="nil"/>
              <w:left w:val="nil"/>
              <w:right w:val="nil"/>
            </w:tcBorders>
            <w:shd w:val="clear" w:color="000000" w:fill="FFFFFF"/>
            <w:noWrap/>
            <w:vAlign w:val="center"/>
            <w:hideMark/>
          </w:tcPr>
          <w:p w14:paraId="35ABC1AC" w14:textId="77777777" w:rsidR="00E837BB" w:rsidRPr="00F35306" w:rsidRDefault="00E837BB" w:rsidP="0019343E">
            <w:pPr>
              <w:spacing w:after="0"/>
              <w:jc w:val="right"/>
              <w:rPr>
                <w:rFonts w:eastAsia="Times New Roman" w:cs="Segoe UI"/>
                <w:color w:val="000000"/>
                <w:sz w:val="18"/>
                <w:szCs w:val="18"/>
                <w:lang w:eastAsia="sk-SK"/>
              </w:rPr>
            </w:pPr>
            <w:r w:rsidRPr="00F35306">
              <w:rPr>
                <w:rFonts w:eastAsia="Times New Roman" w:cs="Segoe UI"/>
                <w:color w:val="000000"/>
                <w:sz w:val="18"/>
                <w:szCs w:val="18"/>
                <w:lang w:eastAsia="sk-SK"/>
              </w:rPr>
              <w:t>1 018 922</w:t>
            </w:r>
          </w:p>
        </w:tc>
        <w:tc>
          <w:tcPr>
            <w:tcW w:w="612" w:type="pct"/>
            <w:tcBorders>
              <w:top w:val="nil"/>
              <w:left w:val="nil"/>
              <w:right w:val="nil"/>
            </w:tcBorders>
            <w:shd w:val="clear" w:color="000000" w:fill="FFFFFF"/>
            <w:vAlign w:val="center"/>
          </w:tcPr>
          <w:p w14:paraId="1931AAF8" w14:textId="77777777" w:rsidR="00E837BB" w:rsidRPr="00F35306" w:rsidRDefault="00E837BB" w:rsidP="0019343E">
            <w:pPr>
              <w:spacing w:after="0"/>
              <w:jc w:val="right"/>
              <w:rPr>
                <w:rFonts w:eastAsia="Times New Roman" w:cs="Segoe UI"/>
                <w:color w:val="000000"/>
                <w:sz w:val="18"/>
                <w:szCs w:val="18"/>
                <w:lang w:eastAsia="sk-SK"/>
              </w:rPr>
            </w:pPr>
            <w:r w:rsidRPr="00F35306">
              <w:rPr>
                <w:rFonts w:eastAsia="Times New Roman" w:cs="Segoe UI"/>
                <w:color w:val="000000"/>
                <w:sz w:val="18"/>
                <w:szCs w:val="18"/>
                <w:lang w:eastAsia="sk-SK"/>
              </w:rPr>
              <w:t>99 118</w:t>
            </w:r>
          </w:p>
        </w:tc>
      </w:tr>
      <w:tr w:rsidR="00E837BB" w:rsidRPr="00CD7A26" w14:paraId="3F8087B5" w14:textId="77777777" w:rsidTr="00DB26F8">
        <w:trPr>
          <w:trHeight w:val="283"/>
        </w:trPr>
        <w:tc>
          <w:tcPr>
            <w:tcW w:w="3159" w:type="pct"/>
            <w:tcBorders>
              <w:top w:val="nil"/>
              <w:left w:val="nil"/>
              <w:bottom w:val="single" w:sz="4" w:space="0" w:color="auto"/>
              <w:right w:val="nil"/>
            </w:tcBorders>
            <w:shd w:val="clear" w:color="000000" w:fill="FFFFFF"/>
            <w:noWrap/>
            <w:vAlign w:val="center"/>
            <w:hideMark/>
          </w:tcPr>
          <w:p w14:paraId="2D3222D5" w14:textId="77777777" w:rsidR="00E837BB" w:rsidRPr="00F35306" w:rsidRDefault="00E837BB" w:rsidP="0019343E">
            <w:pPr>
              <w:spacing w:after="0"/>
              <w:jc w:val="left"/>
              <w:rPr>
                <w:rFonts w:eastAsia="Times New Roman" w:cs="Segoe UI"/>
                <w:color w:val="000000"/>
                <w:sz w:val="18"/>
                <w:szCs w:val="18"/>
                <w:lang w:eastAsia="sk-SK"/>
              </w:rPr>
            </w:pPr>
            <w:r w:rsidRPr="00F35306">
              <w:rPr>
                <w:rFonts w:eastAsia="Times New Roman" w:cs="Segoe UI"/>
                <w:color w:val="000000"/>
                <w:sz w:val="18"/>
                <w:szCs w:val="18"/>
                <w:lang w:eastAsia="sk-SK"/>
              </w:rPr>
              <w:t>ďalšie</w:t>
            </w:r>
          </w:p>
        </w:tc>
        <w:tc>
          <w:tcPr>
            <w:tcW w:w="614" w:type="pct"/>
            <w:tcBorders>
              <w:top w:val="nil"/>
              <w:left w:val="nil"/>
              <w:bottom w:val="single" w:sz="4" w:space="0" w:color="auto"/>
              <w:right w:val="nil"/>
            </w:tcBorders>
            <w:shd w:val="clear" w:color="000000" w:fill="FFFFFF"/>
            <w:noWrap/>
            <w:vAlign w:val="center"/>
            <w:hideMark/>
          </w:tcPr>
          <w:p w14:paraId="790E270D" w14:textId="77777777" w:rsidR="00E837BB" w:rsidRPr="00F35306" w:rsidRDefault="00E837BB" w:rsidP="0019343E">
            <w:pPr>
              <w:spacing w:after="0"/>
              <w:jc w:val="right"/>
              <w:rPr>
                <w:rFonts w:eastAsia="Times New Roman" w:cs="Segoe UI"/>
                <w:color w:val="000000"/>
                <w:sz w:val="18"/>
                <w:szCs w:val="18"/>
                <w:lang w:eastAsia="sk-SK"/>
              </w:rPr>
            </w:pPr>
            <w:r w:rsidRPr="00F35306">
              <w:rPr>
                <w:rFonts w:eastAsia="Times New Roman" w:cs="Segoe UI"/>
                <w:color w:val="000000"/>
                <w:sz w:val="18"/>
                <w:szCs w:val="18"/>
                <w:lang w:eastAsia="sk-SK"/>
              </w:rPr>
              <w:t>76 863</w:t>
            </w:r>
          </w:p>
        </w:tc>
        <w:tc>
          <w:tcPr>
            <w:tcW w:w="614" w:type="pct"/>
            <w:tcBorders>
              <w:top w:val="nil"/>
              <w:left w:val="nil"/>
              <w:bottom w:val="single" w:sz="4" w:space="0" w:color="auto"/>
              <w:right w:val="nil"/>
            </w:tcBorders>
            <w:shd w:val="clear" w:color="000000" w:fill="FFFFFF"/>
            <w:noWrap/>
            <w:vAlign w:val="center"/>
            <w:hideMark/>
          </w:tcPr>
          <w:p w14:paraId="2EFD26EB" w14:textId="77777777" w:rsidR="00E837BB" w:rsidRPr="00F35306" w:rsidRDefault="00E837BB" w:rsidP="0019343E">
            <w:pPr>
              <w:spacing w:after="0"/>
              <w:jc w:val="right"/>
              <w:rPr>
                <w:rFonts w:eastAsia="Times New Roman" w:cs="Segoe UI"/>
                <w:color w:val="000000"/>
                <w:sz w:val="18"/>
                <w:szCs w:val="18"/>
                <w:lang w:eastAsia="sk-SK"/>
              </w:rPr>
            </w:pPr>
            <w:r w:rsidRPr="00F35306">
              <w:rPr>
                <w:rFonts w:eastAsia="Times New Roman" w:cs="Segoe UI"/>
                <w:color w:val="000000"/>
                <w:sz w:val="18"/>
                <w:szCs w:val="18"/>
                <w:lang w:eastAsia="sk-SK"/>
              </w:rPr>
              <w:t>78 407</w:t>
            </w:r>
          </w:p>
        </w:tc>
        <w:tc>
          <w:tcPr>
            <w:tcW w:w="612" w:type="pct"/>
            <w:tcBorders>
              <w:top w:val="nil"/>
              <w:left w:val="nil"/>
              <w:bottom w:val="single" w:sz="4" w:space="0" w:color="auto"/>
              <w:right w:val="nil"/>
            </w:tcBorders>
            <w:shd w:val="clear" w:color="000000" w:fill="FFFFFF"/>
            <w:vAlign w:val="center"/>
          </w:tcPr>
          <w:p w14:paraId="40CACF53" w14:textId="77777777" w:rsidR="00E837BB" w:rsidRPr="00F35306" w:rsidRDefault="00E837BB" w:rsidP="0019343E">
            <w:pPr>
              <w:spacing w:after="0"/>
              <w:jc w:val="right"/>
              <w:rPr>
                <w:rFonts w:eastAsia="Times New Roman" w:cs="Segoe UI"/>
                <w:color w:val="000000"/>
                <w:sz w:val="18"/>
                <w:szCs w:val="18"/>
                <w:lang w:eastAsia="sk-SK"/>
              </w:rPr>
            </w:pPr>
            <w:r w:rsidRPr="00F35306">
              <w:rPr>
                <w:rFonts w:eastAsia="Times New Roman" w:cs="Segoe UI"/>
                <w:color w:val="000000"/>
                <w:sz w:val="18"/>
                <w:szCs w:val="18"/>
                <w:lang w:eastAsia="sk-SK"/>
              </w:rPr>
              <w:t>1 544</w:t>
            </w:r>
          </w:p>
        </w:tc>
      </w:tr>
    </w:tbl>
    <w:p w14:paraId="40E2FB74" w14:textId="77777777" w:rsidR="00BE3A2B" w:rsidRPr="00CD7A26" w:rsidRDefault="00BE3A2B" w:rsidP="00BE3A2B">
      <w:pPr>
        <w:pStyle w:val="Zdroj"/>
      </w:pPr>
      <w:r w:rsidRPr="00CD7A26">
        <w:t>Zdroj: Návrh ŠZÚ 202</w:t>
      </w:r>
      <w:r>
        <w:t>3</w:t>
      </w:r>
      <w:r w:rsidRPr="00CD7A26">
        <w:t>, MF SR.</w:t>
      </w:r>
    </w:p>
    <w:p w14:paraId="303DAC85" w14:textId="18AC74EC" w:rsidR="003951EA" w:rsidRDefault="003951EA" w:rsidP="003951EA">
      <w:pPr>
        <w:rPr>
          <w:rFonts w:eastAsia="Calibri" w:cs="Times New Roman"/>
        </w:rPr>
      </w:pPr>
      <w:r w:rsidRPr="00CD7A26">
        <w:rPr>
          <w:rFonts w:eastAsia="Calibri" w:cs="Times New Roman"/>
          <w:b/>
        </w:rPr>
        <w:t xml:space="preserve">Medzi najvýznamnejšie pohyby možno zaradiť </w:t>
      </w:r>
      <w:r>
        <w:rPr>
          <w:rFonts w:eastAsia="Calibri" w:cs="Times New Roman"/>
          <w:b/>
        </w:rPr>
        <w:t xml:space="preserve">odpustenie splátok návratných finančných výpomocí (NFV) obciam a VÚC vo výške 152 mil. eur </w:t>
      </w:r>
      <w:r w:rsidRPr="00F0243A">
        <w:rPr>
          <w:rFonts w:eastAsia="Calibri" w:cs="Times New Roman"/>
        </w:rPr>
        <w:t>(</w:t>
      </w:r>
      <w:r w:rsidR="00322F02">
        <w:rPr>
          <w:rFonts w:eastAsia="Calibri" w:cs="Times New Roman"/>
        </w:rPr>
        <w:t xml:space="preserve">box </w:t>
      </w:r>
      <w:r w:rsidR="006922FF">
        <w:rPr>
          <w:rFonts w:eastAsia="Calibri" w:cs="Times New Roman"/>
        </w:rPr>
        <w:t>5</w:t>
      </w:r>
      <w:r w:rsidRPr="00F0243A">
        <w:rPr>
          <w:rFonts w:eastAsia="Calibri" w:cs="Times New Roman"/>
        </w:rPr>
        <w:t xml:space="preserve">) </w:t>
      </w:r>
      <w:r>
        <w:rPr>
          <w:rFonts w:eastAsia="Calibri" w:cs="Times New Roman"/>
          <w:b/>
        </w:rPr>
        <w:t xml:space="preserve">a transfer MZ SR na pokračujúce oddlžovanie v sume 83 mil. eur </w:t>
      </w:r>
      <w:r w:rsidRPr="002D3C11">
        <w:rPr>
          <w:rFonts w:eastAsia="Calibri" w:cs="Times New Roman"/>
        </w:rPr>
        <w:t>(</w:t>
      </w:r>
      <w:r w:rsidR="00E42368">
        <w:rPr>
          <w:rFonts w:eastAsia="Calibri" w:cs="Times New Roman"/>
        </w:rPr>
        <w:t>viac</w:t>
      </w:r>
      <w:r w:rsidRPr="002D3C11">
        <w:rPr>
          <w:rFonts w:eastAsia="Calibri" w:cs="Times New Roman"/>
        </w:rPr>
        <w:t xml:space="preserve"> v kapitole </w:t>
      </w:r>
      <w:r w:rsidR="00E42368">
        <w:rPr>
          <w:rFonts w:eastAsia="Calibri" w:cs="Times New Roman"/>
        </w:rPr>
        <w:t>5.1</w:t>
      </w:r>
      <w:r w:rsidRPr="002D3C11">
        <w:rPr>
          <w:rFonts w:eastAsia="Calibri" w:cs="Times New Roman"/>
        </w:rPr>
        <w:t>)</w:t>
      </w:r>
      <w:r>
        <w:rPr>
          <w:rFonts w:eastAsia="Calibri" w:cs="Times New Roman"/>
          <w:b/>
        </w:rPr>
        <w:t>.</w:t>
      </w:r>
      <w:r>
        <w:rPr>
          <w:rFonts w:eastAsia="Calibri" w:cs="Times New Roman"/>
        </w:rPr>
        <w:t xml:space="preserve"> Z osobitného odvodu finančných inštitúcií boli použité prostriedky v celkovej výške 189 mil. eur na investičný projekt Valaliky (89 mil. eur) a zvyšovanie ZI v DMD Group a. s. (90 mil. eur) a Letecké opravovne Trenčín, a. s. (10 mil. eur). Rozpočet na rok 2023 predpokladal tiež doplnenie ŠFA z výdavkov ŠR vo výške 750 mil. eur na kapitalizáciu existujúcich štátnych spoločností, pričom v skutočnosti k takémuto doplneniu zdrojov neprišlo. Počas predchádzajúcich rokov boli poskytované NFV najmä obciam a VÚC, pričom v roku 2023 neboli rozpočtované a an</w:t>
      </w:r>
      <w:r w:rsidR="00E42368">
        <w:rPr>
          <w:rFonts w:eastAsia="Calibri" w:cs="Times New Roman"/>
        </w:rPr>
        <w:t>i sa neposkytli.</w:t>
      </w:r>
    </w:p>
    <w:tbl>
      <w:tblPr>
        <w:tblStyle w:val="Mriekatabuky1"/>
        <w:tblW w:w="5000" w:type="pct"/>
        <w:tblBorders>
          <w:top w:val="single" w:sz="4" w:space="0" w:color="314364"/>
          <w:left w:val="single" w:sz="4" w:space="0" w:color="314364"/>
          <w:bottom w:val="single" w:sz="4" w:space="0" w:color="314364"/>
          <w:right w:val="single" w:sz="4" w:space="0" w:color="314364"/>
          <w:insideH w:val="none" w:sz="0" w:space="0" w:color="auto"/>
          <w:insideV w:val="none" w:sz="0" w:space="0" w:color="auto"/>
        </w:tblBorders>
        <w:shd w:val="clear" w:color="auto" w:fill="EBF0FB"/>
        <w:tblCellMar>
          <w:left w:w="70" w:type="dxa"/>
          <w:right w:w="70" w:type="dxa"/>
        </w:tblCellMar>
        <w:tblLook w:val="04A0" w:firstRow="1" w:lastRow="0" w:firstColumn="1" w:lastColumn="0" w:noHBand="0" w:noVBand="1"/>
      </w:tblPr>
      <w:tblGrid>
        <w:gridCol w:w="9060"/>
      </w:tblGrid>
      <w:tr w:rsidR="00BE3A2B" w:rsidRPr="00FB6DCC" w14:paraId="12BEF4F5" w14:textId="77777777" w:rsidTr="0019343E">
        <w:tc>
          <w:tcPr>
            <w:tcW w:w="5000" w:type="pct"/>
            <w:shd w:val="clear" w:color="auto" w:fill="EBF0FB"/>
          </w:tcPr>
          <w:p w14:paraId="09B7D841" w14:textId="42725EE8" w:rsidR="00BE3A2B" w:rsidRPr="00FB6DCC" w:rsidRDefault="00BE3A2B" w:rsidP="0019343E">
            <w:pPr>
              <w:spacing w:before="120"/>
              <w:ind w:right="163"/>
              <w:rPr>
                <w:rFonts w:eastAsia="Calibri" w:cs="Times New Roman"/>
                <w:b/>
              </w:rPr>
            </w:pPr>
            <w:r>
              <w:rPr>
                <w:rFonts w:eastAsia="Calibri" w:cs="Times New Roman"/>
                <w:b/>
              </w:rPr>
              <w:t xml:space="preserve">BOX </w:t>
            </w:r>
            <w:r w:rsidR="006922FF">
              <w:rPr>
                <w:rFonts w:eastAsia="Calibri" w:cs="Times New Roman"/>
                <w:b/>
              </w:rPr>
              <w:t>5</w:t>
            </w:r>
            <w:r w:rsidRPr="00FB6DCC">
              <w:rPr>
                <w:rFonts w:eastAsia="Calibri" w:cs="Times New Roman"/>
                <w:b/>
              </w:rPr>
              <w:t xml:space="preserve">: </w:t>
            </w:r>
            <w:r>
              <w:rPr>
                <w:rFonts w:eastAsia="Calibri" w:cs="Times New Roman"/>
                <w:b/>
              </w:rPr>
              <w:t>NFV poskytnuté obciam a VÚC počas pandémie COVID-19</w:t>
            </w:r>
          </w:p>
          <w:p w14:paraId="6CEFEF15" w14:textId="77777777" w:rsidR="00BE3A2B" w:rsidRDefault="00BE3A2B" w:rsidP="0019343E">
            <w:pPr>
              <w:rPr>
                <w:rFonts w:eastAsia="Times New Roman" w:cs="Segoe UI"/>
                <w:sz w:val="18"/>
                <w:szCs w:val="20"/>
              </w:rPr>
            </w:pPr>
            <w:r>
              <w:rPr>
                <w:rFonts w:eastAsia="Times New Roman" w:cs="Segoe UI"/>
                <w:b/>
                <w:sz w:val="18"/>
                <w:szCs w:val="20"/>
              </w:rPr>
              <w:t>Na začiatku pandémie COVID-19 v roku 2020 boli poskytnuté NFV celkovo 1 719 obciam a mestám vo výške 100 mil. eur a všetkým ôsmim samosprávnym krajom vo výške 52 mil. eur.</w:t>
            </w:r>
            <w:r w:rsidRPr="00FB6DCC">
              <w:rPr>
                <w:rFonts w:eastAsia="Times New Roman" w:cs="Segoe UI"/>
                <w:sz w:val="18"/>
                <w:szCs w:val="20"/>
              </w:rPr>
              <w:t xml:space="preserve"> </w:t>
            </w:r>
            <w:r w:rsidRPr="004813C6">
              <w:rPr>
                <w:rFonts w:eastAsia="Times New Roman" w:cs="Segoe UI"/>
                <w:sz w:val="18"/>
                <w:szCs w:val="20"/>
              </w:rPr>
              <w:t>Prostriedky</w:t>
            </w:r>
            <w:r>
              <w:rPr>
                <w:rFonts w:eastAsia="Times New Roman" w:cs="Segoe UI"/>
                <w:sz w:val="18"/>
                <w:szCs w:val="20"/>
              </w:rPr>
              <w:t xml:space="preserve"> zo ŠFA</w:t>
            </w:r>
            <w:r w:rsidRPr="004813C6">
              <w:rPr>
                <w:rFonts w:eastAsia="Times New Roman" w:cs="Segoe UI"/>
                <w:sz w:val="18"/>
                <w:szCs w:val="20"/>
              </w:rPr>
              <w:t xml:space="preserve"> boli určené na zmiernenie negatívneho dopadu pandémie COVID-19, ktorý</w:t>
            </w:r>
            <w:r>
              <w:rPr>
                <w:rFonts w:eastAsia="Times New Roman" w:cs="Segoe UI"/>
                <w:sz w:val="18"/>
                <w:szCs w:val="20"/>
              </w:rPr>
              <w:t xml:space="preserve"> </w:t>
            </w:r>
            <w:r w:rsidRPr="004813C6">
              <w:rPr>
                <w:rFonts w:eastAsia="Times New Roman" w:cs="Segoe UI"/>
                <w:sz w:val="18"/>
                <w:szCs w:val="20"/>
              </w:rPr>
              <w:t xml:space="preserve">predpokladal aj výpadok </w:t>
            </w:r>
            <w:r>
              <w:rPr>
                <w:rFonts w:eastAsia="Times New Roman" w:cs="Segoe UI"/>
                <w:sz w:val="18"/>
                <w:szCs w:val="20"/>
              </w:rPr>
              <w:t>DPFO (70 % výnosu pre mestá a obce a 30 % výnosu pre VÚC). Prostriedky v zmysle uznesenia vlády č. </w:t>
            </w:r>
            <w:r w:rsidRPr="00B61399">
              <w:rPr>
                <w:rFonts w:eastAsia="Times New Roman" w:cs="Segoe UI"/>
                <w:sz w:val="18"/>
                <w:szCs w:val="20"/>
              </w:rPr>
              <w:t>494/2020</w:t>
            </w:r>
            <w:r>
              <w:rPr>
                <w:rStyle w:val="Odkaznapoznmkupodiarou"/>
                <w:rFonts w:eastAsia="Times New Roman" w:cs="Segoe UI"/>
                <w:sz w:val="18"/>
                <w:szCs w:val="20"/>
              </w:rPr>
              <w:footnoteReference w:id="29"/>
            </w:r>
            <w:r>
              <w:rPr>
                <w:rFonts w:eastAsia="Times New Roman" w:cs="Segoe UI"/>
                <w:sz w:val="18"/>
                <w:szCs w:val="20"/>
              </w:rPr>
              <w:t xml:space="preserve"> mohli byť v maximálnej výške výpadku DPFO, poskytované bezúročne, s odloženou splatnosťou od 2024 a na základe žiadosti schválenej zastupiteľstvom pri splnení podmienok na dlh a bežné príjmy. </w:t>
            </w:r>
          </w:p>
          <w:p w14:paraId="4BB3DEAE" w14:textId="6F97FAC8" w:rsidR="00BE3A2B" w:rsidRDefault="00BE3A2B" w:rsidP="0019343E">
            <w:pPr>
              <w:rPr>
                <w:rFonts w:eastAsia="Times New Roman" w:cs="Segoe UI"/>
                <w:sz w:val="18"/>
                <w:szCs w:val="20"/>
              </w:rPr>
            </w:pPr>
            <w:r w:rsidRPr="00364008">
              <w:rPr>
                <w:rFonts w:eastAsia="Times New Roman" w:cs="Segoe UI"/>
                <w:b/>
                <w:sz w:val="18"/>
                <w:szCs w:val="20"/>
              </w:rPr>
              <w:t>Priemerná výška poskytnutých NFV pre obce bola 20 tis. eur, pre mestá a mestské časti 430 tis. eur a pre VÚC 6,5 mil. eur.</w:t>
            </w:r>
            <w:r>
              <w:rPr>
                <w:rFonts w:eastAsia="Times New Roman" w:cs="Segoe UI"/>
                <w:sz w:val="18"/>
                <w:szCs w:val="20"/>
              </w:rPr>
              <w:t xml:space="preserve"> Najvyššia suma NFV bola poskytnutá Bratislave na úrovni 9,3 mil. eur, za ktorou nasledovali kraje s NFV od 7,7 po 5,5 mil. eur. Spomedzi obcí dostala najviac Ivanka pri Dunaji (necelých 183 tis. eur) a najmenšiu NFV dostala obec </w:t>
            </w:r>
            <w:r w:rsidRPr="002C07B7">
              <w:rPr>
                <w:rFonts w:eastAsia="Times New Roman" w:cs="Segoe UI"/>
                <w:sz w:val="18"/>
                <w:szCs w:val="20"/>
              </w:rPr>
              <w:t>Krišľovce</w:t>
            </w:r>
            <w:r>
              <w:rPr>
                <w:rFonts w:eastAsia="Times New Roman" w:cs="Segoe UI"/>
                <w:sz w:val="18"/>
                <w:szCs w:val="20"/>
              </w:rPr>
              <w:t xml:space="preserve"> (397 eur). Po prepočítaní na jedného obyvateľa (graf 1</w:t>
            </w:r>
            <w:r w:rsidR="00773D5B">
              <w:rPr>
                <w:rFonts w:eastAsia="Times New Roman" w:cs="Segoe UI"/>
                <w:sz w:val="18"/>
                <w:szCs w:val="20"/>
              </w:rPr>
              <w:t>4</w:t>
            </w:r>
            <w:r>
              <w:rPr>
                <w:rFonts w:eastAsia="Times New Roman" w:cs="Segoe UI"/>
                <w:sz w:val="18"/>
                <w:szCs w:val="20"/>
              </w:rPr>
              <w:t>) dostala väčšina obcí 16 až 22 eur na obyvateľa, pričom najviac to bolo 115 eur v Červenom Kláštore (spolu 25 607 eur) a najmenej v košickej mestskej časti Juh 1,77 eur (spolu 40 tisíc eur).</w:t>
            </w:r>
          </w:p>
          <w:p w14:paraId="4E72A256" w14:textId="204367E9" w:rsidR="00BE3A2B" w:rsidRDefault="00BE3A2B" w:rsidP="0019343E">
            <w:pPr>
              <w:rPr>
                <w:rFonts w:eastAsia="Times New Roman" w:cs="Segoe UI"/>
                <w:sz w:val="18"/>
                <w:szCs w:val="20"/>
              </w:rPr>
            </w:pPr>
            <w:r w:rsidRPr="00500FD2">
              <w:rPr>
                <w:rFonts w:eastAsia="Times New Roman" w:cs="Segoe UI"/>
                <w:b/>
                <w:sz w:val="18"/>
                <w:szCs w:val="20"/>
              </w:rPr>
              <w:t>Rast cien energií a všeobecnej cenovej úrovne</w:t>
            </w:r>
            <w:r>
              <w:rPr>
                <w:rFonts w:eastAsia="Times New Roman" w:cs="Segoe UI"/>
                <w:b/>
                <w:sz w:val="18"/>
                <w:szCs w:val="20"/>
              </w:rPr>
              <w:t xml:space="preserve"> a ďalšie faktory</w:t>
            </w:r>
            <w:r w:rsidRPr="00500FD2">
              <w:rPr>
                <w:rFonts w:eastAsia="Times New Roman" w:cs="Segoe UI"/>
                <w:b/>
                <w:sz w:val="18"/>
                <w:szCs w:val="20"/>
              </w:rPr>
              <w:t xml:space="preserve"> spôsobil, že sa dlžníci začali obracať na MF SR so žiadosťami o odpustenie splátok NFV.</w:t>
            </w:r>
            <w:r>
              <w:rPr>
                <w:rFonts w:eastAsia="Times New Roman" w:cs="Segoe UI"/>
                <w:sz w:val="18"/>
                <w:szCs w:val="20"/>
              </w:rPr>
              <w:t xml:space="preserve"> </w:t>
            </w:r>
            <w:r w:rsidR="00160F4C">
              <w:rPr>
                <w:rFonts w:eastAsia="Times New Roman" w:cs="Segoe UI"/>
                <w:sz w:val="18"/>
                <w:szCs w:val="20"/>
              </w:rPr>
              <w:t>V</w:t>
            </w:r>
            <w:r>
              <w:rPr>
                <w:rFonts w:eastAsia="Times New Roman" w:cs="Segoe UI"/>
                <w:sz w:val="18"/>
                <w:szCs w:val="20"/>
              </w:rPr>
              <w:t>láda v auguste 2023</w:t>
            </w:r>
            <w:r>
              <w:rPr>
                <w:rStyle w:val="Odkaznapoznmkupodiarou"/>
                <w:rFonts w:eastAsia="Times New Roman" w:cs="Segoe UI"/>
                <w:sz w:val="18"/>
                <w:szCs w:val="20"/>
              </w:rPr>
              <w:footnoteReference w:id="30"/>
            </w:r>
            <w:r>
              <w:rPr>
                <w:rFonts w:eastAsia="Times New Roman" w:cs="Segoe UI"/>
                <w:sz w:val="18"/>
                <w:szCs w:val="20"/>
              </w:rPr>
              <w:t xml:space="preserve"> rozhodla o odpustení splátok v </w:t>
            </w:r>
            <w:r w:rsidR="00160F4C">
              <w:rPr>
                <w:rFonts w:eastAsia="Times New Roman" w:cs="Segoe UI"/>
                <w:sz w:val="18"/>
                <w:szCs w:val="20"/>
              </w:rPr>
              <w:t>sum</w:t>
            </w:r>
            <w:r>
              <w:rPr>
                <w:rFonts w:eastAsia="Times New Roman" w:cs="Segoe UI"/>
                <w:sz w:val="18"/>
                <w:szCs w:val="20"/>
              </w:rPr>
              <w:t xml:space="preserve">e 152 mil. eur. Rozdiel medzi poskytnutými a odpustenými NFV je </w:t>
            </w:r>
            <w:r w:rsidR="00160F4C">
              <w:rPr>
                <w:rFonts w:eastAsia="Times New Roman" w:cs="Segoe UI"/>
                <w:sz w:val="18"/>
                <w:szCs w:val="20"/>
              </w:rPr>
              <w:t>takmer</w:t>
            </w:r>
            <w:r>
              <w:rPr>
                <w:rFonts w:eastAsia="Times New Roman" w:cs="Segoe UI"/>
                <w:sz w:val="18"/>
                <w:szCs w:val="20"/>
              </w:rPr>
              <w:t xml:space="preserve"> 100 tis. eur</w:t>
            </w:r>
            <w:r w:rsidR="00160F4C">
              <w:rPr>
                <w:rFonts w:eastAsia="Times New Roman" w:cs="Segoe UI"/>
                <w:sz w:val="18"/>
                <w:szCs w:val="20"/>
              </w:rPr>
              <w:t>.</w:t>
            </w:r>
            <w:r>
              <w:rPr>
                <w:rFonts w:eastAsia="Times New Roman" w:cs="Segoe UI"/>
                <w:sz w:val="18"/>
                <w:szCs w:val="20"/>
              </w:rPr>
              <w:t xml:space="preserve"> </w:t>
            </w:r>
            <w:r w:rsidR="00160F4C">
              <w:rPr>
                <w:rFonts w:eastAsia="Times New Roman" w:cs="Segoe UI"/>
                <w:sz w:val="18"/>
                <w:szCs w:val="20"/>
              </w:rPr>
              <w:t>M</w:t>
            </w:r>
            <w:r w:rsidRPr="008F33BB">
              <w:rPr>
                <w:rFonts w:eastAsia="Times New Roman" w:cs="Segoe UI"/>
                <w:sz w:val="18"/>
                <w:szCs w:val="20"/>
              </w:rPr>
              <w:t>estská časť Bratislava - Nové Mesto</w:t>
            </w:r>
            <w:r>
              <w:rPr>
                <w:rFonts w:eastAsia="Times New Roman" w:cs="Segoe UI"/>
                <w:sz w:val="18"/>
                <w:szCs w:val="20"/>
              </w:rPr>
              <w:t xml:space="preserve"> a mesto Hlohovec nevyčerpali celú alokáciu NFV a</w:t>
            </w:r>
            <w:r w:rsidR="00160F4C">
              <w:rPr>
                <w:rFonts w:eastAsia="Times New Roman" w:cs="Segoe UI"/>
                <w:sz w:val="18"/>
                <w:szCs w:val="20"/>
              </w:rPr>
              <w:t xml:space="preserve"> táto </w:t>
            </w:r>
            <w:r>
              <w:rPr>
                <w:rFonts w:eastAsia="Times New Roman" w:cs="Segoe UI"/>
                <w:sz w:val="18"/>
                <w:szCs w:val="20"/>
              </w:rPr>
              <w:t xml:space="preserve">nevyčerpaná časť sa vykazuje ako splátka NFV. </w:t>
            </w:r>
          </w:p>
          <w:p w14:paraId="1ECA9104" w14:textId="347CC743" w:rsidR="00BE3A2B" w:rsidRDefault="00BE3A2B" w:rsidP="0019343E">
            <w:pPr>
              <w:keepNext/>
              <w:spacing w:after="0"/>
              <w:rPr>
                <w:rFonts w:eastAsia="Calibri" w:cs="Times New Roman"/>
                <w:b/>
                <w:iCs/>
                <w:color w:val="314364"/>
                <w:sz w:val="18"/>
                <w:szCs w:val="18"/>
              </w:rPr>
            </w:pPr>
            <w:r>
              <w:rPr>
                <w:rFonts w:eastAsia="Calibri" w:cs="Times New Roman"/>
                <w:b/>
                <w:iCs/>
                <w:color w:val="314364"/>
                <w:sz w:val="18"/>
                <w:szCs w:val="18"/>
              </w:rPr>
              <w:lastRenderedPageBreak/>
              <w:t>Graf 1</w:t>
            </w:r>
            <w:r w:rsidR="00C9795B">
              <w:rPr>
                <w:rFonts w:eastAsia="Calibri" w:cs="Times New Roman"/>
                <w:b/>
                <w:iCs/>
                <w:color w:val="314364"/>
                <w:sz w:val="18"/>
                <w:szCs w:val="18"/>
              </w:rPr>
              <w:t>4</w:t>
            </w:r>
            <w:r w:rsidRPr="00FB6DCC">
              <w:rPr>
                <w:rFonts w:eastAsia="Calibri" w:cs="Times New Roman"/>
                <w:b/>
                <w:iCs/>
                <w:color w:val="314364"/>
                <w:sz w:val="18"/>
                <w:szCs w:val="18"/>
              </w:rPr>
              <w:t xml:space="preserve">: </w:t>
            </w:r>
            <w:r>
              <w:rPr>
                <w:rFonts w:eastAsia="Calibri" w:cs="Times New Roman"/>
                <w:b/>
                <w:iCs/>
                <w:color w:val="314364"/>
                <w:sz w:val="18"/>
                <w:szCs w:val="18"/>
              </w:rPr>
              <w:t>Počty obcí v skupinách (histogram) podľa výšky NFV na obyvateľa</w:t>
            </w:r>
          </w:p>
          <w:tbl>
            <w:tblPr>
              <w:tblStyle w:val="Mriekatabuky"/>
              <w:tblW w:w="0" w:type="auto"/>
              <w:tblLook w:val="04A0" w:firstRow="1" w:lastRow="0" w:firstColumn="1" w:lastColumn="0" w:noHBand="0" w:noVBand="1"/>
            </w:tblPr>
            <w:tblGrid>
              <w:gridCol w:w="8841"/>
            </w:tblGrid>
            <w:tr w:rsidR="00BE3A2B" w14:paraId="51D32C38" w14:textId="77777777" w:rsidTr="0019343E">
              <w:trPr>
                <w:trHeight w:val="3118"/>
              </w:trPr>
              <w:tc>
                <w:tcPr>
                  <w:tcW w:w="8787" w:type="dxa"/>
                  <w:tcBorders>
                    <w:top w:val="single" w:sz="4" w:space="0" w:color="314364" w:themeColor="text2"/>
                    <w:left w:val="nil"/>
                    <w:bottom w:val="single" w:sz="4" w:space="0" w:color="314364" w:themeColor="text2"/>
                    <w:right w:val="nil"/>
                  </w:tcBorders>
                </w:tcPr>
                <w:p w14:paraId="5C29FCC6" w14:textId="77777777" w:rsidR="00BE3A2B" w:rsidRDefault="00BE3A2B" w:rsidP="0019343E">
                  <w:pPr>
                    <w:keepNext/>
                    <w:spacing w:after="0"/>
                    <w:rPr>
                      <w:rFonts w:eastAsia="Calibri" w:cs="Times New Roman"/>
                      <w:b/>
                      <w:iCs/>
                      <w:color w:val="314364"/>
                      <w:sz w:val="18"/>
                      <w:szCs w:val="18"/>
                    </w:rPr>
                  </w:pPr>
                  <w:r w:rsidRPr="00113ACD">
                    <w:rPr>
                      <w:noProof/>
                      <w:sz w:val="16"/>
                      <w:lang w:eastAsia="sk-SK"/>
                    </w:rPr>
                    <mc:AlternateContent>
                      <mc:Choice Requires="cx1">
                        <w:drawing>
                          <wp:inline distT="0" distB="0" distL="0" distR="0" wp14:anchorId="10B50CCA" wp14:editId="0CB8565C">
                            <wp:extent cx="5476875" cy="1952625"/>
                            <wp:effectExtent l="0" t="0" r="0" b="0"/>
                            <wp:docPr id="48" name="Graf 48"/>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29"/>
                              </a:graphicData>
                            </a:graphic>
                          </wp:inline>
                        </w:drawing>
                      </mc:Choice>
                      <mc:Fallback>
                        <w:drawing>
                          <wp:inline distT="0" distB="0" distL="0" distR="0" wp14:anchorId="10B50CCA" wp14:editId="0CB8565C">
                            <wp:extent cx="5476875" cy="1952625"/>
                            <wp:effectExtent l="0" t="0" r="0" b="0"/>
                            <wp:docPr id="48" name="Graf 48"/>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48" name="Graf 48"/>
                                    <pic:cNvPicPr>
                                      <a:picLocks noGrp="1" noRot="1" noChangeAspect="1" noMove="1" noResize="1" noEditPoints="1" noAdjustHandles="1" noChangeArrowheads="1" noChangeShapeType="1"/>
                                    </pic:cNvPicPr>
                                  </pic:nvPicPr>
                                  <pic:blipFill>
                                    <a:blip r:embed="rId33"/>
                                    <a:stretch>
                                      <a:fillRect/>
                                    </a:stretch>
                                  </pic:blipFill>
                                  <pic:spPr>
                                    <a:xfrm>
                                      <a:off x="0" y="0"/>
                                      <a:ext cx="5476875" cy="1952625"/>
                                    </a:xfrm>
                                    <a:prstGeom prst="rect">
                                      <a:avLst/>
                                    </a:prstGeom>
                                  </pic:spPr>
                                </pic:pic>
                              </a:graphicData>
                            </a:graphic>
                          </wp:inline>
                        </w:drawing>
                      </mc:Fallback>
                    </mc:AlternateContent>
                  </w:r>
                </w:p>
              </w:tc>
            </w:tr>
          </w:tbl>
          <w:p w14:paraId="2D543696" w14:textId="77777777" w:rsidR="00BE3A2B" w:rsidRPr="00FB6DCC" w:rsidRDefault="00BE3A2B" w:rsidP="0019343E">
            <w:pPr>
              <w:pStyle w:val="Zdroj"/>
            </w:pPr>
            <w:r>
              <w:t xml:space="preserve">Zdroj: MF SR, spracovanie NKÚ SR </w:t>
            </w:r>
          </w:p>
        </w:tc>
      </w:tr>
    </w:tbl>
    <w:p w14:paraId="49103ED6" w14:textId="7A35B674" w:rsidR="003951EA" w:rsidRPr="00F56CE3" w:rsidRDefault="00160F4C" w:rsidP="00E42368">
      <w:pPr>
        <w:spacing w:before="120"/>
        <w:rPr>
          <w:rFonts w:eastAsia="Calibri" w:cs="Times New Roman"/>
        </w:rPr>
      </w:pPr>
      <w:r>
        <w:rPr>
          <w:rFonts w:eastAsia="Times New Roman" w:cs="Segoe UI"/>
          <w:b/>
        </w:rPr>
        <w:lastRenderedPageBreak/>
        <w:t>V období</w:t>
      </w:r>
      <w:r w:rsidR="003951EA" w:rsidRPr="00D17D60">
        <w:rPr>
          <w:rFonts w:eastAsia="Times New Roman" w:cs="Segoe UI"/>
          <w:b/>
        </w:rPr>
        <w:t xml:space="preserve"> 2018 a 2023 boli zo ŠFA poskytnuté NFV v </w:t>
      </w:r>
      <w:r>
        <w:rPr>
          <w:rFonts w:eastAsia="Times New Roman" w:cs="Segoe UI"/>
          <w:b/>
        </w:rPr>
        <w:t>objeme</w:t>
      </w:r>
      <w:r w:rsidR="003951EA" w:rsidRPr="00D17D60">
        <w:rPr>
          <w:rFonts w:eastAsia="Times New Roman" w:cs="Segoe UI"/>
          <w:b/>
        </w:rPr>
        <w:t xml:space="preserve"> 400 mil. eur, z čoho bolo splatených 61 mil. eur, odpustených 152 mil. eur a ostáva splatiť zvyšných 187 mil. eur</w:t>
      </w:r>
      <w:r w:rsidR="003951EA">
        <w:rPr>
          <w:rFonts w:eastAsia="Times New Roman" w:cs="Segoe UI"/>
          <w:b/>
        </w:rPr>
        <w:t xml:space="preserve"> </w:t>
      </w:r>
      <w:r w:rsidR="003951EA">
        <w:rPr>
          <w:rFonts w:eastAsia="Times New Roman" w:cs="Segoe UI"/>
        </w:rPr>
        <w:t xml:space="preserve">(tabuľka </w:t>
      </w:r>
      <w:r w:rsidR="00054A22">
        <w:rPr>
          <w:rFonts w:eastAsia="Times New Roman" w:cs="Segoe UI"/>
        </w:rPr>
        <w:t>8 v prílohe</w:t>
      </w:r>
      <w:r w:rsidR="003951EA">
        <w:rPr>
          <w:rFonts w:eastAsia="Times New Roman" w:cs="Segoe UI"/>
        </w:rPr>
        <w:t>)</w:t>
      </w:r>
      <w:r w:rsidR="003951EA" w:rsidRPr="00D17D60">
        <w:rPr>
          <w:rFonts w:eastAsia="Times New Roman" w:cs="Segoe UI"/>
          <w:b/>
        </w:rPr>
        <w:t>.</w:t>
      </w:r>
      <w:r w:rsidR="003951EA" w:rsidRPr="00927A89">
        <w:rPr>
          <w:rFonts w:eastAsia="Times New Roman" w:cs="Segoe UI"/>
        </w:rPr>
        <w:t xml:space="preserve"> </w:t>
      </w:r>
      <w:r w:rsidR="003951EA">
        <w:rPr>
          <w:rFonts w:eastAsia="Times New Roman" w:cs="Segoe UI"/>
        </w:rPr>
        <w:t xml:space="preserve">Z celkovej poskytnutej sumy pripadá na kraje 208 mil. eur, obce a mestá 137 mil. eur a na ostatné subjekty 55 mil. eur. </w:t>
      </w:r>
      <w:r w:rsidR="003951EA" w:rsidRPr="00F56CE3">
        <w:rPr>
          <w:rFonts w:eastAsia="Calibri" w:cs="Times New Roman"/>
        </w:rPr>
        <w:t>Samosprávnym krajom bola NFV poskytnutá najmä na opravy a rekonštrukcie ciest a mostných objektov, mestám a obciam najmä na výpadok podielových daní počas pandémie (aj VÚC), výkon samosprávnych pôsobností v oblasti ciest, majetku a</w:t>
      </w:r>
      <w:r w:rsidR="006E53E1">
        <w:rPr>
          <w:rFonts w:eastAsia="Calibri" w:cs="Times New Roman"/>
        </w:rPr>
        <w:t> </w:t>
      </w:r>
      <w:r w:rsidR="003951EA" w:rsidRPr="00F56CE3">
        <w:rPr>
          <w:rFonts w:eastAsia="Calibri" w:cs="Times New Roman"/>
        </w:rPr>
        <w:t>MHD</w:t>
      </w:r>
      <w:r w:rsidR="006E53E1">
        <w:rPr>
          <w:rFonts w:eastAsia="Calibri" w:cs="Times New Roman"/>
        </w:rPr>
        <w:t>,</w:t>
      </w:r>
      <w:r w:rsidR="003951EA" w:rsidRPr="00F56CE3">
        <w:rPr>
          <w:rFonts w:eastAsia="Calibri" w:cs="Times New Roman"/>
        </w:rPr>
        <w:t xml:space="preserve"> a medzi ostatnými subjektmi sú cestovné kancelárie, spoločnosti GA Drilling a. s. a Tachyum s. r. o. Problémy so splácaním mali obce a VÚC, ktorým </w:t>
      </w:r>
      <w:r w:rsidR="003951EA">
        <w:rPr>
          <w:rFonts w:eastAsia="Calibri" w:cs="Times New Roman"/>
        </w:rPr>
        <w:t>bola časť odpustená</w:t>
      </w:r>
      <w:r w:rsidR="006E53E1">
        <w:rPr>
          <w:rFonts w:eastAsia="Calibri" w:cs="Times New Roman"/>
        </w:rPr>
        <w:t>,</w:t>
      </w:r>
      <w:r w:rsidR="003951EA" w:rsidRPr="00F56CE3">
        <w:rPr>
          <w:rFonts w:eastAsia="Calibri" w:cs="Times New Roman"/>
        </w:rPr>
        <w:t xml:space="preserve"> a posledn</w:t>
      </w:r>
      <w:r w:rsidR="006E53E1">
        <w:rPr>
          <w:rFonts w:eastAsia="Calibri" w:cs="Times New Roman"/>
        </w:rPr>
        <w:t>e</w:t>
      </w:r>
      <w:r w:rsidR="003951EA" w:rsidRPr="00F56CE3">
        <w:rPr>
          <w:rFonts w:eastAsia="Calibri" w:cs="Times New Roman"/>
        </w:rPr>
        <w:t xml:space="preserve"> menovaná spoločnosť. </w:t>
      </w:r>
    </w:p>
    <w:p w14:paraId="0F476D63" w14:textId="59AE1830" w:rsidR="003951EA" w:rsidRPr="00F56CE3" w:rsidRDefault="003951EA" w:rsidP="003951EA">
      <w:pPr>
        <w:rPr>
          <w:rFonts w:eastAsia="Calibri" w:cs="Times New Roman"/>
        </w:rPr>
      </w:pPr>
      <w:r w:rsidRPr="0057344B">
        <w:rPr>
          <w:rFonts w:eastAsia="Times New Roman" w:cs="Segoe UI"/>
          <w:b/>
        </w:rPr>
        <w:t xml:space="preserve">MF SR sa pri spoločnosti Tachyum, s. r. o. zachovalo obozretne, keď na </w:t>
      </w:r>
      <w:r>
        <w:rPr>
          <w:rFonts w:eastAsia="Times New Roman" w:cs="Segoe UI"/>
          <w:b/>
        </w:rPr>
        <w:t>nesplácanie NFV</w:t>
      </w:r>
      <w:r w:rsidRPr="0057344B">
        <w:rPr>
          <w:rFonts w:eastAsia="Times New Roman" w:cs="Segoe UI"/>
          <w:b/>
        </w:rPr>
        <w:t xml:space="preserve"> reagovalo konverziou pohľadávky na </w:t>
      </w:r>
      <w:r>
        <w:rPr>
          <w:rFonts w:eastAsia="Times New Roman" w:cs="Segoe UI"/>
          <w:b/>
        </w:rPr>
        <w:t xml:space="preserve">prioritné </w:t>
      </w:r>
      <w:r w:rsidRPr="0057344B">
        <w:rPr>
          <w:rFonts w:eastAsia="Times New Roman" w:cs="Segoe UI"/>
          <w:b/>
        </w:rPr>
        <w:t>akcie.</w:t>
      </w:r>
      <w:r>
        <w:rPr>
          <w:rFonts w:eastAsia="Times New Roman" w:cs="Segoe UI"/>
        </w:rPr>
        <w:t xml:space="preserve"> Podľa </w:t>
      </w:r>
      <w:r w:rsidRPr="00F56CE3">
        <w:rPr>
          <w:rFonts w:eastAsia="Calibri" w:cs="Times New Roman"/>
        </w:rPr>
        <w:t xml:space="preserve">uznesenia vlády SR č. 108 zo 6. </w:t>
      </w:r>
      <w:r w:rsidR="00160F4C">
        <w:rPr>
          <w:rFonts w:eastAsia="Calibri" w:cs="Times New Roman"/>
        </w:rPr>
        <w:t>3.</w:t>
      </w:r>
      <w:r w:rsidRPr="00F56CE3">
        <w:rPr>
          <w:rFonts w:eastAsia="Calibri" w:cs="Times New Roman"/>
        </w:rPr>
        <w:t xml:space="preserve"> 2019 bola poskytnutá </w:t>
      </w:r>
      <w:r w:rsidR="004D283B">
        <w:rPr>
          <w:rFonts w:eastAsia="Calibri" w:cs="Times New Roman"/>
        </w:rPr>
        <w:t>NFV</w:t>
      </w:r>
      <w:r w:rsidRPr="00F56CE3">
        <w:rPr>
          <w:rFonts w:eastAsia="Calibri" w:cs="Times New Roman"/>
        </w:rPr>
        <w:t xml:space="preserve"> pre spoločnosť Tachyum, s. r. o. vo výške 15 mil. eur na priemyselný výskum, pri splácaní od 2023 a úročení 4 % p. a. Splátky istiny a úrokov napriek výzvam MF SR neprebehli a ministerstvo využi</w:t>
      </w:r>
      <w:r w:rsidR="00160F4C">
        <w:rPr>
          <w:rFonts w:eastAsia="Calibri" w:cs="Times New Roman"/>
        </w:rPr>
        <w:t>lo</w:t>
      </w:r>
      <w:r w:rsidRPr="00F56CE3">
        <w:rPr>
          <w:rFonts w:eastAsia="Calibri" w:cs="Times New Roman"/>
        </w:rPr>
        <w:t xml:space="preserve"> zabezpečenie v podobe premeny na prioritné akcie Tachyum Ltd. Zástupcovia skupiny Tachyum sa pre MF SR vyjadrili, že plánujú využiť opciu na spätný nákup akcií vo výške istiny a príslušenstva. </w:t>
      </w:r>
    </w:p>
    <w:p w14:paraId="0BD21F99" w14:textId="7E91D18A" w:rsidR="00BB71F6" w:rsidRDefault="003951EA" w:rsidP="00E42368">
      <w:r w:rsidRPr="00FA3826">
        <w:rPr>
          <w:rFonts w:eastAsia="Calibri" w:cs="Times New Roman"/>
          <w:b/>
        </w:rPr>
        <w:t>NKÚ SR odporúča MF SR zvážiť úročenie všetkých NFV aktuálnym úročením štátnych dlhopisov alebo inou referenčnou hodnotou.</w:t>
      </w:r>
      <w:r>
        <w:rPr>
          <w:rFonts w:eastAsia="Calibri" w:cs="Times New Roman"/>
        </w:rPr>
        <w:t xml:space="preserve"> </w:t>
      </w:r>
      <w:r w:rsidRPr="00FA3826">
        <w:rPr>
          <w:rFonts w:eastAsia="Calibri" w:cs="Times New Roman"/>
        </w:rPr>
        <w:t xml:space="preserve">NFV zo ŠFA upravuje predovšetkým § 13 ods. 9 zákona 523/2004 Z. z. o rozpočtových pravidlách </w:t>
      </w:r>
      <w:r w:rsidR="004D283B">
        <w:rPr>
          <w:rFonts w:eastAsia="Calibri" w:cs="Times New Roman"/>
        </w:rPr>
        <w:t>VS</w:t>
      </w:r>
      <w:r w:rsidRPr="00FA3826">
        <w:rPr>
          <w:rFonts w:eastAsia="Calibri" w:cs="Times New Roman"/>
        </w:rPr>
        <w:t>. Každú NFV schvaľuje vláda a následne administruje MF SR. Jednotlivé zmluvy sa pripravujú individuálne a MF SR nemá k tejto oblasti bližšie interné usmernenie.</w:t>
      </w:r>
      <w:r>
        <w:rPr>
          <w:rFonts w:eastAsia="Calibri" w:cs="Times New Roman"/>
        </w:rPr>
        <w:t xml:space="preserve"> Splátka istiny smeruje naspäť na účet NFV a splátka úrokov (prísluš</w:t>
      </w:r>
      <w:r w:rsidR="004D283B">
        <w:rPr>
          <w:rFonts w:eastAsia="Calibri" w:cs="Times New Roman"/>
        </w:rPr>
        <w:t>enstva) je nedaňovým príjmom ŠR.</w:t>
      </w:r>
      <w:r w:rsidRPr="00FA3826">
        <w:rPr>
          <w:rFonts w:eastAsia="Calibri" w:cs="Times New Roman"/>
        </w:rPr>
        <w:t xml:space="preserve"> NFV sa poskytujú obciam a VÚC spravidla bezúročne a ostatným subjektom s rôznym úročením, za posledné roky od 0,49 % p. </w:t>
      </w:r>
      <w:r>
        <w:rPr>
          <w:rFonts w:eastAsia="Calibri" w:cs="Times New Roman"/>
        </w:rPr>
        <w:t>a. po 4 % p. a</w:t>
      </w:r>
      <w:r w:rsidRPr="00FA3826">
        <w:rPr>
          <w:rFonts w:eastAsia="Calibri" w:cs="Times New Roman"/>
        </w:rPr>
        <w:t xml:space="preserve">. </w:t>
      </w:r>
      <w:r>
        <w:rPr>
          <w:rFonts w:eastAsia="Calibri" w:cs="Times New Roman"/>
        </w:rPr>
        <w:t xml:space="preserve">NFV v rámci </w:t>
      </w:r>
      <w:r w:rsidR="004D283B">
        <w:rPr>
          <w:rFonts w:eastAsia="Calibri" w:cs="Times New Roman"/>
        </w:rPr>
        <w:t>VS</w:t>
      </w:r>
      <w:r>
        <w:rPr>
          <w:rFonts w:eastAsia="Calibri" w:cs="Times New Roman"/>
        </w:rPr>
        <w:t xml:space="preserve"> majú charakter bezúročnej pôžičky, pri súčasnom úročení štátnych dlhopisov na úrovni 3,75 % p. a. je pri dĺžke splatnosti úrokový diferenciál nezanedbateľný, čistá súčasná hodnota je záporná (súčasná hodnota splátok je nižšia než pôžička). Napríklad NFV pre Košický alebo aj Trenčiansky samosprávny kraj vo výške 20 mil. eur na 10 rokov by priniesli na úrokoch 7,5 mil. eur</w:t>
      </w:r>
      <w:r>
        <w:rPr>
          <w:rStyle w:val="Odkaznapoznmkupodiarou"/>
          <w:rFonts w:eastAsia="Calibri" w:cs="Times New Roman"/>
        </w:rPr>
        <w:footnoteReference w:id="31"/>
      </w:r>
      <w:r>
        <w:rPr>
          <w:rFonts w:eastAsia="Calibri" w:cs="Times New Roman"/>
        </w:rPr>
        <w:t xml:space="preserve">. </w:t>
      </w:r>
    </w:p>
    <w:p w14:paraId="50576A04" w14:textId="77777777" w:rsidR="00946B24" w:rsidRDefault="00946B24" w:rsidP="00946B24">
      <w:pPr>
        <w:pStyle w:val="Nadpis1"/>
      </w:pPr>
      <w:bookmarkStart w:id="25" w:name="_Toc168567193"/>
      <w:r>
        <w:lastRenderedPageBreak/>
        <w:t>Vzťah štátneho rozpočtu k EÚ</w:t>
      </w:r>
      <w:bookmarkEnd w:id="25"/>
    </w:p>
    <w:p w14:paraId="597C5B68" w14:textId="687AD1E9" w:rsidR="008E0E12" w:rsidRPr="00CE2D9D" w:rsidRDefault="008E0E12" w:rsidP="008E0E12">
      <w:pPr>
        <w:rPr>
          <w:rFonts w:eastAsia="Calibri" w:cs="Segoe UI"/>
        </w:rPr>
      </w:pPr>
      <w:r w:rsidRPr="00CE2D9D">
        <w:rPr>
          <w:rFonts w:eastAsia="Calibri" w:cs="Segoe UI"/>
          <w:b/>
        </w:rPr>
        <w:t>ŠR prijal z EÚ vlani 4,5 mld. eur, čo predstavuje 58,3 % z pôvodne rozpočtovanej sumy.</w:t>
      </w:r>
      <w:r w:rsidRPr="00CE2D9D">
        <w:rPr>
          <w:rFonts w:eastAsia="Calibri" w:cs="Segoe UI"/>
        </w:rPr>
        <w:t xml:space="preserve"> Príjmy z EÚ boli v roku 2023 dvakrát vyššie než v predchádzajúcom roku a zároveň odvody SR do rozpočtu </w:t>
      </w:r>
      <w:r>
        <w:rPr>
          <w:rFonts w:eastAsia="Calibri" w:cs="Segoe UI"/>
        </w:rPr>
        <w:t>EÚ boli nižšie ako v roku 2022.</w:t>
      </w:r>
    </w:p>
    <w:p w14:paraId="12CB83A5" w14:textId="7E1BC370" w:rsidR="008E0E12" w:rsidRDefault="008E0E12" w:rsidP="008E0E12">
      <w:pPr>
        <w:rPr>
          <w:rFonts w:eastAsia="Calibri" w:cs="Segoe UI"/>
        </w:rPr>
      </w:pPr>
      <w:r w:rsidRPr="00CE2D9D">
        <w:rPr>
          <w:rFonts w:eastAsia="Calibri" w:cs="Segoe UI"/>
          <w:b/>
        </w:rPr>
        <w:t xml:space="preserve">Za celé obdobie čerpania eurofondov je SR každoročne v pozícii čistého prijímateľa </w:t>
      </w:r>
      <w:r w:rsidRPr="00CE2D9D">
        <w:rPr>
          <w:rFonts w:eastAsia="Calibri" w:cs="Segoe UI"/>
        </w:rPr>
        <w:t>(graf 1</w:t>
      </w:r>
      <w:r>
        <w:rPr>
          <w:rFonts w:eastAsia="Calibri" w:cs="Segoe UI"/>
        </w:rPr>
        <w:t>5</w:t>
      </w:r>
      <w:r w:rsidRPr="00CE2D9D">
        <w:rPr>
          <w:rFonts w:eastAsia="Calibri" w:cs="Segoe UI"/>
        </w:rPr>
        <w:t xml:space="preserve">). Od roku 2004 prijala SR z rozpočtu EÚ spolu viac ako 37 mld. eur, pričom do rozpočtu EÚ odviedla 15,2 mld. Napriek tomu, že čistá finančná pozícia bola </w:t>
      </w:r>
      <w:r w:rsidR="0063134B">
        <w:rPr>
          <w:rFonts w:eastAsia="Calibri" w:cs="Segoe UI"/>
        </w:rPr>
        <w:t xml:space="preserve">v roku 2023 </w:t>
      </w:r>
      <w:r w:rsidRPr="00CE2D9D">
        <w:rPr>
          <w:rFonts w:eastAsia="Calibri" w:cs="Segoe UI"/>
        </w:rPr>
        <w:t xml:space="preserve">na úrovni 52,4 % z pôvodne rozpočtovanej sumy, v absolútnom vyjadrení bola na úrovni 3,44 mld. eur. </w:t>
      </w:r>
      <w:r>
        <w:rPr>
          <w:rFonts w:eastAsia="Calibri" w:cs="Segoe UI"/>
        </w:rPr>
        <w:t>Čistá</w:t>
      </w:r>
      <w:r w:rsidRPr="00CE2D9D">
        <w:rPr>
          <w:rFonts w:eastAsia="Calibri" w:cs="Segoe UI"/>
        </w:rPr>
        <w:t xml:space="preserve"> finančná pozícia ani v roku 2023 nepresiahla úroveň roka 2015</w:t>
      </w:r>
      <w:r w:rsidRPr="00CE2D9D">
        <w:rPr>
          <w:rStyle w:val="Odkaznapoznmkupodiarou"/>
          <w:rFonts w:eastAsia="Calibri" w:cs="Segoe UI"/>
        </w:rPr>
        <w:footnoteReference w:id="32"/>
      </w:r>
      <w:r w:rsidRPr="00CE2D9D">
        <w:rPr>
          <w:rFonts w:eastAsia="Calibri" w:cs="Segoe UI"/>
        </w:rPr>
        <w:t>, v ktorom boli príjmy z prostriedkov EÚ najvyššie v histórii (4,28 mld. eur a čistá finančná pozícia 3,59 mld. eur).</w:t>
      </w:r>
      <w:r w:rsidR="00A57228" w:rsidRPr="00A57228">
        <w:rPr>
          <w:rFonts w:eastAsia="Calibri" w:cs="Segoe UI"/>
          <w:b/>
        </w:rPr>
        <w:t xml:space="preserve"> </w:t>
      </w:r>
      <w:r w:rsidR="00A57228">
        <w:rPr>
          <w:rFonts w:eastAsia="Calibri" w:cs="Segoe UI"/>
          <w:b/>
        </w:rPr>
        <w:t>NKÚ SR upozorňuje, že napriek vysokému čerpaniu zdrojov z EÚ sa Slovensku nedarí dlhodobo systematicky znižovať modernizačný dlh.</w:t>
      </w:r>
    </w:p>
    <w:p w14:paraId="7BDCEA23" w14:textId="77777777" w:rsidR="002272FA" w:rsidRDefault="002272FA" w:rsidP="002272FA">
      <w:pPr>
        <w:pStyle w:val="Popis"/>
        <w:keepNext/>
      </w:pPr>
      <w:bookmarkStart w:id="26" w:name="_Toc136353527"/>
      <w:bookmarkStart w:id="27" w:name="_Toc167892015"/>
      <w:r>
        <w:t xml:space="preserve">Graf 15: </w:t>
      </w:r>
      <w:r w:rsidRPr="0091563D">
        <w:t xml:space="preserve">Vývoj čistej finančnej pozície </w:t>
      </w:r>
      <w:r>
        <w:t xml:space="preserve">SR </w:t>
      </w:r>
      <w:r w:rsidRPr="0091563D">
        <w:t xml:space="preserve">v rokoch 2004 – 2023 (v </w:t>
      </w:r>
      <w:r>
        <w:t>mld</w:t>
      </w:r>
      <w:r w:rsidRPr="0091563D">
        <w:t>. eur)</w:t>
      </w:r>
    </w:p>
    <w:tbl>
      <w:tblPr>
        <w:tblStyle w:val="Mriekatabuky"/>
        <w:tblW w:w="0" w:type="auto"/>
        <w:tblCellMar>
          <w:left w:w="70" w:type="dxa"/>
          <w:right w:w="70" w:type="dxa"/>
        </w:tblCellMar>
        <w:tblLook w:val="04A0" w:firstRow="1" w:lastRow="0" w:firstColumn="1" w:lastColumn="0" w:noHBand="0" w:noVBand="1"/>
      </w:tblPr>
      <w:tblGrid>
        <w:gridCol w:w="9070"/>
      </w:tblGrid>
      <w:tr w:rsidR="002272FA" w:rsidRPr="00F62E12" w14:paraId="11C4F0F4" w14:textId="77777777" w:rsidTr="00113ACD">
        <w:trPr>
          <w:trHeight w:val="3402"/>
        </w:trPr>
        <w:tc>
          <w:tcPr>
            <w:tcW w:w="9060" w:type="dxa"/>
            <w:tcBorders>
              <w:top w:val="single" w:sz="4" w:space="0" w:color="314364" w:themeColor="text2"/>
              <w:left w:val="nil"/>
              <w:bottom w:val="single" w:sz="4" w:space="0" w:color="314364" w:themeColor="text2"/>
              <w:right w:val="nil"/>
            </w:tcBorders>
          </w:tcPr>
          <w:p w14:paraId="650F29D6" w14:textId="77777777" w:rsidR="002272FA" w:rsidRPr="00F62E12" w:rsidRDefault="002272FA" w:rsidP="00113ACD">
            <w:pPr>
              <w:spacing w:after="0"/>
              <w:rPr>
                <w:color w:val="00B050"/>
              </w:rPr>
            </w:pPr>
            <w:r>
              <w:rPr>
                <w:noProof/>
                <w:lang w:eastAsia="sk-SK"/>
              </w:rPr>
              <w:drawing>
                <wp:inline distT="0" distB="0" distL="0" distR="0" wp14:anchorId="365803A1" wp14:editId="69900E1A">
                  <wp:extent cx="5759450" cy="2476500"/>
                  <wp:effectExtent l="0" t="0" r="0" b="0"/>
                  <wp:docPr id="12" name="Graf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tc>
      </w:tr>
    </w:tbl>
    <w:p w14:paraId="4B5C7DEE" w14:textId="77777777" w:rsidR="002272FA" w:rsidRPr="00731DEB" w:rsidRDefault="002272FA" w:rsidP="002272FA">
      <w:pPr>
        <w:pStyle w:val="Zdroj"/>
        <w:rPr>
          <w:lang w:eastAsia="sk-SK"/>
        </w:rPr>
      </w:pPr>
      <w:r w:rsidRPr="00731DEB">
        <w:rPr>
          <w:lang w:eastAsia="sk-SK"/>
        </w:rPr>
        <w:t>Zdroj: Návrh ŠZÚ 2023</w:t>
      </w:r>
      <w:r>
        <w:rPr>
          <w:lang w:eastAsia="sk-SK"/>
        </w:rPr>
        <w:t>.</w:t>
      </w:r>
    </w:p>
    <w:p w14:paraId="169274F0" w14:textId="770DA832" w:rsidR="008E0E12" w:rsidRDefault="008E0E12" w:rsidP="008E0E12">
      <w:pPr>
        <w:pStyle w:val="Nadpis2"/>
        <w:rPr>
          <w:color w:val="314364" w:themeColor="text2"/>
        </w:rPr>
      </w:pPr>
      <w:bookmarkStart w:id="28" w:name="_Toc168567194"/>
      <w:r>
        <w:rPr>
          <w:color w:val="314364" w:themeColor="text2"/>
        </w:rPr>
        <w:t>4</w:t>
      </w:r>
      <w:r w:rsidRPr="00B41B68">
        <w:rPr>
          <w:color w:val="314364" w:themeColor="text2"/>
        </w:rPr>
        <w:t>.1</w:t>
      </w:r>
      <w:r w:rsidR="00E43045">
        <w:rPr>
          <w:color w:val="314364" w:themeColor="text2"/>
        </w:rPr>
        <w:t xml:space="preserve"> </w:t>
      </w:r>
      <w:r w:rsidRPr="00B41B68">
        <w:rPr>
          <w:color w:val="314364" w:themeColor="text2"/>
        </w:rPr>
        <w:t xml:space="preserve"> PO 2014 – 2020</w:t>
      </w:r>
      <w:bookmarkEnd w:id="26"/>
      <w:bookmarkEnd w:id="27"/>
      <w:bookmarkEnd w:id="28"/>
    </w:p>
    <w:p w14:paraId="0B9CE020" w14:textId="77777777" w:rsidR="008E0E12" w:rsidRDefault="008E0E12" w:rsidP="008E0E12">
      <w:r w:rsidRPr="009110ED">
        <w:rPr>
          <w:b/>
        </w:rPr>
        <w:t>Na konci roka 2023 sa skončilo PO 2014 – 2020, kedy mohli byť uhradené výdavky prijímateľom a v roku 2024 pokračuje proces spracovávania týchto výdavkov na rôznych úrovniach.</w:t>
      </w:r>
      <w:r w:rsidRPr="009110ED">
        <w:t xml:space="preserve"> Lehota na deklarovanie výdavkov na EK je predĺžená do 31. 7. 2025. Definitívny stav celkového čerpania v rámci PO bude známy až po uplynutí tohto termínu. Toto PO bude definitívne uzavreté až po predložení záverečných účtov na EK vo februári 2026.</w:t>
      </w:r>
      <w:r>
        <w:rPr>
          <w:b/>
        </w:rPr>
        <w:t xml:space="preserve"> </w:t>
      </w:r>
      <w:r w:rsidRPr="00113ACD">
        <w:t>Zvýšené čerpanie finančných prostriedkov z EÚ na začiatku roka 2024 bolo zapríčinené financovaním na národnej úrovni a zaslaním posledných súhrnných žiadostí o platbu z riadiacich orgánov na certifikačný orgán MF SR.</w:t>
      </w:r>
      <w:r w:rsidRPr="00F32155">
        <w:t xml:space="preserve"> </w:t>
      </w:r>
      <w:r w:rsidRPr="009110ED">
        <w:t xml:space="preserve">Od začiatku januára </w:t>
      </w:r>
      <w:r>
        <w:t xml:space="preserve">do konca apríla </w:t>
      </w:r>
      <w:r w:rsidRPr="009110ED">
        <w:t>2024 sa z</w:t>
      </w:r>
      <w:r>
        <w:t> PO 2014 – 2020</w:t>
      </w:r>
      <w:r w:rsidRPr="009110ED">
        <w:t xml:space="preserve"> vyčerpalo viac ako 1,8 mld. eur, čo predstavuje približne 12,5 % z celkovej alokácie PO. </w:t>
      </w:r>
    </w:p>
    <w:p w14:paraId="1972B2E1" w14:textId="3A15E867" w:rsidR="008E0E12" w:rsidRDefault="00F965B0" w:rsidP="008E0E12">
      <w:pPr>
        <w:rPr>
          <w:rFonts w:eastAsia="Calibri" w:cs="Segoe UI"/>
        </w:rPr>
      </w:pPr>
      <w:r>
        <w:rPr>
          <w:b/>
        </w:rPr>
        <w:t xml:space="preserve">Do konca roka 2023 bolo uhradených prijímateľom 85,4 % z celkovej alokácie PO (12,4 mld. eur). </w:t>
      </w:r>
      <w:r w:rsidRPr="00113ACD">
        <w:t>MIRRI SR</w:t>
      </w:r>
      <w:r>
        <w:rPr>
          <w:rStyle w:val="Odkaznapoznmkupodiarou"/>
        </w:rPr>
        <w:footnoteReference w:id="33"/>
      </w:r>
      <w:r w:rsidRPr="00113ACD">
        <w:t xml:space="preserve"> a CO MF SR</w:t>
      </w:r>
      <w:r>
        <w:rPr>
          <w:rStyle w:val="Odkaznapoznmkupodiarou"/>
        </w:rPr>
        <w:footnoteReference w:id="34"/>
      </w:r>
      <w:r>
        <w:t xml:space="preserve">  vykázali</w:t>
      </w:r>
      <w:r w:rsidRPr="00C37A5D">
        <w:t xml:space="preserve"> </w:t>
      </w:r>
      <w:r>
        <w:t>v pravidelných monitoringoch</w:t>
      </w:r>
      <w:r w:rsidRPr="00113ACD">
        <w:t xml:space="preserve"> k 31.</w:t>
      </w:r>
      <w:r>
        <w:t xml:space="preserve"> </w:t>
      </w:r>
      <w:r w:rsidRPr="00113ACD">
        <w:t>12.</w:t>
      </w:r>
      <w:r>
        <w:t xml:space="preserve"> </w:t>
      </w:r>
      <w:r w:rsidRPr="00113ACD">
        <w:t xml:space="preserve">2023 </w:t>
      </w:r>
      <w:r>
        <w:t xml:space="preserve">vyššie čerpanie </w:t>
      </w:r>
      <w:r w:rsidRPr="00113ACD">
        <w:t>90,41 %</w:t>
      </w:r>
      <w:r w:rsidRPr="008F1E2A">
        <w:t xml:space="preserve">, </w:t>
      </w:r>
      <w:r>
        <w:t xml:space="preserve"> z dôvodu uplatnenia výnimky za 7. a 8. účtovný rok, kedy EK uhrádzala 100 % deklarovaných výdavkov. Na základe tejto výnimky EK previedla na mimorozpočtové účty CO (MF SR) výdavky za všetky zdroje </w:t>
      </w:r>
      <w:r>
        <w:lastRenderedPageBreak/>
        <w:t xml:space="preserve">spolu (EÚ zdroj + ŠR zdroj + vlastné zdroje prijímateľa). </w:t>
      </w:r>
      <w:r w:rsidR="008E0E12" w:rsidRPr="009110ED">
        <w:rPr>
          <w:rFonts w:eastAsia="Calibri" w:cs="Segoe UI"/>
          <w:b/>
        </w:rPr>
        <w:t xml:space="preserve">Výška finančných opráv z titulu nezrovnalostí stúpla v roku 2023 medziročne o 15,9 % na 453,08 mil. eur za zdroj EÚ </w:t>
      </w:r>
      <w:r w:rsidR="008E0E12" w:rsidRPr="009110ED">
        <w:rPr>
          <w:rFonts w:eastAsia="Calibri" w:cs="Segoe UI"/>
        </w:rPr>
        <w:t>(tabuľka 11). Najvyššie nezrovnalosti dosahuje OP Integrovaná infraštruktúra, Integrovaný regionálny OP a OP Ľudské zdroje.</w:t>
      </w:r>
    </w:p>
    <w:p w14:paraId="6045142A" w14:textId="77777777" w:rsidR="008E0E12" w:rsidRDefault="008E0E12" w:rsidP="008E0E12">
      <w:pPr>
        <w:pStyle w:val="Popis"/>
        <w:keepNext/>
      </w:pPr>
      <w:r>
        <w:t xml:space="preserve">Tabuľka 11: </w:t>
      </w:r>
      <w:r w:rsidRPr="00076CC2">
        <w:t>Výška finančných opráv z titulu nezrovnalostí v rámci PO 2014 – 2020 (v mil. eur)</w:t>
      </w:r>
    </w:p>
    <w:tbl>
      <w:tblPr>
        <w:tblW w:w="9062" w:type="dxa"/>
        <w:tblCellMar>
          <w:left w:w="70" w:type="dxa"/>
          <w:right w:w="70" w:type="dxa"/>
        </w:tblCellMar>
        <w:tblLook w:val="04A0" w:firstRow="1" w:lastRow="0" w:firstColumn="1" w:lastColumn="0" w:noHBand="0" w:noVBand="1"/>
      </w:tblPr>
      <w:tblGrid>
        <w:gridCol w:w="4464"/>
        <w:gridCol w:w="2179"/>
        <w:gridCol w:w="2419"/>
      </w:tblGrid>
      <w:tr w:rsidR="008E0E12" w:rsidRPr="00F62E12" w14:paraId="11D7FA70" w14:textId="77777777" w:rsidTr="003B1D74">
        <w:trPr>
          <w:trHeight w:val="283"/>
        </w:trPr>
        <w:tc>
          <w:tcPr>
            <w:tcW w:w="4464" w:type="dxa"/>
            <w:tcBorders>
              <w:top w:val="nil"/>
              <w:left w:val="nil"/>
              <w:bottom w:val="nil"/>
              <w:right w:val="nil"/>
            </w:tcBorders>
            <w:shd w:val="clear" w:color="000000" w:fill="314364"/>
            <w:noWrap/>
            <w:vAlign w:val="center"/>
            <w:hideMark/>
          </w:tcPr>
          <w:p w14:paraId="55237276" w14:textId="77777777" w:rsidR="008E0E12" w:rsidRPr="00284FBE" w:rsidRDefault="008E0E12" w:rsidP="003B1D74">
            <w:pPr>
              <w:spacing w:after="0" w:line="240" w:lineRule="auto"/>
              <w:jc w:val="left"/>
              <w:rPr>
                <w:rFonts w:eastAsia="Times New Roman" w:cs="Segoe UI"/>
                <w:b/>
                <w:bCs/>
                <w:color w:val="FFFFFF" w:themeColor="background1"/>
                <w:sz w:val="18"/>
                <w:szCs w:val="18"/>
                <w:lang w:eastAsia="sk-SK"/>
              </w:rPr>
            </w:pPr>
            <w:r w:rsidRPr="00284FBE">
              <w:rPr>
                <w:rFonts w:eastAsia="Times New Roman" w:cs="Segoe UI"/>
                <w:b/>
                <w:bCs/>
                <w:color w:val="FFFFFF" w:themeColor="background1"/>
                <w:sz w:val="18"/>
                <w:szCs w:val="18"/>
                <w:lang w:eastAsia="sk-SK"/>
              </w:rPr>
              <w:t>Operačný program</w:t>
            </w:r>
          </w:p>
        </w:tc>
        <w:tc>
          <w:tcPr>
            <w:tcW w:w="2179" w:type="dxa"/>
            <w:tcBorders>
              <w:top w:val="nil"/>
              <w:left w:val="nil"/>
              <w:bottom w:val="nil"/>
              <w:right w:val="nil"/>
            </w:tcBorders>
            <w:shd w:val="clear" w:color="000000" w:fill="314364"/>
            <w:noWrap/>
            <w:vAlign w:val="center"/>
            <w:hideMark/>
          </w:tcPr>
          <w:p w14:paraId="4BEB0596" w14:textId="77777777" w:rsidR="008E0E12" w:rsidRPr="00284FBE" w:rsidRDefault="008E0E12" w:rsidP="003B1D74">
            <w:pPr>
              <w:spacing w:after="0" w:line="240" w:lineRule="auto"/>
              <w:jc w:val="right"/>
              <w:rPr>
                <w:rFonts w:eastAsia="Times New Roman" w:cs="Segoe UI"/>
                <w:b/>
                <w:bCs/>
                <w:color w:val="FFFFFF" w:themeColor="background1"/>
                <w:sz w:val="18"/>
                <w:szCs w:val="18"/>
                <w:lang w:eastAsia="sk-SK"/>
              </w:rPr>
            </w:pPr>
            <w:r w:rsidRPr="00284FBE">
              <w:rPr>
                <w:rFonts w:eastAsia="Times New Roman" w:cs="Segoe UI"/>
                <w:b/>
                <w:bCs/>
                <w:color w:val="FFFFFF" w:themeColor="background1"/>
                <w:sz w:val="18"/>
                <w:szCs w:val="18"/>
                <w:lang w:eastAsia="sk-SK"/>
              </w:rPr>
              <w:t>EÚ zdroj</w:t>
            </w:r>
          </w:p>
        </w:tc>
        <w:tc>
          <w:tcPr>
            <w:tcW w:w="2419" w:type="dxa"/>
            <w:tcBorders>
              <w:top w:val="nil"/>
              <w:left w:val="nil"/>
              <w:bottom w:val="nil"/>
              <w:right w:val="nil"/>
            </w:tcBorders>
            <w:shd w:val="clear" w:color="000000" w:fill="314364"/>
            <w:noWrap/>
            <w:vAlign w:val="center"/>
            <w:hideMark/>
          </w:tcPr>
          <w:p w14:paraId="12423AD7" w14:textId="77777777" w:rsidR="008E0E12" w:rsidRPr="00284FBE" w:rsidRDefault="008E0E12" w:rsidP="003B1D74">
            <w:pPr>
              <w:spacing w:after="0" w:line="240" w:lineRule="auto"/>
              <w:jc w:val="right"/>
              <w:rPr>
                <w:rFonts w:eastAsia="Times New Roman" w:cs="Segoe UI"/>
                <w:b/>
                <w:bCs/>
                <w:color w:val="FFFFFF" w:themeColor="background1"/>
                <w:sz w:val="18"/>
                <w:szCs w:val="18"/>
                <w:lang w:eastAsia="sk-SK"/>
              </w:rPr>
            </w:pPr>
            <w:r w:rsidRPr="00284FBE">
              <w:rPr>
                <w:rFonts w:eastAsia="Times New Roman" w:cs="Segoe UI"/>
                <w:b/>
                <w:bCs/>
                <w:color w:val="FFFFFF" w:themeColor="background1"/>
                <w:sz w:val="18"/>
                <w:szCs w:val="18"/>
                <w:lang w:eastAsia="sk-SK"/>
              </w:rPr>
              <w:t>ŠR zdroj</w:t>
            </w:r>
          </w:p>
        </w:tc>
      </w:tr>
      <w:tr w:rsidR="008E0E12" w:rsidRPr="00F62E12" w14:paraId="776DF2D7" w14:textId="77777777" w:rsidTr="003B1D74">
        <w:trPr>
          <w:trHeight w:val="283"/>
        </w:trPr>
        <w:tc>
          <w:tcPr>
            <w:tcW w:w="4464" w:type="dxa"/>
            <w:tcBorders>
              <w:top w:val="nil"/>
              <w:left w:val="nil"/>
              <w:bottom w:val="nil"/>
              <w:right w:val="nil"/>
            </w:tcBorders>
            <w:shd w:val="clear" w:color="000000" w:fill="FFFFFF"/>
            <w:noWrap/>
            <w:vAlign w:val="center"/>
            <w:hideMark/>
          </w:tcPr>
          <w:p w14:paraId="25AF543C" w14:textId="77777777" w:rsidR="008E0E12" w:rsidRPr="00113ACD" w:rsidRDefault="008E0E12" w:rsidP="003B1D74">
            <w:pPr>
              <w:spacing w:after="0" w:line="240" w:lineRule="auto"/>
              <w:jc w:val="left"/>
              <w:rPr>
                <w:rFonts w:eastAsia="Times New Roman" w:cs="Segoe UI"/>
                <w:sz w:val="18"/>
                <w:szCs w:val="18"/>
                <w:lang w:eastAsia="sk-SK"/>
              </w:rPr>
            </w:pPr>
            <w:r w:rsidRPr="00113ACD">
              <w:rPr>
                <w:rFonts w:eastAsia="Times New Roman" w:cs="Segoe UI"/>
                <w:sz w:val="18"/>
                <w:szCs w:val="18"/>
                <w:lang w:eastAsia="sk-SK"/>
              </w:rPr>
              <w:t xml:space="preserve">OP Integrovaná infraštruktúra </w:t>
            </w:r>
          </w:p>
        </w:tc>
        <w:tc>
          <w:tcPr>
            <w:tcW w:w="2179" w:type="dxa"/>
            <w:tcBorders>
              <w:top w:val="nil"/>
              <w:left w:val="nil"/>
              <w:bottom w:val="nil"/>
              <w:right w:val="nil"/>
            </w:tcBorders>
            <w:shd w:val="clear" w:color="000000" w:fill="FFFFFF"/>
            <w:noWrap/>
            <w:vAlign w:val="center"/>
            <w:hideMark/>
          </w:tcPr>
          <w:p w14:paraId="523F4874" w14:textId="77777777" w:rsidR="008E0E12" w:rsidRPr="00113ACD" w:rsidRDefault="008E0E12" w:rsidP="003B1D74">
            <w:pPr>
              <w:spacing w:after="0" w:line="240" w:lineRule="auto"/>
              <w:jc w:val="right"/>
              <w:rPr>
                <w:rFonts w:eastAsia="Times New Roman" w:cs="Segoe UI"/>
                <w:sz w:val="18"/>
                <w:szCs w:val="18"/>
                <w:lang w:eastAsia="sk-SK"/>
              </w:rPr>
            </w:pPr>
            <w:r w:rsidRPr="00113ACD">
              <w:rPr>
                <w:rFonts w:eastAsia="Times New Roman" w:cs="Segoe UI"/>
                <w:sz w:val="18"/>
                <w:szCs w:val="18"/>
                <w:lang w:eastAsia="sk-SK"/>
              </w:rPr>
              <w:t>308,7</w:t>
            </w:r>
            <w:r>
              <w:rPr>
                <w:rFonts w:eastAsia="Times New Roman" w:cs="Segoe UI"/>
                <w:sz w:val="18"/>
                <w:szCs w:val="18"/>
                <w:lang w:eastAsia="sk-SK"/>
              </w:rPr>
              <w:t>0</w:t>
            </w:r>
          </w:p>
        </w:tc>
        <w:tc>
          <w:tcPr>
            <w:tcW w:w="2419" w:type="dxa"/>
            <w:tcBorders>
              <w:top w:val="nil"/>
              <w:left w:val="nil"/>
              <w:bottom w:val="nil"/>
              <w:right w:val="nil"/>
            </w:tcBorders>
            <w:shd w:val="clear" w:color="000000" w:fill="FFFFFF"/>
            <w:noWrap/>
            <w:vAlign w:val="center"/>
            <w:hideMark/>
          </w:tcPr>
          <w:p w14:paraId="60CB6EFE" w14:textId="77777777" w:rsidR="008E0E12" w:rsidRPr="00113ACD" w:rsidRDefault="008E0E12" w:rsidP="003B1D74">
            <w:pPr>
              <w:spacing w:after="0" w:line="240" w:lineRule="auto"/>
              <w:jc w:val="right"/>
              <w:rPr>
                <w:rFonts w:eastAsia="Times New Roman" w:cs="Segoe UI"/>
                <w:sz w:val="18"/>
                <w:szCs w:val="18"/>
                <w:lang w:eastAsia="sk-SK"/>
              </w:rPr>
            </w:pPr>
            <w:r w:rsidRPr="00113ACD">
              <w:rPr>
                <w:rFonts w:eastAsia="Times New Roman" w:cs="Segoe UI"/>
                <w:sz w:val="18"/>
                <w:szCs w:val="18"/>
                <w:lang w:eastAsia="sk-SK"/>
              </w:rPr>
              <w:t>48,45</w:t>
            </w:r>
          </w:p>
        </w:tc>
      </w:tr>
      <w:tr w:rsidR="008E0E12" w:rsidRPr="00F62E12" w14:paraId="196643A0" w14:textId="77777777" w:rsidTr="003B1D74">
        <w:trPr>
          <w:trHeight w:val="283"/>
        </w:trPr>
        <w:tc>
          <w:tcPr>
            <w:tcW w:w="4464" w:type="dxa"/>
            <w:tcBorders>
              <w:top w:val="nil"/>
              <w:left w:val="nil"/>
              <w:bottom w:val="nil"/>
              <w:right w:val="nil"/>
            </w:tcBorders>
            <w:shd w:val="clear" w:color="000000" w:fill="FFFFFF"/>
            <w:noWrap/>
            <w:vAlign w:val="center"/>
            <w:hideMark/>
          </w:tcPr>
          <w:p w14:paraId="500A29E0" w14:textId="77777777" w:rsidR="008E0E12" w:rsidRPr="00113ACD" w:rsidRDefault="008E0E12" w:rsidP="003B1D74">
            <w:pPr>
              <w:spacing w:after="0" w:line="240" w:lineRule="auto"/>
              <w:jc w:val="left"/>
              <w:rPr>
                <w:rFonts w:eastAsia="Times New Roman" w:cs="Segoe UI"/>
                <w:sz w:val="18"/>
                <w:szCs w:val="18"/>
                <w:lang w:eastAsia="sk-SK"/>
              </w:rPr>
            </w:pPr>
            <w:r w:rsidRPr="00113ACD">
              <w:rPr>
                <w:rFonts w:eastAsia="Times New Roman" w:cs="Segoe UI"/>
                <w:sz w:val="18"/>
                <w:szCs w:val="18"/>
                <w:lang w:eastAsia="sk-SK"/>
              </w:rPr>
              <w:t>OP Kvalita životného prostredia</w:t>
            </w:r>
          </w:p>
        </w:tc>
        <w:tc>
          <w:tcPr>
            <w:tcW w:w="2179" w:type="dxa"/>
            <w:tcBorders>
              <w:top w:val="nil"/>
              <w:left w:val="nil"/>
              <w:bottom w:val="nil"/>
              <w:right w:val="nil"/>
            </w:tcBorders>
            <w:shd w:val="clear" w:color="000000" w:fill="FFFFFF"/>
            <w:noWrap/>
            <w:vAlign w:val="center"/>
            <w:hideMark/>
          </w:tcPr>
          <w:p w14:paraId="30F5554F" w14:textId="77777777" w:rsidR="008E0E12" w:rsidRPr="00113ACD" w:rsidRDefault="008E0E12" w:rsidP="003B1D74">
            <w:pPr>
              <w:spacing w:after="0" w:line="240" w:lineRule="auto"/>
              <w:jc w:val="right"/>
              <w:rPr>
                <w:rFonts w:eastAsia="Times New Roman" w:cs="Segoe UI"/>
                <w:sz w:val="18"/>
                <w:szCs w:val="18"/>
                <w:lang w:eastAsia="sk-SK"/>
              </w:rPr>
            </w:pPr>
            <w:r w:rsidRPr="00113ACD">
              <w:rPr>
                <w:rFonts w:eastAsia="Times New Roman" w:cs="Segoe UI"/>
                <w:sz w:val="18"/>
                <w:szCs w:val="18"/>
                <w:lang w:eastAsia="sk-SK"/>
              </w:rPr>
              <w:t>19,87</w:t>
            </w:r>
          </w:p>
        </w:tc>
        <w:tc>
          <w:tcPr>
            <w:tcW w:w="2419" w:type="dxa"/>
            <w:tcBorders>
              <w:top w:val="nil"/>
              <w:left w:val="nil"/>
              <w:bottom w:val="nil"/>
              <w:right w:val="nil"/>
            </w:tcBorders>
            <w:shd w:val="clear" w:color="000000" w:fill="FFFFFF"/>
            <w:noWrap/>
            <w:vAlign w:val="center"/>
            <w:hideMark/>
          </w:tcPr>
          <w:p w14:paraId="4ED696DC" w14:textId="77777777" w:rsidR="008E0E12" w:rsidRPr="00113ACD" w:rsidRDefault="008E0E12" w:rsidP="003B1D74">
            <w:pPr>
              <w:spacing w:after="0" w:line="240" w:lineRule="auto"/>
              <w:jc w:val="right"/>
              <w:rPr>
                <w:rFonts w:eastAsia="Times New Roman" w:cs="Segoe UI"/>
                <w:sz w:val="18"/>
                <w:szCs w:val="18"/>
                <w:lang w:eastAsia="sk-SK"/>
              </w:rPr>
            </w:pPr>
            <w:r w:rsidRPr="00113ACD">
              <w:rPr>
                <w:rFonts w:eastAsia="Times New Roman" w:cs="Segoe UI"/>
                <w:sz w:val="18"/>
                <w:szCs w:val="18"/>
                <w:lang w:eastAsia="sk-SK"/>
              </w:rPr>
              <w:t>1,96</w:t>
            </w:r>
          </w:p>
        </w:tc>
      </w:tr>
      <w:tr w:rsidR="008E0E12" w:rsidRPr="00F62E12" w14:paraId="770AAF1F" w14:textId="77777777" w:rsidTr="003B1D74">
        <w:trPr>
          <w:trHeight w:val="283"/>
        </w:trPr>
        <w:tc>
          <w:tcPr>
            <w:tcW w:w="4464" w:type="dxa"/>
            <w:tcBorders>
              <w:top w:val="nil"/>
              <w:left w:val="nil"/>
              <w:bottom w:val="nil"/>
              <w:right w:val="nil"/>
            </w:tcBorders>
            <w:shd w:val="clear" w:color="000000" w:fill="FFFFFF"/>
            <w:noWrap/>
            <w:vAlign w:val="center"/>
            <w:hideMark/>
          </w:tcPr>
          <w:p w14:paraId="033D1277" w14:textId="77777777" w:rsidR="008E0E12" w:rsidRPr="00113ACD" w:rsidRDefault="008E0E12" w:rsidP="003B1D74">
            <w:pPr>
              <w:spacing w:after="0" w:line="240" w:lineRule="auto"/>
              <w:jc w:val="left"/>
              <w:rPr>
                <w:rFonts w:eastAsia="Times New Roman" w:cs="Segoe UI"/>
                <w:sz w:val="18"/>
                <w:szCs w:val="18"/>
                <w:lang w:eastAsia="sk-SK"/>
              </w:rPr>
            </w:pPr>
            <w:r w:rsidRPr="00113ACD">
              <w:rPr>
                <w:rFonts w:eastAsia="Times New Roman" w:cs="Segoe UI"/>
                <w:sz w:val="18"/>
                <w:szCs w:val="18"/>
                <w:lang w:eastAsia="sk-SK"/>
              </w:rPr>
              <w:t>OP Ľudské zdroje</w:t>
            </w:r>
          </w:p>
        </w:tc>
        <w:tc>
          <w:tcPr>
            <w:tcW w:w="2179" w:type="dxa"/>
            <w:tcBorders>
              <w:top w:val="nil"/>
              <w:left w:val="nil"/>
              <w:bottom w:val="nil"/>
              <w:right w:val="nil"/>
            </w:tcBorders>
            <w:shd w:val="clear" w:color="000000" w:fill="FFFFFF"/>
            <w:noWrap/>
            <w:vAlign w:val="center"/>
            <w:hideMark/>
          </w:tcPr>
          <w:p w14:paraId="58FA21B1" w14:textId="77777777" w:rsidR="008E0E12" w:rsidRPr="00113ACD" w:rsidRDefault="008E0E12" w:rsidP="003B1D74">
            <w:pPr>
              <w:spacing w:after="0" w:line="240" w:lineRule="auto"/>
              <w:jc w:val="right"/>
              <w:rPr>
                <w:rFonts w:eastAsia="Times New Roman" w:cs="Segoe UI"/>
                <w:sz w:val="18"/>
                <w:szCs w:val="18"/>
                <w:lang w:eastAsia="sk-SK"/>
              </w:rPr>
            </w:pPr>
            <w:r w:rsidRPr="00113ACD">
              <w:rPr>
                <w:rFonts w:eastAsia="Times New Roman" w:cs="Segoe UI"/>
                <w:sz w:val="18"/>
                <w:szCs w:val="18"/>
                <w:lang w:eastAsia="sk-SK"/>
              </w:rPr>
              <w:t>57,43</w:t>
            </w:r>
          </w:p>
        </w:tc>
        <w:tc>
          <w:tcPr>
            <w:tcW w:w="2419" w:type="dxa"/>
            <w:tcBorders>
              <w:top w:val="nil"/>
              <w:left w:val="nil"/>
              <w:bottom w:val="nil"/>
              <w:right w:val="nil"/>
            </w:tcBorders>
            <w:shd w:val="clear" w:color="000000" w:fill="FFFFFF"/>
            <w:noWrap/>
            <w:vAlign w:val="center"/>
            <w:hideMark/>
          </w:tcPr>
          <w:p w14:paraId="0EEB6191" w14:textId="77777777" w:rsidR="008E0E12" w:rsidRPr="00113ACD" w:rsidRDefault="008E0E12" w:rsidP="003B1D74">
            <w:pPr>
              <w:spacing w:after="0" w:line="240" w:lineRule="auto"/>
              <w:jc w:val="right"/>
              <w:rPr>
                <w:rFonts w:eastAsia="Times New Roman" w:cs="Segoe UI"/>
                <w:sz w:val="18"/>
                <w:szCs w:val="18"/>
                <w:lang w:eastAsia="sk-SK"/>
              </w:rPr>
            </w:pPr>
            <w:r w:rsidRPr="00113ACD">
              <w:rPr>
                <w:rFonts w:eastAsia="Times New Roman" w:cs="Segoe UI"/>
                <w:sz w:val="18"/>
                <w:szCs w:val="18"/>
                <w:lang w:eastAsia="sk-SK"/>
              </w:rPr>
              <w:t>10,45</w:t>
            </w:r>
          </w:p>
        </w:tc>
      </w:tr>
      <w:tr w:rsidR="008E0E12" w:rsidRPr="00F62E12" w14:paraId="08DC9AEF" w14:textId="77777777" w:rsidTr="003B1D74">
        <w:trPr>
          <w:trHeight w:val="283"/>
        </w:trPr>
        <w:tc>
          <w:tcPr>
            <w:tcW w:w="4464" w:type="dxa"/>
            <w:tcBorders>
              <w:top w:val="nil"/>
              <w:left w:val="nil"/>
              <w:bottom w:val="nil"/>
              <w:right w:val="nil"/>
            </w:tcBorders>
            <w:shd w:val="clear" w:color="000000" w:fill="FFFFFF"/>
            <w:noWrap/>
            <w:vAlign w:val="center"/>
            <w:hideMark/>
          </w:tcPr>
          <w:p w14:paraId="6FED21FC" w14:textId="77777777" w:rsidR="008E0E12" w:rsidRPr="00113ACD" w:rsidRDefault="008E0E12" w:rsidP="003B1D74">
            <w:pPr>
              <w:spacing w:after="0" w:line="240" w:lineRule="auto"/>
              <w:jc w:val="left"/>
              <w:rPr>
                <w:rFonts w:eastAsia="Times New Roman" w:cs="Segoe UI"/>
                <w:sz w:val="18"/>
                <w:szCs w:val="18"/>
                <w:lang w:eastAsia="sk-SK"/>
              </w:rPr>
            </w:pPr>
            <w:r w:rsidRPr="00113ACD">
              <w:rPr>
                <w:rFonts w:eastAsia="Times New Roman" w:cs="Segoe UI"/>
                <w:sz w:val="18"/>
                <w:szCs w:val="18"/>
                <w:lang w:eastAsia="sk-SK"/>
              </w:rPr>
              <w:t>Integrovaný regionálny OP</w:t>
            </w:r>
          </w:p>
        </w:tc>
        <w:tc>
          <w:tcPr>
            <w:tcW w:w="2179" w:type="dxa"/>
            <w:tcBorders>
              <w:top w:val="nil"/>
              <w:left w:val="nil"/>
              <w:bottom w:val="nil"/>
              <w:right w:val="nil"/>
            </w:tcBorders>
            <w:shd w:val="clear" w:color="000000" w:fill="FFFFFF"/>
            <w:noWrap/>
            <w:vAlign w:val="center"/>
            <w:hideMark/>
          </w:tcPr>
          <w:p w14:paraId="773DA5C6" w14:textId="77777777" w:rsidR="008E0E12" w:rsidRPr="00113ACD" w:rsidRDefault="008E0E12" w:rsidP="003B1D74">
            <w:pPr>
              <w:spacing w:after="0" w:line="240" w:lineRule="auto"/>
              <w:jc w:val="right"/>
              <w:rPr>
                <w:rFonts w:eastAsia="Times New Roman" w:cs="Segoe UI"/>
                <w:sz w:val="18"/>
                <w:szCs w:val="18"/>
                <w:lang w:eastAsia="sk-SK"/>
              </w:rPr>
            </w:pPr>
            <w:r w:rsidRPr="00113ACD">
              <w:rPr>
                <w:rFonts w:eastAsia="Times New Roman" w:cs="Segoe UI"/>
                <w:sz w:val="18"/>
                <w:szCs w:val="18"/>
                <w:lang w:eastAsia="sk-SK"/>
              </w:rPr>
              <w:t>58,37</w:t>
            </w:r>
          </w:p>
        </w:tc>
        <w:tc>
          <w:tcPr>
            <w:tcW w:w="2419" w:type="dxa"/>
            <w:tcBorders>
              <w:top w:val="nil"/>
              <w:left w:val="nil"/>
              <w:bottom w:val="nil"/>
              <w:right w:val="nil"/>
            </w:tcBorders>
            <w:shd w:val="clear" w:color="000000" w:fill="FFFFFF"/>
            <w:noWrap/>
            <w:vAlign w:val="center"/>
            <w:hideMark/>
          </w:tcPr>
          <w:p w14:paraId="130D860F" w14:textId="77777777" w:rsidR="008E0E12" w:rsidRPr="00113ACD" w:rsidRDefault="008E0E12" w:rsidP="003B1D74">
            <w:pPr>
              <w:spacing w:after="0" w:line="240" w:lineRule="auto"/>
              <w:jc w:val="right"/>
              <w:rPr>
                <w:rFonts w:eastAsia="Times New Roman" w:cs="Segoe UI"/>
                <w:sz w:val="18"/>
                <w:szCs w:val="18"/>
                <w:lang w:eastAsia="sk-SK"/>
              </w:rPr>
            </w:pPr>
            <w:r w:rsidRPr="00113ACD">
              <w:rPr>
                <w:rFonts w:eastAsia="Times New Roman" w:cs="Segoe UI"/>
                <w:sz w:val="18"/>
                <w:szCs w:val="18"/>
                <w:lang w:eastAsia="sk-SK"/>
              </w:rPr>
              <w:t>11,19</w:t>
            </w:r>
          </w:p>
        </w:tc>
      </w:tr>
      <w:tr w:rsidR="008E0E12" w:rsidRPr="00F62E12" w14:paraId="5B0FBDAA" w14:textId="77777777" w:rsidTr="003B1D74">
        <w:trPr>
          <w:trHeight w:val="283"/>
        </w:trPr>
        <w:tc>
          <w:tcPr>
            <w:tcW w:w="4464" w:type="dxa"/>
            <w:tcBorders>
              <w:top w:val="nil"/>
              <w:left w:val="nil"/>
              <w:bottom w:val="nil"/>
              <w:right w:val="nil"/>
            </w:tcBorders>
            <w:shd w:val="clear" w:color="000000" w:fill="FFFFFF"/>
            <w:noWrap/>
            <w:vAlign w:val="center"/>
            <w:hideMark/>
          </w:tcPr>
          <w:p w14:paraId="1230801E" w14:textId="77777777" w:rsidR="008E0E12" w:rsidRPr="00113ACD" w:rsidRDefault="008E0E12" w:rsidP="003B1D74">
            <w:pPr>
              <w:spacing w:after="0" w:line="240" w:lineRule="auto"/>
              <w:jc w:val="left"/>
              <w:rPr>
                <w:rFonts w:eastAsia="Times New Roman" w:cs="Segoe UI"/>
                <w:sz w:val="18"/>
                <w:szCs w:val="18"/>
                <w:lang w:eastAsia="sk-SK"/>
              </w:rPr>
            </w:pPr>
            <w:r w:rsidRPr="00113ACD">
              <w:rPr>
                <w:rFonts w:eastAsia="Times New Roman" w:cs="Segoe UI"/>
                <w:sz w:val="18"/>
                <w:szCs w:val="18"/>
                <w:lang w:eastAsia="sk-SK"/>
              </w:rPr>
              <w:t>OP Efektívna verejná správa</w:t>
            </w:r>
          </w:p>
        </w:tc>
        <w:tc>
          <w:tcPr>
            <w:tcW w:w="2179" w:type="dxa"/>
            <w:tcBorders>
              <w:top w:val="nil"/>
              <w:left w:val="nil"/>
              <w:bottom w:val="nil"/>
              <w:right w:val="nil"/>
            </w:tcBorders>
            <w:shd w:val="clear" w:color="000000" w:fill="FFFFFF"/>
            <w:noWrap/>
            <w:vAlign w:val="center"/>
            <w:hideMark/>
          </w:tcPr>
          <w:p w14:paraId="69AFC8B3" w14:textId="77777777" w:rsidR="008E0E12" w:rsidRPr="00113ACD" w:rsidRDefault="008E0E12" w:rsidP="003B1D74">
            <w:pPr>
              <w:spacing w:after="0" w:line="240" w:lineRule="auto"/>
              <w:jc w:val="right"/>
              <w:rPr>
                <w:rFonts w:eastAsia="Times New Roman" w:cs="Segoe UI"/>
                <w:sz w:val="18"/>
                <w:szCs w:val="18"/>
                <w:lang w:eastAsia="sk-SK"/>
              </w:rPr>
            </w:pPr>
            <w:r w:rsidRPr="00113ACD">
              <w:rPr>
                <w:rFonts w:eastAsia="Times New Roman" w:cs="Segoe UI"/>
                <w:sz w:val="18"/>
                <w:szCs w:val="18"/>
                <w:lang w:eastAsia="sk-SK"/>
              </w:rPr>
              <w:t>2,96</w:t>
            </w:r>
          </w:p>
        </w:tc>
        <w:tc>
          <w:tcPr>
            <w:tcW w:w="2419" w:type="dxa"/>
            <w:tcBorders>
              <w:top w:val="nil"/>
              <w:left w:val="nil"/>
              <w:bottom w:val="nil"/>
              <w:right w:val="nil"/>
            </w:tcBorders>
            <w:shd w:val="clear" w:color="000000" w:fill="FFFFFF"/>
            <w:noWrap/>
            <w:vAlign w:val="center"/>
            <w:hideMark/>
          </w:tcPr>
          <w:p w14:paraId="17B37803" w14:textId="77777777" w:rsidR="008E0E12" w:rsidRPr="00113ACD" w:rsidRDefault="008E0E12" w:rsidP="003B1D74">
            <w:pPr>
              <w:spacing w:after="0" w:line="240" w:lineRule="auto"/>
              <w:jc w:val="right"/>
              <w:rPr>
                <w:rFonts w:eastAsia="Times New Roman" w:cs="Segoe UI"/>
                <w:sz w:val="18"/>
                <w:szCs w:val="18"/>
                <w:lang w:eastAsia="sk-SK"/>
              </w:rPr>
            </w:pPr>
            <w:r w:rsidRPr="00113ACD">
              <w:rPr>
                <w:rFonts w:eastAsia="Times New Roman" w:cs="Segoe UI"/>
                <w:sz w:val="18"/>
                <w:szCs w:val="18"/>
                <w:lang w:eastAsia="sk-SK"/>
              </w:rPr>
              <w:t>0,59</w:t>
            </w:r>
          </w:p>
        </w:tc>
      </w:tr>
      <w:tr w:rsidR="008E0E12" w:rsidRPr="00F62E12" w14:paraId="30F121A6" w14:textId="77777777" w:rsidTr="003B1D74">
        <w:trPr>
          <w:trHeight w:val="283"/>
        </w:trPr>
        <w:tc>
          <w:tcPr>
            <w:tcW w:w="4464" w:type="dxa"/>
            <w:tcBorders>
              <w:top w:val="nil"/>
              <w:left w:val="nil"/>
              <w:bottom w:val="nil"/>
              <w:right w:val="nil"/>
            </w:tcBorders>
            <w:shd w:val="clear" w:color="000000" w:fill="FFFFFF"/>
            <w:noWrap/>
            <w:vAlign w:val="center"/>
            <w:hideMark/>
          </w:tcPr>
          <w:p w14:paraId="05EC13E7" w14:textId="77777777" w:rsidR="008E0E12" w:rsidRPr="00113ACD" w:rsidRDefault="008E0E12" w:rsidP="003B1D74">
            <w:pPr>
              <w:spacing w:after="0" w:line="240" w:lineRule="auto"/>
              <w:jc w:val="left"/>
              <w:rPr>
                <w:rFonts w:eastAsia="Times New Roman" w:cs="Segoe UI"/>
                <w:sz w:val="18"/>
                <w:szCs w:val="18"/>
                <w:lang w:eastAsia="sk-SK"/>
              </w:rPr>
            </w:pPr>
            <w:r w:rsidRPr="00113ACD">
              <w:rPr>
                <w:rFonts w:eastAsia="Times New Roman" w:cs="Segoe UI"/>
                <w:sz w:val="18"/>
                <w:szCs w:val="18"/>
                <w:lang w:eastAsia="sk-SK"/>
              </w:rPr>
              <w:t>OP Technická pomoc</w:t>
            </w:r>
          </w:p>
        </w:tc>
        <w:tc>
          <w:tcPr>
            <w:tcW w:w="2179" w:type="dxa"/>
            <w:tcBorders>
              <w:top w:val="nil"/>
              <w:left w:val="nil"/>
              <w:bottom w:val="nil"/>
              <w:right w:val="nil"/>
            </w:tcBorders>
            <w:shd w:val="clear" w:color="000000" w:fill="FFFFFF"/>
            <w:noWrap/>
            <w:vAlign w:val="center"/>
            <w:hideMark/>
          </w:tcPr>
          <w:p w14:paraId="4CC44308" w14:textId="77777777" w:rsidR="008E0E12" w:rsidRPr="00113ACD" w:rsidRDefault="008E0E12" w:rsidP="003B1D74">
            <w:pPr>
              <w:spacing w:after="0" w:line="240" w:lineRule="auto"/>
              <w:jc w:val="right"/>
              <w:rPr>
                <w:rFonts w:eastAsia="Times New Roman" w:cs="Segoe UI"/>
                <w:sz w:val="18"/>
                <w:szCs w:val="18"/>
                <w:lang w:eastAsia="sk-SK"/>
              </w:rPr>
            </w:pPr>
            <w:r w:rsidRPr="00113ACD">
              <w:rPr>
                <w:rFonts w:eastAsia="Times New Roman" w:cs="Segoe UI"/>
                <w:sz w:val="18"/>
                <w:szCs w:val="18"/>
                <w:lang w:eastAsia="sk-SK"/>
              </w:rPr>
              <w:t>2,27</w:t>
            </w:r>
          </w:p>
        </w:tc>
        <w:tc>
          <w:tcPr>
            <w:tcW w:w="2419" w:type="dxa"/>
            <w:tcBorders>
              <w:top w:val="nil"/>
              <w:left w:val="nil"/>
              <w:bottom w:val="nil"/>
              <w:right w:val="nil"/>
            </w:tcBorders>
            <w:shd w:val="clear" w:color="000000" w:fill="FFFFFF"/>
            <w:noWrap/>
            <w:vAlign w:val="center"/>
            <w:hideMark/>
          </w:tcPr>
          <w:p w14:paraId="204C7A00" w14:textId="77777777" w:rsidR="008E0E12" w:rsidRPr="00113ACD" w:rsidRDefault="008E0E12" w:rsidP="003B1D74">
            <w:pPr>
              <w:spacing w:after="0" w:line="240" w:lineRule="auto"/>
              <w:jc w:val="right"/>
              <w:rPr>
                <w:rFonts w:eastAsia="Times New Roman" w:cs="Segoe UI"/>
                <w:sz w:val="18"/>
                <w:szCs w:val="18"/>
                <w:lang w:eastAsia="sk-SK"/>
              </w:rPr>
            </w:pPr>
            <w:r w:rsidRPr="00113ACD">
              <w:rPr>
                <w:rFonts w:eastAsia="Times New Roman" w:cs="Segoe UI"/>
                <w:sz w:val="18"/>
                <w:szCs w:val="18"/>
                <w:lang w:eastAsia="sk-SK"/>
              </w:rPr>
              <w:t>0,4</w:t>
            </w:r>
            <w:r>
              <w:rPr>
                <w:rFonts w:eastAsia="Times New Roman" w:cs="Segoe UI"/>
                <w:sz w:val="18"/>
                <w:szCs w:val="18"/>
                <w:lang w:eastAsia="sk-SK"/>
              </w:rPr>
              <w:t>0</w:t>
            </w:r>
          </w:p>
        </w:tc>
      </w:tr>
      <w:tr w:rsidR="008E0E12" w:rsidRPr="00F62E12" w14:paraId="26CA300B" w14:textId="77777777" w:rsidTr="003B1D74">
        <w:trPr>
          <w:trHeight w:val="283"/>
        </w:trPr>
        <w:tc>
          <w:tcPr>
            <w:tcW w:w="4464" w:type="dxa"/>
            <w:tcBorders>
              <w:top w:val="nil"/>
              <w:left w:val="nil"/>
              <w:bottom w:val="nil"/>
              <w:right w:val="nil"/>
            </w:tcBorders>
            <w:shd w:val="clear" w:color="000000" w:fill="FFFFFF"/>
            <w:noWrap/>
            <w:vAlign w:val="center"/>
            <w:hideMark/>
          </w:tcPr>
          <w:p w14:paraId="2DA4BA5E" w14:textId="77777777" w:rsidR="008E0E12" w:rsidRPr="00113ACD" w:rsidRDefault="008E0E12" w:rsidP="003B1D74">
            <w:pPr>
              <w:spacing w:after="0" w:line="240" w:lineRule="auto"/>
              <w:jc w:val="left"/>
              <w:rPr>
                <w:rFonts w:eastAsia="Times New Roman" w:cs="Segoe UI"/>
                <w:sz w:val="18"/>
                <w:szCs w:val="18"/>
                <w:lang w:eastAsia="sk-SK"/>
              </w:rPr>
            </w:pPr>
            <w:r w:rsidRPr="00113ACD">
              <w:rPr>
                <w:rFonts w:eastAsia="Times New Roman" w:cs="Segoe UI"/>
                <w:sz w:val="18"/>
                <w:szCs w:val="18"/>
                <w:lang w:eastAsia="sk-SK"/>
              </w:rPr>
              <w:t xml:space="preserve">Program Interreg V-A SK-CZ </w:t>
            </w:r>
          </w:p>
        </w:tc>
        <w:tc>
          <w:tcPr>
            <w:tcW w:w="2179" w:type="dxa"/>
            <w:tcBorders>
              <w:top w:val="nil"/>
              <w:left w:val="nil"/>
              <w:bottom w:val="nil"/>
              <w:right w:val="nil"/>
            </w:tcBorders>
            <w:shd w:val="clear" w:color="000000" w:fill="FFFFFF"/>
            <w:noWrap/>
            <w:vAlign w:val="center"/>
            <w:hideMark/>
          </w:tcPr>
          <w:p w14:paraId="238E728E" w14:textId="77777777" w:rsidR="008E0E12" w:rsidRPr="00113ACD" w:rsidRDefault="008E0E12" w:rsidP="003B1D74">
            <w:pPr>
              <w:spacing w:after="0" w:line="240" w:lineRule="auto"/>
              <w:jc w:val="right"/>
              <w:rPr>
                <w:rFonts w:eastAsia="Times New Roman" w:cs="Segoe UI"/>
                <w:sz w:val="18"/>
                <w:szCs w:val="18"/>
                <w:lang w:eastAsia="sk-SK"/>
              </w:rPr>
            </w:pPr>
            <w:r w:rsidRPr="00113ACD">
              <w:rPr>
                <w:rFonts w:eastAsia="Times New Roman" w:cs="Segoe UI"/>
                <w:sz w:val="18"/>
                <w:szCs w:val="18"/>
                <w:lang w:eastAsia="sk-SK"/>
              </w:rPr>
              <w:t>2,57</w:t>
            </w:r>
          </w:p>
        </w:tc>
        <w:tc>
          <w:tcPr>
            <w:tcW w:w="2419" w:type="dxa"/>
            <w:tcBorders>
              <w:top w:val="nil"/>
              <w:left w:val="nil"/>
              <w:bottom w:val="nil"/>
              <w:right w:val="nil"/>
            </w:tcBorders>
            <w:shd w:val="clear" w:color="000000" w:fill="FFFFFF"/>
            <w:noWrap/>
            <w:vAlign w:val="center"/>
            <w:hideMark/>
          </w:tcPr>
          <w:p w14:paraId="2ACD733A" w14:textId="77777777" w:rsidR="008E0E12" w:rsidRPr="00113ACD" w:rsidRDefault="008E0E12" w:rsidP="003B1D74">
            <w:pPr>
              <w:spacing w:after="0" w:line="240" w:lineRule="auto"/>
              <w:jc w:val="right"/>
              <w:rPr>
                <w:rFonts w:eastAsia="Times New Roman" w:cs="Segoe UI"/>
                <w:sz w:val="18"/>
                <w:szCs w:val="18"/>
                <w:lang w:eastAsia="sk-SK"/>
              </w:rPr>
            </w:pPr>
            <w:r w:rsidRPr="00113ACD">
              <w:rPr>
                <w:rFonts w:eastAsia="Times New Roman" w:cs="Segoe UI"/>
                <w:sz w:val="18"/>
                <w:szCs w:val="18"/>
                <w:lang w:eastAsia="sk-SK"/>
              </w:rPr>
              <w:t>0,11</w:t>
            </w:r>
          </w:p>
        </w:tc>
      </w:tr>
      <w:tr w:rsidR="008E0E12" w:rsidRPr="00F62E12" w14:paraId="0819AA23" w14:textId="77777777" w:rsidTr="003B1D74">
        <w:trPr>
          <w:trHeight w:val="283"/>
        </w:trPr>
        <w:tc>
          <w:tcPr>
            <w:tcW w:w="4464" w:type="dxa"/>
            <w:tcBorders>
              <w:top w:val="nil"/>
              <w:left w:val="nil"/>
              <w:bottom w:val="nil"/>
              <w:right w:val="nil"/>
            </w:tcBorders>
            <w:shd w:val="clear" w:color="000000" w:fill="FFFFFF"/>
            <w:noWrap/>
            <w:vAlign w:val="center"/>
            <w:hideMark/>
          </w:tcPr>
          <w:p w14:paraId="35A1E3C6" w14:textId="77777777" w:rsidR="008E0E12" w:rsidRPr="00113ACD" w:rsidRDefault="008E0E12" w:rsidP="003B1D74">
            <w:pPr>
              <w:spacing w:after="0" w:line="240" w:lineRule="auto"/>
              <w:jc w:val="left"/>
              <w:rPr>
                <w:rFonts w:eastAsia="Times New Roman" w:cs="Segoe UI"/>
                <w:sz w:val="18"/>
                <w:szCs w:val="18"/>
                <w:lang w:eastAsia="sk-SK"/>
              </w:rPr>
            </w:pPr>
            <w:r w:rsidRPr="00113ACD">
              <w:rPr>
                <w:rFonts w:eastAsia="Times New Roman" w:cs="Segoe UI"/>
                <w:sz w:val="18"/>
                <w:szCs w:val="18"/>
                <w:lang w:eastAsia="sk-SK"/>
              </w:rPr>
              <w:t xml:space="preserve">Program Interreg V-A SK-AT </w:t>
            </w:r>
          </w:p>
        </w:tc>
        <w:tc>
          <w:tcPr>
            <w:tcW w:w="2179" w:type="dxa"/>
            <w:tcBorders>
              <w:top w:val="nil"/>
              <w:left w:val="nil"/>
              <w:bottom w:val="nil"/>
              <w:right w:val="nil"/>
            </w:tcBorders>
            <w:shd w:val="clear" w:color="000000" w:fill="FFFFFF"/>
            <w:noWrap/>
            <w:vAlign w:val="center"/>
            <w:hideMark/>
          </w:tcPr>
          <w:p w14:paraId="1EABEB3D" w14:textId="77777777" w:rsidR="008E0E12" w:rsidRPr="00113ACD" w:rsidRDefault="008E0E12" w:rsidP="003B1D74">
            <w:pPr>
              <w:spacing w:after="0" w:line="240" w:lineRule="auto"/>
              <w:jc w:val="right"/>
              <w:rPr>
                <w:rFonts w:eastAsia="Times New Roman" w:cs="Segoe UI"/>
                <w:sz w:val="18"/>
                <w:szCs w:val="18"/>
                <w:lang w:eastAsia="sk-SK"/>
              </w:rPr>
            </w:pPr>
            <w:r w:rsidRPr="00113ACD">
              <w:rPr>
                <w:rFonts w:eastAsia="Times New Roman" w:cs="Segoe UI"/>
                <w:sz w:val="18"/>
                <w:szCs w:val="18"/>
                <w:lang w:eastAsia="sk-SK"/>
              </w:rPr>
              <w:t>0,29</w:t>
            </w:r>
          </w:p>
        </w:tc>
        <w:tc>
          <w:tcPr>
            <w:tcW w:w="2419" w:type="dxa"/>
            <w:tcBorders>
              <w:top w:val="nil"/>
              <w:left w:val="nil"/>
              <w:bottom w:val="nil"/>
              <w:right w:val="nil"/>
            </w:tcBorders>
            <w:shd w:val="clear" w:color="000000" w:fill="FFFFFF"/>
            <w:noWrap/>
            <w:vAlign w:val="center"/>
            <w:hideMark/>
          </w:tcPr>
          <w:p w14:paraId="446C4180" w14:textId="77777777" w:rsidR="008E0E12" w:rsidRPr="00113ACD" w:rsidRDefault="008E0E12" w:rsidP="003B1D74">
            <w:pPr>
              <w:spacing w:after="0" w:line="240" w:lineRule="auto"/>
              <w:jc w:val="right"/>
              <w:rPr>
                <w:rFonts w:eastAsia="Times New Roman" w:cs="Segoe UI"/>
                <w:sz w:val="18"/>
                <w:szCs w:val="18"/>
                <w:lang w:eastAsia="sk-SK"/>
              </w:rPr>
            </w:pPr>
            <w:r w:rsidRPr="00113ACD">
              <w:rPr>
                <w:rFonts w:eastAsia="Times New Roman" w:cs="Segoe UI"/>
                <w:sz w:val="18"/>
                <w:szCs w:val="18"/>
                <w:lang w:eastAsia="sk-SK"/>
              </w:rPr>
              <w:t>0,01</w:t>
            </w:r>
          </w:p>
        </w:tc>
      </w:tr>
      <w:tr w:rsidR="008E0E12" w:rsidRPr="00F62E12" w14:paraId="35602358" w14:textId="77777777" w:rsidTr="003B1D74">
        <w:trPr>
          <w:trHeight w:val="283"/>
        </w:trPr>
        <w:tc>
          <w:tcPr>
            <w:tcW w:w="4464" w:type="dxa"/>
            <w:tcBorders>
              <w:top w:val="nil"/>
              <w:left w:val="nil"/>
              <w:bottom w:val="nil"/>
              <w:right w:val="nil"/>
            </w:tcBorders>
            <w:shd w:val="clear" w:color="000000" w:fill="FFFFFF"/>
            <w:noWrap/>
            <w:vAlign w:val="center"/>
            <w:hideMark/>
          </w:tcPr>
          <w:p w14:paraId="5BA0C400" w14:textId="77777777" w:rsidR="008E0E12" w:rsidRPr="00113ACD" w:rsidRDefault="008E0E12" w:rsidP="003B1D74">
            <w:pPr>
              <w:spacing w:after="0" w:line="240" w:lineRule="auto"/>
              <w:jc w:val="left"/>
              <w:rPr>
                <w:rFonts w:eastAsia="Times New Roman" w:cs="Segoe UI"/>
                <w:sz w:val="18"/>
                <w:szCs w:val="18"/>
                <w:lang w:eastAsia="sk-SK"/>
              </w:rPr>
            </w:pPr>
            <w:r w:rsidRPr="00113ACD">
              <w:rPr>
                <w:rFonts w:eastAsia="Times New Roman" w:cs="Segoe UI"/>
                <w:sz w:val="18"/>
                <w:szCs w:val="18"/>
                <w:lang w:eastAsia="sk-SK"/>
              </w:rPr>
              <w:t>PS INTERACT III*</w:t>
            </w:r>
          </w:p>
        </w:tc>
        <w:tc>
          <w:tcPr>
            <w:tcW w:w="2179" w:type="dxa"/>
            <w:tcBorders>
              <w:top w:val="nil"/>
              <w:left w:val="nil"/>
              <w:bottom w:val="nil"/>
              <w:right w:val="nil"/>
            </w:tcBorders>
            <w:shd w:val="clear" w:color="000000" w:fill="FFFFFF"/>
            <w:noWrap/>
            <w:vAlign w:val="center"/>
            <w:hideMark/>
          </w:tcPr>
          <w:p w14:paraId="418C122F" w14:textId="77777777" w:rsidR="008E0E12" w:rsidRPr="00113ACD" w:rsidRDefault="008E0E12" w:rsidP="003B1D74">
            <w:pPr>
              <w:spacing w:after="0" w:line="240" w:lineRule="auto"/>
              <w:jc w:val="right"/>
              <w:rPr>
                <w:rFonts w:eastAsia="Times New Roman" w:cs="Segoe UI"/>
                <w:sz w:val="18"/>
                <w:szCs w:val="18"/>
                <w:lang w:eastAsia="sk-SK"/>
              </w:rPr>
            </w:pPr>
            <w:r w:rsidRPr="00113ACD">
              <w:rPr>
                <w:rFonts w:eastAsia="Times New Roman" w:cs="Segoe UI"/>
                <w:sz w:val="18"/>
                <w:szCs w:val="18"/>
                <w:lang w:eastAsia="sk-SK"/>
              </w:rPr>
              <w:t>0,04</w:t>
            </w:r>
          </w:p>
        </w:tc>
        <w:tc>
          <w:tcPr>
            <w:tcW w:w="2419" w:type="dxa"/>
            <w:tcBorders>
              <w:top w:val="nil"/>
              <w:left w:val="nil"/>
              <w:bottom w:val="nil"/>
              <w:right w:val="nil"/>
            </w:tcBorders>
            <w:shd w:val="clear" w:color="000000" w:fill="FFFFFF"/>
            <w:noWrap/>
            <w:vAlign w:val="center"/>
            <w:hideMark/>
          </w:tcPr>
          <w:p w14:paraId="35A27B47" w14:textId="77777777" w:rsidR="008E0E12" w:rsidRPr="00113ACD" w:rsidRDefault="008E0E12" w:rsidP="003B1D74">
            <w:pPr>
              <w:spacing w:after="0" w:line="240" w:lineRule="auto"/>
              <w:jc w:val="right"/>
              <w:rPr>
                <w:rFonts w:eastAsia="Times New Roman" w:cs="Segoe UI"/>
                <w:sz w:val="18"/>
                <w:szCs w:val="18"/>
                <w:lang w:eastAsia="sk-SK"/>
              </w:rPr>
            </w:pPr>
            <w:r w:rsidRPr="00113ACD">
              <w:rPr>
                <w:rFonts w:eastAsia="Times New Roman" w:cs="Segoe UI"/>
                <w:sz w:val="18"/>
                <w:szCs w:val="18"/>
                <w:lang w:eastAsia="sk-SK"/>
              </w:rPr>
              <w:t>0,007</w:t>
            </w:r>
          </w:p>
        </w:tc>
      </w:tr>
      <w:tr w:rsidR="008E0E12" w:rsidRPr="00F62E12" w14:paraId="45259B33" w14:textId="77777777" w:rsidTr="003B1D74">
        <w:trPr>
          <w:trHeight w:val="283"/>
        </w:trPr>
        <w:tc>
          <w:tcPr>
            <w:tcW w:w="4464" w:type="dxa"/>
            <w:tcBorders>
              <w:top w:val="nil"/>
              <w:left w:val="nil"/>
              <w:bottom w:val="nil"/>
              <w:right w:val="nil"/>
            </w:tcBorders>
            <w:shd w:val="clear" w:color="000000" w:fill="FFFFFF"/>
            <w:noWrap/>
            <w:vAlign w:val="center"/>
            <w:hideMark/>
          </w:tcPr>
          <w:p w14:paraId="4438A48F" w14:textId="77777777" w:rsidR="008E0E12" w:rsidRPr="00113ACD" w:rsidRDefault="008E0E12" w:rsidP="003B1D74">
            <w:pPr>
              <w:spacing w:after="0" w:line="240" w:lineRule="auto"/>
              <w:jc w:val="left"/>
              <w:rPr>
                <w:rFonts w:eastAsia="Times New Roman" w:cs="Segoe UI"/>
                <w:sz w:val="18"/>
                <w:szCs w:val="18"/>
                <w:lang w:eastAsia="sk-SK"/>
              </w:rPr>
            </w:pPr>
            <w:r w:rsidRPr="00113ACD">
              <w:rPr>
                <w:rFonts w:eastAsia="Times New Roman" w:cs="Segoe UI"/>
                <w:sz w:val="18"/>
                <w:szCs w:val="18"/>
                <w:lang w:eastAsia="sk-SK"/>
              </w:rPr>
              <w:t xml:space="preserve">OP Rybné hospodárstvo </w:t>
            </w:r>
          </w:p>
        </w:tc>
        <w:tc>
          <w:tcPr>
            <w:tcW w:w="2179" w:type="dxa"/>
            <w:tcBorders>
              <w:top w:val="nil"/>
              <w:left w:val="nil"/>
              <w:bottom w:val="nil"/>
              <w:right w:val="nil"/>
            </w:tcBorders>
            <w:shd w:val="clear" w:color="000000" w:fill="FFFFFF"/>
            <w:noWrap/>
            <w:vAlign w:val="center"/>
            <w:hideMark/>
          </w:tcPr>
          <w:p w14:paraId="4C0DE7A0" w14:textId="77777777" w:rsidR="008E0E12" w:rsidRPr="00113ACD" w:rsidRDefault="008E0E12" w:rsidP="003B1D74">
            <w:pPr>
              <w:spacing w:after="0" w:line="240" w:lineRule="auto"/>
              <w:jc w:val="right"/>
              <w:rPr>
                <w:rFonts w:eastAsia="Times New Roman" w:cs="Segoe UI"/>
                <w:sz w:val="18"/>
                <w:szCs w:val="18"/>
                <w:lang w:eastAsia="sk-SK"/>
              </w:rPr>
            </w:pPr>
            <w:r w:rsidRPr="00113ACD">
              <w:rPr>
                <w:rFonts w:eastAsia="Times New Roman" w:cs="Segoe UI"/>
                <w:sz w:val="18"/>
                <w:szCs w:val="18"/>
                <w:lang w:eastAsia="sk-SK"/>
              </w:rPr>
              <w:t>0,58</w:t>
            </w:r>
          </w:p>
        </w:tc>
        <w:tc>
          <w:tcPr>
            <w:tcW w:w="2419" w:type="dxa"/>
            <w:tcBorders>
              <w:top w:val="nil"/>
              <w:left w:val="nil"/>
              <w:bottom w:val="nil"/>
              <w:right w:val="nil"/>
            </w:tcBorders>
            <w:shd w:val="clear" w:color="000000" w:fill="FFFFFF"/>
            <w:noWrap/>
            <w:vAlign w:val="center"/>
            <w:hideMark/>
          </w:tcPr>
          <w:p w14:paraId="4C7BD19F" w14:textId="77777777" w:rsidR="008E0E12" w:rsidRPr="00113ACD" w:rsidRDefault="008E0E12" w:rsidP="003B1D74">
            <w:pPr>
              <w:spacing w:after="0" w:line="240" w:lineRule="auto"/>
              <w:jc w:val="right"/>
              <w:rPr>
                <w:rFonts w:eastAsia="Times New Roman" w:cs="Segoe UI"/>
                <w:sz w:val="18"/>
                <w:szCs w:val="18"/>
                <w:lang w:eastAsia="sk-SK"/>
              </w:rPr>
            </w:pPr>
            <w:r w:rsidRPr="00113ACD">
              <w:rPr>
                <w:rFonts w:eastAsia="Times New Roman" w:cs="Segoe UI"/>
                <w:sz w:val="18"/>
                <w:szCs w:val="18"/>
                <w:lang w:eastAsia="sk-SK"/>
              </w:rPr>
              <w:t>0,16</w:t>
            </w:r>
          </w:p>
        </w:tc>
      </w:tr>
      <w:tr w:rsidR="008E0E12" w:rsidRPr="00F62E12" w14:paraId="7A823760" w14:textId="77777777" w:rsidTr="003B1D74">
        <w:trPr>
          <w:trHeight w:val="283"/>
        </w:trPr>
        <w:tc>
          <w:tcPr>
            <w:tcW w:w="4464" w:type="dxa"/>
            <w:tcBorders>
              <w:top w:val="nil"/>
              <w:left w:val="nil"/>
              <w:bottom w:val="single" w:sz="8" w:space="0" w:color="auto"/>
              <w:right w:val="nil"/>
            </w:tcBorders>
            <w:shd w:val="clear" w:color="000000" w:fill="FFFFFF"/>
            <w:noWrap/>
            <w:vAlign w:val="center"/>
            <w:hideMark/>
          </w:tcPr>
          <w:p w14:paraId="4EBFD695" w14:textId="77777777" w:rsidR="008E0E12" w:rsidRPr="00113ACD" w:rsidRDefault="008E0E12" w:rsidP="003B1D74">
            <w:pPr>
              <w:spacing w:after="0" w:line="240" w:lineRule="auto"/>
              <w:jc w:val="left"/>
              <w:rPr>
                <w:rFonts w:eastAsia="Times New Roman" w:cs="Segoe UI"/>
                <w:sz w:val="18"/>
                <w:szCs w:val="18"/>
                <w:lang w:eastAsia="sk-SK"/>
              </w:rPr>
            </w:pPr>
            <w:r w:rsidRPr="00113ACD">
              <w:rPr>
                <w:rFonts w:eastAsia="Times New Roman" w:cs="Segoe UI"/>
                <w:b/>
                <w:bCs/>
                <w:sz w:val="18"/>
                <w:szCs w:val="18"/>
                <w:lang w:eastAsia="sk-SK"/>
              </w:rPr>
              <w:t xml:space="preserve">SPOLU </w:t>
            </w:r>
          </w:p>
        </w:tc>
        <w:tc>
          <w:tcPr>
            <w:tcW w:w="2179" w:type="dxa"/>
            <w:tcBorders>
              <w:top w:val="nil"/>
              <w:left w:val="nil"/>
              <w:bottom w:val="single" w:sz="8" w:space="0" w:color="auto"/>
              <w:right w:val="nil"/>
            </w:tcBorders>
            <w:shd w:val="clear" w:color="000000" w:fill="FFFFFF"/>
            <w:noWrap/>
            <w:vAlign w:val="center"/>
            <w:hideMark/>
          </w:tcPr>
          <w:p w14:paraId="3097F0EA" w14:textId="77777777" w:rsidR="008E0E12" w:rsidRPr="00113ACD" w:rsidRDefault="008E0E12" w:rsidP="003B1D74">
            <w:pPr>
              <w:spacing w:after="0" w:line="240" w:lineRule="auto"/>
              <w:jc w:val="right"/>
              <w:rPr>
                <w:rFonts w:eastAsia="Times New Roman" w:cs="Segoe UI"/>
                <w:sz w:val="18"/>
                <w:szCs w:val="18"/>
                <w:lang w:eastAsia="sk-SK"/>
              </w:rPr>
            </w:pPr>
            <w:r w:rsidRPr="00113ACD">
              <w:rPr>
                <w:rFonts w:eastAsia="Times New Roman" w:cs="Segoe UI"/>
                <w:b/>
                <w:bCs/>
                <w:sz w:val="18"/>
                <w:szCs w:val="18"/>
                <w:lang w:eastAsia="sk-SK"/>
              </w:rPr>
              <w:t>453,08</w:t>
            </w:r>
          </w:p>
        </w:tc>
        <w:tc>
          <w:tcPr>
            <w:tcW w:w="2419" w:type="dxa"/>
            <w:tcBorders>
              <w:top w:val="nil"/>
              <w:left w:val="nil"/>
              <w:bottom w:val="single" w:sz="8" w:space="0" w:color="auto"/>
              <w:right w:val="nil"/>
            </w:tcBorders>
            <w:shd w:val="clear" w:color="000000" w:fill="FFFFFF"/>
            <w:noWrap/>
            <w:vAlign w:val="center"/>
            <w:hideMark/>
          </w:tcPr>
          <w:p w14:paraId="5002123B" w14:textId="77777777" w:rsidR="008E0E12" w:rsidRPr="00113ACD" w:rsidRDefault="008E0E12" w:rsidP="003B1D74">
            <w:pPr>
              <w:spacing w:after="0" w:line="240" w:lineRule="auto"/>
              <w:jc w:val="right"/>
              <w:rPr>
                <w:rFonts w:eastAsia="Times New Roman" w:cs="Segoe UI"/>
                <w:sz w:val="18"/>
                <w:szCs w:val="18"/>
                <w:lang w:eastAsia="sk-SK"/>
              </w:rPr>
            </w:pPr>
            <w:r w:rsidRPr="00113ACD">
              <w:rPr>
                <w:rFonts w:eastAsia="Times New Roman" w:cs="Segoe UI"/>
                <w:b/>
                <w:bCs/>
                <w:sz w:val="18"/>
                <w:szCs w:val="18"/>
                <w:lang w:eastAsia="sk-SK"/>
              </w:rPr>
              <w:t>73,33</w:t>
            </w:r>
          </w:p>
        </w:tc>
      </w:tr>
    </w:tbl>
    <w:p w14:paraId="709344D3" w14:textId="77777777" w:rsidR="008E0E12" w:rsidRPr="00284FBE" w:rsidRDefault="008E0E12" w:rsidP="008E0E12">
      <w:pPr>
        <w:pStyle w:val="Zdroj"/>
      </w:pPr>
      <w:r w:rsidRPr="00284FBE">
        <w:rPr>
          <w:lang w:eastAsia="sk-SK"/>
        </w:rPr>
        <w:t>Zdroj: CO (MF SR), pri PS INTERACT III ide o národné príspevky členských štátov programu. K 31.12.2023.</w:t>
      </w:r>
    </w:p>
    <w:p w14:paraId="5CC442AB" w14:textId="77777777" w:rsidR="008E0E12" w:rsidRPr="00B41B68" w:rsidRDefault="008E0E12" w:rsidP="008E0E12">
      <w:r w:rsidRPr="00191A51">
        <w:rPr>
          <w:b/>
        </w:rPr>
        <w:t>Celková výška nedočerpaných záväzkov v PO 2014 – 2020 bola k 31. 12. 2023  vo výške 154,4 mil. eur</w:t>
      </w:r>
      <w:r>
        <w:t xml:space="preserve"> (tabuľka 12)</w:t>
      </w:r>
      <w:r w:rsidRPr="00B41B68">
        <w:t>.</w:t>
      </w:r>
      <w:r>
        <w:t xml:space="preserve"> Za celé PO 2014 – 2020 bol vykázaný najvyšší dekomitment</w:t>
      </w:r>
      <w:r>
        <w:rPr>
          <w:rStyle w:val="Odkaznapoznmkupodiarou"/>
        </w:rPr>
        <w:footnoteReference w:id="35"/>
      </w:r>
      <w:r>
        <w:t xml:space="preserve"> v roku 2015 (122 mil. eur). </w:t>
      </w:r>
    </w:p>
    <w:p w14:paraId="703E893D" w14:textId="77777777" w:rsidR="008E0E12" w:rsidRPr="00B41B68" w:rsidRDefault="008E0E12" w:rsidP="008E0E12">
      <w:pPr>
        <w:pStyle w:val="Popis"/>
        <w:keepNext/>
      </w:pPr>
      <w:bookmarkStart w:id="29" w:name="_Toc165367485"/>
      <w:r>
        <w:t xml:space="preserve">Tabuľka 12: </w:t>
      </w:r>
      <w:r w:rsidRPr="00FA0129">
        <w:t>Výška nedočerpaného záväzku so stavom k 31. 12. 2023 (v mil. eur)</w:t>
      </w:r>
    </w:p>
    <w:tbl>
      <w:tblPr>
        <w:tblW w:w="5000" w:type="pct"/>
        <w:tblLayout w:type="fixed"/>
        <w:tblCellMar>
          <w:left w:w="40" w:type="dxa"/>
          <w:right w:w="40" w:type="dxa"/>
        </w:tblCellMar>
        <w:tblLook w:val="04A0" w:firstRow="1" w:lastRow="0" w:firstColumn="1" w:lastColumn="0" w:noHBand="0" w:noVBand="1"/>
      </w:tblPr>
      <w:tblGrid>
        <w:gridCol w:w="1611"/>
        <w:gridCol w:w="1166"/>
        <w:gridCol w:w="1761"/>
        <w:gridCol w:w="1038"/>
        <w:gridCol w:w="1353"/>
        <w:gridCol w:w="976"/>
        <w:gridCol w:w="1165"/>
      </w:tblGrid>
      <w:tr w:rsidR="008E0E12" w:rsidRPr="00F62E12" w14:paraId="166E68BC" w14:textId="77777777" w:rsidTr="003B1D74">
        <w:trPr>
          <w:trHeight w:val="283"/>
        </w:trPr>
        <w:tc>
          <w:tcPr>
            <w:tcW w:w="888" w:type="pct"/>
            <w:vMerge w:val="restart"/>
            <w:tcBorders>
              <w:top w:val="nil"/>
              <w:left w:val="nil"/>
              <w:right w:val="nil"/>
            </w:tcBorders>
            <w:shd w:val="clear" w:color="000000" w:fill="314364"/>
            <w:vAlign w:val="center"/>
            <w:hideMark/>
          </w:tcPr>
          <w:p w14:paraId="2A23D150" w14:textId="77777777" w:rsidR="008E0E12" w:rsidRPr="00B41B68" w:rsidRDefault="008E0E12" w:rsidP="003B1D74">
            <w:pPr>
              <w:spacing w:after="0" w:line="240" w:lineRule="auto"/>
              <w:jc w:val="left"/>
              <w:rPr>
                <w:rFonts w:eastAsia="Times New Roman" w:cs="Segoe UI"/>
                <w:b/>
                <w:bCs/>
                <w:color w:val="FFFFFF" w:themeColor="background1"/>
                <w:sz w:val="18"/>
                <w:szCs w:val="18"/>
                <w:lang w:eastAsia="sk-SK"/>
              </w:rPr>
            </w:pPr>
            <w:r w:rsidRPr="00B41B68">
              <w:rPr>
                <w:rFonts w:eastAsia="Times New Roman" w:cs="Segoe UI"/>
                <w:b/>
                <w:bCs/>
                <w:color w:val="FFFFFF" w:themeColor="background1"/>
                <w:sz w:val="18"/>
                <w:szCs w:val="18"/>
                <w:lang w:eastAsia="sk-SK"/>
              </w:rPr>
              <w:t>Program</w:t>
            </w:r>
          </w:p>
        </w:tc>
        <w:tc>
          <w:tcPr>
            <w:tcW w:w="4112" w:type="pct"/>
            <w:gridSpan w:val="6"/>
            <w:tcBorders>
              <w:top w:val="nil"/>
              <w:left w:val="nil"/>
              <w:right w:val="nil"/>
            </w:tcBorders>
            <w:shd w:val="clear" w:color="000000" w:fill="314364"/>
            <w:vAlign w:val="center"/>
            <w:hideMark/>
          </w:tcPr>
          <w:p w14:paraId="3B21B01F" w14:textId="77777777" w:rsidR="008E0E12" w:rsidRPr="00B41B68" w:rsidRDefault="008E0E12" w:rsidP="003B1D74">
            <w:pPr>
              <w:spacing w:after="0" w:line="240" w:lineRule="auto"/>
              <w:jc w:val="center"/>
              <w:rPr>
                <w:rFonts w:eastAsia="Times New Roman" w:cs="Segoe UI"/>
                <w:b/>
                <w:bCs/>
                <w:color w:val="FFFFFF" w:themeColor="background1"/>
                <w:sz w:val="18"/>
                <w:szCs w:val="18"/>
                <w:lang w:eastAsia="sk-SK"/>
              </w:rPr>
            </w:pPr>
            <w:r w:rsidRPr="00B41B68">
              <w:rPr>
                <w:rFonts w:eastAsia="Times New Roman" w:cs="Segoe UI"/>
                <w:b/>
                <w:bCs/>
                <w:color w:val="FFFFFF" w:themeColor="background1"/>
                <w:sz w:val="18"/>
                <w:szCs w:val="18"/>
                <w:lang w:eastAsia="sk-SK"/>
              </w:rPr>
              <w:t xml:space="preserve">Dekomitment </w:t>
            </w:r>
          </w:p>
        </w:tc>
      </w:tr>
      <w:tr w:rsidR="008E0E12" w:rsidRPr="00F62E12" w14:paraId="666E46F5" w14:textId="77777777" w:rsidTr="003B1D74">
        <w:trPr>
          <w:trHeight w:val="283"/>
        </w:trPr>
        <w:tc>
          <w:tcPr>
            <w:tcW w:w="888" w:type="pct"/>
            <w:vMerge/>
            <w:tcBorders>
              <w:left w:val="nil"/>
              <w:right w:val="nil"/>
            </w:tcBorders>
            <w:shd w:val="clear" w:color="000000" w:fill="314364"/>
            <w:vAlign w:val="center"/>
          </w:tcPr>
          <w:p w14:paraId="24B4B51D" w14:textId="77777777" w:rsidR="008E0E12" w:rsidRPr="00B41B68" w:rsidRDefault="008E0E12" w:rsidP="003B1D74">
            <w:pPr>
              <w:spacing w:after="0" w:line="240" w:lineRule="auto"/>
              <w:jc w:val="left"/>
              <w:rPr>
                <w:rFonts w:eastAsia="Times New Roman" w:cs="Segoe UI"/>
                <w:b/>
                <w:bCs/>
                <w:color w:val="FFFFFF" w:themeColor="background1"/>
                <w:sz w:val="18"/>
                <w:szCs w:val="18"/>
                <w:lang w:eastAsia="sk-SK"/>
              </w:rPr>
            </w:pPr>
          </w:p>
        </w:tc>
        <w:tc>
          <w:tcPr>
            <w:tcW w:w="643" w:type="pct"/>
            <w:tcBorders>
              <w:top w:val="nil"/>
              <w:left w:val="nil"/>
              <w:bottom w:val="single" w:sz="4" w:space="0" w:color="FFFFFF" w:themeColor="background1"/>
              <w:right w:val="nil"/>
            </w:tcBorders>
            <w:shd w:val="clear" w:color="000000" w:fill="314364"/>
            <w:vAlign w:val="center"/>
          </w:tcPr>
          <w:p w14:paraId="4394D195" w14:textId="77777777" w:rsidR="008E0E12" w:rsidRPr="00B41B68" w:rsidRDefault="008E0E12" w:rsidP="003B1D74">
            <w:pPr>
              <w:spacing w:after="0" w:line="240" w:lineRule="auto"/>
              <w:jc w:val="center"/>
              <w:rPr>
                <w:rFonts w:eastAsia="Times New Roman" w:cs="Segoe UI"/>
                <w:b/>
                <w:bCs/>
                <w:color w:val="FFFFFF" w:themeColor="background1"/>
                <w:sz w:val="18"/>
                <w:szCs w:val="18"/>
                <w:lang w:eastAsia="sk-SK"/>
              </w:rPr>
            </w:pPr>
            <w:r>
              <w:rPr>
                <w:rFonts w:eastAsia="Times New Roman" w:cs="Segoe UI"/>
                <w:b/>
                <w:bCs/>
                <w:color w:val="FFFFFF" w:themeColor="background1"/>
                <w:sz w:val="18"/>
                <w:szCs w:val="18"/>
                <w:lang w:eastAsia="sk-SK"/>
              </w:rPr>
              <w:t>2017</w:t>
            </w:r>
          </w:p>
        </w:tc>
        <w:tc>
          <w:tcPr>
            <w:tcW w:w="971" w:type="pct"/>
            <w:tcBorders>
              <w:top w:val="nil"/>
              <w:left w:val="nil"/>
              <w:bottom w:val="single" w:sz="4" w:space="0" w:color="FFFFFF" w:themeColor="background1"/>
              <w:right w:val="nil"/>
            </w:tcBorders>
            <w:shd w:val="clear" w:color="000000" w:fill="314364"/>
            <w:vAlign w:val="center"/>
          </w:tcPr>
          <w:p w14:paraId="3F3915E0" w14:textId="77777777" w:rsidR="008E0E12" w:rsidRPr="00B41B68" w:rsidRDefault="008E0E12" w:rsidP="003B1D74">
            <w:pPr>
              <w:spacing w:after="0" w:line="240" w:lineRule="auto"/>
              <w:jc w:val="center"/>
              <w:rPr>
                <w:rFonts w:eastAsia="Times New Roman" w:cs="Segoe UI"/>
                <w:b/>
                <w:bCs/>
                <w:color w:val="FFFFFF" w:themeColor="background1"/>
                <w:sz w:val="18"/>
                <w:szCs w:val="18"/>
                <w:lang w:eastAsia="sk-SK"/>
              </w:rPr>
            </w:pPr>
            <w:r>
              <w:rPr>
                <w:rFonts w:eastAsia="Times New Roman" w:cs="Segoe UI"/>
                <w:b/>
                <w:bCs/>
                <w:color w:val="FFFFFF" w:themeColor="background1"/>
                <w:sz w:val="18"/>
                <w:szCs w:val="18"/>
                <w:lang w:eastAsia="sk-SK"/>
              </w:rPr>
              <w:t>2018</w:t>
            </w:r>
          </w:p>
        </w:tc>
        <w:tc>
          <w:tcPr>
            <w:tcW w:w="572" w:type="pct"/>
            <w:tcBorders>
              <w:top w:val="nil"/>
              <w:left w:val="nil"/>
              <w:bottom w:val="single" w:sz="4" w:space="0" w:color="FFFFFF" w:themeColor="background1"/>
              <w:right w:val="nil"/>
            </w:tcBorders>
            <w:shd w:val="clear" w:color="000000" w:fill="314364"/>
            <w:vAlign w:val="center"/>
          </w:tcPr>
          <w:p w14:paraId="0C08F690" w14:textId="77777777" w:rsidR="008E0E12" w:rsidRPr="00B41B68" w:rsidRDefault="008E0E12" w:rsidP="003B1D74">
            <w:pPr>
              <w:spacing w:after="0" w:line="240" w:lineRule="auto"/>
              <w:jc w:val="center"/>
              <w:rPr>
                <w:rFonts w:eastAsia="Times New Roman" w:cs="Segoe UI"/>
                <w:b/>
                <w:bCs/>
                <w:color w:val="FFFFFF" w:themeColor="background1"/>
                <w:sz w:val="18"/>
                <w:szCs w:val="18"/>
                <w:lang w:eastAsia="sk-SK"/>
              </w:rPr>
            </w:pPr>
            <w:r>
              <w:rPr>
                <w:rFonts w:eastAsia="Times New Roman" w:cs="Segoe UI"/>
                <w:b/>
                <w:bCs/>
                <w:color w:val="FFFFFF" w:themeColor="background1"/>
                <w:sz w:val="18"/>
                <w:szCs w:val="18"/>
                <w:lang w:eastAsia="sk-SK"/>
              </w:rPr>
              <w:t>2019</w:t>
            </w:r>
          </w:p>
        </w:tc>
        <w:tc>
          <w:tcPr>
            <w:tcW w:w="746" w:type="pct"/>
            <w:tcBorders>
              <w:top w:val="nil"/>
              <w:left w:val="nil"/>
              <w:bottom w:val="single" w:sz="4" w:space="0" w:color="FFFFFF" w:themeColor="background1"/>
              <w:right w:val="nil"/>
            </w:tcBorders>
            <w:shd w:val="clear" w:color="000000" w:fill="314364"/>
            <w:vAlign w:val="center"/>
          </w:tcPr>
          <w:p w14:paraId="4EE7B107" w14:textId="77777777" w:rsidR="008E0E12" w:rsidRPr="00B41B68" w:rsidRDefault="008E0E12" w:rsidP="003B1D74">
            <w:pPr>
              <w:spacing w:after="0" w:line="240" w:lineRule="auto"/>
              <w:jc w:val="center"/>
              <w:rPr>
                <w:rFonts w:eastAsia="Times New Roman" w:cs="Segoe UI"/>
                <w:b/>
                <w:bCs/>
                <w:color w:val="FFFFFF" w:themeColor="background1"/>
                <w:sz w:val="18"/>
                <w:szCs w:val="18"/>
                <w:lang w:eastAsia="sk-SK"/>
              </w:rPr>
            </w:pPr>
            <w:r>
              <w:rPr>
                <w:rFonts w:eastAsia="Times New Roman" w:cs="Segoe UI"/>
                <w:b/>
                <w:bCs/>
                <w:color w:val="FFFFFF" w:themeColor="background1"/>
                <w:sz w:val="18"/>
                <w:szCs w:val="18"/>
                <w:lang w:eastAsia="sk-SK"/>
              </w:rPr>
              <w:t>2020</w:t>
            </w:r>
          </w:p>
        </w:tc>
        <w:tc>
          <w:tcPr>
            <w:tcW w:w="538" w:type="pct"/>
            <w:tcBorders>
              <w:top w:val="nil"/>
              <w:left w:val="nil"/>
              <w:bottom w:val="single" w:sz="4" w:space="0" w:color="FFFFFF" w:themeColor="background1"/>
              <w:right w:val="nil"/>
            </w:tcBorders>
            <w:shd w:val="clear" w:color="000000" w:fill="314364"/>
            <w:vAlign w:val="center"/>
          </w:tcPr>
          <w:p w14:paraId="297F34A8" w14:textId="77777777" w:rsidR="008E0E12" w:rsidRPr="00B41B68" w:rsidRDefault="008E0E12" w:rsidP="003B1D74">
            <w:pPr>
              <w:spacing w:after="0" w:line="240" w:lineRule="auto"/>
              <w:jc w:val="center"/>
              <w:rPr>
                <w:rFonts w:eastAsia="Times New Roman" w:cs="Segoe UI"/>
                <w:b/>
                <w:bCs/>
                <w:color w:val="FFFFFF" w:themeColor="background1"/>
                <w:sz w:val="18"/>
                <w:szCs w:val="18"/>
                <w:lang w:eastAsia="sk-SK"/>
              </w:rPr>
            </w:pPr>
            <w:r>
              <w:rPr>
                <w:rFonts w:eastAsia="Times New Roman" w:cs="Segoe UI"/>
                <w:b/>
                <w:bCs/>
                <w:color w:val="FFFFFF" w:themeColor="background1"/>
                <w:sz w:val="18"/>
                <w:szCs w:val="18"/>
                <w:lang w:eastAsia="sk-SK"/>
              </w:rPr>
              <w:t>2021</w:t>
            </w:r>
          </w:p>
        </w:tc>
        <w:tc>
          <w:tcPr>
            <w:tcW w:w="642" w:type="pct"/>
            <w:tcBorders>
              <w:top w:val="nil"/>
              <w:left w:val="nil"/>
              <w:bottom w:val="single" w:sz="4" w:space="0" w:color="FFFFFF" w:themeColor="background1"/>
              <w:right w:val="nil"/>
            </w:tcBorders>
            <w:shd w:val="clear" w:color="000000" w:fill="314364"/>
            <w:vAlign w:val="center"/>
          </w:tcPr>
          <w:p w14:paraId="1013E614" w14:textId="77777777" w:rsidR="008E0E12" w:rsidRPr="00B41B68" w:rsidRDefault="008E0E12" w:rsidP="003B1D74">
            <w:pPr>
              <w:spacing w:after="0" w:line="240" w:lineRule="auto"/>
              <w:jc w:val="center"/>
              <w:rPr>
                <w:rFonts w:eastAsia="Times New Roman" w:cs="Segoe UI"/>
                <w:b/>
                <w:bCs/>
                <w:color w:val="FFFFFF" w:themeColor="background1"/>
                <w:sz w:val="18"/>
                <w:szCs w:val="18"/>
                <w:lang w:eastAsia="sk-SK"/>
              </w:rPr>
            </w:pPr>
            <w:r>
              <w:rPr>
                <w:rFonts w:eastAsia="Times New Roman" w:cs="Segoe UI"/>
                <w:b/>
                <w:bCs/>
                <w:color w:val="FFFFFF" w:themeColor="background1"/>
                <w:sz w:val="18"/>
                <w:szCs w:val="18"/>
                <w:lang w:eastAsia="sk-SK"/>
              </w:rPr>
              <w:t>2022</w:t>
            </w:r>
          </w:p>
        </w:tc>
      </w:tr>
      <w:tr w:rsidR="008E0E12" w:rsidRPr="00F62E12" w14:paraId="4F40F024" w14:textId="77777777" w:rsidTr="003B1D74">
        <w:trPr>
          <w:trHeight w:val="283"/>
        </w:trPr>
        <w:tc>
          <w:tcPr>
            <w:tcW w:w="888" w:type="pct"/>
            <w:vMerge/>
            <w:tcBorders>
              <w:left w:val="nil"/>
              <w:right w:val="nil"/>
            </w:tcBorders>
            <w:vAlign w:val="center"/>
            <w:hideMark/>
          </w:tcPr>
          <w:p w14:paraId="2FA51FF6" w14:textId="77777777" w:rsidR="008E0E12" w:rsidRPr="00B41B68" w:rsidRDefault="008E0E12" w:rsidP="003B1D74">
            <w:pPr>
              <w:spacing w:after="0" w:line="240" w:lineRule="auto"/>
              <w:jc w:val="left"/>
              <w:rPr>
                <w:rFonts w:eastAsia="Times New Roman" w:cs="Segoe UI"/>
                <w:b/>
                <w:bCs/>
                <w:color w:val="FFFFFF" w:themeColor="background1"/>
                <w:sz w:val="18"/>
                <w:szCs w:val="18"/>
                <w:lang w:eastAsia="sk-SK"/>
              </w:rPr>
            </w:pPr>
          </w:p>
        </w:tc>
        <w:tc>
          <w:tcPr>
            <w:tcW w:w="4112" w:type="pct"/>
            <w:gridSpan w:val="6"/>
            <w:tcBorders>
              <w:top w:val="single" w:sz="4" w:space="0" w:color="FFFFFF" w:themeColor="background1"/>
              <w:left w:val="nil"/>
              <w:right w:val="nil"/>
            </w:tcBorders>
            <w:shd w:val="clear" w:color="000000" w:fill="314364"/>
            <w:vAlign w:val="center"/>
            <w:hideMark/>
          </w:tcPr>
          <w:p w14:paraId="6CC7FCFA" w14:textId="77777777" w:rsidR="008E0E12" w:rsidRPr="00B41B68" w:rsidRDefault="008E0E12" w:rsidP="003B1D74">
            <w:pPr>
              <w:spacing w:after="0" w:line="240" w:lineRule="auto"/>
              <w:jc w:val="center"/>
              <w:rPr>
                <w:rFonts w:eastAsia="Times New Roman" w:cs="Segoe UI"/>
                <w:b/>
                <w:bCs/>
                <w:color w:val="FFFFFF" w:themeColor="background1"/>
                <w:sz w:val="18"/>
                <w:szCs w:val="18"/>
                <w:lang w:eastAsia="sk-SK"/>
              </w:rPr>
            </w:pPr>
            <w:r>
              <w:rPr>
                <w:rFonts w:eastAsia="Times New Roman" w:cs="Segoe UI"/>
                <w:b/>
                <w:bCs/>
                <w:color w:val="FFFFFF" w:themeColor="background1"/>
                <w:sz w:val="18"/>
                <w:szCs w:val="18"/>
                <w:lang w:eastAsia="sk-SK"/>
              </w:rPr>
              <w:t>Z</w:t>
            </w:r>
            <w:r w:rsidRPr="00B41B68">
              <w:rPr>
                <w:rFonts w:eastAsia="Times New Roman" w:cs="Segoe UI"/>
                <w:b/>
                <w:bCs/>
                <w:color w:val="FFFFFF" w:themeColor="background1"/>
                <w:sz w:val="18"/>
                <w:szCs w:val="18"/>
                <w:lang w:eastAsia="sk-SK"/>
              </w:rPr>
              <w:t>áväzok</w:t>
            </w:r>
          </w:p>
        </w:tc>
      </w:tr>
      <w:tr w:rsidR="008E0E12" w:rsidRPr="00F62E12" w14:paraId="25749CF6" w14:textId="77777777" w:rsidTr="003B1D74">
        <w:trPr>
          <w:trHeight w:val="283"/>
        </w:trPr>
        <w:tc>
          <w:tcPr>
            <w:tcW w:w="888" w:type="pct"/>
            <w:vMerge/>
            <w:tcBorders>
              <w:left w:val="nil"/>
              <w:bottom w:val="nil"/>
              <w:right w:val="nil"/>
            </w:tcBorders>
            <w:vAlign w:val="center"/>
          </w:tcPr>
          <w:p w14:paraId="09496F85" w14:textId="77777777" w:rsidR="008E0E12" w:rsidRPr="00B41B68" w:rsidRDefault="008E0E12" w:rsidP="003B1D74">
            <w:pPr>
              <w:spacing w:after="0" w:line="240" w:lineRule="auto"/>
              <w:jc w:val="left"/>
              <w:rPr>
                <w:rFonts w:eastAsia="Times New Roman" w:cs="Segoe UI"/>
                <w:b/>
                <w:bCs/>
                <w:color w:val="FFFFFF" w:themeColor="background1"/>
                <w:sz w:val="18"/>
                <w:szCs w:val="18"/>
                <w:lang w:eastAsia="sk-SK"/>
              </w:rPr>
            </w:pPr>
          </w:p>
        </w:tc>
        <w:tc>
          <w:tcPr>
            <w:tcW w:w="643" w:type="pct"/>
            <w:tcBorders>
              <w:left w:val="nil"/>
              <w:bottom w:val="nil"/>
              <w:right w:val="nil"/>
            </w:tcBorders>
            <w:shd w:val="clear" w:color="000000" w:fill="314364"/>
            <w:vAlign w:val="center"/>
          </w:tcPr>
          <w:p w14:paraId="6147FE02" w14:textId="77777777" w:rsidR="008E0E12" w:rsidRPr="00B41B68" w:rsidRDefault="008E0E12" w:rsidP="003B1D74">
            <w:pPr>
              <w:spacing w:after="0" w:line="240" w:lineRule="auto"/>
              <w:jc w:val="center"/>
              <w:rPr>
                <w:rFonts w:eastAsia="Times New Roman" w:cs="Segoe UI"/>
                <w:b/>
                <w:bCs/>
                <w:color w:val="FFFFFF" w:themeColor="background1"/>
                <w:sz w:val="18"/>
                <w:szCs w:val="18"/>
                <w:lang w:eastAsia="sk-SK"/>
              </w:rPr>
            </w:pPr>
            <w:r>
              <w:rPr>
                <w:rFonts w:eastAsia="Times New Roman" w:cs="Segoe UI"/>
                <w:b/>
                <w:bCs/>
                <w:color w:val="FFFFFF" w:themeColor="background1"/>
                <w:sz w:val="18"/>
                <w:szCs w:val="18"/>
                <w:lang w:eastAsia="sk-SK"/>
              </w:rPr>
              <w:t>2014</w:t>
            </w:r>
          </w:p>
        </w:tc>
        <w:tc>
          <w:tcPr>
            <w:tcW w:w="971" w:type="pct"/>
            <w:tcBorders>
              <w:left w:val="nil"/>
              <w:bottom w:val="nil"/>
              <w:right w:val="nil"/>
            </w:tcBorders>
            <w:shd w:val="clear" w:color="000000" w:fill="314364"/>
            <w:vAlign w:val="center"/>
          </w:tcPr>
          <w:p w14:paraId="21E87183" w14:textId="77777777" w:rsidR="008E0E12" w:rsidRPr="00B41B68" w:rsidRDefault="008E0E12" w:rsidP="003B1D74">
            <w:pPr>
              <w:spacing w:after="0" w:line="240" w:lineRule="auto"/>
              <w:jc w:val="center"/>
              <w:rPr>
                <w:rFonts w:eastAsia="Times New Roman" w:cs="Segoe UI"/>
                <w:b/>
                <w:bCs/>
                <w:color w:val="FFFFFF" w:themeColor="background1"/>
                <w:sz w:val="18"/>
                <w:szCs w:val="18"/>
                <w:lang w:eastAsia="sk-SK"/>
              </w:rPr>
            </w:pPr>
            <w:r>
              <w:rPr>
                <w:rFonts w:eastAsia="Times New Roman" w:cs="Segoe UI"/>
                <w:b/>
                <w:bCs/>
                <w:color w:val="FFFFFF" w:themeColor="background1"/>
                <w:sz w:val="18"/>
                <w:szCs w:val="18"/>
                <w:lang w:eastAsia="sk-SK"/>
              </w:rPr>
              <w:t>2015</w:t>
            </w:r>
          </w:p>
        </w:tc>
        <w:tc>
          <w:tcPr>
            <w:tcW w:w="572" w:type="pct"/>
            <w:tcBorders>
              <w:left w:val="nil"/>
              <w:bottom w:val="nil"/>
              <w:right w:val="nil"/>
            </w:tcBorders>
            <w:shd w:val="clear" w:color="000000" w:fill="314364"/>
            <w:vAlign w:val="center"/>
          </w:tcPr>
          <w:p w14:paraId="6D577FCF" w14:textId="77777777" w:rsidR="008E0E12" w:rsidRPr="00B41B68" w:rsidRDefault="008E0E12" w:rsidP="003B1D74">
            <w:pPr>
              <w:spacing w:after="0" w:line="240" w:lineRule="auto"/>
              <w:jc w:val="center"/>
              <w:rPr>
                <w:rFonts w:eastAsia="Times New Roman" w:cs="Segoe UI"/>
                <w:b/>
                <w:bCs/>
                <w:color w:val="FFFFFF" w:themeColor="background1"/>
                <w:sz w:val="18"/>
                <w:szCs w:val="18"/>
                <w:lang w:eastAsia="sk-SK"/>
              </w:rPr>
            </w:pPr>
            <w:r>
              <w:rPr>
                <w:rFonts w:eastAsia="Times New Roman" w:cs="Segoe UI"/>
                <w:b/>
                <w:bCs/>
                <w:color w:val="FFFFFF" w:themeColor="background1"/>
                <w:sz w:val="18"/>
                <w:szCs w:val="18"/>
                <w:lang w:eastAsia="sk-SK"/>
              </w:rPr>
              <w:t>2016</w:t>
            </w:r>
          </w:p>
        </w:tc>
        <w:tc>
          <w:tcPr>
            <w:tcW w:w="746" w:type="pct"/>
            <w:tcBorders>
              <w:left w:val="nil"/>
              <w:bottom w:val="nil"/>
              <w:right w:val="nil"/>
            </w:tcBorders>
            <w:shd w:val="clear" w:color="000000" w:fill="314364"/>
            <w:vAlign w:val="center"/>
          </w:tcPr>
          <w:p w14:paraId="50CF2481" w14:textId="77777777" w:rsidR="008E0E12" w:rsidRPr="00B41B68" w:rsidRDefault="008E0E12" w:rsidP="003B1D74">
            <w:pPr>
              <w:spacing w:after="0" w:line="240" w:lineRule="auto"/>
              <w:jc w:val="center"/>
              <w:rPr>
                <w:rFonts w:eastAsia="Times New Roman" w:cs="Segoe UI"/>
                <w:b/>
                <w:bCs/>
                <w:color w:val="FFFFFF" w:themeColor="background1"/>
                <w:sz w:val="18"/>
                <w:szCs w:val="18"/>
                <w:lang w:eastAsia="sk-SK"/>
              </w:rPr>
            </w:pPr>
            <w:r>
              <w:rPr>
                <w:rFonts w:eastAsia="Times New Roman" w:cs="Segoe UI"/>
                <w:b/>
                <w:bCs/>
                <w:color w:val="FFFFFF" w:themeColor="background1"/>
                <w:sz w:val="18"/>
                <w:szCs w:val="18"/>
                <w:lang w:eastAsia="sk-SK"/>
              </w:rPr>
              <w:t>2017</w:t>
            </w:r>
          </w:p>
        </w:tc>
        <w:tc>
          <w:tcPr>
            <w:tcW w:w="538" w:type="pct"/>
            <w:tcBorders>
              <w:left w:val="nil"/>
              <w:bottom w:val="nil"/>
              <w:right w:val="nil"/>
            </w:tcBorders>
            <w:shd w:val="clear" w:color="000000" w:fill="314364"/>
            <w:vAlign w:val="center"/>
          </w:tcPr>
          <w:p w14:paraId="35B84FE4" w14:textId="77777777" w:rsidR="008E0E12" w:rsidRPr="00B41B68" w:rsidRDefault="008E0E12" w:rsidP="003B1D74">
            <w:pPr>
              <w:spacing w:after="0" w:line="240" w:lineRule="auto"/>
              <w:jc w:val="center"/>
              <w:rPr>
                <w:rFonts w:eastAsia="Times New Roman" w:cs="Segoe UI"/>
                <w:b/>
                <w:bCs/>
                <w:color w:val="FFFFFF" w:themeColor="background1"/>
                <w:sz w:val="18"/>
                <w:szCs w:val="18"/>
                <w:lang w:eastAsia="sk-SK"/>
              </w:rPr>
            </w:pPr>
            <w:r>
              <w:rPr>
                <w:rFonts w:eastAsia="Times New Roman" w:cs="Segoe UI"/>
                <w:b/>
                <w:bCs/>
                <w:color w:val="FFFFFF" w:themeColor="background1"/>
                <w:sz w:val="18"/>
                <w:szCs w:val="18"/>
                <w:lang w:eastAsia="sk-SK"/>
              </w:rPr>
              <w:t>2018</w:t>
            </w:r>
          </w:p>
        </w:tc>
        <w:tc>
          <w:tcPr>
            <w:tcW w:w="642" w:type="pct"/>
            <w:tcBorders>
              <w:left w:val="nil"/>
              <w:bottom w:val="nil"/>
              <w:right w:val="nil"/>
            </w:tcBorders>
            <w:shd w:val="clear" w:color="000000" w:fill="314364"/>
            <w:vAlign w:val="center"/>
          </w:tcPr>
          <w:p w14:paraId="7ADDAE4C" w14:textId="77777777" w:rsidR="008E0E12" w:rsidRPr="00B41B68" w:rsidRDefault="008E0E12" w:rsidP="003B1D74">
            <w:pPr>
              <w:spacing w:after="0" w:line="240" w:lineRule="auto"/>
              <w:jc w:val="center"/>
              <w:rPr>
                <w:rFonts w:eastAsia="Times New Roman" w:cs="Segoe UI"/>
                <w:b/>
                <w:bCs/>
                <w:color w:val="FFFFFF" w:themeColor="background1"/>
                <w:sz w:val="18"/>
                <w:szCs w:val="18"/>
                <w:lang w:eastAsia="sk-SK"/>
              </w:rPr>
            </w:pPr>
            <w:r>
              <w:rPr>
                <w:rFonts w:eastAsia="Times New Roman" w:cs="Segoe UI"/>
                <w:b/>
                <w:bCs/>
                <w:color w:val="FFFFFF" w:themeColor="background1"/>
                <w:sz w:val="18"/>
                <w:szCs w:val="18"/>
                <w:lang w:eastAsia="sk-SK"/>
              </w:rPr>
              <w:t>2019</w:t>
            </w:r>
          </w:p>
        </w:tc>
      </w:tr>
      <w:tr w:rsidR="008E0E12" w:rsidRPr="00F62E12" w14:paraId="51C460AB" w14:textId="77777777" w:rsidTr="003B1D74">
        <w:trPr>
          <w:trHeight w:val="283"/>
        </w:trPr>
        <w:tc>
          <w:tcPr>
            <w:tcW w:w="888" w:type="pct"/>
            <w:tcBorders>
              <w:top w:val="nil"/>
              <w:left w:val="nil"/>
              <w:bottom w:val="nil"/>
              <w:right w:val="nil"/>
            </w:tcBorders>
            <w:shd w:val="clear" w:color="000000" w:fill="FFFFFF"/>
            <w:noWrap/>
            <w:vAlign w:val="center"/>
            <w:hideMark/>
          </w:tcPr>
          <w:p w14:paraId="05B64CE2" w14:textId="77777777" w:rsidR="008E0E12" w:rsidRPr="00113ACD" w:rsidRDefault="008E0E12" w:rsidP="003B1D74">
            <w:pPr>
              <w:spacing w:after="0" w:line="240" w:lineRule="auto"/>
              <w:jc w:val="left"/>
              <w:rPr>
                <w:rFonts w:eastAsia="Times New Roman" w:cs="Segoe UI"/>
                <w:sz w:val="18"/>
                <w:szCs w:val="18"/>
                <w:lang w:eastAsia="sk-SK"/>
              </w:rPr>
            </w:pPr>
            <w:r w:rsidRPr="00113ACD">
              <w:rPr>
                <w:rFonts w:eastAsia="Times New Roman" w:cs="Segoe UI"/>
                <w:sz w:val="18"/>
                <w:szCs w:val="18"/>
                <w:lang w:eastAsia="sk-SK"/>
              </w:rPr>
              <w:t>OP VaI</w:t>
            </w:r>
          </w:p>
        </w:tc>
        <w:tc>
          <w:tcPr>
            <w:tcW w:w="643" w:type="pct"/>
            <w:tcBorders>
              <w:top w:val="nil"/>
              <w:left w:val="nil"/>
              <w:bottom w:val="nil"/>
              <w:right w:val="nil"/>
            </w:tcBorders>
            <w:shd w:val="clear" w:color="000000" w:fill="FFFFFF"/>
            <w:noWrap/>
            <w:vAlign w:val="center"/>
          </w:tcPr>
          <w:p w14:paraId="3DB02077" w14:textId="77777777" w:rsidR="008E0E12" w:rsidRPr="00113ACD" w:rsidRDefault="008E0E12" w:rsidP="003B1D74">
            <w:pPr>
              <w:spacing w:after="0" w:line="240" w:lineRule="auto"/>
              <w:jc w:val="center"/>
              <w:rPr>
                <w:rFonts w:eastAsia="Times New Roman" w:cs="Segoe UI"/>
                <w:sz w:val="18"/>
                <w:szCs w:val="18"/>
                <w:lang w:eastAsia="sk-SK"/>
              </w:rPr>
            </w:pPr>
            <w:r w:rsidRPr="00113ACD">
              <w:rPr>
                <w:rFonts w:cs="Segoe UI"/>
                <w:sz w:val="18"/>
                <w:szCs w:val="18"/>
              </w:rPr>
              <w:t>26,97</w:t>
            </w:r>
          </w:p>
        </w:tc>
        <w:tc>
          <w:tcPr>
            <w:tcW w:w="971" w:type="pct"/>
            <w:tcBorders>
              <w:top w:val="nil"/>
              <w:left w:val="nil"/>
              <w:bottom w:val="nil"/>
              <w:right w:val="nil"/>
            </w:tcBorders>
            <w:shd w:val="clear" w:color="000000" w:fill="FFFFFF"/>
            <w:noWrap/>
            <w:vAlign w:val="center"/>
          </w:tcPr>
          <w:p w14:paraId="28DA4F12" w14:textId="77777777" w:rsidR="008E0E12" w:rsidRPr="00113ACD" w:rsidRDefault="008E0E12" w:rsidP="003B1D74">
            <w:pPr>
              <w:spacing w:after="0" w:line="240" w:lineRule="auto"/>
              <w:jc w:val="center"/>
              <w:rPr>
                <w:rFonts w:eastAsia="Times New Roman" w:cs="Segoe UI"/>
                <w:sz w:val="18"/>
                <w:szCs w:val="18"/>
                <w:lang w:eastAsia="sk-SK"/>
              </w:rPr>
            </w:pPr>
            <w:r w:rsidRPr="00113ACD">
              <w:rPr>
                <w:rFonts w:cs="Segoe UI"/>
                <w:sz w:val="18"/>
                <w:szCs w:val="18"/>
              </w:rPr>
              <w:t>81,45</w:t>
            </w:r>
          </w:p>
        </w:tc>
        <w:tc>
          <w:tcPr>
            <w:tcW w:w="572" w:type="pct"/>
            <w:tcBorders>
              <w:top w:val="nil"/>
              <w:left w:val="nil"/>
              <w:bottom w:val="nil"/>
              <w:right w:val="nil"/>
            </w:tcBorders>
            <w:shd w:val="clear" w:color="000000" w:fill="FFFFFF"/>
            <w:noWrap/>
            <w:vAlign w:val="center"/>
          </w:tcPr>
          <w:p w14:paraId="5A183736" w14:textId="77777777" w:rsidR="008E0E12" w:rsidRPr="00113ACD" w:rsidRDefault="008E0E12" w:rsidP="003B1D74">
            <w:pPr>
              <w:spacing w:after="0" w:line="240" w:lineRule="auto"/>
              <w:jc w:val="center"/>
              <w:rPr>
                <w:rFonts w:eastAsia="Times New Roman" w:cs="Segoe UI"/>
                <w:sz w:val="18"/>
                <w:szCs w:val="18"/>
                <w:lang w:eastAsia="sk-SK"/>
              </w:rPr>
            </w:pPr>
            <w:r w:rsidRPr="00113ACD">
              <w:rPr>
                <w:rFonts w:cs="Segoe UI"/>
                <w:sz w:val="18"/>
                <w:szCs w:val="18"/>
              </w:rPr>
              <w:t>-</w:t>
            </w:r>
          </w:p>
        </w:tc>
        <w:tc>
          <w:tcPr>
            <w:tcW w:w="746" w:type="pct"/>
            <w:tcBorders>
              <w:top w:val="nil"/>
              <w:left w:val="nil"/>
              <w:bottom w:val="nil"/>
              <w:right w:val="nil"/>
            </w:tcBorders>
            <w:shd w:val="clear" w:color="000000" w:fill="FFFFFF"/>
            <w:noWrap/>
            <w:vAlign w:val="center"/>
          </w:tcPr>
          <w:p w14:paraId="6E0AEC01" w14:textId="77777777" w:rsidR="008E0E12" w:rsidRPr="00113ACD" w:rsidRDefault="008E0E12" w:rsidP="003B1D74">
            <w:pPr>
              <w:spacing w:after="0" w:line="240" w:lineRule="auto"/>
              <w:jc w:val="center"/>
              <w:rPr>
                <w:rFonts w:eastAsia="Times New Roman" w:cs="Segoe UI"/>
                <w:sz w:val="18"/>
                <w:szCs w:val="18"/>
                <w:lang w:eastAsia="sk-SK"/>
              </w:rPr>
            </w:pPr>
            <w:r w:rsidRPr="00113ACD">
              <w:rPr>
                <w:rFonts w:cs="Segoe UI"/>
                <w:sz w:val="18"/>
                <w:szCs w:val="18"/>
              </w:rPr>
              <w:t>-</w:t>
            </w:r>
          </w:p>
        </w:tc>
        <w:tc>
          <w:tcPr>
            <w:tcW w:w="538" w:type="pct"/>
            <w:tcBorders>
              <w:top w:val="nil"/>
              <w:left w:val="nil"/>
              <w:bottom w:val="nil"/>
              <w:right w:val="nil"/>
            </w:tcBorders>
            <w:shd w:val="clear" w:color="000000" w:fill="FFFFFF"/>
            <w:noWrap/>
            <w:vAlign w:val="center"/>
          </w:tcPr>
          <w:p w14:paraId="340CD6F4" w14:textId="77777777" w:rsidR="008E0E12" w:rsidRPr="00113ACD" w:rsidRDefault="008E0E12" w:rsidP="003B1D74">
            <w:pPr>
              <w:spacing w:after="0" w:line="240" w:lineRule="auto"/>
              <w:jc w:val="center"/>
              <w:rPr>
                <w:rFonts w:eastAsia="Times New Roman" w:cs="Segoe UI"/>
                <w:sz w:val="18"/>
                <w:szCs w:val="18"/>
                <w:lang w:eastAsia="sk-SK"/>
              </w:rPr>
            </w:pPr>
            <w:r w:rsidRPr="00113ACD">
              <w:rPr>
                <w:rFonts w:cs="Segoe UI"/>
                <w:sz w:val="18"/>
                <w:szCs w:val="18"/>
              </w:rPr>
              <w:t>-</w:t>
            </w:r>
          </w:p>
        </w:tc>
        <w:tc>
          <w:tcPr>
            <w:tcW w:w="642" w:type="pct"/>
            <w:tcBorders>
              <w:top w:val="nil"/>
              <w:left w:val="nil"/>
              <w:bottom w:val="nil"/>
              <w:right w:val="nil"/>
            </w:tcBorders>
            <w:shd w:val="clear" w:color="000000" w:fill="FFFFFF"/>
            <w:noWrap/>
            <w:vAlign w:val="center"/>
          </w:tcPr>
          <w:p w14:paraId="6B9F1A64" w14:textId="77777777" w:rsidR="008E0E12" w:rsidRPr="00113ACD" w:rsidRDefault="008E0E12" w:rsidP="003B1D74">
            <w:pPr>
              <w:spacing w:after="0" w:line="240" w:lineRule="auto"/>
              <w:jc w:val="center"/>
              <w:rPr>
                <w:rFonts w:eastAsia="Times New Roman" w:cs="Segoe UI"/>
                <w:sz w:val="18"/>
                <w:szCs w:val="18"/>
                <w:lang w:eastAsia="sk-SK"/>
              </w:rPr>
            </w:pPr>
            <w:r w:rsidRPr="00113ACD">
              <w:rPr>
                <w:rFonts w:cs="Segoe UI"/>
                <w:sz w:val="18"/>
                <w:szCs w:val="18"/>
              </w:rPr>
              <w:t>-</w:t>
            </w:r>
          </w:p>
        </w:tc>
      </w:tr>
      <w:tr w:rsidR="008E0E12" w:rsidRPr="00F62E12" w14:paraId="6C16822A" w14:textId="77777777" w:rsidTr="003B1D74">
        <w:trPr>
          <w:trHeight w:val="283"/>
        </w:trPr>
        <w:tc>
          <w:tcPr>
            <w:tcW w:w="888" w:type="pct"/>
            <w:tcBorders>
              <w:top w:val="nil"/>
              <w:left w:val="nil"/>
              <w:bottom w:val="nil"/>
              <w:right w:val="nil"/>
            </w:tcBorders>
            <w:shd w:val="clear" w:color="000000" w:fill="FFFFFF"/>
            <w:noWrap/>
            <w:vAlign w:val="center"/>
            <w:hideMark/>
          </w:tcPr>
          <w:p w14:paraId="75BD6126" w14:textId="77777777" w:rsidR="008E0E12" w:rsidRPr="00113ACD" w:rsidRDefault="008E0E12" w:rsidP="003B1D74">
            <w:pPr>
              <w:spacing w:after="0" w:line="240" w:lineRule="auto"/>
              <w:jc w:val="left"/>
              <w:rPr>
                <w:rFonts w:eastAsia="Times New Roman" w:cs="Segoe UI"/>
                <w:sz w:val="18"/>
                <w:szCs w:val="18"/>
                <w:lang w:eastAsia="sk-SK"/>
              </w:rPr>
            </w:pPr>
            <w:r w:rsidRPr="00113ACD">
              <w:rPr>
                <w:rFonts w:eastAsia="Times New Roman" w:cs="Segoe UI"/>
                <w:sz w:val="18"/>
                <w:szCs w:val="18"/>
                <w:lang w:eastAsia="sk-SK"/>
              </w:rPr>
              <w:t>IROP</w:t>
            </w:r>
          </w:p>
        </w:tc>
        <w:tc>
          <w:tcPr>
            <w:tcW w:w="643" w:type="pct"/>
            <w:tcBorders>
              <w:top w:val="nil"/>
              <w:left w:val="nil"/>
              <w:bottom w:val="nil"/>
              <w:right w:val="nil"/>
            </w:tcBorders>
            <w:shd w:val="clear" w:color="000000" w:fill="FFFFFF"/>
            <w:noWrap/>
            <w:vAlign w:val="center"/>
          </w:tcPr>
          <w:p w14:paraId="7D44F79F" w14:textId="77777777" w:rsidR="008E0E12" w:rsidRPr="00113ACD" w:rsidRDefault="008E0E12" w:rsidP="003B1D74">
            <w:pPr>
              <w:spacing w:after="0" w:line="240" w:lineRule="auto"/>
              <w:jc w:val="center"/>
              <w:rPr>
                <w:rFonts w:eastAsia="Times New Roman" w:cs="Segoe UI"/>
                <w:sz w:val="18"/>
                <w:szCs w:val="18"/>
                <w:lang w:eastAsia="sk-SK"/>
              </w:rPr>
            </w:pPr>
            <w:r w:rsidRPr="00113ACD">
              <w:rPr>
                <w:rFonts w:cs="Segoe UI"/>
                <w:sz w:val="18"/>
                <w:szCs w:val="18"/>
              </w:rPr>
              <w:t>0</w:t>
            </w:r>
          </w:p>
        </w:tc>
        <w:tc>
          <w:tcPr>
            <w:tcW w:w="971" w:type="pct"/>
            <w:tcBorders>
              <w:top w:val="nil"/>
              <w:left w:val="nil"/>
              <w:bottom w:val="nil"/>
              <w:right w:val="nil"/>
            </w:tcBorders>
            <w:shd w:val="clear" w:color="000000" w:fill="FFFFFF"/>
            <w:noWrap/>
            <w:vAlign w:val="center"/>
          </w:tcPr>
          <w:p w14:paraId="59DC82AD" w14:textId="77777777" w:rsidR="008E0E12" w:rsidRPr="00113ACD" w:rsidRDefault="008E0E12" w:rsidP="003B1D74">
            <w:pPr>
              <w:spacing w:after="0" w:line="240" w:lineRule="auto"/>
              <w:jc w:val="center"/>
              <w:rPr>
                <w:rFonts w:eastAsia="Times New Roman" w:cs="Segoe UI"/>
                <w:sz w:val="18"/>
                <w:szCs w:val="18"/>
                <w:lang w:eastAsia="sk-SK"/>
              </w:rPr>
            </w:pPr>
            <w:r w:rsidRPr="00113ACD">
              <w:rPr>
                <w:rFonts w:cs="Segoe UI"/>
                <w:sz w:val="18"/>
                <w:szCs w:val="18"/>
              </w:rPr>
              <w:t>38,89</w:t>
            </w:r>
          </w:p>
        </w:tc>
        <w:tc>
          <w:tcPr>
            <w:tcW w:w="572" w:type="pct"/>
            <w:tcBorders>
              <w:top w:val="nil"/>
              <w:left w:val="nil"/>
              <w:bottom w:val="nil"/>
              <w:right w:val="nil"/>
            </w:tcBorders>
            <w:shd w:val="clear" w:color="000000" w:fill="FFFFFF"/>
            <w:noWrap/>
            <w:vAlign w:val="center"/>
          </w:tcPr>
          <w:p w14:paraId="7B8E00AF" w14:textId="77777777" w:rsidR="008E0E12" w:rsidRPr="00113ACD" w:rsidRDefault="008E0E12" w:rsidP="003B1D74">
            <w:pPr>
              <w:spacing w:after="0" w:line="240" w:lineRule="auto"/>
              <w:jc w:val="center"/>
              <w:rPr>
                <w:rFonts w:eastAsia="Times New Roman" w:cs="Segoe UI"/>
                <w:sz w:val="18"/>
                <w:szCs w:val="18"/>
                <w:lang w:eastAsia="sk-SK"/>
              </w:rPr>
            </w:pPr>
            <w:r w:rsidRPr="00113ACD">
              <w:rPr>
                <w:rFonts w:cs="Segoe UI"/>
                <w:sz w:val="18"/>
                <w:szCs w:val="18"/>
              </w:rPr>
              <w:t>0</w:t>
            </w:r>
          </w:p>
        </w:tc>
        <w:tc>
          <w:tcPr>
            <w:tcW w:w="746" w:type="pct"/>
            <w:tcBorders>
              <w:top w:val="nil"/>
              <w:left w:val="nil"/>
              <w:bottom w:val="nil"/>
              <w:right w:val="nil"/>
            </w:tcBorders>
            <w:shd w:val="clear" w:color="000000" w:fill="FFFFFF"/>
            <w:noWrap/>
            <w:vAlign w:val="center"/>
          </w:tcPr>
          <w:p w14:paraId="11BD319D" w14:textId="77777777" w:rsidR="008E0E12" w:rsidRPr="00113ACD" w:rsidRDefault="008E0E12" w:rsidP="003B1D74">
            <w:pPr>
              <w:spacing w:after="0" w:line="240" w:lineRule="auto"/>
              <w:jc w:val="center"/>
              <w:rPr>
                <w:rFonts w:eastAsia="Times New Roman" w:cs="Segoe UI"/>
                <w:sz w:val="18"/>
                <w:szCs w:val="18"/>
                <w:lang w:eastAsia="sk-SK"/>
              </w:rPr>
            </w:pPr>
            <w:r w:rsidRPr="00113ACD">
              <w:rPr>
                <w:rFonts w:cs="Segoe UI"/>
                <w:sz w:val="18"/>
                <w:szCs w:val="18"/>
              </w:rPr>
              <w:t>0</w:t>
            </w:r>
          </w:p>
        </w:tc>
        <w:tc>
          <w:tcPr>
            <w:tcW w:w="538" w:type="pct"/>
            <w:tcBorders>
              <w:top w:val="nil"/>
              <w:left w:val="nil"/>
              <w:bottom w:val="nil"/>
              <w:right w:val="nil"/>
            </w:tcBorders>
            <w:shd w:val="clear" w:color="000000" w:fill="FFFFFF"/>
            <w:noWrap/>
            <w:vAlign w:val="center"/>
          </w:tcPr>
          <w:p w14:paraId="22250737" w14:textId="77777777" w:rsidR="008E0E12" w:rsidRPr="00113ACD" w:rsidRDefault="008E0E12" w:rsidP="003B1D74">
            <w:pPr>
              <w:spacing w:after="0" w:line="240" w:lineRule="auto"/>
              <w:jc w:val="center"/>
              <w:rPr>
                <w:rFonts w:eastAsia="Times New Roman" w:cs="Segoe UI"/>
                <w:sz w:val="18"/>
                <w:szCs w:val="18"/>
                <w:lang w:eastAsia="sk-SK"/>
              </w:rPr>
            </w:pPr>
            <w:r w:rsidRPr="00113ACD">
              <w:rPr>
                <w:rFonts w:cs="Segoe UI"/>
                <w:sz w:val="18"/>
                <w:szCs w:val="18"/>
              </w:rPr>
              <w:t>0</w:t>
            </w:r>
          </w:p>
        </w:tc>
        <w:tc>
          <w:tcPr>
            <w:tcW w:w="642" w:type="pct"/>
            <w:tcBorders>
              <w:top w:val="nil"/>
              <w:left w:val="nil"/>
              <w:bottom w:val="nil"/>
              <w:right w:val="nil"/>
            </w:tcBorders>
            <w:shd w:val="clear" w:color="000000" w:fill="FFFFFF"/>
            <w:noWrap/>
            <w:vAlign w:val="center"/>
          </w:tcPr>
          <w:p w14:paraId="01927EC8" w14:textId="77777777" w:rsidR="008E0E12" w:rsidRPr="00113ACD" w:rsidRDefault="008E0E12" w:rsidP="003B1D74">
            <w:pPr>
              <w:spacing w:after="0" w:line="240" w:lineRule="auto"/>
              <w:jc w:val="center"/>
              <w:rPr>
                <w:rFonts w:eastAsia="Times New Roman" w:cs="Segoe UI"/>
                <w:sz w:val="18"/>
                <w:szCs w:val="18"/>
                <w:lang w:eastAsia="sk-SK"/>
              </w:rPr>
            </w:pPr>
            <w:r w:rsidRPr="00113ACD">
              <w:rPr>
                <w:rFonts w:cs="Segoe UI"/>
                <w:sz w:val="18"/>
                <w:szCs w:val="18"/>
              </w:rPr>
              <w:t>0</w:t>
            </w:r>
          </w:p>
        </w:tc>
      </w:tr>
      <w:tr w:rsidR="008E0E12" w:rsidRPr="00F62E12" w14:paraId="0C6AEC55" w14:textId="77777777" w:rsidTr="003B1D74">
        <w:trPr>
          <w:trHeight w:val="283"/>
        </w:trPr>
        <w:tc>
          <w:tcPr>
            <w:tcW w:w="888" w:type="pct"/>
            <w:tcBorders>
              <w:top w:val="nil"/>
              <w:left w:val="nil"/>
              <w:right w:val="nil"/>
            </w:tcBorders>
            <w:shd w:val="clear" w:color="000000" w:fill="FFFFFF"/>
            <w:noWrap/>
            <w:vAlign w:val="center"/>
            <w:hideMark/>
          </w:tcPr>
          <w:p w14:paraId="368C785A" w14:textId="77777777" w:rsidR="008E0E12" w:rsidRPr="00113ACD" w:rsidRDefault="008E0E12" w:rsidP="003B1D74">
            <w:pPr>
              <w:spacing w:after="0" w:line="240" w:lineRule="auto"/>
              <w:jc w:val="left"/>
              <w:rPr>
                <w:rFonts w:eastAsia="Times New Roman" w:cs="Segoe UI"/>
                <w:sz w:val="18"/>
                <w:szCs w:val="18"/>
                <w:lang w:eastAsia="sk-SK"/>
              </w:rPr>
            </w:pPr>
            <w:r w:rsidRPr="00113ACD">
              <w:rPr>
                <w:rFonts w:eastAsia="Times New Roman" w:cs="Segoe UI"/>
                <w:sz w:val="18"/>
                <w:szCs w:val="18"/>
                <w:lang w:eastAsia="sk-SK"/>
              </w:rPr>
              <w:t>OP RH</w:t>
            </w:r>
          </w:p>
        </w:tc>
        <w:tc>
          <w:tcPr>
            <w:tcW w:w="643" w:type="pct"/>
            <w:tcBorders>
              <w:top w:val="nil"/>
              <w:left w:val="nil"/>
              <w:bottom w:val="nil"/>
              <w:right w:val="nil"/>
            </w:tcBorders>
            <w:shd w:val="clear" w:color="000000" w:fill="FFFFFF"/>
            <w:noWrap/>
            <w:vAlign w:val="center"/>
          </w:tcPr>
          <w:p w14:paraId="45F1D3B6" w14:textId="77777777" w:rsidR="008E0E12" w:rsidRPr="00113ACD" w:rsidRDefault="008E0E12" w:rsidP="003B1D74">
            <w:pPr>
              <w:spacing w:after="0" w:line="240" w:lineRule="auto"/>
              <w:jc w:val="center"/>
              <w:rPr>
                <w:rFonts w:eastAsia="Times New Roman" w:cs="Segoe UI"/>
                <w:sz w:val="18"/>
                <w:szCs w:val="18"/>
                <w:lang w:eastAsia="sk-SK"/>
              </w:rPr>
            </w:pPr>
            <w:r w:rsidRPr="00113ACD">
              <w:rPr>
                <w:rFonts w:cs="Segoe UI"/>
                <w:sz w:val="18"/>
                <w:szCs w:val="18"/>
              </w:rPr>
              <w:t>0</w:t>
            </w:r>
          </w:p>
        </w:tc>
        <w:tc>
          <w:tcPr>
            <w:tcW w:w="971" w:type="pct"/>
            <w:tcBorders>
              <w:top w:val="nil"/>
              <w:left w:val="nil"/>
              <w:bottom w:val="nil"/>
              <w:right w:val="nil"/>
            </w:tcBorders>
            <w:shd w:val="clear" w:color="000000" w:fill="FFFFFF"/>
            <w:noWrap/>
            <w:vAlign w:val="center"/>
          </w:tcPr>
          <w:p w14:paraId="6953BDBD" w14:textId="77777777" w:rsidR="008E0E12" w:rsidRPr="00113ACD" w:rsidRDefault="008E0E12" w:rsidP="003B1D74">
            <w:pPr>
              <w:spacing w:after="0" w:line="240" w:lineRule="auto"/>
              <w:jc w:val="center"/>
              <w:rPr>
                <w:rFonts w:eastAsia="Times New Roman" w:cs="Segoe UI"/>
                <w:sz w:val="18"/>
                <w:szCs w:val="18"/>
                <w:lang w:eastAsia="sk-SK"/>
              </w:rPr>
            </w:pPr>
            <w:r w:rsidRPr="00113ACD">
              <w:rPr>
                <w:rFonts w:cs="Segoe UI"/>
                <w:sz w:val="18"/>
                <w:szCs w:val="18"/>
              </w:rPr>
              <w:t>1,89</w:t>
            </w:r>
          </w:p>
        </w:tc>
        <w:tc>
          <w:tcPr>
            <w:tcW w:w="572" w:type="pct"/>
            <w:tcBorders>
              <w:top w:val="nil"/>
              <w:left w:val="nil"/>
              <w:bottom w:val="nil"/>
              <w:right w:val="nil"/>
            </w:tcBorders>
            <w:shd w:val="clear" w:color="000000" w:fill="FFFFFF"/>
            <w:noWrap/>
            <w:vAlign w:val="center"/>
          </w:tcPr>
          <w:p w14:paraId="4CA2E695" w14:textId="77777777" w:rsidR="008E0E12" w:rsidRPr="00113ACD" w:rsidRDefault="008E0E12" w:rsidP="003B1D74">
            <w:pPr>
              <w:spacing w:after="0" w:line="240" w:lineRule="auto"/>
              <w:jc w:val="center"/>
              <w:rPr>
                <w:rFonts w:eastAsia="Times New Roman" w:cs="Segoe UI"/>
                <w:sz w:val="18"/>
                <w:szCs w:val="18"/>
                <w:lang w:eastAsia="sk-SK"/>
              </w:rPr>
            </w:pPr>
            <w:r w:rsidRPr="00113ACD">
              <w:rPr>
                <w:rFonts w:cs="Segoe UI"/>
                <w:sz w:val="18"/>
                <w:szCs w:val="18"/>
              </w:rPr>
              <w:t>1,14</w:t>
            </w:r>
          </w:p>
        </w:tc>
        <w:tc>
          <w:tcPr>
            <w:tcW w:w="746" w:type="pct"/>
            <w:tcBorders>
              <w:top w:val="nil"/>
              <w:left w:val="nil"/>
              <w:bottom w:val="nil"/>
              <w:right w:val="nil"/>
            </w:tcBorders>
            <w:shd w:val="clear" w:color="000000" w:fill="FFFFFF"/>
            <w:noWrap/>
            <w:vAlign w:val="center"/>
          </w:tcPr>
          <w:p w14:paraId="2074C3B0" w14:textId="77777777" w:rsidR="008E0E12" w:rsidRPr="00113ACD" w:rsidRDefault="008E0E12" w:rsidP="003B1D74">
            <w:pPr>
              <w:spacing w:after="0" w:line="240" w:lineRule="auto"/>
              <w:jc w:val="center"/>
              <w:rPr>
                <w:rFonts w:eastAsia="Times New Roman" w:cs="Segoe UI"/>
                <w:sz w:val="18"/>
                <w:szCs w:val="18"/>
                <w:lang w:eastAsia="sk-SK"/>
              </w:rPr>
            </w:pPr>
            <w:r w:rsidRPr="00113ACD">
              <w:rPr>
                <w:rFonts w:cs="Segoe UI"/>
                <w:sz w:val="18"/>
                <w:szCs w:val="18"/>
              </w:rPr>
              <w:t>2,14</w:t>
            </w:r>
          </w:p>
        </w:tc>
        <w:tc>
          <w:tcPr>
            <w:tcW w:w="538" w:type="pct"/>
            <w:tcBorders>
              <w:top w:val="nil"/>
              <w:left w:val="nil"/>
              <w:bottom w:val="nil"/>
              <w:right w:val="nil"/>
            </w:tcBorders>
            <w:shd w:val="clear" w:color="000000" w:fill="FFFFFF"/>
            <w:noWrap/>
            <w:vAlign w:val="center"/>
          </w:tcPr>
          <w:p w14:paraId="3A83FD72" w14:textId="77777777" w:rsidR="008E0E12" w:rsidRPr="00113ACD" w:rsidRDefault="008E0E12" w:rsidP="003B1D74">
            <w:pPr>
              <w:spacing w:after="0" w:line="240" w:lineRule="auto"/>
              <w:jc w:val="center"/>
              <w:rPr>
                <w:rFonts w:eastAsia="Times New Roman" w:cs="Segoe UI"/>
                <w:sz w:val="18"/>
                <w:szCs w:val="18"/>
                <w:lang w:eastAsia="sk-SK"/>
              </w:rPr>
            </w:pPr>
            <w:r w:rsidRPr="00113ACD">
              <w:rPr>
                <w:rFonts w:cs="Segoe UI"/>
                <w:sz w:val="18"/>
                <w:szCs w:val="18"/>
              </w:rPr>
              <w:t>0,29</w:t>
            </w:r>
          </w:p>
        </w:tc>
        <w:tc>
          <w:tcPr>
            <w:tcW w:w="642" w:type="pct"/>
            <w:tcBorders>
              <w:top w:val="nil"/>
              <w:left w:val="nil"/>
              <w:bottom w:val="nil"/>
              <w:right w:val="nil"/>
            </w:tcBorders>
            <w:shd w:val="clear" w:color="000000" w:fill="FFFFFF"/>
            <w:noWrap/>
            <w:vAlign w:val="center"/>
          </w:tcPr>
          <w:p w14:paraId="749ED554" w14:textId="77777777" w:rsidR="008E0E12" w:rsidRPr="00113ACD" w:rsidRDefault="008E0E12" w:rsidP="003B1D74">
            <w:pPr>
              <w:spacing w:after="0" w:line="240" w:lineRule="auto"/>
              <w:jc w:val="center"/>
              <w:rPr>
                <w:rFonts w:eastAsia="Times New Roman" w:cs="Segoe UI"/>
                <w:sz w:val="18"/>
                <w:szCs w:val="18"/>
                <w:lang w:eastAsia="sk-SK"/>
              </w:rPr>
            </w:pPr>
            <w:r w:rsidRPr="00113ACD">
              <w:rPr>
                <w:rFonts w:cs="Segoe UI"/>
                <w:sz w:val="18"/>
                <w:szCs w:val="18"/>
              </w:rPr>
              <w:t>1,65</w:t>
            </w:r>
          </w:p>
        </w:tc>
      </w:tr>
      <w:tr w:rsidR="008E0E12" w:rsidRPr="00F62E12" w14:paraId="42332212" w14:textId="77777777" w:rsidTr="003B1D74">
        <w:trPr>
          <w:trHeight w:val="283"/>
        </w:trPr>
        <w:tc>
          <w:tcPr>
            <w:tcW w:w="888" w:type="pct"/>
            <w:tcBorders>
              <w:top w:val="nil"/>
              <w:left w:val="nil"/>
              <w:bottom w:val="single" w:sz="4" w:space="0" w:color="314364" w:themeColor="text2"/>
              <w:right w:val="nil"/>
            </w:tcBorders>
            <w:shd w:val="clear" w:color="000000" w:fill="FFFFFF"/>
            <w:noWrap/>
            <w:vAlign w:val="center"/>
            <w:hideMark/>
          </w:tcPr>
          <w:p w14:paraId="7CF9333F" w14:textId="77777777" w:rsidR="008E0E12" w:rsidRPr="00113ACD" w:rsidRDefault="008E0E12" w:rsidP="003B1D74">
            <w:pPr>
              <w:spacing w:after="0" w:line="240" w:lineRule="auto"/>
              <w:jc w:val="left"/>
              <w:rPr>
                <w:rFonts w:eastAsia="Times New Roman" w:cs="Segoe UI"/>
                <w:b/>
                <w:bCs/>
                <w:sz w:val="18"/>
                <w:szCs w:val="18"/>
                <w:lang w:eastAsia="sk-SK"/>
              </w:rPr>
            </w:pPr>
            <w:r w:rsidRPr="00113ACD">
              <w:rPr>
                <w:rFonts w:eastAsia="Times New Roman" w:cs="Segoe UI"/>
                <w:b/>
                <w:bCs/>
                <w:sz w:val="18"/>
                <w:szCs w:val="18"/>
                <w:lang w:eastAsia="sk-SK"/>
              </w:rPr>
              <w:t>SPOLU</w:t>
            </w:r>
          </w:p>
        </w:tc>
        <w:tc>
          <w:tcPr>
            <w:tcW w:w="643" w:type="pct"/>
            <w:tcBorders>
              <w:top w:val="nil"/>
              <w:left w:val="nil"/>
              <w:bottom w:val="single" w:sz="8" w:space="0" w:color="314364"/>
              <w:right w:val="nil"/>
            </w:tcBorders>
            <w:shd w:val="clear" w:color="000000" w:fill="FFFFFF"/>
            <w:noWrap/>
            <w:vAlign w:val="center"/>
          </w:tcPr>
          <w:p w14:paraId="7F2FE4D4" w14:textId="77777777" w:rsidR="008E0E12" w:rsidRPr="00113ACD" w:rsidRDefault="008E0E12" w:rsidP="003B1D74">
            <w:pPr>
              <w:spacing w:after="0" w:line="240" w:lineRule="auto"/>
              <w:jc w:val="center"/>
              <w:rPr>
                <w:rFonts w:eastAsia="Times New Roman" w:cs="Segoe UI"/>
                <w:b/>
                <w:bCs/>
                <w:sz w:val="18"/>
                <w:szCs w:val="18"/>
                <w:lang w:eastAsia="sk-SK"/>
              </w:rPr>
            </w:pPr>
            <w:r w:rsidRPr="00113ACD">
              <w:rPr>
                <w:rFonts w:cs="Segoe UI"/>
                <w:b/>
                <w:bCs/>
                <w:sz w:val="18"/>
                <w:szCs w:val="18"/>
              </w:rPr>
              <w:t>26,97</w:t>
            </w:r>
          </w:p>
        </w:tc>
        <w:tc>
          <w:tcPr>
            <w:tcW w:w="971" w:type="pct"/>
            <w:tcBorders>
              <w:top w:val="nil"/>
              <w:left w:val="nil"/>
              <w:bottom w:val="single" w:sz="8" w:space="0" w:color="314364"/>
              <w:right w:val="nil"/>
            </w:tcBorders>
            <w:shd w:val="clear" w:color="000000" w:fill="FFFFFF"/>
            <w:noWrap/>
            <w:vAlign w:val="center"/>
          </w:tcPr>
          <w:p w14:paraId="6B6A9D69" w14:textId="77777777" w:rsidR="008E0E12" w:rsidRPr="00113ACD" w:rsidRDefault="008E0E12" w:rsidP="003B1D74">
            <w:pPr>
              <w:spacing w:after="0" w:line="240" w:lineRule="auto"/>
              <w:jc w:val="center"/>
              <w:rPr>
                <w:rFonts w:eastAsia="Times New Roman" w:cs="Segoe UI"/>
                <w:b/>
                <w:bCs/>
                <w:sz w:val="18"/>
                <w:szCs w:val="18"/>
                <w:lang w:eastAsia="sk-SK"/>
              </w:rPr>
            </w:pPr>
            <w:r w:rsidRPr="00113ACD">
              <w:rPr>
                <w:rFonts w:cs="Segoe UI"/>
                <w:b/>
                <w:bCs/>
                <w:sz w:val="18"/>
                <w:szCs w:val="18"/>
              </w:rPr>
              <w:t>122,23</w:t>
            </w:r>
          </w:p>
        </w:tc>
        <w:tc>
          <w:tcPr>
            <w:tcW w:w="572" w:type="pct"/>
            <w:tcBorders>
              <w:top w:val="nil"/>
              <w:left w:val="nil"/>
              <w:bottom w:val="single" w:sz="8" w:space="0" w:color="314364"/>
              <w:right w:val="nil"/>
            </w:tcBorders>
            <w:shd w:val="clear" w:color="000000" w:fill="FFFFFF"/>
            <w:noWrap/>
            <w:vAlign w:val="center"/>
          </w:tcPr>
          <w:p w14:paraId="7425C3D8" w14:textId="77777777" w:rsidR="008E0E12" w:rsidRPr="00113ACD" w:rsidRDefault="008E0E12" w:rsidP="003B1D74">
            <w:pPr>
              <w:spacing w:after="0" w:line="240" w:lineRule="auto"/>
              <w:jc w:val="center"/>
              <w:rPr>
                <w:rFonts w:eastAsia="Times New Roman" w:cs="Segoe UI"/>
                <w:b/>
                <w:bCs/>
                <w:sz w:val="18"/>
                <w:szCs w:val="18"/>
                <w:lang w:eastAsia="sk-SK"/>
              </w:rPr>
            </w:pPr>
            <w:r w:rsidRPr="00113ACD">
              <w:rPr>
                <w:rFonts w:cs="Segoe UI"/>
                <w:b/>
                <w:bCs/>
                <w:sz w:val="18"/>
                <w:szCs w:val="18"/>
              </w:rPr>
              <w:t>1,14</w:t>
            </w:r>
          </w:p>
        </w:tc>
        <w:tc>
          <w:tcPr>
            <w:tcW w:w="746" w:type="pct"/>
            <w:tcBorders>
              <w:top w:val="nil"/>
              <w:left w:val="nil"/>
              <w:bottom w:val="single" w:sz="8" w:space="0" w:color="314364"/>
              <w:right w:val="nil"/>
            </w:tcBorders>
            <w:shd w:val="clear" w:color="000000" w:fill="FFFFFF"/>
            <w:noWrap/>
            <w:vAlign w:val="center"/>
          </w:tcPr>
          <w:p w14:paraId="67D73BAA" w14:textId="77777777" w:rsidR="008E0E12" w:rsidRPr="00113ACD" w:rsidRDefault="008E0E12" w:rsidP="003B1D74">
            <w:pPr>
              <w:spacing w:after="0" w:line="240" w:lineRule="auto"/>
              <w:jc w:val="center"/>
              <w:rPr>
                <w:rFonts w:eastAsia="Times New Roman" w:cs="Segoe UI"/>
                <w:b/>
                <w:bCs/>
                <w:sz w:val="18"/>
                <w:szCs w:val="18"/>
                <w:lang w:eastAsia="sk-SK"/>
              </w:rPr>
            </w:pPr>
            <w:r w:rsidRPr="00113ACD">
              <w:rPr>
                <w:rFonts w:cs="Segoe UI"/>
                <w:b/>
                <w:bCs/>
                <w:sz w:val="18"/>
                <w:szCs w:val="18"/>
              </w:rPr>
              <w:t>2,14</w:t>
            </w:r>
          </w:p>
        </w:tc>
        <w:tc>
          <w:tcPr>
            <w:tcW w:w="538" w:type="pct"/>
            <w:tcBorders>
              <w:top w:val="nil"/>
              <w:left w:val="nil"/>
              <w:bottom w:val="single" w:sz="8" w:space="0" w:color="314364"/>
              <w:right w:val="nil"/>
            </w:tcBorders>
            <w:shd w:val="clear" w:color="000000" w:fill="FFFFFF"/>
            <w:noWrap/>
            <w:vAlign w:val="center"/>
          </w:tcPr>
          <w:p w14:paraId="4718CEE3" w14:textId="77777777" w:rsidR="008E0E12" w:rsidRPr="00113ACD" w:rsidRDefault="008E0E12" w:rsidP="003B1D74">
            <w:pPr>
              <w:spacing w:after="0" w:line="240" w:lineRule="auto"/>
              <w:jc w:val="center"/>
              <w:rPr>
                <w:rFonts w:eastAsia="Times New Roman" w:cs="Segoe UI"/>
                <w:b/>
                <w:bCs/>
                <w:sz w:val="18"/>
                <w:szCs w:val="18"/>
                <w:lang w:eastAsia="sk-SK"/>
              </w:rPr>
            </w:pPr>
            <w:r w:rsidRPr="00113ACD">
              <w:rPr>
                <w:rFonts w:cs="Segoe UI"/>
                <w:b/>
                <w:bCs/>
                <w:sz w:val="18"/>
                <w:szCs w:val="18"/>
              </w:rPr>
              <w:t>0,29</w:t>
            </w:r>
          </w:p>
        </w:tc>
        <w:tc>
          <w:tcPr>
            <w:tcW w:w="642" w:type="pct"/>
            <w:tcBorders>
              <w:top w:val="nil"/>
              <w:left w:val="nil"/>
              <w:bottom w:val="single" w:sz="8" w:space="0" w:color="314364"/>
              <w:right w:val="nil"/>
            </w:tcBorders>
            <w:shd w:val="clear" w:color="000000" w:fill="FFFFFF"/>
            <w:noWrap/>
            <w:vAlign w:val="center"/>
          </w:tcPr>
          <w:p w14:paraId="1DC5A40C" w14:textId="77777777" w:rsidR="008E0E12" w:rsidRPr="00113ACD" w:rsidRDefault="008E0E12" w:rsidP="003B1D74">
            <w:pPr>
              <w:spacing w:after="0" w:line="240" w:lineRule="auto"/>
              <w:jc w:val="center"/>
              <w:rPr>
                <w:rFonts w:eastAsia="Times New Roman" w:cs="Segoe UI"/>
                <w:b/>
                <w:bCs/>
                <w:sz w:val="18"/>
                <w:szCs w:val="18"/>
                <w:lang w:eastAsia="sk-SK"/>
              </w:rPr>
            </w:pPr>
            <w:r w:rsidRPr="00113ACD">
              <w:rPr>
                <w:rFonts w:cs="Segoe UI"/>
                <w:b/>
                <w:bCs/>
                <w:sz w:val="18"/>
                <w:szCs w:val="18"/>
              </w:rPr>
              <w:t>1,65</w:t>
            </w:r>
          </w:p>
        </w:tc>
      </w:tr>
    </w:tbl>
    <w:p w14:paraId="3EAEF1D8" w14:textId="77777777" w:rsidR="008E0E12" w:rsidRDefault="008E0E12" w:rsidP="008E0E12">
      <w:pPr>
        <w:rPr>
          <w:rFonts w:eastAsia="Times New Roman" w:cs="Segoe UI"/>
          <w:i/>
          <w:iCs/>
          <w:color w:val="314364" w:themeColor="text2"/>
          <w:sz w:val="16"/>
          <w:szCs w:val="16"/>
          <w:lang w:eastAsia="sk-SK"/>
        </w:rPr>
      </w:pPr>
      <w:r w:rsidRPr="00B41B68">
        <w:rPr>
          <w:rFonts w:eastAsia="Times New Roman" w:cs="Segoe UI"/>
          <w:i/>
          <w:iCs/>
          <w:color w:val="314364" w:themeColor="text2"/>
          <w:sz w:val="16"/>
          <w:szCs w:val="16"/>
          <w:lang w:eastAsia="sk-SK"/>
        </w:rPr>
        <w:t>Zdroj: CO (MF SR)</w:t>
      </w:r>
      <w:r>
        <w:rPr>
          <w:rFonts w:eastAsia="Times New Roman" w:cs="Segoe UI"/>
          <w:i/>
          <w:iCs/>
          <w:color w:val="314364" w:themeColor="text2"/>
          <w:sz w:val="16"/>
          <w:szCs w:val="16"/>
          <w:lang w:eastAsia="sk-SK"/>
        </w:rPr>
        <w:t>.</w:t>
      </w:r>
    </w:p>
    <w:p w14:paraId="5880B51F" w14:textId="507F8839" w:rsidR="008E0E12" w:rsidRPr="002F225A" w:rsidRDefault="008E0E12" w:rsidP="008E0E12">
      <w:pPr>
        <w:pStyle w:val="Nadpis2"/>
        <w:rPr>
          <w:color w:val="314364" w:themeColor="text2"/>
        </w:rPr>
      </w:pPr>
      <w:bookmarkStart w:id="30" w:name="_Toc167892016"/>
      <w:bookmarkStart w:id="31" w:name="_Toc168567195"/>
      <w:r>
        <w:rPr>
          <w:color w:val="314364" w:themeColor="text2"/>
        </w:rPr>
        <w:t xml:space="preserve">4.2 </w:t>
      </w:r>
      <w:r w:rsidR="00E43045">
        <w:rPr>
          <w:color w:val="314364" w:themeColor="text2"/>
        </w:rPr>
        <w:t xml:space="preserve"> </w:t>
      </w:r>
      <w:r w:rsidRPr="002F225A">
        <w:rPr>
          <w:color w:val="314364" w:themeColor="text2"/>
        </w:rPr>
        <w:t>P</w:t>
      </w:r>
      <w:r>
        <w:rPr>
          <w:color w:val="314364" w:themeColor="text2"/>
        </w:rPr>
        <w:t>O</w:t>
      </w:r>
      <w:r w:rsidRPr="002F225A">
        <w:rPr>
          <w:color w:val="314364" w:themeColor="text2"/>
        </w:rPr>
        <w:t xml:space="preserve"> 2021 </w:t>
      </w:r>
      <w:r w:rsidR="00FF3AE5">
        <w:rPr>
          <w:color w:val="314364" w:themeColor="text2"/>
        </w:rPr>
        <w:t xml:space="preserve">– </w:t>
      </w:r>
      <w:r w:rsidRPr="002F225A">
        <w:rPr>
          <w:color w:val="314364" w:themeColor="text2"/>
        </w:rPr>
        <w:t>2027</w:t>
      </w:r>
      <w:bookmarkEnd w:id="29"/>
      <w:bookmarkEnd w:id="30"/>
      <w:bookmarkEnd w:id="31"/>
    </w:p>
    <w:p w14:paraId="3F759E47" w14:textId="77777777" w:rsidR="004C556C" w:rsidRDefault="00D41F78" w:rsidP="008E0E12">
      <w:pPr>
        <w:rPr>
          <w:b/>
        </w:rPr>
      </w:pPr>
      <w:r>
        <w:rPr>
          <w:b/>
        </w:rPr>
        <w:t>V</w:t>
      </w:r>
      <w:r w:rsidR="008E0E12" w:rsidRPr="009110ED">
        <w:rPr>
          <w:b/>
        </w:rPr>
        <w:t xml:space="preserve"> novom PO je nižšia alokácia </w:t>
      </w:r>
      <w:r w:rsidR="008E0E12" w:rsidRPr="00D41F78">
        <w:t>(12,8 mld. eur)</w:t>
      </w:r>
      <w:r w:rsidR="008E0E12" w:rsidRPr="009110ED">
        <w:rPr>
          <w:b/>
        </w:rPr>
        <w:t xml:space="preserve"> oproti končiacemu PO </w:t>
      </w:r>
      <w:r w:rsidR="008E0E12" w:rsidRPr="00D41F78">
        <w:t>(14,5 mld. eur)</w:t>
      </w:r>
      <w:r w:rsidR="008E0E12" w:rsidRPr="009110ED">
        <w:rPr>
          <w:b/>
        </w:rPr>
        <w:t xml:space="preserve"> </w:t>
      </w:r>
      <w:r>
        <w:rPr>
          <w:b/>
        </w:rPr>
        <w:t xml:space="preserve">a </w:t>
      </w:r>
      <w:r w:rsidR="008E0E12" w:rsidRPr="009110ED">
        <w:rPr>
          <w:b/>
        </w:rPr>
        <w:t>Slovensko je stále v pozícii čistého prijímateľa.</w:t>
      </w:r>
    </w:p>
    <w:p w14:paraId="124BB090" w14:textId="21AE4B8F" w:rsidR="004E0B09" w:rsidRDefault="004E0B09" w:rsidP="004E0B09">
      <w:r w:rsidRPr="00D41F78">
        <w:rPr>
          <w:b/>
        </w:rPr>
        <w:t xml:space="preserve">V novom PO 2021 – 2027 bolo ku koncu roka 2023 vyčerpaných </w:t>
      </w:r>
      <w:r>
        <w:rPr>
          <w:b/>
        </w:rPr>
        <w:t xml:space="preserve">len </w:t>
      </w:r>
      <w:r w:rsidRPr="00D41F78">
        <w:rPr>
          <w:b/>
        </w:rPr>
        <w:t>0,02 % z celkovej alokácie</w:t>
      </w:r>
      <w:r>
        <w:rPr>
          <w:b/>
        </w:rPr>
        <w:t xml:space="preserve"> </w:t>
      </w:r>
      <w:r w:rsidRPr="00113ACD">
        <w:t>(</w:t>
      </w:r>
      <w:r w:rsidR="00F61C16">
        <w:t xml:space="preserve">čerpal </w:t>
      </w:r>
      <w:r w:rsidRPr="00113ACD">
        <w:t>len OP Interact IV</w:t>
      </w:r>
      <w:r w:rsidR="00F61C16">
        <w:t>, a to</w:t>
      </w:r>
      <w:r w:rsidRPr="00113ACD">
        <w:t xml:space="preserve"> 2 mil. eur).</w:t>
      </w:r>
      <w:r>
        <w:rPr>
          <w:b/>
        </w:rPr>
        <w:t xml:space="preserve"> </w:t>
      </w:r>
      <w:r w:rsidRPr="004E0B09">
        <w:t>Príjmy z rozpočtu EÚ v PO 2021 – 2027 boli rozpočtované na rok 2023 v celkovom objeme 1,5 mld. eur</w:t>
      </w:r>
      <w:r>
        <w:rPr>
          <w:b/>
        </w:rPr>
        <w:t xml:space="preserve"> </w:t>
      </w:r>
      <w:r w:rsidRPr="00113ACD">
        <w:t>(graf 16)</w:t>
      </w:r>
      <w:r w:rsidRPr="00A060B0">
        <w:t>.</w:t>
      </w:r>
      <w:r w:rsidRPr="009110ED">
        <w:t xml:space="preserve"> </w:t>
      </w:r>
      <w:r w:rsidRPr="00F61C16">
        <w:t>V rámci Programu Slovensko boli prijímateľom uhradené zálohové platby vo výške 74,5 mil. eur</w:t>
      </w:r>
      <w:r w:rsidRPr="00F61C16">
        <w:rPr>
          <w:rStyle w:val="Odkaznapoznmkupodiarou"/>
        </w:rPr>
        <w:footnoteReference w:id="36"/>
      </w:r>
      <w:r w:rsidRPr="00F61C16">
        <w:t xml:space="preserve"> (čo predstavuje 0,59 % z alokácie OP).</w:t>
      </w:r>
      <w:r>
        <w:t xml:space="preserve"> </w:t>
      </w:r>
      <w:r w:rsidRPr="009110ED">
        <w:t>Program</w:t>
      </w:r>
      <w:r>
        <w:t xml:space="preserve"> Slovensko má</w:t>
      </w:r>
      <w:r w:rsidRPr="009110ED">
        <w:t xml:space="preserve"> alokáciu 12,6 mld. eur</w:t>
      </w:r>
      <w:r>
        <w:t xml:space="preserve"> a jeho </w:t>
      </w:r>
      <w:r w:rsidRPr="009110ED">
        <w:t>riadiacim orgánom je MIRRI SR.</w:t>
      </w:r>
    </w:p>
    <w:p w14:paraId="1A227285" w14:textId="61EA58E1" w:rsidR="008E0E12" w:rsidRPr="009110ED" w:rsidRDefault="008E0E12" w:rsidP="008E0E12">
      <w:r w:rsidRPr="004C556C">
        <w:rPr>
          <w:b/>
        </w:rPr>
        <w:t xml:space="preserve">Vzhľadom na skutočnosť, že ročný záväzok v prvom roku PO 2021 – 2027 bol nulový, v roku 2024 </w:t>
      </w:r>
      <w:r w:rsidR="004C556C">
        <w:rPr>
          <w:b/>
        </w:rPr>
        <w:t xml:space="preserve">ešte </w:t>
      </w:r>
      <w:r w:rsidRPr="004C556C">
        <w:rPr>
          <w:b/>
        </w:rPr>
        <w:t xml:space="preserve">nemôže vzniknúť </w:t>
      </w:r>
      <w:r w:rsidRPr="00F610FC">
        <w:rPr>
          <w:b/>
        </w:rPr>
        <w:t>dekomitment.</w:t>
      </w:r>
      <w:r w:rsidRPr="009110ED">
        <w:t xml:space="preserve"> V rámci pravidla n+3 bude nutné deklarovať na EK výdavky až za ročný záväzok 2022 v roku 2025, preto je nutné do konca budúceho roka vyčerpať viac ako 1,6 mld. eur</w:t>
      </w:r>
      <w:r>
        <w:t xml:space="preserve"> (tabuľka 13)</w:t>
      </w:r>
      <w:r w:rsidRPr="009110ED">
        <w:t>.</w:t>
      </w:r>
    </w:p>
    <w:p w14:paraId="0D4097F5" w14:textId="3B168F56" w:rsidR="0029006B" w:rsidRDefault="0029006B" w:rsidP="0029006B">
      <w:pPr>
        <w:pStyle w:val="Popis"/>
        <w:keepNext/>
      </w:pPr>
      <w:bookmarkStart w:id="32" w:name="_Toc165367486"/>
      <w:r>
        <w:lastRenderedPageBreak/>
        <w:t xml:space="preserve">Graf 16: </w:t>
      </w:r>
      <w:r w:rsidRPr="00FD7CD5">
        <w:t xml:space="preserve">Rozdelenie alokácie Programu Slovensko 2021 </w:t>
      </w:r>
      <w:r w:rsidR="00F610FC">
        <w:t xml:space="preserve">– </w:t>
      </w:r>
      <w:r w:rsidRPr="00FD7CD5">
        <w:t>2027 podľa rezortov</w:t>
      </w:r>
      <w:r>
        <w:t xml:space="preserve"> (v mil. eur)</w:t>
      </w:r>
    </w:p>
    <w:tbl>
      <w:tblPr>
        <w:tblStyle w:val="Mriekatabuky"/>
        <w:tblW w:w="0" w:type="auto"/>
        <w:tblLook w:val="04A0" w:firstRow="1" w:lastRow="0" w:firstColumn="1" w:lastColumn="0" w:noHBand="0" w:noVBand="1"/>
      </w:tblPr>
      <w:tblGrid>
        <w:gridCol w:w="9070"/>
      </w:tblGrid>
      <w:tr w:rsidR="0029006B" w14:paraId="10A48102" w14:textId="77777777" w:rsidTr="00A81877">
        <w:tc>
          <w:tcPr>
            <w:tcW w:w="9060" w:type="dxa"/>
            <w:tcBorders>
              <w:top w:val="single" w:sz="4" w:space="0" w:color="314364" w:themeColor="text2"/>
              <w:left w:val="nil"/>
              <w:bottom w:val="single" w:sz="4" w:space="0" w:color="314364" w:themeColor="text2"/>
              <w:right w:val="nil"/>
            </w:tcBorders>
          </w:tcPr>
          <w:p w14:paraId="02123C6B" w14:textId="77777777" w:rsidR="0029006B" w:rsidRDefault="0029006B" w:rsidP="00A81877">
            <w:pPr>
              <w:spacing w:after="0"/>
            </w:pPr>
            <w:r>
              <w:rPr>
                <w:noProof/>
                <w:lang w:eastAsia="sk-SK"/>
              </w:rPr>
              <w:drawing>
                <wp:inline distT="0" distB="0" distL="0" distR="0" wp14:anchorId="201FDD79" wp14:editId="018031C5">
                  <wp:extent cx="5791200" cy="1858108"/>
                  <wp:effectExtent l="0" t="0" r="0" b="8890"/>
                  <wp:docPr id="3"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tc>
      </w:tr>
    </w:tbl>
    <w:p w14:paraId="11F5DCAF" w14:textId="4524A623" w:rsidR="0029006B" w:rsidRDefault="0029006B" w:rsidP="0029006B">
      <w:pPr>
        <w:pStyle w:val="Zdroj"/>
      </w:pPr>
      <w:r w:rsidRPr="009858D3">
        <w:t>Zdroj: MIRRI SR</w:t>
      </w:r>
      <w:r>
        <w:t>.</w:t>
      </w:r>
    </w:p>
    <w:p w14:paraId="52A9D692" w14:textId="4BC6FC7A" w:rsidR="008E0E12" w:rsidRDefault="008E0E12" w:rsidP="008E0E12">
      <w:pPr>
        <w:pStyle w:val="Popis"/>
        <w:keepNext/>
      </w:pPr>
      <w:r>
        <w:t xml:space="preserve">Tabuľka 13: </w:t>
      </w:r>
      <w:r w:rsidRPr="00826708">
        <w:t xml:space="preserve">Stav čerpania PO 2021 </w:t>
      </w:r>
      <w:r w:rsidR="00F610FC">
        <w:t xml:space="preserve">– </w:t>
      </w:r>
      <w:r w:rsidRPr="00826708">
        <w:t>2027 k</w:t>
      </w:r>
      <w:r>
        <w:t> 31. 12. 2023 (v mil. eur)</w:t>
      </w:r>
    </w:p>
    <w:tbl>
      <w:tblPr>
        <w:tblW w:w="8760" w:type="dxa"/>
        <w:tblCellMar>
          <w:left w:w="70" w:type="dxa"/>
          <w:right w:w="70" w:type="dxa"/>
        </w:tblCellMar>
        <w:tblLook w:val="04A0" w:firstRow="1" w:lastRow="0" w:firstColumn="1" w:lastColumn="0" w:noHBand="0" w:noVBand="1"/>
      </w:tblPr>
      <w:tblGrid>
        <w:gridCol w:w="2600"/>
        <w:gridCol w:w="1880"/>
        <w:gridCol w:w="1460"/>
        <w:gridCol w:w="1180"/>
        <w:gridCol w:w="1640"/>
      </w:tblGrid>
      <w:tr w:rsidR="008E0E12" w:rsidRPr="000A24AB" w14:paraId="28E918F9" w14:textId="77777777" w:rsidTr="003B1D74">
        <w:trPr>
          <w:trHeight w:val="828"/>
        </w:trPr>
        <w:tc>
          <w:tcPr>
            <w:tcW w:w="2600" w:type="dxa"/>
            <w:tcBorders>
              <w:top w:val="nil"/>
              <w:left w:val="nil"/>
              <w:bottom w:val="nil"/>
              <w:right w:val="nil"/>
            </w:tcBorders>
            <w:shd w:val="clear" w:color="000000" w:fill="314364"/>
            <w:vAlign w:val="center"/>
            <w:hideMark/>
          </w:tcPr>
          <w:p w14:paraId="58997EA5" w14:textId="77777777" w:rsidR="008E0E12" w:rsidRPr="00113ACD" w:rsidRDefault="008E0E12" w:rsidP="003B1D74">
            <w:pPr>
              <w:spacing w:after="0" w:line="240" w:lineRule="auto"/>
              <w:jc w:val="left"/>
              <w:rPr>
                <w:rFonts w:eastAsia="Times New Roman" w:cs="Segoe UI"/>
                <w:b/>
                <w:bCs/>
                <w:color w:val="FFFFFF" w:themeColor="background1"/>
                <w:sz w:val="16"/>
                <w:szCs w:val="16"/>
                <w:lang w:eastAsia="sk-SK"/>
              </w:rPr>
            </w:pPr>
            <w:r w:rsidRPr="00113ACD">
              <w:rPr>
                <w:rFonts w:eastAsia="Times New Roman" w:cs="Segoe UI"/>
                <w:b/>
                <w:bCs/>
                <w:color w:val="FFFFFF" w:themeColor="background1"/>
                <w:sz w:val="16"/>
                <w:szCs w:val="16"/>
                <w:lang w:eastAsia="sk-SK"/>
              </w:rPr>
              <w:t>Program</w:t>
            </w:r>
          </w:p>
        </w:tc>
        <w:tc>
          <w:tcPr>
            <w:tcW w:w="1880" w:type="dxa"/>
            <w:tcBorders>
              <w:top w:val="nil"/>
              <w:left w:val="nil"/>
              <w:bottom w:val="nil"/>
              <w:right w:val="nil"/>
            </w:tcBorders>
            <w:shd w:val="clear" w:color="000000" w:fill="314364"/>
            <w:vAlign w:val="center"/>
            <w:hideMark/>
          </w:tcPr>
          <w:p w14:paraId="139C7774" w14:textId="77777777" w:rsidR="008E0E12" w:rsidRPr="00113ACD" w:rsidRDefault="008E0E12" w:rsidP="003B1D74">
            <w:pPr>
              <w:spacing w:after="0" w:line="240" w:lineRule="auto"/>
              <w:jc w:val="center"/>
              <w:rPr>
                <w:rFonts w:eastAsia="Times New Roman" w:cs="Segoe UI"/>
                <w:b/>
                <w:bCs/>
                <w:color w:val="FFFFFF" w:themeColor="background1"/>
                <w:sz w:val="16"/>
                <w:szCs w:val="16"/>
                <w:lang w:eastAsia="sk-SK"/>
              </w:rPr>
            </w:pPr>
            <w:r w:rsidRPr="00113ACD">
              <w:rPr>
                <w:rFonts w:eastAsia="Times New Roman" w:cs="Segoe UI"/>
                <w:b/>
                <w:bCs/>
                <w:color w:val="FFFFFF" w:themeColor="background1"/>
                <w:sz w:val="16"/>
                <w:szCs w:val="16"/>
                <w:lang w:eastAsia="sk-SK"/>
              </w:rPr>
              <w:t xml:space="preserve">Alokácia </w:t>
            </w:r>
          </w:p>
        </w:tc>
        <w:tc>
          <w:tcPr>
            <w:tcW w:w="1460" w:type="dxa"/>
            <w:tcBorders>
              <w:top w:val="nil"/>
              <w:left w:val="nil"/>
              <w:bottom w:val="nil"/>
              <w:right w:val="nil"/>
            </w:tcBorders>
            <w:shd w:val="clear" w:color="000000" w:fill="314364"/>
            <w:vAlign w:val="center"/>
            <w:hideMark/>
          </w:tcPr>
          <w:p w14:paraId="749F6C1D" w14:textId="77777777" w:rsidR="008E0E12" w:rsidRPr="00113ACD" w:rsidRDefault="008E0E12" w:rsidP="003B1D74">
            <w:pPr>
              <w:spacing w:after="0" w:line="240" w:lineRule="auto"/>
              <w:jc w:val="center"/>
              <w:rPr>
                <w:rFonts w:eastAsia="Times New Roman" w:cs="Segoe UI"/>
                <w:b/>
                <w:bCs/>
                <w:color w:val="FFFFFF" w:themeColor="background1"/>
                <w:sz w:val="16"/>
                <w:szCs w:val="16"/>
                <w:lang w:eastAsia="sk-SK"/>
              </w:rPr>
            </w:pPr>
            <w:r w:rsidRPr="00113ACD">
              <w:rPr>
                <w:rFonts w:eastAsia="Times New Roman" w:cs="Segoe UI"/>
                <w:b/>
                <w:bCs/>
                <w:color w:val="FFFFFF" w:themeColor="background1"/>
                <w:sz w:val="16"/>
                <w:szCs w:val="16"/>
                <w:lang w:eastAsia="sk-SK"/>
              </w:rPr>
              <w:t>Čerpanie</w:t>
            </w:r>
          </w:p>
        </w:tc>
        <w:tc>
          <w:tcPr>
            <w:tcW w:w="1180" w:type="dxa"/>
            <w:tcBorders>
              <w:top w:val="nil"/>
              <w:left w:val="nil"/>
              <w:bottom w:val="nil"/>
              <w:right w:val="nil"/>
            </w:tcBorders>
            <w:shd w:val="clear" w:color="000000" w:fill="314364"/>
            <w:vAlign w:val="center"/>
            <w:hideMark/>
          </w:tcPr>
          <w:p w14:paraId="23037F9C" w14:textId="77777777" w:rsidR="008E0E12" w:rsidRPr="00113ACD" w:rsidRDefault="008E0E12" w:rsidP="003B1D74">
            <w:pPr>
              <w:spacing w:after="0" w:line="240" w:lineRule="auto"/>
              <w:jc w:val="center"/>
              <w:rPr>
                <w:rFonts w:eastAsia="Times New Roman" w:cs="Segoe UI"/>
                <w:b/>
                <w:bCs/>
                <w:color w:val="FFFFFF" w:themeColor="background1"/>
                <w:sz w:val="16"/>
                <w:szCs w:val="16"/>
                <w:lang w:eastAsia="sk-SK"/>
              </w:rPr>
            </w:pPr>
            <w:r w:rsidRPr="00113ACD">
              <w:rPr>
                <w:rFonts w:eastAsia="Times New Roman" w:cs="Segoe UI"/>
                <w:b/>
                <w:bCs/>
                <w:color w:val="FFFFFF" w:themeColor="background1"/>
                <w:sz w:val="16"/>
                <w:szCs w:val="16"/>
                <w:lang w:eastAsia="sk-SK"/>
              </w:rPr>
              <w:t>Čerpanie v %</w:t>
            </w:r>
          </w:p>
        </w:tc>
        <w:tc>
          <w:tcPr>
            <w:tcW w:w="1640" w:type="dxa"/>
            <w:tcBorders>
              <w:top w:val="nil"/>
              <w:left w:val="nil"/>
              <w:bottom w:val="nil"/>
              <w:right w:val="nil"/>
            </w:tcBorders>
            <w:shd w:val="clear" w:color="000000" w:fill="314364"/>
            <w:vAlign w:val="center"/>
            <w:hideMark/>
          </w:tcPr>
          <w:p w14:paraId="58434CE0" w14:textId="77777777" w:rsidR="008E0E12" w:rsidRPr="00113ACD" w:rsidRDefault="008E0E12" w:rsidP="003B1D74">
            <w:pPr>
              <w:spacing w:after="0" w:line="240" w:lineRule="auto"/>
              <w:jc w:val="center"/>
              <w:rPr>
                <w:rFonts w:eastAsia="Times New Roman" w:cs="Segoe UI"/>
                <w:b/>
                <w:bCs/>
                <w:color w:val="FFFFFF" w:themeColor="background1"/>
                <w:sz w:val="16"/>
                <w:szCs w:val="16"/>
                <w:lang w:eastAsia="sk-SK"/>
              </w:rPr>
            </w:pPr>
            <w:r w:rsidRPr="00113ACD">
              <w:rPr>
                <w:rFonts w:eastAsia="Times New Roman" w:cs="Segoe UI"/>
                <w:b/>
                <w:bCs/>
                <w:color w:val="FFFFFF" w:themeColor="background1"/>
                <w:sz w:val="16"/>
                <w:szCs w:val="16"/>
                <w:lang w:eastAsia="sk-SK"/>
              </w:rPr>
              <w:t xml:space="preserve">Ostáva vyčerpať </w:t>
            </w:r>
            <w:r w:rsidRPr="00113ACD">
              <w:rPr>
                <w:rFonts w:eastAsia="Times New Roman" w:cs="Segoe UI"/>
                <w:b/>
                <w:bCs/>
                <w:color w:val="FFFFFF" w:themeColor="background1"/>
                <w:sz w:val="16"/>
                <w:szCs w:val="16"/>
                <w:lang w:eastAsia="sk-SK"/>
              </w:rPr>
              <w:br/>
              <w:t xml:space="preserve">k 31.12.2025 </w:t>
            </w:r>
            <w:r w:rsidRPr="00113ACD">
              <w:rPr>
                <w:rFonts w:eastAsia="Times New Roman" w:cs="Segoe UI"/>
                <w:b/>
                <w:bCs/>
                <w:color w:val="FFFFFF" w:themeColor="background1"/>
                <w:sz w:val="16"/>
                <w:szCs w:val="16"/>
                <w:lang w:eastAsia="sk-SK"/>
              </w:rPr>
              <w:br/>
              <w:t>(n+3)</w:t>
            </w:r>
          </w:p>
        </w:tc>
      </w:tr>
      <w:tr w:rsidR="008E0E12" w:rsidRPr="000A24AB" w14:paraId="063A513A" w14:textId="77777777" w:rsidTr="003B1D74">
        <w:trPr>
          <w:trHeight w:val="288"/>
        </w:trPr>
        <w:tc>
          <w:tcPr>
            <w:tcW w:w="2600" w:type="dxa"/>
            <w:tcBorders>
              <w:top w:val="nil"/>
              <w:left w:val="nil"/>
              <w:bottom w:val="nil"/>
              <w:right w:val="nil"/>
            </w:tcBorders>
            <w:shd w:val="clear" w:color="000000" w:fill="314364"/>
            <w:vAlign w:val="center"/>
            <w:hideMark/>
          </w:tcPr>
          <w:p w14:paraId="116FDC01" w14:textId="77777777" w:rsidR="008E0E12" w:rsidRPr="000A24AB" w:rsidRDefault="008E0E12" w:rsidP="003B1D74">
            <w:pPr>
              <w:spacing w:after="0" w:line="240" w:lineRule="auto"/>
              <w:jc w:val="left"/>
              <w:rPr>
                <w:rFonts w:eastAsia="Times New Roman" w:cs="Segoe UI"/>
                <w:b/>
                <w:bCs/>
                <w:color w:val="FFFFFF"/>
                <w:sz w:val="16"/>
                <w:szCs w:val="16"/>
                <w:lang w:eastAsia="sk-SK"/>
              </w:rPr>
            </w:pPr>
            <w:r w:rsidRPr="000A24AB">
              <w:rPr>
                <w:rFonts w:eastAsia="Times New Roman" w:cs="Segoe UI"/>
                <w:b/>
                <w:bCs/>
                <w:color w:val="FFFFFF"/>
                <w:sz w:val="16"/>
                <w:szCs w:val="16"/>
                <w:lang w:eastAsia="sk-SK"/>
              </w:rPr>
              <w:t> </w:t>
            </w:r>
          </w:p>
        </w:tc>
        <w:tc>
          <w:tcPr>
            <w:tcW w:w="1880" w:type="dxa"/>
            <w:tcBorders>
              <w:top w:val="nil"/>
              <w:left w:val="nil"/>
              <w:bottom w:val="nil"/>
              <w:right w:val="nil"/>
            </w:tcBorders>
            <w:shd w:val="clear" w:color="000000" w:fill="314364"/>
            <w:vAlign w:val="center"/>
            <w:hideMark/>
          </w:tcPr>
          <w:p w14:paraId="0B57DA26" w14:textId="77777777" w:rsidR="008E0E12" w:rsidRPr="000A24AB" w:rsidRDefault="008E0E12" w:rsidP="003B1D74">
            <w:pPr>
              <w:spacing w:after="0" w:line="240" w:lineRule="auto"/>
              <w:jc w:val="center"/>
              <w:rPr>
                <w:rFonts w:eastAsia="Times New Roman" w:cs="Segoe UI"/>
                <w:b/>
                <w:bCs/>
                <w:color w:val="FFFFFF"/>
                <w:sz w:val="16"/>
                <w:szCs w:val="16"/>
                <w:lang w:eastAsia="sk-SK"/>
              </w:rPr>
            </w:pPr>
            <w:r w:rsidRPr="000A24AB">
              <w:rPr>
                <w:rFonts w:eastAsia="Times New Roman" w:cs="Segoe UI"/>
                <w:b/>
                <w:bCs/>
                <w:color w:val="FFFFFF"/>
                <w:sz w:val="16"/>
                <w:szCs w:val="16"/>
                <w:lang w:eastAsia="sk-SK"/>
              </w:rPr>
              <w:t>EÚ zdroj</w:t>
            </w:r>
          </w:p>
        </w:tc>
        <w:tc>
          <w:tcPr>
            <w:tcW w:w="1460" w:type="dxa"/>
            <w:tcBorders>
              <w:top w:val="nil"/>
              <w:left w:val="nil"/>
              <w:bottom w:val="nil"/>
              <w:right w:val="nil"/>
            </w:tcBorders>
            <w:shd w:val="clear" w:color="000000" w:fill="314364"/>
            <w:vAlign w:val="center"/>
            <w:hideMark/>
          </w:tcPr>
          <w:p w14:paraId="445897BB" w14:textId="77777777" w:rsidR="008E0E12" w:rsidRPr="000A24AB" w:rsidRDefault="008E0E12" w:rsidP="003B1D74">
            <w:pPr>
              <w:spacing w:after="0" w:line="240" w:lineRule="auto"/>
              <w:jc w:val="center"/>
              <w:rPr>
                <w:rFonts w:eastAsia="Times New Roman" w:cs="Segoe UI"/>
                <w:b/>
                <w:bCs/>
                <w:color w:val="FFFFFF"/>
                <w:sz w:val="16"/>
                <w:szCs w:val="16"/>
                <w:lang w:eastAsia="sk-SK"/>
              </w:rPr>
            </w:pPr>
            <w:r w:rsidRPr="000A24AB">
              <w:rPr>
                <w:rFonts w:eastAsia="Times New Roman" w:cs="Segoe UI"/>
                <w:b/>
                <w:bCs/>
                <w:color w:val="FFFFFF"/>
                <w:sz w:val="16"/>
                <w:szCs w:val="16"/>
                <w:lang w:eastAsia="sk-SK"/>
              </w:rPr>
              <w:t>EÚ zdroj</w:t>
            </w:r>
          </w:p>
        </w:tc>
        <w:tc>
          <w:tcPr>
            <w:tcW w:w="1180" w:type="dxa"/>
            <w:tcBorders>
              <w:top w:val="nil"/>
              <w:left w:val="nil"/>
              <w:bottom w:val="nil"/>
              <w:right w:val="nil"/>
            </w:tcBorders>
            <w:shd w:val="clear" w:color="000000" w:fill="314364"/>
            <w:vAlign w:val="center"/>
            <w:hideMark/>
          </w:tcPr>
          <w:p w14:paraId="15C1B60E" w14:textId="77777777" w:rsidR="008E0E12" w:rsidRPr="000A24AB" w:rsidRDefault="008E0E12" w:rsidP="003B1D74">
            <w:pPr>
              <w:spacing w:after="0" w:line="240" w:lineRule="auto"/>
              <w:jc w:val="center"/>
              <w:rPr>
                <w:rFonts w:eastAsia="Times New Roman" w:cs="Segoe UI"/>
                <w:b/>
                <w:bCs/>
                <w:color w:val="FFFFFF"/>
                <w:sz w:val="16"/>
                <w:szCs w:val="16"/>
                <w:lang w:eastAsia="sk-SK"/>
              </w:rPr>
            </w:pPr>
            <w:r w:rsidRPr="000A24AB">
              <w:rPr>
                <w:rFonts w:eastAsia="Times New Roman" w:cs="Segoe UI"/>
                <w:b/>
                <w:bCs/>
                <w:color w:val="FFFFFF"/>
                <w:sz w:val="16"/>
                <w:szCs w:val="16"/>
                <w:lang w:eastAsia="sk-SK"/>
              </w:rPr>
              <w:t>EÚ zdroj</w:t>
            </w:r>
          </w:p>
        </w:tc>
        <w:tc>
          <w:tcPr>
            <w:tcW w:w="1640" w:type="dxa"/>
            <w:tcBorders>
              <w:top w:val="nil"/>
              <w:left w:val="nil"/>
              <w:bottom w:val="nil"/>
              <w:right w:val="nil"/>
            </w:tcBorders>
            <w:shd w:val="clear" w:color="000000" w:fill="314364"/>
            <w:vAlign w:val="center"/>
            <w:hideMark/>
          </w:tcPr>
          <w:p w14:paraId="4371F7C0" w14:textId="77777777" w:rsidR="008E0E12" w:rsidRPr="000A24AB" w:rsidRDefault="008E0E12" w:rsidP="003B1D74">
            <w:pPr>
              <w:spacing w:after="0" w:line="240" w:lineRule="auto"/>
              <w:jc w:val="center"/>
              <w:rPr>
                <w:rFonts w:eastAsia="Times New Roman" w:cs="Segoe UI"/>
                <w:b/>
                <w:bCs/>
                <w:color w:val="FFFFFF"/>
                <w:sz w:val="16"/>
                <w:szCs w:val="16"/>
                <w:lang w:eastAsia="sk-SK"/>
              </w:rPr>
            </w:pPr>
            <w:r w:rsidRPr="000A24AB">
              <w:rPr>
                <w:rFonts w:eastAsia="Times New Roman" w:cs="Segoe UI"/>
                <w:b/>
                <w:bCs/>
                <w:color w:val="FFFFFF"/>
                <w:sz w:val="16"/>
                <w:szCs w:val="16"/>
                <w:lang w:eastAsia="sk-SK"/>
              </w:rPr>
              <w:t>EÚ zdroj</w:t>
            </w:r>
          </w:p>
        </w:tc>
      </w:tr>
      <w:tr w:rsidR="008E0E12" w:rsidRPr="000A24AB" w14:paraId="6AB82793" w14:textId="77777777" w:rsidTr="003B1D74">
        <w:trPr>
          <w:trHeight w:val="288"/>
        </w:trPr>
        <w:tc>
          <w:tcPr>
            <w:tcW w:w="2600" w:type="dxa"/>
            <w:tcBorders>
              <w:top w:val="nil"/>
              <w:left w:val="nil"/>
              <w:bottom w:val="nil"/>
              <w:right w:val="nil"/>
            </w:tcBorders>
            <w:shd w:val="clear" w:color="000000" w:fill="FFFFFF"/>
            <w:noWrap/>
            <w:vAlign w:val="bottom"/>
            <w:hideMark/>
          </w:tcPr>
          <w:p w14:paraId="064AD4B2" w14:textId="77777777" w:rsidR="008E0E12" w:rsidRPr="000A24AB" w:rsidRDefault="008E0E12" w:rsidP="003B1D74">
            <w:pPr>
              <w:spacing w:after="0" w:line="240" w:lineRule="auto"/>
              <w:jc w:val="left"/>
              <w:rPr>
                <w:rFonts w:eastAsia="Times New Roman" w:cs="Segoe UI"/>
                <w:sz w:val="18"/>
                <w:szCs w:val="18"/>
                <w:lang w:eastAsia="sk-SK"/>
              </w:rPr>
            </w:pPr>
            <w:r w:rsidRPr="000A24AB">
              <w:rPr>
                <w:rFonts w:eastAsia="Times New Roman" w:cs="Segoe UI"/>
                <w:sz w:val="18"/>
                <w:szCs w:val="18"/>
                <w:lang w:eastAsia="sk-SK"/>
              </w:rPr>
              <w:t>Spolu Program Slovensko</w:t>
            </w:r>
          </w:p>
        </w:tc>
        <w:tc>
          <w:tcPr>
            <w:tcW w:w="1880" w:type="dxa"/>
            <w:tcBorders>
              <w:top w:val="nil"/>
              <w:left w:val="nil"/>
              <w:bottom w:val="nil"/>
              <w:right w:val="nil"/>
            </w:tcBorders>
            <w:shd w:val="clear" w:color="000000" w:fill="FFFFFF"/>
            <w:noWrap/>
            <w:vAlign w:val="bottom"/>
            <w:hideMark/>
          </w:tcPr>
          <w:p w14:paraId="7FCE7419" w14:textId="77777777" w:rsidR="008E0E12" w:rsidRPr="000A24AB" w:rsidRDefault="008E0E12" w:rsidP="003B1D74">
            <w:pPr>
              <w:spacing w:after="0" w:line="240" w:lineRule="auto"/>
              <w:jc w:val="right"/>
              <w:rPr>
                <w:rFonts w:eastAsia="Times New Roman" w:cs="Segoe UI"/>
                <w:sz w:val="18"/>
                <w:szCs w:val="18"/>
                <w:lang w:eastAsia="sk-SK"/>
              </w:rPr>
            </w:pPr>
            <w:r w:rsidRPr="000A24AB">
              <w:rPr>
                <w:rFonts w:eastAsia="Times New Roman" w:cs="Segoe UI"/>
                <w:sz w:val="18"/>
                <w:szCs w:val="18"/>
                <w:lang w:eastAsia="sk-SK"/>
              </w:rPr>
              <w:t>12 593,73</w:t>
            </w:r>
          </w:p>
        </w:tc>
        <w:tc>
          <w:tcPr>
            <w:tcW w:w="1460" w:type="dxa"/>
            <w:tcBorders>
              <w:top w:val="nil"/>
              <w:left w:val="nil"/>
              <w:bottom w:val="nil"/>
              <w:right w:val="nil"/>
            </w:tcBorders>
            <w:shd w:val="clear" w:color="000000" w:fill="FFFFFF"/>
            <w:noWrap/>
            <w:vAlign w:val="bottom"/>
            <w:hideMark/>
          </w:tcPr>
          <w:p w14:paraId="2E48CF34" w14:textId="77777777" w:rsidR="008E0E12" w:rsidRPr="000A24AB" w:rsidRDefault="008E0E12" w:rsidP="003B1D74">
            <w:pPr>
              <w:spacing w:after="0" w:line="240" w:lineRule="auto"/>
              <w:jc w:val="right"/>
              <w:rPr>
                <w:rFonts w:eastAsia="Times New Roman" w:cs="Segoe UI"/>
                <w:sz w:val="18"/>
                <w:szCs w:val="18"/>
                <w:lang w:eastAsia="sk-SK"/>
              </w:rPr>
            </w:pPr>
            <w:r w:rsidRPr="000A24AB">
              <w:rPr>
                <w:rFonts w:eastAsia="Times New Roman" w:cs="Segoe UI"/>
                <w:sz w:val="18"/>
                <w:szCs w:val="18"/>
                <w:lang w:eastAsia="sk-SK"/>
              </w:rPr>
              <w:t>0,00</w:t>
            </w:r>
          </w:p>
        </w:tc>
        <w:tc>
          <w:tcPr>
            <w:tcW w:w="1180" w:type="dxa"/>
            <w:tcBorders>
              <w:top w:val="nil"/>
              <w:left w:val="nil"/>
              <w:bottom w:val="nil"/>
              <w:right w:val="nil"/>
            </w:tcBorders>
            <w:shd w:val="clear" w:color="000000" w:fill="FFFFFF"/>
            <w:noWrap/>
            <w:vAlign w:val="bottom"/>
            <w:hideMark/>
          </w:tcPr>
          <w:p w14:paraId="3A41DBED" w14:textId="77777777" w:rsidR="008E0E12" w:rsidRPr="000A24AB" w:rsidRDefault="008E0E12" w:rsidP="003B1D74">
            <w:pPr>
              <w:spacing w:after="0" w:line="240" w:lineRule="auto"/>
              <w:jc w:val="right"/>
              <w:rPr>
                <w:rFonts w:eastAsia="Times New Roman" w:cs="Segoe UI"/>
                <w:sz w:val="18"/>
                <w:szCs w:val="18"/>
                <w:lang w:eastAsia="sk-SK"/>
              </w:rPr>
            </w:pPr>
            <w:r w:rsidRPr="000A24AB">
              <w:rPr>
                <w:rFonts w:eastAsia="Times New Roman" w:cs="Segoe UI"/>
                <w:sz w:val="18"/>
                <w:szCs w:val="18"/>
                <w:lang w:eastAsia="sk-SK"/>
              </w:rPr>
              <w:t>0,00</w:t>
            </w:r>
          </w:p>
        </w:tc>
        <w:tc>
          <w:tcPr>
            <w:tcW w:w="1640" w:type="dxa"/>
            <w:tcBorders>
              <w:top w:val="nil"/>
              <w:left w:val="nil"/>
              <w:bottom w:val="nil"/>
              <w:right w:val="nil"/>
            </w:tcBorders>
            <w:shd w:val="clear" w:color="000000" w:fill="FFFFFF"/>
            <w:noWrap/>
            <w:vAlign w:val="bottom"/>
            <w:hideMark/>
          </w:tcPr>
          <w:p w14:paraId="0B9EEB5E" w14:textId="77777777" w:rsidR="008E0E12" w:rsidRPr="000A24AB" w:rsidRDefault="008E0E12" w:rsidP="003B1D74">
            <w:pPr>
              <w:spacing w:after="0" w:line="240" w:lineRule="auto"/>
              <w:jc w:val="right"/>
              <w:rPr>
                <w:rFonts w:eastAsia="Times New Roman" w:cs="Segoe UI"/>
                <w:sz w:val="18"/>
                <w:szCs w:val="18"/>
                <w:lang w:eastAsia="sk-SK"/>
              </w:rPr>
            </w:pPr>
            <w:r w:rsidRPr="000A24AB">
              <w:rPr>
                <w:rFonts w:eastAsia="Times New Roman" w:cs="Segoe UI"/>
                <w:sz w:val="18"/>
                <w:szCs w:val="18"/>
                <w:lang w:eastAsia="sk-SK"/>
              </w:rPr>
              <w:t>1 674,58</w:t>
            </w:r>
          </w:p>
        </w:tc>
      </w:tr>
      <w:tr w:rsidR="008E0E12" w:rsidRPr="000A24AB" w14:paraId="755B517D" w14:textId="77777777" w:rsidTr="003B1D74">
        <w:trPr>
          <w:trHeight w:val="288"/>
        </w:trPr>
        <w:tc>
          <w:tcPr>
            <w:tcW w:w="2600" w:type="dxa"/>
            <w:tcBorders>
              <w:top w:val="nil"/>
              <w:left w:val="nil"/>
              <w:bottom w:val="nil"/>
              <w:right w:val="nil"/>
            </w:tcBorders>
            <w:shd w:val="clear" w:color="000000" w:fill="FFFFFF"/>
            <w:noWrap/>
            <w:vAlign w:val="bottom"/>
            <w:hideMark/>
          </w:tcPr>
          <w:p w14:paraId="35D3159C" w14:textId="77777777" w:rsidR="008E0E12" w:rsidRPr="000A24AB" w:rsidRDefault="008E0E12" w:rsidP="003B1D74">
            <w:pPr>
              <w:spacing w:after="0" w:line="240" w:lineRule="auto"/>
              <w:jc w:val="left"/>
              <w:rPr>
                <w:rFonts w:eastAsia="Times New Roman" w:cs="Segoe UI"/>
                <w:sz w:val="18"/>
                <w:szCs w:val="18"/>
                <w:lang w:eastAsia="sk-SK"/>
              </w:rPr>
            </w:pPr>
            <w:r w:rsidRPr="000A24AB">
              <w:rPr>
                <w:rFonts w:eastAsia="Times New Roman" w:cs="Segoe UI"/>
                <w:sz w:val="18"/>
                <w:szCs w:val="18"/>
                <w:lang w:eastAsia="sk-SK"/>
              </w:rPr>
              <w:t>Interreg SK-CZ</w:t>
            </w:r>
          </w:p>
        </w:tc>
        <w:tc>
          <w:tcPr>
            <w:tcW w:w="1880" w:type="dxa"/>
            <w:tcBorders>
              <w:top w:val="nil"/>
              <w:left w:val="nil"/>
              <w:bottom w:val="nil"/>
              <w:right w:val="nil"/>
            </w:tcBorders>
            <w:shd w:val="clear" w:color="000000" w:fill="FFFFFF"/>
            <w:noWrap/>
            <w:vAlign w:val="bottom"/>
            <w:hideMark/>
          </w:tcPr>
          <w:p w14:paraId="7DF0C807" w14:textId="77777777" w:rsidR="008E0E12" w:rsidRPr="000A24AB" w:rsidRDefault="008E0E12" w:rsidP="003B1D74">
            <w:pPr>
              <w:spacing w:after="0" w:line="240" w:lineRule="auto"/>
              <w:jc w:val="right"/>
              <w:rPr>
                <w:rFonts w:eastAsia="Times New Roman" w:cs="Segoe UI"/>
                <w:sz w:val="18"/>
                <w:szCs w:val="18"/>
                <w:lang w:eastAsia="sk-SK"/>
              </w:rPr>
            </w:pPr>
            <w:r w:rsidRPr="000A24AB">
              <w:rPr>
                <w:rFonts w:eastAsia="Times New Roman" w:cs="Segoe UI"/>
                <w:sz w:val="18"/>
                <w:szCs w:val="18"/>
                <w:lang w:eastAsia="sk-SK"/>
              </w:rPr>
              <w:t>85,32</w:t>
            </w:r>
          </w:p>
        </w:tc>
        <w:tc>
          <w:tcPr>
            <w:tcW w:w="1460" w:type="dxa"/>
            <w:tcBorders>
              <w:top w:val="nil"/>
              <w:left w:val="nil"/>
              <w:bottom w:val="nil"/>
              <w:right w:val="nil"/>
            </w:tcBorders>
            <w:shd w:val="clear" w:color="000000" w:fill="FFFFFF"/>
            <w:noWrap/>
            <w:vAlign w:val="bottom"/>
            <w:hideMark/>
          </w:tcPr>
          <w:p w14:paraId="1936A3E4" w14:textId="77777777" w:rsidR="008E0E12" w:rsidRPr="000A24AB" w:rsidRDefault="008E0E12" w:rsidP="003B1D74">
            <w:pPr>
              <w:spacing w:after="0" w:line="240" w:lineRule="auto"/>
              <w:jc w:val="right"/>
              <w:rPr>
                <w:rFonts w:eastAsia="Times New Roman" w:cs="Segoe UI"/>
                <w:sz w:val="18"/>
                <w:szCs w:val="18"/>
                <w:lang w:eastAsia="sk-SK"/>
              </w:rPr>
            </w:pPr>
            <w:r w:rsidRPr="000A24AB">
              <w:rPr>
                <w:rFonts w:eastAsia="Times New Roman" w:cs="Segoe UI"/>
                <w:sz w:val="18"/>
                <w:szCs w:val="18"/>
                <w:lang w:eastAsia="sk-SK"/>
              </w:rPr>
              <w:t>0,00</w:t>
            </w:r>
          </w:p>
        </w:tc>
        <w:tc>
          <w:tcPr>
            <w:tcW w:w="1180" w:type="dxa"/>
            <w:tcBorders>
              <w:top w:val="nil"/>
              <w:left w:val="nil"/>
              <w:bottom w:val="nil"/>
              <w:right w:val="nil"/>
            </w:tcBorders>
            <w:shd w:val="clear" w:color="000000" w:fill="FFFFFF"/>
            <w:noWrap/>
            <w:vAlign w:val="bottom"/>
            <w:hideMark/>
          </w:tcPr>
          <w:p w14:paraId="603A124E" w14:textId="77777777" w:rsidR="008E0E12" w:rsidRPr="000A24AB" w:rsidRDefault="008E0E12" w:rsidP="003B1D74">
            <w:pPr>
              <w:spacing w:after="0" w:line="240" w:lineRule="auto"/>
              <w:jc w:val="right"/>
              <w:rPr>
                <w:rFonts w:eastAsia="Times New Roman" w:cs="Segoe UI"/>
                <w:sz w:val="18"/>
                <w:szCs w:val="18"/>
                <w:lang w:eastAsia="sk-SK"/>
              </w:rPr>
            </w:pPr>
            <w:r w:rsidRPr="000A24AB">
              <w:rPr>
                <w:rFonts w:eastAsia="Times New Roman" w:cs="Segoe UI"/>
                <w:sz w:val="18"/>
                <w:szCs w:val="18"/>
                <w:lang w:eastAsia="sk-SK"/>
              </w:rPr>
              <w:t>0,00</w:t>
            </w:r>
          </w:p>
        </w:tc>
        <w:tc>
          <w:tcPr>
            <w:tcW w:w="1640" w:type="dxa"/>
            <w:tcBorders>
              <w:top w:val="nil"/>
              <w:left w:val="nil"/>
              <w:bottom w:val="nil"/>
              <w:right w:val="nil"/>
            </w:tcBorders>
            <w:shd w:val="clear" w:color="000000" w:fill="FFFFFF"/>
            <w:noWrap/>
            <w:vAlign w:val="bottom"/>
            <w:hideMark/>
          </w:tcPr>
          <w:p w14:paraId="2EDD282F" w14:textId="77777777" w:rsidR="008E0E12" w:rsidRPr="000A24AB" w:rsidRDefault="008E0E12" w:rsidP="003B1D74">
            <w:pPr>
              <w:spacing w:after="0" w:line="240" w:lineRule="auto"/>
              <w:jc w:val="right"/>
              <w:rPr>
                <w:rFonts w:eastAsia="Times New Roman" w:cs="Segoe UI"/>
                <w:sz w:val="18"/>
                <w:szCs w:val="18"/>
                <w:lang w:eastAsia="sk-SK"/>
              </w:rPr>
            </w:pPr>
            <w:r w:rsidRPr="000A24AB">
              <w:rPr>
                <w:rFonts w:eastAsia="Times New Roman" w:cs="Segoe UI"/>
                <w:sz w:val="18"/>
                <w:szCs w:val="18"/>
                <w:lang w:eastAsia="sk-SK"/>
              </w:rPr>
              <w:t>5,19</w:t>
            </w:r>
          </w:p>
        </w:tc>
      </w:tr>
      <w:tr w:rsidR="008E0E12" w:rsidRPr="000A24AB" w14:paraId="00261292" w14:textId="77777777" w:rsidTr="003B1D74">
        <w:trPr>
          <w:trHeight w:val="288"/>
        </w:trPr>
        <w:tc>
          <w:tcPr>
            <w:tcW w:w="2600" w:type="dxa"/>
            <w:tcBorders>
              <w:top w:val="nil"/>
              <w:left w:val="nil"/>
              <w:bottom w:val="nil"/>
              <w:right w:val="nil"/>
            </w:tcBorders>
            <w:shd w:val="clear" w:color="000000" w:fill="FFFFFF"/>
            <w:noWrap/>
            <w:vAlign w:val="bottom"/>
            <w:hideMark/>
          </w:tcPr>
          <w:p w14:paraId="4B520E03" w14:textId="77777777" w:rsidR="008E0E12" w:rsidRPr="000A24AB" w:rsidRDefault="008E0E12" w:rsidP="003B1D74">
            <w:pPr>
              <w:spacing w:after="0" w:line="240" w:lineRule="auto"/>
              <w:jc w:val="left"/>
              <w:rPr>
                <w:rFonts w:eastAsia="Times New Roman" w:cs="Segoe UI"/>
                <w:sz w:val="18"/>
                <w:szCs w:val="18"/>
                <w:lang w:eastAsia="sk-SK"/>
              </w:rPr>
            </w:pPr>
            <w:r w:rsidRPr="000A24AB">
              <w:rPr>
                <w:rFonts w:eastAsia="Times New Roman" w:cs="Segoe UI"/>
                <w:sz w:val="18"/>
                <w:szCs w:val="18"/>
                <w:lang w:eastAsia="sk-SK"/>
              </w:rPr>
              <w:t>Interreg SK-AT</w:t>
            </w:r>
          </w:p>
        </w:tc>
        <w:tc>
          <w:tcPr>
            <w:tcW w:w="1880" w:type="dxa"/>
            <w:tcBorders>
              <w:top w:val="nil"/>
              <w:left w:val="nil"/>
              <w:bottom w:val="nil"/>
              <w:right w:val="nil"/>
            </w:tcBorders>
            <w:shd w:val="clear" w:color="000000" w:fill="FFFFFF"/>
            <w:noWrap/>
            <w:vAlign w:val="bottom"/>
            <w:hideMark/>
          </w:tcPr>
          <w:p w14:paraId="25F06E9F" w14:textId="77777777" w:rsidR="008E0E12" w:rsidRPr="000A24AB" w:rsidRDefault="008E0E12" w:rsidP="003B1D74">
            <w:pPr>
              <w:spacing w:after="0" w:line="240" w:lineRule="auto"/>
              <w:jc w:val="right"/>
              <w:rPr>
                <w:rFonts w:eastAsia="Times New Roman" w:cs="Segoe UI"/>
                <w:sz w:val="18"/>
                <w:szCs w:val="18"/>
                <w:lang w:eastAsia="sk-SK"/>
              </w:rPr>
            </w:pPr>
            <w:r w:rsidRPr="000A24AB">
              <w:rPr>
                <w:rFonts w:eastAsia="Times New Roman" w:cs="Segoe UI"/>
                <w:sz w:val="18"/>
                <w:szCs w:val="18"/>
                <w:lang w:eastAsia="sk-SK"/>
              </w:rPr>
              <w:t>55,50</w:t>
            </w:r>
          </w:p>
        </w:tc>
        <w:tc>
          <w:tcPr>
            <w:tcW w:w="1460" w:type="dxa"/>
            <w:tcBorders>
              <w:top w:val="nil"/>
              <w:left w:val="nil"/>
              <w:bottom w:val="nil"/>
              <w:right w:val="nil"/>
            </w:tcBorders>
            <w:shd w:val="clear" w:color="000000" w:fill="FFFFFF"/>
            <w:noWrap/>
            <w:vAlign w:val="bottom"/>
            <w:hideMark/>
          </w:tcPr>
          <w:p w14:paraId="13D081F6" w14:textId="77777777" w:rsidR="008E0E12" w:rsidRPr="000A24AB" w:rsidRDefault="008E0E12" w:rsidP="003B1D74">
            <w:pPr>
              <w:spacing w:after="0" w:line="240" w:lineRule="auto"/>
              <w:jc w:val="right"/>
              <w:rPr>
                <w:rFonts w:eastAsia="Times New Roman" w:cs="Segoe UI"/>
                <w:sz w:val="18"/>
                <w:szCs w:val="18"/>
                <w:lang w:eastAsia="sk-SK"/>
              </w:rPr>
            </w:pPr>
            <w:r w:rsidRPr="000A24AB">
              <w:rPr>
                <w:rFonts w:eastAsia="Times New Roman" w:cs="Segoe UI"/>
                <w:sz w:val="18"/>
                <w:szCs w:val="18"/>
                <w:lang w:eastAsia="sk-SK"/>
              </w:rPr>
              <w:t>0,00</w:t>
            </w:r>
          </w:p>
        </w:tc>
        <w:tc>
          <w:tcPr>
            <w:tcW w:w="1180" w:type="dxa"/>
            <w:tcBorders>
              <w:top w:val="nil"/>
              <w:left w:val="nil"/>
              <w:bottom w:val="nil"/>
              <w:right w:val="nil"/>
            </w:tcBorders>
            <w:shd w:val="clear" w:color="000000" w:fill="FFFFFF"/>
            <w:noWrap/>
            <w:vAlign w:val="bottom"/>
            <w:hideMark/>
          </w:tcPr>
          <w:p w14:paraId="411676AF" w14:textId="77777777" w:rsidR="008E0E12" w:rsidRPr="000A24AB" w:rsidRDefault="008E0E12" w:rsidP="003B1D74">
            <w:pPr>
              <w:spacing w:after="0" w:line="240" w:lineRule="auto"/>
              <w:jc w:val="right"/>
              <w:rPr>
                <w:rFonts w:eastAsia="Times New Roman" w:cs="Segoe UI"/>
                <w:sz w:val="18"/>
                <w:szCs w:val="18"/>
                <w:lang w:eastAsia="sk-SK"/>
              </w:rPr>
            </w:pPr>
            <w:r w:rsidRPr="000A24AB">
              <w:rPr>
                <w:rFonts w:eastAsia="Times New Roman" w:cs="Segoe UI"/>
                <w:sz w:val="18"/>
                <w:szCs w:val="18"/>
                <w:lang w:eastAsia="sk-SK"/>
              </w:rPr>
              <w:t>0,00</w:t>
            </w:r>
          </w:p>
        </w:tc>
        <w:tc>
          <w:tcPr>
            <w:tcW w:w="1640" w:type="dxa"/>
            <w:tcBorders>
              <w:top w:val="nil"/>
              <w:left w:val="nil"/>
              <w:bottom w:val="nil"/>
              <w:right w:val="nil"/>
            </w:tcBorders>
            <w:shd w:val="clear" w:color="000000" w:fill="FFFFFF"/>
            <w:noWrap/>
            <w:vAlign w:val="bottom"/>
            <w:hideMark/>
          </w:tcPr>
          <w:p w14:paraId="15D3F9E2" w14:textId="77777777" w:rsidR="008E0E12" w:rsidRPr="000A24AB" w:rsidRDefault="008E0E12" w:rsidP="003B1D74">
            <w:pPr>
              <w:spacing w:after="0" w:line="240" w:lineRule="auto"/>
              <w:jc w:val="right"/>
              <w:rPr>
                <w:rFonts w:eastAsia="Times New Roman" w:cs="Segoe UI"/>
                <w:sz w:val="18"/>
                <w:szCs w:val="18"/>
                <w:lang w:eastAsia="sk-SK"/>
              </w:rPr>
            </w:pPr>
            <w:r w:rsidRPr="000A24AB">
              <w:rPr>
                <w:rFonts w:eastAsia="Times New Roman" w:cs="Segoe UI"/>
                <w:sz w:val="18"/>
                <w:szCs w:val="18"/>
                <w:lang w:eastAsia="sk-SK"/>
              </w:rPr>
              <w:t>3,38</w:t>
            </w:r>
          </w:p>
        </w:tc>
      </w:tr>
      <w:tr w:rsidR="008E0E12" w:rsidRPr="000A24AB" w14:paraId="55FD0C36" w14:textId="77777777" w:rsidTr="003B1D74">
        <w:trPr>
          <w:trHeight w:val="288"/>
        </w:trPr>
        <w:tc>
          <w:tcPr>
            <w:tcW w:w="2600" w:type="dxa"/>
            <w:tcBorders>
              <w:top w:val="nil"/>
              <w:left w:val="nil"/>
              <w:bottom w:val="nil"/>
              <w:right w:val="nil"/>
            </w:tcBorders>
            <w:shd w:val="clear" w:color="000000" w:fill="FFFFFF"/>
            <w:noWrap/>
            <w:vAlign w:val="bottom"/>
            <w:hideMark/>
          </w:tcPr>
          <w:p w14:paraId="4FA318BF" w14:textId="77777777" w:rsidR="008E0E12" w:rsidRPr="000A24AB" w:rsidRDefault="008E0E12" w:rsidP="003B1D74">
            <w:pPr>
              <w:spacing w:after="0" w:line="240" w:lineRule="auto"/>
              <w:jc w:val="left"/>
              <w:rPr>
                <w:rFonts w:eastAsia="Times New Roman" w:cs="Segoe UI"/>
                <w:sz w:val="18"/>
                <w:szCs w:val="18"/>
                <w:lang w:eastAsia="sk-SK"/>
              </w:rPr>
            </w:pPr>
            <w:r w:rsidRPr="000A24AB">
              <w:rPr>
                <w:rFonts w:eastAsia="Times New Roman" w:cs="Segoe UI"/>
                <w:sz w:val="18"/>
                <w:szCs w:val="18"/>
                <w:lang w:eastAsia="sk-SK"/>
              </w:rPr>
              <w:t>Interact IV</w:t>
            </w:r>
          </w:p>
        </w:tc>
        <w:tc>
          <w:tcPr>
            <w:tcW w:w="1880" w:type="dxa"/>
            <w:tcBorders>
              <w:top w:val="nil"/>
              <w:left w:val="nil"/>
              <w:bottom w:val="nil"/>
              <w:right w:val="nil"/>
            </w:tcBorders>
            <w:shd w:val="clear" w:color="000000" w:fill="FFFFFF"/>
            <w:noWrap/>
            <w:vAlign w:val="bottom"/>
            <w:hideMark/>
          </w:tcPr>
          <w:p w14:paraId="3EF92996" w14:textId="77777777" w:rsidR="008E0E12" w:rsidRPr="000A24AB" w:rsidRDefault="008E0E12" w:rsidP="003B1D74">
            <w:pPr>
              <w:spacing w:after="0" w:line="240" w:lineRule="auto"/>
              <w:jc w:val="right"/>
              <w:rPr>
                <w:rFonts w:eastAsia="Times New Roman" w:cs="Segoe UI"/>
                <w:sz w:val="18"/>
                <w:szCs w:val="18"/>
                <w:lang w:eastAsia="sk-SK"/>
              </w:rPr>
            </w:pPr>
            <w:r w:rsidRPr="000A24AB">
              <w:rPr>
                <w:rFonts w:eastAsia="Times New Roman" w:cs="Segoe UI"/>
                <w:sz w:val="18"/>
                <w:szCs w:val="18"/>
                <w:lang w:eastAsia="sk-SK"/>
              </w:rPr>
              <w:t>45,00</w:t>
            </w:r>
          </w:p>
        </w:tc>
        <w:tc>
          <w:tcPr>
            <w:tcW w:w="1460" w:type="dxa"/>
            <w:tcBorders>
              <w:top w:val="nil"/>
              <w:left w:val="nil"/>
              <w:bottom w:val="nil"/>
              <w:right w:val="nil"/>
            </w:tcBorders>
            <w:shd w:val="clear" w:color="000000" w:fill="FFFFFF"/>
            <w:noWrap/>
            <w:vAlign w:val="bottom"/>
            <w:hideMark/>
          </w:tcPr>
          <w:p w14:paraId="77BD2B51" w14:textId="77777777" w:rsidR="008E0E12" w:rsidRPr="000A24AB" w:rsidRDefault="008E0E12" w:rsidP="003B1D74">
            <w:pPr>
              <w:spacing w:after="0" w:line="240" w:lineRule="auto"/>
              <w:jc w:val="right"/>
              <w:rPr>
                <w:rFonts w:eastAsia="Times New Roman" w:cs="Segoe UI"/>
                <w:sz w:val="18"/>
                <w:szCs w:val="18"/>
                <w:lang w:eastAsia="sk-SK"/>
              </w:rPr>
            </w:pPr>
            <w:r w:rsidRPr="000A24AB">
              <w:rPr>
                <w:rFonts w:eastAsia="Times New Roman" w:cs="Segoe UI"/>
                <w:sz w:val="18"/>
                <w:szCs w:val="18"/>
                <w:lang w:eastAsia="sk-SK"/>
              </w:rPr>
              <w:t>2,02</w:t>
            </w:r>
          </w:p>
        </w:tc>
        <w:tc>
          <w:tcPr>
            <w:tcW w:w="1180" w:type="dxa"/>
            <w:tcBorders>
              <w:top w:val="nil"/>
              <w:left w:val="nil"/>
              <w:bottom w:val="nil"/>
              <w:right w:val="nil"/>
            </w:tcBorders>
            <w:shd w:val="clear" w:color="000000" w:fill="FFFFFF"/>
            <w:noWrap/>
            <w:vAlign w:val="bottom"/>
            <w:hideMark/>
          </w:tcPr>
          <w:p w14:paraId="2F33BBBC" w14:textId="77777777" w:rsidR="008E0E12" w:rsidRPr="000A24AB" w:rsidRDefault="008E0E12" w:rsidP="003B1D74">
            <w:pPr>
              <w:spacing w:after="0" w:line="240" w:lineRule="auto"/>
              <w:jc w:val="right"/>
              <w:rPr>
                <w:rFonts w:eastAsia="Times New Roman" w:cs="Segoe UI"/>
                <w:sz w:val="18"/>
                <w:szCs w:val="18"/>
                <w:lang w:eastAsia="sk-SK"/>
              </w:rPr>
            </w:pPr>
            <w:r>
              <w:rPr>
                <w:rFonts w:eastAsia="Times New Roman" w:cs="Segoe UI"/>
                <w:sz w:val="18"/>
                <w:szCs w:val="18"/>
                <w:lang w:eastAsia="sk-SK"/>
              </w:rPr>
              <w:t>4,48</w:t>
            </w:r>
          </w:p>
        </w:tc>
        <w:tc>
          <w:tcPr>
            <w:tcW w:w="1640" w:type="dxa"/>
            <w:tcBorders>
              <w:top w:val="nil"/>
              <w:left w:val="nil"/>
              <w:bottom w:val="nil"/>
              <w:right w:val="nil"/>
            </w:tcBorders>
            <w:shd w:val="clear" w:color="000000" w:fill="FFFFFF"/>
            <w:noWrap/>
            <w:vAlign w:val="bottom"/>
            <w:hideMark/>
          </w:tcPr>
          <w:p w14:paraId="6EB5F821" w14:textId="77777777" w:rsidR="008E0E12" w:rsidRPr="000A24AB" w:rsidRDefault="008E0E12" w:rsidP="003B1D74">
            <w:pPr>
              <w:spacing w:after="0" w:line="240" w:lineRule="auto"/>
              <w:jc w:val="right"/>
              <w:rPr>
                <w:rFonts w:eastAsia="Times New Roman" w:cs="Segoe UI"/>
                <w:sz w:val="18"/>
                <w:szCs w:val="18"/>
                <w:lang w:eastAsia="sk-SK"/>
              </w:rPr>
            </w:pPr>
            <w:r w:rsidRPr="000A24AB">
              <w:rPr>
                <w:rFonts w:eastAsia="Times New Roman" w:cs="Segoe UI"/>
                <w:sz w:val="18"/>
                <w:szCs w:val="18"/>
                <w:lang w:eastAsia="sk-SK"/>
              </w:rPr>
              <w:t>2,74</w:t>
            </w:r>
          </w:p>
        </w:tc>
      </w:tr>
      <w:tr w:rsidR="008E0E12" w:rsidRPr="000A24AB" w14:paraId="0D42A104" w14:textId="77777777" w:rsidTr="003B1D74">
        <w:trPr>
          <w:trHeight w:val="288"/>
        </w:trPr>
        <w:tc>
          <w:tcPr>
            <w:tcW w:w="2600" w:type="dxa"/>
            <w:tcBorders>
              <w:top w:val="nil"/>
              <w:left w:val="nil"/>
              <w:bottom w:val="nil"/>
              <w:right w:val="nil"/>
            </w:tcBorders>
            <w:shd w:val="clear" w:color="000000" w:fill="FFFFFF"/>
            <w:noWrap/>
            <w:vAlign w:val="bottom"/>
            <w:hideMark/>
          </w:tcPr>
          <w:p w14:paraId="67CA6821" w14:textId="77777777" w:rsidR="008E0E12" w:rsidRPr="000A24AB" w:rsidRDefault="008E0E12" w:rsidP="003B1D74">
            <w:pPr>
              <w:spacing w:after="0" w:line="240" w:lineRule="auto"/>
              <w:jc w:val="left"/>
              <w:rPr>
                <w:rFonts w:eastAsia="Times New Roman" w:cs="Segoe UI"/>
                <w:sz w:val="18"/>
                <w:szCs w:val="18"/>
                <w:lang w:eastAsia="sk-SK"/>
              </w:rPr>
            </w:pPr>
            <w:r w:rsidRPr="000A24AB">
              <w:rPr>
                <w:rFonts w:eastAsia="Times New Roman" w:cs="Segoe UI"/>
                <w:sz w:val="18"/>
                <w:szCs w:val="18"/>
                <w:lang w:eastAsia="sk-SK"/>
              </w:rPr>
              <w:t>PRH</w:t>
            </w:r>
          </w:p>
        </w:tc>
        <w:tc>
          <w:tcPr>
            <w:tcW w:w="1880" w:type="dxa"/>
            <w:tcBorders>
              <w:top w:val="nil"/>
              <w:left w:val="nil"/>
              <w:bottom w:val="nil"/>
              <w:right w:val="nil"/>
            </w:tcBorders>
            <w:shd w:val="clear" w:color="000000" w:fill="FFFFFF"/>
            <w:noWrap/>
            <w:vAlign w:val="bottom"/>
            <w:hideMark/>
          </w:tcPr>
          <w:p w14:paraId="5B09A522" w14:textId="77777777" w:rsidR="008E0E12" w:rsidRPr="000A24AB" w:rsidRDefault="008E0E12" w:rsidP="003B1D74">
            <w:pPr>
              <w:spacing w:after="0" w:line="240" w:lineRule="auto"/>
              <w:jc w:val="right"/>
              <w:rPr>
                <w:rFonts w:eastAsia="Times New Roman" w:cs="Segoe UI"/>
                <w:sz w:val="18"/>
                <w:szCs w:val="18"/>
                <w:lang w:eastAsia="sk-SK"/>
              </w:rPr>
            </w:pPr>
            <w:r w:rsidRPr="000A24AB">
              <w:rPr>
                <w:rFonts w:eastAsia="Times New Roman" w:cs="Segoe UI"/>
                <w:sz w:val="18"/>
                <w:szCs w:val="18"/>
                <w:lang w:eastAsia="sk-SK"/>
              </w:rPr>
              <w:t>15,23</w:t>
            </w:r>
          </w:p>
        </w:tc>
        <w:tc>
          <w:tcPr>
            <w:tcW w:w="1460" w:type="dxa"/>
            <w:tcBorders>
              <w:top w:val="nil"/>
              <w:left w:val="nil"/>
              <w:bottom w:val="nil"/>
              <w:right w:val="nil"/>
            </w:tcBorders>
            <w:shd w:val="clear" w:color="000000" w:fill="FFFFFF"/>
            <w:noWrap/>
            <w:vAlign w:val="bottom"/>
            <w:hideMark/>
          </w:tcPr>
          <w:p w14:paraId="1C10FFD1" w14:textId="77777777" w:rsidR="008E0E12" w:rsidRPr="000A24AB" w:rsidRDefault="008E0E12" w:rsidP="003B1D74">
            <w:pPr>
              <w:spacing w:after="0" w:line="240" w:lineRule="auto"/>
              <w:jc w:val="right"/>
              <w:rPr>
                <w:rFonts w:eastAsia="Times New Roman" w:cs="Segoe UI"/>
                <w:sz w:val="18"/>
                <w:szCs w:val="18"/>
                <w:lang w:eastAsia="sk-SK"/>
              </w:rPr>
            </w:pPr>
            <w:r w:rsidRPr="000A24AB">
              <w:rPr>
                <w:rFonts w:eastAsia="Times New Roman" w:cs="Segoe UI"/>
                <w:sz w:val="18"/>
                <w:szCs w:val="18"/>
                <w:lang w:eastAsia="sk-SK"/>
              </w:rPr>
              <w:t>0,00</w:t>
            </w:r>
          </w:p>
        </w:tc>
        <w:tc>
          <w:tcPr>
            <w:tcW w:w="1180" w:type="dxa"/>
            <w:tcBorders>
              <w:top w:val="nil"/>
              <w:left w:val="nil"/>
              <w:bottom w:val="nil"/>
              <w:right w:val="nil"/>
            </w:tcBorders>
            <w:shd w:val="clear" w:color="000000" w:fill="FFFFFF"/>
            <w:noWrap/>
            <w:vAlign w:val="bottom"/>
            <w:hideMark/>
          </w:tcPr>
          <w:p w14:paraId="5332AF12" w14:textId="77777777" w:rsidR="008E0E12" w:rsidRPr="000A24AB" w:rsidRDefault="008E0E12" w:rsidP="003B1D74">
            <w:pPr>
              <w:spacing w:after="0" w:line="240" w:lineRule="auto"/>
              <w:jc w:val="right"/>
              <w:rPr>
                <w:rFonts w:eastAsia="Times New Roman" w:cs="Segoe UI"/>
                <w:sz w:val="18"/>
                <w:szCs w:val="18"/>
                <w:lang w:eastAsia="sk-SK"/>
              </w:rPr>
            </w:pPr>
            <w:r w:rsidRPr="000A24AB">
              <w:rPr>
                <w:rFonts w:eastAsia="Times New Roman" w:cs="Segoe UI"/>
                <w:sz w:val="18"/>
                <w:szCs w:val="18"/>
                <w:lang w:eastAsia="sk-SK"/>
              </w:rPr>
              <w:t>0,00</w:t>
            </w:r>
          </w:p>
        </w:tc>
        <w:tc>
          <w:tcPr>
            <w:tcW w:w="1640" w:type="dxa"/>
            <w:tcBorders>
              <w:top w:val="nil"/>
              <w:left w:val="nil"/>
              <w:bottom w:val="nil"/>
              <w:right w:val="nil"/>
            </w:tcBorders>
            <w:shd w:val="clear" w:color="000000" w:fill="FFFFFF"/>
            <w:noWrap/>
            <w:vAlign w:val="bottom"/>
            <w:hideMark/>
          </w:tcPr>
          <w:p w14:paraId="5A731D94" w14:textId="77777777" w:rsidR="008E0E12" w:rsidRPr="000A24AB" w:rsidRDefault="008E0E12" w:rsidP="003B1D74">
            <w:pPr>
              <w:spacing w:after="0" w:line="240" w:lineRule="auto"/>
              <w:jc w:val="right"/>
              <w:rPr>
                <w:rFonts w:eastAsia="Times New Roman" w:cs="Segoe UI"/>
                <w:sz w:val="18"/>
                <w:szCs w:val="18"/>
                <w:lang w:eastAsia="sk-SK"/>
              </w:rPr>
            </w:pPr>
            <w:r w:rsidRPr="000A24AB">
              <w:rPr>
                <w:rFonts w:eastAsia="Times New Roman" w:cs="Segoe UI"/>
                <w:sz w:val="18"/>
                <w:szCs w:val="18"/>
                <w:lang w:eastAsia="sk-SK"/>
              </w:rPr>
              <w:t>2,57</w:t>
            </w:r>
          </w:p>
        </w:tc>
      </w:tr>
      <w:tr w:rsidR="008E0E12" w:rsidRPr="000A24AB" w14:paraId="7C187934" w14:textId="77777777" w:rsidTr="003B1D74">
        <w:trPr>
          <w:trHeight w:val="288"/>
        </w:trPr>
        <w:tc>
          <w:tcPr>
            <w:tcW w:w="2600" w:type="dxa"/>
            <w:tcBorders>
              <w:top w:val="nil"/>
              <w:left w:val="nil"/>
              <w:bottom w:val="single" w:sz="4" w:space="0" w:color="auto"/>
              <w:right w:val="nil"/>
            </w:tcBorders>
            <w:shd w:val="clear" w:color="000000" w:fill="FFFFFF"/>
            <w:noWrap/>
            <w:vAlign w:val="bottom"/>
            <w:hideMark/>
          </w:tcPr>
          <w:p w14:paraId="5027DFA8" w14:textId="77777777" w:rsidR="008E0E12" w:rsidRPr="000A24AB" w:rsidRDefault="008E0E12" w:rsidP="003B1D74">
            <w:pPr>
              <w:spacing w:after="0" w:line="240" w:lineRule="auto"/>
              <w:jc w:val="left"/>
              <w:rPr>
                <w:rFonts w:eastAsia="Times New Roman" w:cs="Segoe UI"/>
                <w:b/>
                <w:bCs/>
                <w:sz w:val="18"/>
                <w:szCs w:val="18"/>
                <w:lang w:eastAsia="sk-SK"/>
              </w:rPr>
            </w:pPr>
            <w:r w:rsidRPr="000A24AB">
              <w:rPr>
                <w:rFonts w:eastAsia="Times New Roman" w:cs="Segoe UI"/>
                <w:b/>
                <w:bCs/>
                <w:sz w:val="18"/>
                <w:szCs w:val="18"/>
                <w:lang w:eastAsia="sk-SK"/>
              </w:rPr>
              <w:t>SPOLU PO 2021-2027</w:t>
            </w:r>
          </w:p>
        </w:tc>
        <w:tc>
          <w:tcPr>
            <w:tcW w:w="1880" w:type="dxa"/>
            <w:tcBorders>
              <w:top w:val="nil"/>
              <w:left w:val="nil"/>
              <w:bottom w:val="single" w:sz="4" w:space="0" w:color="auto"/>
              <w:right w:val="nil"/>
            </w:tcBorders>
            <w:shd w:val="clear" w:color="000000" w:fill="FFFFFF"/>
            <w:noWrap/>
            <w:vAlign w:val="bottom"/>
            <w:hideMark/>
          </w:tcPr>
          <w:p w14:paraId="24BC1BA1" w14:textId="77777777" w:rsidR="008E0E12" w:rsidRPr="000A24AB" w:rsidRDefault="008E0E12" w:rsidP="003B1D74">
            <w:pPr>
              <w:spacing w:after="0" w:line="240" w:lineRule="auto"/>
              <w:jc w:val="right"/>
              <w:rPr>
                <w:rFonts w:eastAsia="Times New Roman" w:cs="Segoe UI"/>
                <w:b/>
                <w:bCs/>
                <w:sz w:val="18"/>
                <w:szCs w:val="18"/>
                <w:lang w:eastAsia="sk-SK"/>
              </w:rPr>
            </w:pPr>
            <w:r w:rsidRPr="000A24AB">
              <w:rPr>
                <w:rFonts w:eastAsia="Times New Roman" w:cs="Segoe UI"/>
                <w:b/>
                <w:bCs/>
                <w:sz w:val="18"/>
                <w:szCs w:val="18"/>
                <w:lang w:eastAsia="sk-SK"/>
              </w:rPr>
              <w:t>12 794,78</w:t>
            </w:r>
          </w:p>
        </w:tc>
        <w:tc>
          <w:tcPr>
            <w:tcW w:w="1460" w:type="dxa"/>
            <w:tcBorders>
              <w:top w:val="nil"/>
              <w:left w:val="nil"/>
              <w:bottom w:val="single" w:sz="4" w:space="0" w:color="auto"/>
              <w:right w:val="nil"/>
            </w:tcBorders>
            <w:shd w:val="clear" w:color="000000" w:fill="FFFFFF"/>
            <w:noWrap/>
            <w:vAlign w:val="bottom"/>
            <w:hideMark/>
          </w:tcPr>
          <w:p w14:paraId="5F7CC308" w14:textId="77777777" w:rsidR="008E0E12" w:rsidRPr="000A24AB" w:rsidRDefault="008E0E12" w:rsidP="003B1D74">
            <w:pPr>
              <w:spacing w:after="0" w:line="240" w:lineRule="auto"/>
              <w:jc w:val="right"/>
              <w:rPr>
                <w:rFonts w:eastAsia="Times New Roman" w:cs="Segoe UI"/>
                <w:b/>
                <w:bCs/>
                <w:sz w:val="18"/>
                <w:szCs w:val="18"/>
                <w:lang w:eastAsia="sk-SK"/>
              </w:rPr>
            </w:pPr>
            <w:r w:rsidRPr="000A24AB">
              <w:rPr>
                <w:rFonts w:eastAsia="Times New Roman" w:cs="Segoe UI"/>
                <w:b/>
                <w:bCs/>
                <w:sz w:val="18"/>
                <w:szCs w:val="18"/>
                <w:lang w:eastAsia="sk-SK"/>
              </w:rPr>
              <w:t>2,02</w:t>
            </w:r>
          </w:p>
        </w:tc>
        <w:tc>
          <w:tcPr>
            <w:tcW w:w="1180" w:type="dxa"/>
            <w:tcBorders>
              <w:top w:val="nil"/>
              <w:left w:val="nil"/>
              <w:bottom w:val="single" w:sz="4" w:space="0" w:color="auto"/>
              <w:right w:val="nil"/>
            </w:tcBorders>
            <w:shd w:val="clear" w:color="000000" w:fill="FFFFFF"/>
            <w:noWrap/>
            <w:vAlign w:val="bottom"/>
            <w:hideMark/>
          </w:tcPr>
          <w:p w14:paraId="5052F80D" w14:textId="77777777" w:rsidR="008E0E12" w:rsidRPr="000A24AB" w:rsidRDefault="008E0E12" w:rsidP="003B1D74">
            <w:pPr>
              <w:spacing w:after="0" w:line="240" w:lineRule="auto"/>
              <w:jc w:val="right"/>
              <w:rPr>
                <w:rFonts w:eastAsia="Times New Roman" w:cs="Segoe UI"/>
                <w:b/>
                <w:bCs/>
                <w:sz w:val="18"/>
                <w:szCs w:val="18"/>
                <w:lang w:eastAsia="sk-SK"/>
              </w:rPr>
            </w:pPr>
            <w:r w:rsidRPr="000A24AB">
              <w:rPr>
                <w:rFonts w:eastAsia="Times New Roman" w:cs="Segoe UI"/>
                <w:b/>
                <w:bCs/>
                <w:sz w:val="18"/>
                <w:szCs w:val="18"/>
                <w:lang w:eastAsia="sk-SK"/>
              </w:rPr>
              <w:t>0,00</w:t>
            </w:r>
          </w:p>
        </w:tc>
        <w:tc>
          <w:tcPr>
            <w:tcW w:w="1640" w:type="dxa"/>
            <w:tcBorders>
              <w:top w:val="nil"/>
              <w:left w:val="nil"/>
              <w:bottom w:val="single" w:sz="4" w:space="0" w:color="auto"/>
              <w:right w:val="nil"/>
            </w:tcBorders>
            <w:shd w:val="clear" w:color="000000" w:fill="FFFFFF"/>
            <w:noWrap/>
            <w:vAlign w:val="bottom"/>
            <w:hideMark/>
          </w:tcPr>
          <w:p w14:paraId="1A02E504" w14:textId="77777777" w:rsidR="008E0E12" w:rsidRPr="000A24AB" w:rsidRDefault="008E0E12" w:rsidP="003B1D74">
            <w:pPr>
              <w:spacing w:after="0" w:line="240" w:lineRule="auto"/>
              <w:jc w:val="right"/>
              <w:rPr>
                <w:rFonts w:eastAsia="Times New Roman" w:cs="Segoe UI"/>
                <w:b/>
                <w:bCs/>
                <w:sz w:val="18"/>
                <w:szCs w:val="18"/>
                <w:lang w:eastAsia="sk-SK"/>
              </w:rPr>
            </w:pPr>
            <w:r w:rsidRPr="000A24AB">
              <w:rPr>
                <w:rFonts w:eastAsia="Times New Roman" w:cs="Segoe UI"/>
                <w:b/>
                <w:bCs/>
                <w:sz w:val="18"/>
                <w:szCs w:val="18"/>
                <w:lang w:eastAsia="sk-SK"/>
              </w:rPr>
              <w:t>1 688,46</w:t>
            </w:r>
          </w:p>
        </w:tc>
      </w:tr>
    </w:tbl>
    <w:p w14:paraId="51EECD48" w14:textId="77777777" w:rsidR="008E0E12" w:rsidRPr="0021426D" w:rsidRDefault="008E0E12" w:rsidP="008E0E12">
      <w:pPr>
        <w:pStyle w:val="Zdroj"/>
      </w:pPr>
      <w:r w:rsidRPr="0021426D">
        <w:t>Zdroj: M</w:t>
      </w:r>
      <w:r>
        <w:t>F SR</w:t>
      </w:r>
    </w:p>
    <w:p w14:paraId="514613B4" w14:textId="6151DB80" w:rsidR="008E0E12" w:rsidRPr="00615238" w:rsidRDefault="008E0E12" w:rsidP="008E0E12">
      <w:pPr>
        <w:pStyle w:val="Nadpis2"/>
        <w:rPr>
          <w:rFonts w:eastAsia="Calibri"/>
          <w:color w:val="314364" w:themeColor="text2"/>
        </w:rPr>
      </w:pPr>
      <w:bookmarkStart w:id="33" w:name="_Toc167892017"/>
      <w:bookmarkStart w:id="34" w:name="_Toc168567196"/>
      <w:r>
        <w:rPr>
          <w:rFonts w:eastAsia="Calibri"/>
          <w:color w:val="314364" w:themeColor="text2"/>
        </w:rPr>
        <w:t xml:space="preserve">4.3 </w:t>
      </w:r>
      <w:r w:rsidR="00E43045">
        <w:rPr>
          <w:rFonts w:eastAsia="Calibri"/>
          <w:color w:val="314364" w:themeColor="text2"/>
        </w:rPr>
        <w:t xml:space="preserve"> </w:t>
      </w:r>
      <w:r w:rsidRPr="00615238">
        <w:rPr>
          <w:rFonts w:eastAsia="Calibri"/>
          <w:color w:val="314364" w:themeColor="text2"/>
        </w:rPr>
        <w:t>Plán obnovy a odolnosti</w:t>
      </w:r>
      <w:bookmarkEnd w:id="32"/>
      <w:bookmarkEnd w:id="33"/>
      <w:bookmarkEnd w:id="34"/>
    </w:p>
    <w:p w14:paraId="086EC459" w14:textId="1A4B3E25" w:rsidR="008E0E12" w:rsidRDefault="008E0E12" w:rsidP="008E0E12">
      <w:pPr>
        <w:rPr>
          <w:rFonts w:cs="Segoe UI"/>
          <w:szCs w:val="20"/>
        </w:rPr>
      </w:pPr>
      <w:r w:rsidRPr="00BB2CA0">
        <w:rPr>
          <w:b/>
        </w:rPr>
        <w:t>Z POO dostalo doteraz Slovensko z EK spolu viac ako 2 mld. eur</w:t>
      </w:r>
      <w:r w:rsidRPr="00BB2CA0">
        <w:t xml:space="preserve">. </w:t>
      </w:r>
      <w:r w:rsidRPr="00BB2CA0">
        <w:rPr>
          <w:rFonts w:cs="Segoe UI"/>
          <w:b/>
          <w:szCs w:val="20"/>
        </w:rPr>
        <w:t xml:space="preserve">Spolu od začiatku implementácie POO </w:t>
      </w:r>
      <w:r w:rsidR="002272FA">
        <w:rPr>
          <w:rFonts w:cs="Segoe UI"/>
          <w:b/>
          <w:szCs w:val="20"/>
        </w:rPr>
        <w:t xml:space="preserve">do konca roka 2023 </w:t>
      </w:r>
      <w:r w:rsidRPr="00BB2CA0">
        <w:rPr>
          <w:rFonts w:cs="Segoe UI"/>
          <w:b/>
          <w:szCs w:val="20"/>
        </w:rPr>
        <w:t>vyčerpala SR 4</w:t>
      </w:r>
      <w:r w:rsidR="002272FA">
        <w:rPr>
          <w:rFonts w:cs="Segoe UI"/>
          <w:b/>
          <w:szCs w:val="20"/>
        </w:rPr>
        <w:t>29</w:t>
      </w:r>
      <w:r w:rsidRPr="00BB2CA0">
        <w:rPr>
          <w:rFonts w:cs="Segoe UI"/>
          <w:b/>
          <w:szCs w:val="20"/>
        </w:rPr>
        <w:t>,</w:t>
      </w:r>
      <w:r w:rsidR="002272FA">
        <w:rPr>
          <w:rFonts w:cs="Segoe UI"/>
          <w:b/>
          <w:szCs w:val="20"/>
        </w:rPr>
        <w:t>2</w:t>
      </w:r>
      <w:r w:rsidRPr="00BB2CA0">
        <w:rPr>
          <w:rFonts w:cs="Segoe UI"/>
          <w:b/>
          <w:szCs w:val="20"/>
        </w:rPr>
        <w:t xml:space="preserve"> mil. eur (</w:t>
      </w:r>
      <w:r w:rsidR="002272FA">
        <w:rPr>
          <w:rFonts w:cs="Segoe UI"/>
          <w:b/>
          <w:szCs w:val="20"/>
        </w:rPr>
        <w:t>6</w:t>
      </w:r>
      <w:r w:rsidRPr="00BB2CA0">
        <w:rPr>
          <w:rFonts w:cs="Segoe UI"/>
          <w:b/>
          <w:szCs w:val="20"/>
        </w:rPr>
        <w:t>,</w:t>
      </w:r>
      <w:r w:rsidR="002272FA">
        <w:rPr>
          <w:rFonts w:cs="Segoe UI"/>
          <w:b/>
          <w:szCs w:val="20"/>
        </w:rPr>
        <w:t>6</w:t>
      </w:r>
      <w:r w:rsidRPr="00BB2CA0">
        <w:rPr>
          <w:rFonts w:cs="Segoe UI"/>
          <w:b/>
          <w:szCs w:val="20"/>
        </w:rPr>
        <w:t xml:space="preserve">9 % z celkovej alokácie POO). </w:t>
      </w:r>
      <w:r w:rsidRPr="00BB2CA0">
        <w:rPr>
          <w:rFonts w:cs="Segoe UI"/>
          <w:szCs w:val="20"/>
        </w:rPr>
        <w:t>Z toho 374 mil. eur bolo vyčerpaných v roku 2023.</w:t>
      </w:r>
      <w:r w:rsidRPr="00BB2CA0">
        <w:rPr>
          <w:b/>
        </w:rPr>
        <w:t xml:space="preserve"> </w:t>
      </w:r>
      <w:r w:rsidRPr="00BB2CA0">
        <w:t>K</w:t>
      </w:r>
      <w:r w:rsidRPr="00BB2CA0">
        <w:rPr>
          <w:rFonts w:cs="Segoe UI"/>
          <w:szCs w:val="20"/>
        </w:rPr>
        <w:t xml:space="preserve"> 30. 4. 2024 bolo vyčerpaných od začiatku roka celkovo viac ako 44 mil. eur. Z toho 21,6 mil. eur tvorili kapitálové výdavky a 22,54 mil. eur bežné výdavky (tabuľka </w:t>
      </w:r>
      <w:r>
        <w:rPr>
          <w:rFonts w:cs="Segoe UI"/>
          <w:szCs w:val="20"/>
        </w:rPr>
        <w:t>14).</w:t>
      </w:r>
    </w:p>
    <w:p w14:paraId="1C6F49A6" w14:textId="77777777" w:rsidR="008E0E12" w:rsidRDefault="008E0E12" w:rsidP="008E0E12">
      <w:pPr>
        <w:pStyle w:val="Popis"/>
        <w:keepNext/>
      </w:pPr>
      <w:r>
        <w:t>Tabuľka 14: Štruktúra č</w:t>
      </w:r>
      <w:r w:rsidRPr="00DF56F4">
        <w:t>erpani</w:t>
      </w:r>
      <w:r>
        <w:t>a</w:t>
      </w:r>
      <w:r w:rsidRPr="00DF56F4">
        <w:t xml:space="preserve"> </w:t>
      </w:r>
      <w:r>
        <w:t xml:space="preserve">výdavkov z </w:t>
      </w:r>
      <w:r w:rsidRPr="00DF56F4">
        <w:t>POO (v mil. eur)</w:t>
      </w:r>
    </w:p>
    <w:tbl>
      <w:tblPr>
        <w:tblW w:w="5000" w:type="pct"/>
        <w:tblCellMar>
          <w:left w:w="70" w:type="dxa"/>
          <w:right w:w="70" w:type="dxa"/>
        </w:tblCellMar>
        <w:tblLook w:val="04A0" w:firstRow="1" w:lastRow="0" w:firstColumn="1" w:lastColumn="0" w:noHBand="0" w:noVBand="1"/>
      </w:tblPr>
      <w:tblGrid>
        <w:gridCol w:w="1401"/>
        <w:gridCol w:w="1074"/>
        <w:gridCol w:w="1072"/>
        <w:gridCol w:w="1039"/>
        <w:gridCol w:w="1072"/>
        <w:gridCol w:w="1039"/>
        <w:gridCol w:w="1072"/>
        <w:gridCol w:w="1301"/>
      </w:tblGrid>
      <w:tr w:rsidR="008E0E12" w:rsidRPr="006E084F" w14:paraId="4D877BAB" w14:textId="77777777" w:rsidTr="003B1D74">
        <w:trPr>
          <w:trHeight w:val="283"/>
        </w:trPr>
        <w:tc>
          <w:tcPr>
            <w:tcW w:w="772" w:type="pct"/>
            <w:tcBorders>
              <w:top w:val="nil"/>
              <w:left w:val="nil"/>
              <w:right w:val="nil"/>
            </w:tcBorders>
            <w:shd w:val="clear" w:color="000000" w:fill="314364"/>
            <w:vAlign w:val="center"/>
            <w:hideMark/>
          </w:tcPr>
          <w:p w14:paraId="74692B6F" w14:textId="77777777" w:rsidR="008E0E12" w:rsidRPr="00113ACD" w:rsidRDefault="008E0E12" w:rsidP="003B1D74">
            <w:pPr>
              <w:spacing w:after="0" w:line="240" w:lineRule="auto"/>
              <w:jc w:val="left"/>
              <w:rPr>
                <w:rFonts w:eastAsia="Times New Roman" w:cs="Segoe UI"/>
                <w:b/>
                <w:bCs/>
                <w:color w:val="00B050"/>
                <w:sz w:val="18"/>
                <w:szCs w:val="18"/>
                <w:lang w:eastAsia="sk-SK"/>
              </w:rPr>
            </w:pPr>
            <w:r w:rsidRPr="00113ACD">
              <w:rPr>
                <w:rFonts w:eastAsia="Times New Roman" w:cs="Segoe UI"/>
                <w:b/>
                <w:bCs/>
                <w:color w:val="00B050"/>
                <w:sz w:val="18"/>
                <w:szCs w:val="18"/>
                <w:lang w:eastAsia="sk-SK"/>
              </w:rPr>
              <w:t> </w:t>
            </w:r>
          </w:p>
        </w:tc>
        <w:tc>
          <w:tcPr>
            <w:tcW w:w="592" w:type="pct"/>
            <w:tcBorders>
              <w:top w:val="nil"/>
              <w:left w:val="nil"/>
              <w:right w:val="nil"/>
            </w:tcBorders>
            <w:shd w:val="clear" w:color="000000" w:fill="314364"/>
          </w:tcPr>
          <w:p w14:paraId="01B44221" w14:textId="77777777" w:rsidR="008E0E12" w:rsidRPr="00113ACD" w:rsidRDefault="008E0E12" w:rsidP="003B1D74">
            <w:pPr>
              <w:spacing w:after="0" w:line="240" w:lineRule="auto"/>
              <w:jc w:val="right"/>
              <w:rPr>
                <w:rFonts w:eastAsia="Times New Roman" w:cs="Segoe UI"/>
                <w:b/>
                <w:bCs/>
                <w:color w:val="FFFFFF" w:themeColor="background1"/>
                <w:sz w:val="18"/>
                <w:szCs w:val="18"/>
                <w:lang w:eastAsia="sk-SK"/>
              </w:rPr>
            </w:pPr>
            <w:r>
              <w:rPr>
                <w:rFonts w:eastAsia="Times New Roman" w:cs="Segoe UI"/>
                <w:b/>
                <w:bCs/>
                <w:color w:val="FFFFFF" w:themeColor="background1"/>
                <w:sz w:val="18"/>
                <w:szCs w:val="18"/>
                <w:lang w:eastAsia="sk-SK"/>
              </w:rPr>
              <w:t>Čerpanie 2021</w:t>
            </w:r>
          </w:p>
        </w:tc>
        <w:tc>
          <w:tcPr>
            <w:tcW w:w="591" w:type="pct"/>
            <w:tcBorders>
              <w:top w:val="nil"/>
              <w:left w:val="nil"/>
              <w:right w:val="nil"/>
            </w:tcBorders>
            <w:shd w:val="clear" w:color="000000" w:fill="314364"/>
            <w:vAlign w:val="center"/>
            <w:hideMark/>
          </w:tcPr>
          <w:p w14:paraId="7B59A8C0" w14:textId="77777777" w:rsidR="008E0E12" w:rsidRPr="00113ACD" w:rsidRDefault="008E0E12" w:rsidP="003B1D74">
            <w:pPr>
              <w:spacing w:after="0" w:line="240" w:lineRule="auto"/>
              <w:jc w:val="right"/>
              <w:rPr>
                <w:rFonts w:eastAsia="Times New Roman" w:cs="Segoe UI"/>
                <w:b/>
                <w:bCs/>
                <w:color w:val="FFFFFF" w:themeColor="background1"/>
                <w:sz w:val="18"/>
                <w:szCs w:val="18"/>
                <w:lang w:eastAsia="sk-SK"/>
              </w:rPr>
            </w:pPr>
            <w:r w:rsidRPr="00113ACD">
              <w:rPr>
                <w:rFonts w:eastAsia="Times New Roman" w:cs="Segoe UI"/>
                <w:b/>
                <w:bCs/>
                <w:color w:val="FFFFFF" w:themeColor="background1"/>
                <w:sz w:val="18"/>
                <w:szCs w:val="18"/>
                <w:lang w:eastAsia="sk-SK"/>
              </w:rPr>
              <w:t>Rozpočet 2022</w:t>
            </w:r>
          </w:p>
        </w:tc>
        <w:tc>
          <w:tcPr>
            <w:tcW w:w="573" w:type="pct"/>
            <w:tcBorders>
              <w:top w:val="nil"/>
              <w:left w:val="nil"/>
              <w:right w:val="nil"/>
            </w:tcBorders>
            <w:shd w:val="clear" w:color="000000" w:fill="314364"/>
            <w:vAlign w:val="center"/>
            <w:hideMark/>
          </w:tcPr>
          <w:p w14:paraId="39ABD9DE" w14:textId="77777777" w:rsidR="008E0E12" w:rsidRPr="00113ACD" w:rsidRDefault="008E0E12" w:rsidP="003B1D74">
            <w:pPr>
              <w:spacing w:after="0" w:line="240" w:lineRule="auto"/>
              <w:jc w:val="right"/>
              <w:rPr>
                <w:rFonts w:eastAsia="Times New Roman" w:cs="Segoe UI"/>
                <w:b/>
                <w:bCs/>
                <w:color w:val="FFFFFF" w:themeColor="background1"/>
                <w:sz w:val="18"/>
                <w:szCs w:val="18"/>
                <w:lang w:eastAsia="sk-SK"/>
              </w:rPr>
            </w:pPr>
            <w:r w:rsidRPr="00113ACD">
              <w:rPr>
                <w:rFonts w:eastAsia="Times New Roman" w:cs="Segoe UI"/>
                <w:b/>
                <w:bCs/>
                <w:color w:val="FFFFFF" w:themeColor="background1"/>
                <w:sz w:val="18"/>
                <w:szCs w:val="18"/>
                <w:lang w:eastAsia="sk-SK"/>
              </w:rPr>
              <w:t>Čerpanie 2022</w:t>
            </w:r>
          </w:p>
        </w:tc>
        <w:tc>
          <w:tcPr>
            <w:tcW w:w="591" w:type="pct"/>
            <w:tcBorders>
              <w:top w:val="nil"/>
              <w:left w:val="nil"/>
              <w:right w:val="nil"/>
            </w:tcBorders>
            <w:shd w:val="clear" w:color="000000" w:fill="314364"/>
            <w:vAlign w:val="center"/>
            <w:hideMark/>
          </w:tcPr>
          <w:p w14:paraId="10D1FDD5" w14:textId="77777777" w:rsidR="008E0E12" w:rsidRPr="00113ACD" w:rsidRDefault="008E0E12" w:rsidP="003B1D74">
            <w:pPr>
              <w:spacing w:after="0" w:line="240" w:lineRule="auto"/>
              <w:jc w:val="right"/>
              <w:rPr>
                <w:rFonts w:eastAsia="Times New Roman" w:cs="Segoe UI"/>
                <w:b/>
                <w:bCs/>
                <w:color w:val="FFFFFF" w:themeColor="background1"/>
                <w:sz w:val="18"/>
                <w:szCs w:val="18"/>
                <w:lang w:eastAsia="sk-SK"/>
              </w:rPr>
            </w:pPr>
            <w:r w:rsidRPr="00113ACD">
              <w:rPr>
                <w:rFonts w:eastAsia="Times New Roman" w:cs="Segoe UI"/>
                <w:b/>
                <w:bCs/>
                <w:color w:val="FFFFFF" w:themeColor="background1"/>
                <w:sz w:val="18"/>
                <w:szCs w:val="18"/>
                <w:lang w:eastAsia="sk-SK"/>
              </w:rPr>
              <w:t>Rozpočet 2023</w:t>
            </w:r>
          </w:p>
        </w:tc>
        <w:tc>
          <w:tcPr>
            <w:tcW w:w="573" w:type="pct"/>
            <w:tcBorders>
              <w:top w:val="nil"/>
              <w:left w:val="nil"/>
              <w:right w:val="nil"/>
            </w:tcBorders>
            <w:shd w:val="clear" w:color="000000" w:fill="314364"/>
            <w:vAlign w:val="center"/>
            <w:hideMark/>
          </w:tcPr>
          <w:p w14:paraId="6303823C" w14:textId="77777777" w:rsidR="008E0E12" w:rsidRPr="00113ACD" w:rsidRDefault="008E0E12" w:rsidP="003B1D74">
            <w:pPr>
              <w:spacing w:after="0" w:line="240" w:lineRule="auto"/>
              <w:jc w:val="right"/>
              <w:rPr>
                <w:rFonts w:eastAsia="Times New Roman" w:cs="Segoe UI"/>
                <w:b/>
                <w:bCs/>
                <w:color w:val="FFFFFF" w:themeColor="background1"/>
                <w:sz w:val="18"/>
                <w:szCs w:val="18"/>
                <w:lang w:eastAsia="sk-SK"/>
              </w:rPr>
            </w:pPr>
            <w:r w:rsidRPr="00113ACD">
              <w:rPr>
                <w:rFonts w:eastAsia="Times New Roman" w:cs="Segoe UI"/>
                <w:b/>
                <w:bCs/>
                <w:color w:val="FFFFFF" w:themeColor="background1"/>
                <w:sz w:val="18"/>
                <w:szCs w:val="18"/>
                <w:lang w:eastAsia="sk-SK"/>
              </w:rPr>
              <w:t>Čerpanie 2023</w:t>
            </w:r>
          </w:p>
        </w:tc>
        <w:tc>
          <w:tcPr>
            <w:tcW w:w="591" w:type="pct"/>
            <w:tcBorders>
              <w:top w:val="nil"/>
              <w:left w:val="nil"/>
              <w:right w:val="nil"/>
            </w:tcBorders>
            <w:shd w:val="clear" w:color="000000" w:fill="314364"/>
            <w:vAlign w:val="center"/>
            <w:hideMark/>
          </w:tcPr>
          <w:p w14:paraId="18A817EF" w14:textId="77777777" w:rsidR="008E0E12" w:rsidRPr="00113ACD" w:rsidRDefault="008E0E12" w:rsidP="003B1D74">
            <w:pPr>
              <w:spacing w:after="0" w:line="240" w:lineRule="auto"/>
              <w:jc w:val="right"/>
              <w:rPr>
                <w:rFonts w:eastAsia="Times New Roman" w:cs="Segoe UI"/>
                <w:b/>
                <w:bCs/>
                <w:color w:val="FFFFFF" w:themeColor="background1"/>
                <w:sz w:val="18"/>
                <w:szCs w:val="18"/>
                <w:lang w:eastAsia="sk-SK"/>
              </w:rPr>
            </w:pPr>
            <w:r w:rsidRPr="00113ACD">
              <w:rPr>
                <w:rFonts w:eastAsia="Times New Roman" w:cs="Segoe UI"/>
                <w:b/>
                <w:bCs/>
                <w:color w:val="FFFFFF" w:themeColor="background1"/>
                <w:sz w:val="18"/>
                <w:szCs w:val="18"/>
                <w:lang w:eastAsia="sk-SK"/>
              </w:rPr>
              <w:t>Rozpočet 2024</w:t>
            </w:r>
          </w:p>
        </w:tc>
        <w:tc>
          <w:tcPr>
            <w:tcW w:w="718" w:type="pct"/>
            <w:tcBorders>
              <w:top w:val="nil"/>
              <w:left w:val="nil"/>
              <w:right w:val="nil"/>
            </w:tcBorders>
            <w:shd w:val="clear" w:color="000000" w:fill="314364"/>
            <w:vAlign w:val="center"/>
            <w:hideMark/>
          </w:tcPr>
          <w:p w14:paraId="03AAE107" w14:textId="77777777" w:rsidR="008E0E12" w:rsidRPr="00113ACD" w:rsidRDefault="008E0E12" w:rsidP="003B1D74">
            <w:pPr>
              <w:spacing w:after="0" w:line="240" w:lineRule="auto"/>
              <w:jc w:val="right"/>
              <w:rPr>
                <w:rFonts w:eastAsia="Times New Roman" w:cs="Segoe UI"/>
                <w:b/>
                <w:bCs/>
                <w:color w:val="FFFFFF" w:themeColor="background1"/>
                <w:sz w:val="18"/>
                <w:szCs w:val="18"/>
                <w:lang w:eastAsia="sk-SK"/>
              </w:rPr>
            </w:pPr>
            <w:r w:rsidRPr="00113ACD">
              <w:rPr>
                <w:rFonts w:eastAsia="Times New Roman" w:cs="Segoe UI"/>
                <w:b/>
                <w:bCs/>
                <w:color w:val="FFFFFF" w:themeColor="background1"/>
                <w:sz w:val="18"/>
                <w:szCs w:val="18"/>
                <w:lang w:eastAsia="sk-SK"/>
              </w:rPr>
              <w:t>Čerpanie k 30.4. 2024</w:t>
            </w:r>
          </w:p>
        </w:tc>
      </w:tr>
      <w:tr w:rsidR="008E0E12" w:rsidRPr="006E084F" w14:paraId="3603F790" w14:textId="77777777" w:rsidTr="003B1D74">
        <w:trPr>
          <w:trHeight w:val="283"/>
        </w:trPr>
        <w:tc>
          <w:tcPr>
            <w:tcW w:w="772" w:type="pct"/>
            <w:tcBorders>
              <w:top w:val="nil"/>
              <w:left w:val="nil"/>
              <w:bottom w:val="nil"/>
              <w:right w:val="nil"/>
            </w:tcBorders>
            <w:shd w:val="clear" w:color="auto" w:fill="auto"/>
            <w:vAlign w:val="center"/>
            <w:hideMark/>
          </w:tcPr>
          <w:p w14:paraId="61A03CD0" w14:textId="77777777" w:rsidR="008E0E12" w:rsidRPr="00113ACD" w:rsidRDefault="008E0E12" w:rsidP="003B1D74">
            <w:pPr>
              <w:spacing w:after="0" w:line="240" w:lineRule="auto"/>
              <w:jc w:val="left"/>
              <w:rPr>
                <w:rFonts w:eastAsia="Times New Roman" w:cs="Segoe UI"/>
                <w:sz w:val="18"/>
                <w:szCs w:val="18"/>
                <w:lang w:eastAsia="sk-SK"/>
              </w:rPr>
            </w:pPr>
            <w:r w:rsidRPr="00113ACD">
              <w:rPr>
                <w:rFonts w:eastAsia="Times New Roman" w:cs="Segoe UI"/>
                <w:sz w:val="18"/>
                <w:szCs w:val="18"/>
                <w:lang w:eastAsia="sk-SK"/>
              </w:rPr>
              <w:t>Bežné výdavky</w:t>
            </w:r>
          </w:p>
        </w:tc>
        <w:tc>
          <w:tcPr>
            <w:tcW w:w="592" w:type="pct"/>
            <w:tcBorders>
              <w:top w:val="nil"/>
              <w:left w:val="nil"/>
              <w:bottom w:val="nil"/>
              <w:right w:val="nil"/>
            </w:tcBorders>
          </w:tcPr>
          <w:p w14:paraId="5B49F4C4" w14:textId="77777777" w:rsidR="008E0E12" w:rsidRPr="00113ACD" w:rsidRDefault="008E0E12" w:rsidP="003B1D74">
            <w:pPr>
              <w:spacing w:after="0" w:line="240" w:lineRule="auto"/>
              <w:jc w:val="right"/>
              <w:rPr>
                <w:rFonts w:eastAsia="Times New Roman" w:cs="Segoe UI"/>
                <w:sz w:val="18"/>
                <w:szCs w:val="18"/>
                <w:lang w:eastAsia="sk-SK"/>
              </w:rPr>
            </w:pPr>
            <w:r>
              <w:rPr>
                <w:rFonts w:eastAsia="Times New Roman" w:cs="Segoe UI"/>
                <w:sz w:val="18"/>
                <w:szCs w:val="18"/>
                <w:lang w:eastAsia="sk-SK"/>
              </w:rPr>
              <w:t>6,07</w:t>
            </w:r>
          </w:p>
        </w:tc>
        <w:tc>
          <w:tcPr>
            <w:tcW w:w="591" w:type="pct"/>
            <w:tcBorders>
              <w:top w:val="nil"/>
              <w:left w:val="nil"/>
              <w:bottom w:val="nil"/>
              <w:right w:val="nil"/>
            </w:tcBorders>
            <w:shd w:val="clear" w:color="auto" w:fill="auto"/>
            <w:noWrap/>
            <w:vAlign w:val="center"/>
            <w:hideMark/>
          </w:tcPr>
          <w:p w14:paraId="3F3FF10C" w14:textId="77777777" w:rsidR="008E0E12" w:rsidRPr="00113ACD" w:rsidRDefault="008E0E12" w:rsidP="003B1D74">
            <w:pPr>
              <w:spacing w:after="0" w:line="240" w:lineRule="auto"/>
              <w:jc w:val="right"/>
              <w:rPr>
                <w:rFonts w:eastAsia="Times New Roman" w:cs="Segoe UI"/>
                <w:sz w:val="18"/>
                <w:szCs w:val="18"/>
                <w:lang w:eastAsia="sk-SK"/>
              </w:rPr>
            </w:pPr>
            <w:r w:rsidRPr="00113ACD">
              <w:rPr>
                <w:rFonts w:eastAsia="Times New Roman" w:cs="Segoe UI"/>
                <w:sz w:val="18"/>
                <w:szCs w:val="18"/>
                <w:lang w:eastAsia="sk-SK"/>
              </w:rPr>
              <w:t>347,35</w:t>
            </w:r>
          </w:p>
        </w:tc>
        <w:tc>
          <w:tcPr>
            <w:tcW w:w="573" w:type="pct"/>
            <w:tcBorders>
              <w:top w:val="nil"/>
              <w:left w:val="nil"/>
              <w:bottom w:val="nil"/>
              <w:right w:val="nil"/>
            </w:tcBorders>
            <w:shd w:val="clear" w:color="auto" w:fill="auto"/>
            <w:noWrap/>
            <w:vAlign w:val="center"/>
            <w:hideMark/>
          </w:tcPr>
          <w:p w14:paraId="130F3E24" w14:textId="77777777" w:rsidR="008E0E12" w:rsidRPr="00113ACD" w:rsidRDefault="008E0E12" w:rsidP="003B1D74">
            <w:pPr>
              <w:spacing w:after="0" w:line="240" w:lineRule="auto"/>
              <w:jc w:val="right"/>
              <w:rPr>
                <w:rFonts w:eastAsia="Times New Roman" w:cs="Segoe UI"/>
                <w:sz w:val="18"/>
                <w:szCs w:val="18"/>
                <w:lang w:eastAsia="sk-SK"/>
              </w:rPr>
            </w:pPr>
            <w:r w:rsidRPr="00113ACD">
              <w:rPr>
                <w:rFonts w:eastAsia="Times New Roman" w:cs="Segoe UI"/>
                <w:sz w:val="18"/>
                <w:szCs w:val="18"/>
                <w:lang w:eastAsia="sk-SK"/>
              </w:rPr>
              <w:t>46,66</w:t>
            </w:r>
          </w:p>
        </w:tc>
        <w:tc>
          <w:tcPr>
            <w:tcW w:w="591" w:type="pct"/>
            <w:tcBorders>
              <w:top w:val="nil"/>
              <w:left w:val="nil"/>
              <w:bottom w:val="nil"/>
              <w:right w:val="nil"/>
            </w:tcBorders>
            <w:shd w:val="clear" w:color="auto" w:fill="auto"/>
            <w:noWrap/>
            <w:vAlign w:val="center"/>
            <w:hideMark/>
          </w:tcPr>
          <w:p w14:paraId="4ACFAA51" w14:textId="77777777" w:rsidR="008E0E12" w:rsidRPr="00113ACD" w:rsidRDefault="008E0E12" w:rsidP="003B1D74">
            <w:pPr>
              <w:spacing w:after="0" w:line="240" w:lineRule="auto"/>
              <w:jc w:val="right"/>
              <w:rPr>
                <w:rFonts w:eastAsia="Times New Roman" w:cs="Segoe UI"/>
                <w:sz w:val="18"/>
                <w:szCs w:val="18"/>
                <w:lang w:eastAsia="sk-SK"/>
              </w:rPr>
            </w:pPr>
            <w:r w:rsidRPr="00113ACD">
              <w:rPr>
                <w:rFonts w:eastAsia="Times New Roman" w:cs="Segoe UI"/>
                <w:sz w:val="18"/>
                <w:szCs w:val="18"/>
                <w:lang w:eastAsia="sk-SK"/>
              </w:rPr>
              <w:t>369,27</w:t>
            </w:r>
          </w:p>
        </w:tc>
        <w:tc>
          <w:tcPr>
            <w:tcW w:w="573" w:type="pct"/>
            <w:tcBorders>
              <w:top w:val="nil"/>
              <w:left w:val="nil"/>
              <w:bottom w:val="nil"/>
              <w:right w:val="nil"/>
            </w:tcBorders>
            <w:shd w:val="clear" w:color="auto" w:fill="auto"/>
            <w:noWrap/>
            <w:vAlign w:val="center"/>
            <w:hideMark/>
          </w:tcPr>
          <w:p w14:paraId="1BC5CAF5" w14:textId="77777777" w:rsidR="008E0E12" w:rsidRPr="00113ACD" w:rsidRDefault="008E0E12" w:rsidP="003B1D74">
            <w:pPr>
              <w:spacing w:after="0" w:line="240" w:lineRule="auto"/>
              <w:jc w:val="right"/>
              <w:rPr>
                <w:rFonts w:eastAsia="Times New Roman" w:cs="Segoe UI"/>
                <w:sz w:val="18"/>
                <w:szCs w:val="18"/>
                <w:lang w:eastAsia="sk-SK"/>
              </w:rPr>
            </w:pPr>
            <w:r w:rsidRPr="00113ACD">
              <w:rPr>
                <w:rFonts w:eastAsia="Times New Roman" w:cs="Segoe UI"/>
                <w:sz w:val="18"/>
                <w:szCs w:val="18"/>
                <w:lang w:eastAsia="sk-SK"/>
              </w:rPr>
              <w:t>113,67</w:t>
            </w:r>
          </w:p>
        </w:tc>
        <w:tc>
          <w:tcPr>
            <w:tcW w:w="591" w:type="pct"/>
            <w:tcBorders>
              <w:top w:val="nil"/>
              <w:left w:val="nil"/>
              <w:bottom w:val="nil"/>
              <w:right w:val="nil"/>
            </w:tcBorders>
            <w:shd w:val="clear" w:color="auto" w:fill="auto"/>
            <w:noWrap/>
            <w:vAlign w:val="center"/>
            <w:hideMark/>
          </w:tcPr>
          <w:p w14:paraId="0E07D134" w14:textId="77777777" w:rsidR="008E0E12" w:rsidRPr="00113ACD" w:rsidRDefault="008E0E12" w:rsidP="003B1D74">
            <w:pPr>
              <w:spacing w:after="0" w:line="240" w:lineRule="auto"/>
              <w:jc w:val="right"/>
              <w:rPr>
                <w:rFonts w:eastAsia="Times New Roman" w:cs="Segoe UI"/>
                <w:sz w:val="18"/>
                <w:szCs w:val="18"/>
                <w:lang w:eastAsia="sk-SK"/>
              </w:rPr>
            </w:pPr>
            <w:r w:rsidRPr="00113ACD">
              <w:rPr>
                <w:rFonts w:eastAsia="Times New Roman" w:cs="Segoe UI"/>
                <w:sz w:val="18"/>
                <w:szCs w:val="18"/>
                <w:lang w:eastAsia="sk-SK"/>
              </w:rPr>
              <w:t>352,00</w:t>
            </w:r>
          </w:p>
        </w:tc>
        <w:tc>
          <w:tcPr>
            <w:tcW w:w="718" w:type="pct"/>
            <w:tcBorders>
              <w:top w:val="nil"/>
              <w:left w:val="nil"/>
              <w:bottom w:val="nil"/>
              <w:right w:val="nil"/>
            </w:tcBorders>
            <w:shd w:val="clear" w:color="auto" w:fill="auto"/>
            <w:noWrap/>
            <w:vAlign w:val="center"/>
            <w:hideMark/>
          </w:tcPr>
          <w:p w14:paraId="5CF17435" w14:textId="77777777" w:rsidR="008E0E12" w:rsidRPr="00113ACD" w:rsidRDefault="008E0E12" w:rsidP="003B1D74">
            <w:pPr>
              <w:spacing w:after="0" w:line="240" w:lineRule="auto"/>
              <w:jc w:val="right"/>
              <w:rPr>
                <w:rFonts w:eastAsia="Times New Roman" w:cs="Segoe UI"/>
                <w:sz w:val="18"/>
                <w:szCs w:val="18"/>
                <w:lang w:eastAsia="sk-SK"/>
              </w:rPr>
            </w:pPr>
            <w:r w:rsidRPr="00113ACD">
              <w:rPr>
                <w:rFonts w:eastAsia="Times New Roman" w:cs="Segoe UI"/>
                <w:sz w:val="18"/>
                <w:szCs w:val="18"/>
                <w:lang w:eastAsia="sk-SK"/>
              </w:rPr>
              <w:t>22,54</w:t>
            </w:r>
          </w:p>
        </w:tc>
      </w:tr>
      <w:tr w:rsidR="008E0E12" w:rsidRPr="006E084F" w14:paraId="280D951E" w14:textId="77777777" w:rsidTr="003B1D74">
        <w:trPr>
          <w:trHeight w:val="283"/>
        </w:trPr>
        <w:tc>
          <w:tcPr>
            <w:tcW w:w="772" w:type="pct"/>
            <w:tcBorders>
              <w:top w:val="nil"/>
              <w:left w:val="nil"/>
              <w:bottom w:val="nil"/>
              <w:right w:val="nil"/>
            </w:tcBorders>
            <w:shd w:val="clear" w:color="auto" w:fill="auto"/>
            <w:vAlign w:val="center"/>
            <w:hideMark/>
          </w:tcPr>
          <w:p w14:paraId="513D0EC7" w14:textId="77777777" w:rsidR="008E0E12" w:rsidRPr="00113ACD" w:rsidRDefault="008E0E12" w:rsidP="003B1D74">
            <w:pPr>
              <w:spacing w:after="0" w:line="240" w:lineRule="auto"/>
              <w:jc w:val="left"/>
              <w:rPr>
                <w:rFonts w:eastAsia="Times New Roman" w:cs="Segoe UI"/>
                <w:sz w:val="18"/>
                <w:szCs w:val="18"/>
                <w:lang w:eastAsia="sk-SK"/>
              </w:rPr>
            </w:pPr>
            <w:r w:rsidRPr="00113ACD">
              <w:rPr>
                <w:rFonts w:eastAsia="Times New Roman" w:cs="Segoe UI"/>
                <w:sz w:val="18"/>
                <w:szCs w:val="18"/>
                <w:lang w:eastAsia="sk-SK"/>
              </w:rPr>
              <w:t>Kapitálové výdavky</w:t>
            </w:r>
          </w:p>
        </w:tc>
        <w:tc>
          <w:tcPr>
            <w:tcW w:w="592" w:type="pct"/>
            <w:tcBorders>
              <w:top w:val="nil"/>
              <w:left w:val="nil"/>
              <w:bottom w:val="nil"/>
              <w:right w:val="nil"/>
            </w:tcBorders>
          </w:tcPr>
          <w:p w14:paraId="2E6CBC5D" w14:textId="77777777" w:rsidR="008E0E12" w:rsidRPr="00113ACD" w:rsidRDefault="008E0E12" w:rsidP="003B1D74">
            <w:pPr>
              <w:spacing w:after="0" w:line="240" w:lineRule="auto"/>
              <w:jc w:val="right"/>
              <w:rPr>
                <w:rFonts w:eastAsia="Times New Roman" w:cs="Segoe UI"/>
                <w:sz w:val="18"/>
                <w:szCs w:val="18"/>
                <w:lang w:eastAsia="sk-SK"/>
              </w:rPr>
            </w:pPr>
            <w:r>
              <w:rPr>
                <w:rFonts w:eastAsia="Times New Roman" w:cs="Segoe UI"/>
                <w:sz w:val="18"/>
                <w:szCs w:val="18"/>
                <w:lang w:eastAsia="sk-SK"/>
              </w:rPr>
              <w:t>-</w:t>
            </w:r>
          </w:p>
        </w:tc>
        <w:tc>
          <w:tcPr>
            <w:tcW w:w="591" w:type="pct"/>
            <w:tcBorders>
              <w:top w:val="nil"/>
              <w:left w:val="nil"/>
              <w:bottom w:val="nil"/>
              <w:right w:val="nil"/>
            </w:tcBorders>
            <w:shd w:val="clear" w:color="auto" w:fill="auto"/>
            <w:noWrap/>
            <w:vAlign w:val="center"/>
            <w:hideMark/>
          </w:tcPr>
          <w:p w14:paraId="1C830DFC" w14:textId="77777777" w:rsidR="008E0E12" w:rsidRPr="00113ACD" w:rsidRDefault="008E0E12" w:rsidP="003B1D74">
            <w:pPr>
              <w:spacing w:after="0" w:line="240" w:lineRule="auto"/>
              <w:jc w:val="right"/>
              <w:rPr>
                <w:rFonts w:eastAsia="Times New Roman" w:cs="Segoe UI"/>
                <w:sz w:val="18"/>
                <w:szCs w:val="18"/>
                <w:lang w:eastAsia="sk-SK"/>
              </w:rPr>
            </w:pPr>
            <w:r w:rsidRPr="00113ACD">
              <w:rPr>
                <w:rFonts w:eastAsia="Times New Roman" w:cs="Segoe UI"/>
                <w:sz w:val="18"/>
                <w:szCs w:val="18"/>
                <w:lang w:eastAsia="sk-SK"/>
              </w:rPr>
              <w:t>954,62</w:t>
            </w:r>
          </w:p>
        </w:tc>
        <w:tc>
          <w:tcPr>
            <w:tcW w:w="573" w:type="pct"/>
            <w:tcBorders>
              <w:top w:val="nil"/>
              <w:left w:val="nil"/>
              <w:bottom w:val="nil"/>
              <w:right w:val="nil"/>
            </w:tcBorders>
            <w:shd w:val="clear" w:color="auto" w:fill="auto"/>
            <w:noWrap/>
            <w:vAlign w:val="center"/>
            <w:hideMark/>
          </w:tcPr>
          <w:p w14:paraId="6ABC39FC" w14:textId="77777777" w:rsidR="008E0E12" w:rsidRPr="00113ACD" w:rsidRDefault="008E0E12" w:rsidP="003B1D74">
            <w:pPr>
              <w:spacing w:after="0" w:line="240" w:lineRule="auto"/>
              <w:jc w:val="right"/>
              <w:rPr>
                <w:rFonts w:eastAsia="Times New Roman" w:cs="Segoe UI"/>
                <w:sz w:val="18"/>
                <w:szCs w:val="18"/>
                <w:lang w:eastAsia="sk-SK"/>
              </w:rPr>
            </w:pPr>
            <w:r w:rsidRPr="00113ACD">
              <w:rPr>
                <w:rFonts w:eastAsia="Times New Roman" w:cs="Segoe UI"/>
                <w:sz w:val="18"/>
                <w:szCs w:val="18"/>
                <w:lang w:eastAsia="sk-SK"/>
              </w:rPr>
              <w:t>2,31</w:t>
            </w:r>
          </w:p>
        </w:tc>
        <w:tc>
          <w:tcPr>
            <w:tcW w:w="591" w:type="pct"/>
            <w:tcBorders>
              <w:top w:val="nil"/>
              <w:left w:val="nil"/>
              <w:bottom w:val="nil"/>
              <w:right w:val="nil"/>
            </w:tcBorders>
            <w:shd w:val="clear" w:color="auto" w:fill="auto"/>
            <w:noWrap/>
            <w:vAlign w:val="center"/>
            <w:hideMark/>
          </w:tcPr>
          <w:p w14:paraId="520976A7" w14:textId="77777777" w:rsidR="008E0E12" w:rsidRPr="00113ACD" w:rsidRDefault="008E0E12" w:rsidP="003B1D74">
            <w:pPr>
              <w:spacing w:after="0" w:line="240" w:lineRule="auto"/>
              <w:jc w:val="right"/>
              <w:rPr>
                <w:rFonts w:eastAsia="Times New Roman" w:cs="Segoe UI"/>
                <w:sz w:val="18"/>
                <w:szCs w:val="18"/>
                <w:lang w:eastAsia="sk-SK"/>
              </w:rPr>
            </w:pPr>
            <w:r w:rsidRPr="00113ACD">
              <w:rPr>
                <w:rFonts w:eastAsia="Times New Roman" w:cs="Segoe UI"/>
                <w:sz w:val="18"/>
                <w:szCs w:val="18"/>
                <w:lang w:eastAsia="sk-SK"/>
              </w:rPr>
              <w:t>1 641,99</w:t>
            </w:r>
          </w:p>
        </w:tc>
        <w:tc>
          <w:tcPr>
            <w:tcW w:w="573" w:type="pct"/>
            <w:tcBorders>
              <w:top w:val="nil"/>
              <w:left w:val="nil"/>
              <w:bottom w:val="nil"/>
              <w:right w:val="nil"/>
            </w:tcBorders>
            <w:shd w:val="clear" w:color="auto" w:fill="auto"/>
            <w:noWrap/>
            <w:vAlign w:val="center"/>
            <w:hideMark/>
          </w:tcPr>
          <w:p w14:paraId="5019B30B" w14:textId="77777777" w:rsidR="008E0E12" w:rsidRPr="00113ACD" w:rsidRDefault="008E0E12" w:rsidP="003B1D74">
            <w:pPr>
              <w:spacing w:after="0" w:line="240" w:lineRule="auto"/>
              <w:jc w:val="right"/>
              <w:rPr>
                <w:rFonts w:eastAsia="Times New Roman" w:cs="Segoe UI"/>
                <w:sz w:val="18"/>
                <w:szCs w:val="18"/>
                <w:lang w:eastAsia="sk-SK"/>
              </w:rPr>
            </w:pPr>
            <w:r w:rsidRPr="00113ACD">
              <w:rPr>
                <w:rFonts w:eastAsia="Times New Roman" w:cs="Segoe UI"/>
                <w:sz w:val="18"/>
                <w:szCs w:val="18"/>
                <w:lang w:eastAsia="sk-SK"/>
              </w:rPr>
              <w:t>260,50</w:t>
            </w:r>
          </w:p>
        </w:tc>
        <w:tc>
          <w:tcPr>
            <w:tcW w:w="591" w:type="pct"/>
            <w:tcBorders>
              <w:top w:val="nil"/>
              <w:left w:val="nil"/>
              <w:bottom w:val="nil"/>
              <w:right w:val="nil"/>
            </w:tcBorders>
            <w:shd w:val="clear" w:color="auto" w:fill="auto"/>
            <w:noWrap/>
            <w:vAlign w:val="center"/>
            <w:hideMark/>
          </w:tcPr>
          <w:p w14:paraId="04F686B0" w14:textId="77777777" w:rsidR="008E0E12" w:rsidRPr="00113ACD" w:rsidRDefault="008E0E12" w:rsidP="003B1D74">
            <w:pPr>
              <w:spacing w:after="0" w:line="240" w:lineRule="auto"/>
              <w:jc w:val="right"/>
              <w:rPr>
                <w:rFonts w:eastAsia="Times New Roman" w:cs="Segoe UI"/>
                <w:sz w:val="18"/>
                <w:szCs w:val="18"/>
                <w:lang w:eastAsia="sk-SK"/>
              </w:rPr>
            </w:pPr>
            <w:r w:rsidRPr="00113ACD">
              <w:rPr>
                <w:rFonts w:eastAsia="Times New Roman" w:cs="Segoe UI"/>
                <w:sz w:val="18"/>
                <w:szCs w:val="18"/>
                <w:lang w:eastAsia="sk-SK"/>
              </w:rPr>
              <w:t>863,40</w:t>
            </w:r>
          </w:p>
        </w:tc>
        <w:tc>
          <w:tcPr>
            <w:tcW w:w="718" w:type="pct"/>
            <w:tcBorders>
              <w:top w:val="nil"/>
              <w:left w:val="nil"/>
              <w:bottom w:val="nil"/>
              <w:right w:val="nil"/>
            </w:tcBorders>
            <w:shd w:val="clear" w:color="auto" w:fill="auto"/>
            <w:noWrap/>
            <w:vAlign w:val="center"/>
            <w:hideMark/>
          </w:tcPr>
          <w:p w14:paraId="0099D1AD" w14:textId="77777777" w:rsidR="008E0E12" w:rsidRPr="00113ACD" w:rsidRDefault="008E0E12" w:rsidP="003B1D74">
            <w:pPr>
              <w:spacing w:after="0" w:line="240" w:lineRule="auto"/>
              <w:jc w:val="right"/>
              <w:rPr>
                <w:rFonts w:eastAsia="Times New Roman" w:cs="Segoe UI"/>
                <w:sz w:val="18"/>
                <w:szCs w:val="18"/>
                <w:lang w:eastAsia="sk-SK"/>
              </w:rPr>
            </w:pPr>
            <w:r w:rsidRPr="00113ACD">
              <w:rPr>
                <w:rFonts w:eastAsia="Times New Roman" w:cs="Segoe UI"/>
                <w:sz w:val="18"/>
                <w:szCs w:val="18"/>
                <w:lang w:eastAsia="sk-SK"/>
              </w:rPr>
              <w:t>21,6</w:t>
            </w:r>
          </w:p>
        </w:tc>
      </w:tr>
      <w:tr w:rsidR="008E0E12" w:rsidRPr="006E084F" w14:paraId="31992266" w14:textId="77777777" w:rsidTr="003B1D74">
        <w:trPr>
          <w:trHeight w:val="283"/>
        </w:trPr>
        <w:tc>
          <w:tcPr>
            <w:tcW w:w="772" w:type="pct"/>
            <w:tcBorders>
              <w:top w:val="nil"/>
              <w:left w:val="nil"/>
              <w:bottom w:val="single" w:sz="4" w:space="0" w:color="auto"/>
              <w:right w:val="nil"/>
            </w:tcBorders>
            <w:shd w:val="clear" w:color="auto" w:fill="auto"/>
            <w:vAlign w:val="center"/>
            <w:hideMark/>
          </w:tcPr>
          <w:p w14:paraId="2C1E6D61" w14:textId="77777777" w:rsidR="008E0E12" w:rsidRPr="00113ACD" w:rsidRDefault="008E0E12" w:rsidP="003B1D74">
            <w:pPr>
              <w:spacing w:after="0" w:line="240" w:lineRule="auto"/>
              <w:jc w:val="left"/>
              <w:rPr>
                <w:rFonts w:eastAsia="Times New Roman" w:cs="Segoe UI"/>
                <w:b/>
                <w:bCs/>
                <w:sz w:val="18"/>
                <w:szCs w:val="18"/>
                <w:lang w:eastAsia="sk-SK"/>
              </w:rPr>
            </w:pPr>
            <w:r w:rsidRPr="00113ACD">
              <w:rPr>
                <w:rFonts w:eastAsia="Times New Roman" w:cs="Segoe UI"/>
                <w:b/>
                <w:bCs/>
                <w:sz w:val="18"/>
                <w:szCs w:val="18"/>
                <w:lang w:eastAsia="sk-SK"/>
              </w:rPr>
              <w:t>SPOLU</w:t>
            </w:r>
          </w:p>
        </w:tc>
        <w:tc>
          <w:tcPr>
            <w:tcW w:w="592" w:type="pct"/>
            <w:tcBorders>
              <w:top w:val="nil"/>
              <w:left w:val="nil"/>
              <w:bottom w:val="single" w:sz="4" w:space="0" w:color="auto"/>
              <w:right w:val="nil"/>
            </w:tcBorders>
          </w:tcPr>
          <w:p w14:paraId="2656DA2D" w14:textId="77777777" w:rsidR="008E0E12" w:rsidRPr="00113ACD" w:rsidRDefault="008E0E12" w:rsidP="003B1D74">
            <w:pPr>
              <w:spacing w:after="0" w:line="240" w:lineRule="auto"/>
              <w:jc w:val="right"/>
              <w:rPr>
                <w:rFonts w:eastAsia="Times New Roman" w:cs="Segoe UI"/>
                <w:b/>
                <w:sz w:val="18"/>
                <w:szCs w:val="18"/>
                <w:lang w:eastAsia="sk-SK"/>
              </w:rPr>
            </w:pPr>
            <w:r w:rsidRPr="00113ACD">
              <w:rPr>
                <w:rFonts w:eastAsia="Times New Roman" w:cs="Segoe UI"/>
                <w:b/>
                <w:sz w:val="18"/>
                <w:szCs w:val="18"/>
                <w:lang w:eastAsia="sk-SK"/>
              </w:rPr>
              <w:t>6,07</w:t>
            </w:r>
          </w:p>
        </w:tc>
        <w:tc>
          <w:tcPr>
            <w:tcW w:w="591" w:type="pct"/>
            <w:tcBorders>
              <w:top w:val="nil"/>
              <w:left w:val="nil"/>
              <w:bottom w:val="single" w:sz="4" w:space="0" w:color="auto"/>
              <w:right w:val="nil"/>
            </w:tcBorders>
            <w:shd w:val="clear" w:color="auto" w:fill="auto"/>
            <w:noWrap/>
            <w:vAlign w:val="center"/>
            <w:hideMark/>
          </w:tcPr>
          <w:p w14:paraId="6CFCA774" w14:textId="77777777" w:rsidR="008E0E12" w:rsidRPr="00113ACD" w:rsidRDefault="008E0E12" w:rsidP="003B1D74">
            <w:pPr>
              <w:spacing w:after="0" w:line="240" w:lineRule="auto"/>
              <w:jc w:val="right"/>
              <w:rPr>
                <w:rFonts w:eastAsia="Times New Roman" w:cs="Segoe UI"/>
                <w:b/>
                <w:sz w:val="18"/>
                <w:szCs w:val="18"/>
                <w:lang w:eastAsia="sk-SK"/>
              </w:rPr>
            </w:pPr>
            <w:r w:rsidRPr="00113ACD">
              <w:rPr>
                <w:rFonts w:eastAsia="Times New Roman" w:cs="Segoe UI"/>
                <w:b/>
                <w:sz w:val="18"/>
                <w:szCs w:val="18"/>
                <w:lang w:eastAsia="sk-SK"/>
              </w:rPr>
              <w:t>1 301,97</w:t>
            </w:r>
          </w:p>
        </w:tc>
        <w:tc>
          <w:tcPr>
            <w:tcW w:w="573" w:type="pct"/>
            <w:tcBorders>
              <w:top w:val="nil"/>
              <w:left w:val="nil"/>
              <w:bottom w:val="single" w:sz="4" w:space="0" w:color="auto"/>
              <w:right w:val="nil"/>
            </w:tcBorders>
            <w:shd w:val="clear" w:color="auto" w:fill="auto"/>
            <w:noWrap/>
            <w:vAlign w:val="center"/>
            <w:hideMark/>
          </w:tcPr>
          <w:p w14:paraId="33B1110E" w14:textId="77777777" w:rsidR="008E0E12" w:rsidRPr="00113ACD" w:rsidRDefault="008E0E12" w:rsidP="003B1D74">
            <w:pPr>
              <w:spacing w:after="0" w:line="240" w:lineRule="auto"/>
              <w:jc w:val="right"/>
              <w:rPr>
                <w:rFonts w:eastAsia="Times New Roman" w:cs="Segoe UI"/>
                <w:b/>
                <w:sz w:val="18"/>
                <w:szCs w:val="18"/>
                <w:lang w:eastAsia="sk-SK"/>
              </w:rPr>
            </w:pPr>
            <w:r w:rsidRPr="00113ACD">
              <w:rPr>
                <w:rFonts w:eastAsia="Times New Roman" w:cs="Segoe UI"/>
                <w:b/>
                <w:sz w:val="18"/>
                <w:szCs w:val="18"/>
                <w:lang w:eastAsia="sk-SK"/>
              </w:rPr>
              <w:t>48,97</w:t>
            </w:r>
          </w:p>
        </w:tc>
        <w:tc>
          <w:tcPr>
            <w:tcW w:w="591" w:type="pct"/>
            <w:tcBorders>
              <w:top w:val="nil"/>
              <w:left w:val="nil"/>
              <w:bottom w:val="single" w:sz="4" w:space="0" w:color="auto"/>
              <w:right w:val="nil"/>
            </w:tcBorders>
            <w:shd w:val="clear" w:color="auto" w:fill="auto"/>
            <w:noWrap/>
            <w:vAlign w:val="center"/>
            <w:hideMark/>
          </w:tcPr>
          <w:p w14:paraId="2AE8045A" w14:textId="77777777" w:rsidR="008E0E12" w:rsidRPr="00113ACD" w:rsidRDefault="008E0E12" w:rsidP="003B1D74">
            <w:pPr>
              <w:spacing w:after="0" w:line="240" w:lineRule="auto"/>
              <w:jc w:val="right"/>
              <w:rPr>
                <w:rFonts w:eastAsia="Times New Roman" w:cs="Segoe UI"/>
                <w:b/>
                <w:sz w:val="18"/>
                <w:szCs w:val="18"/>
                <w:lang w:eastAsia="sk-SK"/>
              </w:rPr>
            </w:pPr>
            <w:r w:rsidRPr="00113ACD">
              <w:rPr>
                <w:rFonts w:eastAsia="Times New Roman" w:cs="Segoe UI"/>
                <w:b/>
                <w:sz w:val="18"/>
                <w:szCs w:val="18"/>
                <w:lang w:eastAsia="sk-SK"/>
              </w:rPr>
              <w:t>2 011,25</w:t>
            </w:r>
          </w:p>
        </w:tc>
        <w:tc>
          <w:tcPr>
            <w:tcW w:w="573" w:type="pct"/>
            <w:tcBorders>
              <w:top w:val="nil"/>
              <w:left w:val="nil"/>
              <w:bottom w:val="single" w:sz="4" w:space="0" w:color="auto"/>
              <w:right w:val="nil"/>
            </w:tcBorders>
            <w:shd w:val="clear" w:color="auto" w:fill="auto"/>
            <w:noWrap/>
            <w:vAlign w:val="center"/>
            <w:hideMark/>
          </w:tcPr>
          <w:p w14:paraId="21FBC85D" w14:textId="77777777" w:rsidR="008E0E12" w:rsidRPr="00113ACD" w:rsidRDefault="008E0E12" w:rsidP="003B1D74">
            <w:pPr>
              <w:spacing w:after="0" w:line="240" w:lineRule="auto"/>
              <w:jc w:val="right"/>
              <w:rPr>
                <w:rFonts w:eastAsia="Times New Roman" w:cs="Segoe UI"/>
                <w:b/>
                <w:sz w:val="18"/>
                <w:szCs w:val="18"/>
                <w:lang w:eastAsia="sk-SK"/>
              </w:rPr>
            </w:pPr>
            <w:r w:rsidRPr="00113ACD">
              <w:rPr>
                <w:rFonts w:eastAsia="Times New Roman" w:cs="Segoe UI"/>
                <w:b/>
                <w:sz w:val="18"/>
                <w:szCs w:val="18"/>
                <w:lang w:eastAsia="sk-SK"/>
              </w:rPr>
              <w:t>374,17</w:t>
            </w:r>
          </w:p>
        </w:tc>
        <w:tc>
          <w:tcPr>
            <w:tcW w:w="591" w:type="pct"/>
            <w:tcBorders>
              <w:top w:val="nil"/>
              <w:left w:val="nil"/>
              <w:bottom w:val="single" w:sz="4" w:space="0" w:color="auto"/>
              <w:right w:val="nil"/>
            </w:tcBorders>
            <w:shd w:val="clear" w:color="auto" w:fill="auto"/>
            <w:noWrap/>
            <w:vAlign w:val="center"/>
            <w:hideMark/>
          </w:tcPr>
          <w:p w14:paraId="53425F31" w14:textId="77777777" w:rsidR="008E0E12" w:rsidRPr="00113ACD" w:rsidRDefault="008E0E12" w:rsidP="003B1D74">
            <w:pPr>
              <w:spacing w:after="0" w:line="240" w:lineRule="auto"/>
              <w:jc w:val="right"/>
              <w:rPr>
                <w:rFonts w:eastAsia="Times New Roman" w:cs="Segoe UI"/>
                <w:b/>
                <w:sz w:val="18"/>
                <w:szCs w:val="18"/>
                <w:lang w:eastAsia="sk-SK"/>
              </w:rPr>
            </w:pPr>
            <w:r w:rsidRPr="00113ACD">
              <w:rPr>
                <w:rFonts w:eastAsia="Times New Roman" w:cs="Segoe UI"/>
                <w:b/>
                <w:sz w:val="18"/>
                <w:szCs w:val="18"/>
                <w:lang w:eastAsia="sk-SK"/>
              </w:rPr>
              <w:t>1 215,40</w:t>
            </w:r>
          </w:p>
        </w:tc>
        <w:tc>
          <w:tcPr>
            <w:tcW w:w="718" w:type="pct"/>
            <w:tcBorders>
              <w:top w:val="nil"/>
              <w:left w:val="nil"/>
              <w:bottom w:val="single" w:sz="4" w:space="0" w:color="auto"/>
              <w:right w:val="nil"/>
            </w:tcBorders>
            <w:shd w:val="clear" w:color="auto" w:fill="auto"/>
            <w:noWrap/>
            <w:vAlign w:val="center"/>
            <w:hideMark/>
          </w:tcPr>
          <w:p w14:paraId="344AB89D" w14:textId="77777777" w:rsidR="008E0E12" w:rsidRPr="00113ACD" w:rsidRDefault="008E0E12" w:rsidP="003B1D74">
            <w:pPr>
              <w:spacing w:after="0" w:line="240" w:lineRule="auto"/>
              <w:jc w:val="right"/>
              <w:rPr>
                <w:rFonts w:eastAsia="Times New Roman" w:cs="Segoe UI"/>
                <w:b/>
                <w:sz w:val="18"/>
                <w:szCs w:val="18"/>
                <w:lang w:eastAsia="sk-SK"/>
              </w:rPr>
            </w:pPr>
            <w:r w:rsidRPr="00113ACD">
              <w:rPr>
                <w:rFonts w:eastAsia="Times New Roman" w:cs="Segoe UI"/>
                <w:b/>
                <w:sz w:val="18"/>
                <w:szCs w:val="18"/>
                <w:lang w:eastAsia="sk-SK"/>
              </w:rPr>
              <w:t>44,14</w:t>
            </w:r>
          </w:p>
        </w:tc>
      </w:tr>
    </w:tbl>
    <w:p w14:paraId="5AC961D8" w14:textId="77777777" w:rsidR="008E0E12" w:rsidRPr="00615238" w:rsidRDefault="008E0E12" w:rsidP="008E0E12">
      <w:pPr>
        <w:pStyle w:val="Zdroj"/>
        <w:rPr>
          <w:rFonts w:cs="Segoe UI"/>
          <w:b/>
          <w:szCs w:val="20"/>
        </w:rPr>
      </w:pPr>
      <w:r w:rsidRPr="00615238">
        <w:t>Zdroj: RIS, *čerpanie 2024 je k 31. 3. 2024</w:t>
      </w:r>
    </w:p>
    <w:p w14:paraId="7ABB7D8C" w14:textId="77777777" w:rsidR="008E0E12" w:rsidRDefault="008E0E12" w:rsidP="008E0E12">
      <w:pPr>
        <w:rPr>
          <w:b/>
          <w:color w:val="314364" w:themeColor="text2"/>
        </w:rPr>
      </w:pPr>
      <w:r w:rsidRPr="00426286">
        <w:rPr>
          <w:rFonts w:cs="Segoe UI"/>
          <w:b/>
          <w:szCs w:val="20"/>
        </w:rPr>
        <w:t>Ku koncu roka 2023 sa vyčerpalo 18,6 % z rozpočtovanej sumy na rok 2023 (2 mld. eur)</w:t>
      </w:r>
      <w:r w:rsidRPr="00426286">
        <w:rPr>
          <w:rFonts w:cs="Segoe UI"/>
          <w:szCs w:val="20"/>
        </w:rPr>
        <w:t xml:space="preserve"> (graf 1</w:t>
      </w:r>
      <w:r>
        <w:rPr>
          <w:rFonts w:cs="Segoe UI"/>
          <w:szCs w:val="20"/>
        </w:rPr>
        <w:t>7</w:t>
      </w:r>
      <w:r w:rsidRPr="00426286">
        <w:rPr>
          <w:rFonts w:cs="Segoe UI"/>
          <w:szCs w:val="20"/>
        </w:rPr>
        <w:t>)</w:t>
      </w:r>
      <w:r w:rsidRPr="00F610FC">
        <w:rPr>
          <w:rFonts w:cs="Segoe UI"/>
          <w:b/>
          <w:szCs w:val="20"/>
        </w:rPr>
        <w:t xml:space="preserve">. </w:t>
      </w:r>
      <w:r w:rsidRPr="00426286">
        <w:rPr>
          <w:rFonts w:cs="Segoe UI"/>
          <w:szCs w:val="20"/>
        </w:rPr>
        <w:t xml:space="preserve"> Z  rozpočtovaných výdavkov sa vyčerpalo 374,2 mil. eur, s čím súvisia výdavky na platbu DPH na úrovni 15,7 mil. eur. Bežné výdavky boli čerpané vo výške 113,7 mil. eur a kapitálové výdavky predstavovali 260,5 mil. eur.</w:t>
      </w:r>
    </w:p>
    <w:p w14:paraId="498F7E15" w14:textId="77777777" w:rsidR="0029006B" w:rsidRDefault="0029006B" w:rsidP="0029006B">
      <w:pPr>
        <w:pStyle w:val="Popis"/>
        <w:keepNext/>
      </w:pPr>
      <w:r>
        <w:lastRenderedPageBreak/>
        <w:t xml:space="preserve">Graf 17: </w:t>
      </w:r>
      <w:r w:rsidRPr="00B72BF1">
        <w:t xml:space="preserve">Rozpočtovaná a čerpaná suma v rámci POO </w:t>
      </w:r>
      <w:r>
        <w:t>za rok 2023</w:t>
      </w:r>
      <w:r w:rsidRPr="00B72BF1">
        <w:t xml:space="preserve"> podľa kapitol</w:t>
      </w:r>
      <w:r>
        <w:t xml:space="preserve"> (v mil. eur)</w:t>
      </w:r>
    </w:p>
    <w:tbl>
      <w:tblPr>
        <w:tblStyle w:val="Mriekatabuky"/>
        <w:tblW w:w="9009" w:type="dxa"/>
        <w:tblCellMar>
          <w:left w:w="70" w:type="dxa"/>
          <w:right w:w="70" w:type="dxa"/>
        </w:tblCellMar>
        <w:tblLook w:val="04A0" w:firstRow="1" w:lastRow="0" w:firstColumn="1" w:lastColumn="0" w:noHBand="0" w:noVBand="1"/>
      </w:tblPr>
      <w:tblGrid>
        <w:gridCol w:w="9020"/>
      </w:tblGrid>
      <w:tr w:rsidR="0029006B" w:rsidRPr="00AB0BCB" w14:paraId="0466F389" w14:textId="77777777" w:rsidTr="00A81877">
        <w:trPr>
          <w:trHeight w:val="622"/>
        </w:trPr>
        <w:tc>
          <w:tcPr>
            <w:tcW w:w="9009" w:type="dxa"/>
            <w:tcBorders>
              <w:top w:val="single" w:sz="4" w:space="0" w:color="314364" w:themeColor="text2"/>
              <w:left w:val="nil"/>
              <w:bottom w:val="single" w:sz="4" w:space="0" w:color="314364" w:themeColor="text2"/>
              <w:right w:val="nil"/>
            </w:tcBorders>
          </w:tcPr>
          <w:p w14:paraId="20E4CBB0" w14:textId="77777777" w:rsidR="0029006B" w:rsidRPr="00AB0BCB" w:rsidRDefault="0029006B" w:rsidP="00A81877">
            <w:pPr>
              <w:spacing w:after="0"/>
              <w:rPr>
                <w:color w:val="314364" w:themeColor="text2"/>
              </w:rPr>
            </w:pPr>
            <w:r>
              <w:rPr>
                <w:noProof/>
                <w:lang w:eastAsia="sk-SK"/>
              </w:rPr>
              <w:drawing>
                <wp:inline distT="0" distB="0" distL="0" distR="0" wp14:anchorId="2890D7C6" wp14:editId="57B2A15E">
                  <wp:extent cx="5632450" cy="2178050"/>
                  <wp:effectExtent l="0" t="0" r="6350" b="0"/>
                  <wp:docPr id="41" name="Graf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tc>
      </w:tr>
    </w:tbl>
    <w:p w14:paraId="7C998504" w14:textId="667A4975" w:rsidR="0029006B" w:rsidRDefault="0029006B" w:rsidP="0029006B">
      <w:pPr>
        <w:pStyle w:val="Zdroj"/>
      </w:pPr>
      <w:r w:rsidRPr="00AB0BCB">
        <w:t>Zdroj: RIS</w:t>
      </w:r>
      <w:r>
        <w:t>.</w:t>
      </w:r>
    </w:p>
    <w:p w14:paraId="25C94E6C" w14:textId="332B17EC" w:rsidR="00B169D7" w:rsidRPr="00F71225" w:rsidRDefault="00B169D7" w:rsidP="00B169D7">
      <w:r w:rsidRPr="00147452">
        <w:rPr>
          <w:b/>
        </w:rPr>
        <w:t>POO na úrovni EÚ je vo forme grantu a/alebo pôžičky, pričom na Slovensku pozostáva len z grantovej časti</w:t>
      </w:r>
      <w:r>
        <w:rPr>
          <w:b/>
        </w:rPr>
        <w:t xml:space="preserve"> a tieto zdroje možno čerpať do roku 2026</w:t>
      </w:r>
      <w:r w:rsidRPr="00147452">
        <w:rPr>
          <w:b/>
        </w:rPr>
        <w:t>.</w:t>
      </w:r>
      <w:r w:rsidRPr="00147452">
        <w:t xml:space="preserve"> Finančné prostriedky sú z EK prevedené na účet Národnej implementačnej a koordinačnej autority (NIKA), vedený v Štátnej pokladnici. Tieto prostriedky sa zaraďujú pri čerpaní do príjmov ŠR po prevode na účet kapitoly VPS, čo zlepšuje likviditu a umožňuje efektívnejšie riadenie dlhu a likvidity VS. Alokácia na projekty POO sa rozpočtuje v prvom roku a nie až pri plnení míľnikov a cieľov, čím vznikajú rozdiely medzi rozpočtovanými a skutočnými výdavkami.</w:t>
      </w:r>
    </w:p>
    <w:p w14:paraId="0DB052EE" w14:textId="77777777" w:rsidR="008E0E12" w:rsidRDefault="008E0E12" w:rsidP="008E0E12">
      <w:pPr>
        <w:pStyle w:val="Popis"/>
        <w:keepNext/>
      </w:pPr>
      <w:r>
        <w:t xml:space="preserve">Graf 18: </w:t>
      </w:r>
      <w:r w:rsidRPr="00310005">
        <w:t>Prehľad rozpočtovanej a čerpanej sumy v rámci POO v rokoch 2022 – 2024*</w:t>
      </w:r>
      <w:r>
        <w:t xml:space="preserve"> (v mil. eur)</w:t>
      </w:r>
    </w:p>
    <w:tbl>
      <w:tblPr>
        <w:tblStyle w:val="Mriekatabuky"/>
        <w:tblW w:w="0" w:type="auto"/>
        <w:tblLook w:val="04A0" w:firstRow="1" w:lastRow="0" w:firstColumn="1" w:lastColumn="0" w:noHBand="0" w:noVBand="1"/>
      </w:tblPr>
      <w:tblGrid>
        <w:gridCol w:w="9070"/>
      </w:tblGrid>
      <w:tr w:rsidR="008E0E12" w14:paraId="4206E552" w14:textId="77777777" w:rsidTr="003B1D74">
        <w:trPr>
          <w:trHeight w:val="3402"/>
        </w:trPr>
        <w:tc>
          <w:tcPr>
            <w:tcW w:w="9628" w:type="dxa"/>
            <w:tcBorders>
              <w:top w:val="single" w:sz="4" w:space="0" w:color="314364" w:themeColor="text2"/>
              <w:left w:val="nil"/>
              <w:bottom w:val="single" w:sz="4" w:space="0" w:color="314364" w:themeColor="text2"/>
              <w:right w:val="nil"/>
            </w:tcBorders>
          </w:tcPr>
          <w:p w14:paraId="406A1DD2" w14:textId="77777777" w:rsidR="008E0E12" w:rsidRDefault="008E0E12" w:rsidP="003B1D74">
            <w:pPr>
              <w:spacing w:after="0"/>
            </w:pPr>
            <w:r>
              <w:rPr>
                <w:noProof/>
                <w:lang w:eastAsia="sk-SK"/>
              </w:rPr>
              <w:drawing>
                <wp:inline distT="0" distB="0" distL="0" distR="0" wp14:anchorId="3BBE7975" wp14:editId="15464643">
                  <wp:extent cx="5679440" cy="2110740"/>
                  <wp:effectExtent l="0" t="0" r="0" b="3810"/>
                  <wp:docPr id="51" name="Graf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c>
      </w:tr>
    </w:tbl>
    <w:p w14:paraId="1D984113" w14:textId="461073FC" w:rsidR="008E0E12" w:rsidRPr="00160D77" w:rsidRDefault="008E0E12" w:rsidP="008E0E12">
      <w:pPr>
        <w:rPr>
          <w:b/>
          <w:color w:val="314364" w:themeColor="text2"/>
        </w:rPr>
      </w:pPr>
      <w:r>
        <w:rPr>
          <w:i/>
          <w:color w:val="314364" w:themeColor="text2"/>
          <w:sz w:val="16"/>
          <w:szCs w:val="16"/>
        </w:rPr>
        <w:t xml:space="preserve">Zdroj: </w:t>
      </w:r>
      <w:r w:rsidRPr="00AB0BCB">
        <w:rPr>
          <w:i/>
          <w:color w:val="314364" w:themeColor="text2"/>
          <w:sz w:val="16"/>
          <w:szCs w:val="16"/>
        </w:rPr>
        <w:t>RIS</w:t>
      </w:r>
      <w:r w:rsidR="0029006B">
        <w:rPr>
          <w:i/>
          <w:color w:val="314364" w:themeColor="text2"/>
          <w:sz w:val="16"/>
          <w:szCs w:val="16"/>
        </w:rPr>
        <w:t>.</w:t>
      </w:r>
      <w:r>
        <w:rPr>
          <w:i/>
          <w:color w:val="314364" w:themeColor="text2"/>
          <w:sz w:val="16"/>
          <w:szCs w:val="16"/>
        </w:rPr>
        <w:t xml:space="preserve"> </w:t>
      </w:r>
      <w:r w:rsidRPr="00AB0BCB">
        <w:rPr>
          <w:i/>
          <w:color w:val="314364" w:themeColor="text2"/>
          <w:sz w:val="16"/>
          <w:szCs w:val="16"/>
        </w:rPr>
        <w:t>*čerpanie v roku 2024 je k 30. 4. 2024</w:t>
      </w:r>
      <w:r w:rsidR="0029006B">
        <w:rPr>
          <w:i/>
          <w:color w:val="314364" w:themeColor="text2"/>
          <w:sz w:val="16"/>
          <w:szCs w:val="16"/>
        </w:rPr>
        <w:t>.</w:t>
      </w:r>
    </w:p>
    <w:p w14:paraId="643EE6D2" w14:textId="77777777" w:rsidR="008E0E12" w:rsidRDefault="008E0E12" w:rsidP="008E0E12">
      <w:pPr>
        <w:rPr>
          <w:rFonts w:cs="Segoe UI"/>
          <w:szCs w:val="20"/>
        </w:rPr>
      </w:pPr>
      <w:r w:rsidRPr="00426286">
        <w:rPr>
          <w:rFonts w:cs="Segoe UI"/>
          <w:b/>
          <w:szCs w:val="20"/>
        </w:rPr>
        <w:t>V rámci jednotlivých kapitol v roku 2023 z POO najviac vyčerpalo MŽP SR (193 mil. eur)</w:t>
      </w:r>
      <w:r w:rsidRPr="00426286">
        <w:rPr>
          <w:rFonts w:cs="Segoe UI"/>
          <w:szCs w:val="20"/>
        </w:rPr>
        <w:t xml:space="preserve"> (box </w:t>
      </w:r>
      <w:r>
        <w:rPr>
          <w:rFonts w:cs="Segoe UI"/>
          <w:szCs w:val="20"/>
        </w:rPr>
        <w:t>6</w:t>
      </w:r>
      <w:r w:rsidRPr="00426286">
        <w:rPr>
          <w:rFonts w:cs="Segoe UI"/>
          <w:szCs w:val="20"/>
        </w:rPr>
        <w:t>)</w:t>
      </w:r>
      <w:r w:rsidRPr="00F610FC">
        <w:rPr>
          <w:rFonts w:cs="Segoe UI"/>
          <w:b/>
          <w:szCs w:val="20"/>
        </w:rPr>
        <w:t>.</w:t>
      </w:r>
      <w:r w:rsidRPr="00426286">
        <w:rPr>
          <w:rFonts w:cs="Segoe UI"/>
          <w:b/>
          <w:szCs w:val="20"/>
        </w:rPr>
        <w:t xml:space="preserve"> </w:t>
      </w:r>
      <w:r w:rsidRPr="00426286">
        <w:rPr>
          <w:rFonts w:cs="Segoe UI"/>
          <w:szCs w:val="20"/>
        </w:rPr>
        <w:t>Medzi najväčšie výdavkové položky v roku 2023 patrili bežné výdavky právnickej osobe založenej štátom, obcou alebo VÚC (15,4 mil. eur), príspevkovej organizácii (15,4 mil. eur), verejnej vysokej škole (12,4</w:t>
      </w:r>
      <w:r>
        <w:rPr>
          <w:rFonts w:cs="Segoe UI"/>
          <w:szCs w:val="20"/>
        </w:rPr>
        <w:t xml:space="preserve"> mil. eur</w:t>
      </w:r>
      <w:r w:rsidRPr="00426286">
        <w:rPr>
          <w:rFonts w:cs="Segoe UI"/>
          <w:szCs w:val="20"/>
        </w:rPr>
        <w:t>) a tarifný plat, osobný plat, základný plat, funkčný plat, hodnostný plat, plat, vrátane ich náhrad (11,9 mil. eur). V rámci kapitálových výdavkov najväčšiu položku tvorili výdavky príspevkovej organizácii (187,2 mil. eur), nákup osobných automobilov v rezorte vnútra</w:t>
      </w:r>
      <w:r w:rsidRPr="00426286">
        <w:rPr>
          <w:rStyle w:val="Odkaznapoznmkupodiarou"/>
          <w:rFonts w:cs="Segoe UI"/>
          <w:szCs w:val="20"/>
        </w:rPr>
        <w:footnoteReference w:id="37"/>
      </w:r>
      <w:r w:rsidRPr="00426286">
        <w:rPr>
          <w:rFonts w:cs="Segoe UI"/>
          <w:szCs w:val="20"/>
        </w:rPr>
        <w:t xml:space="preserve"> (34,9 mil. eur) alebo výdavky do budov, </w:t>
      </w:r>
      <w:r w:rsidRPr="00426286">
        <w:rPr>
          <w:rFonts w:cs="Segoe UI"/>
          <w:szCs w:val="20"/>
        </w:rPr>
        <w:lastRenderedPageBreak/>
        <w:t>objektov alebo ich častí (17,7 mil. eur). Všetky nevyčerpané prostriedky sa presunú do nasledujúcich rokov</w:t>
      </w:r>
      <w:r w:rsidRPr="00426286">
        <w:rPr>
          <w:rStyle w:val="Odkaznapoznmkupodiarou"/>
          <w:rFonts w:cs="Segoe UI"/>
          <w:szCs w:val="20"/>
        </w:rPr>
        <w:footnoteReference w:id="38"/>
      </w:r>
      <w:r w:rsidRPr="00426286">
        <w:rPr>
          <w:rFonts w:cs="Segoe UI"/>
          <w:szCs w:val="20"/>
        </w:rPr>
        <w:t>.</w:t>
      </w:r>
    </w:p>
    <w:tbl>
      <w:tblPr>
        <w:tblStyle w:val="Mriekatabuky"/>
        <w:tblW w:w="0" w:type="auto"/>
        <w:tblBorders>
          <w:top w:val="single" w:sz="4" w:space="0" w:color="314364" w:themeColor="text2"/>
          <w:left w:val="single" w:sz="4" w:space="0" w:color="314364" w:themeColor="text2"/>
          <w:bottom w:val="single" w:sz="4" w:space="0" w:color="314364" w:themeColor="text2"/>
          <w:right w:val="single" w:sz="4" w:space="0" w:color="314364" w:themeColor="text2"/>
          <w:insideH w:val="none" w:sz="0" w:space="0" w:color="auto"/>
          <w:insideV w:val="none" w:sz="0" w:space="0" w:color="auto"/>
        </w:tblBorders>
        <w:shd w:val="clear" w:color="auto" w:fill="EBF0FB" w:themeFill="background2" w:themeFillTint="33"/>
        <w:tblLook w:val="04A0" w:firstRow="1" w:lastRow="0" w:firstColumn="1" w:lastColumn="0" w:noHBand="0" w:noVBand="1"/>
      </w:tblPr>
      <w:tblGrid>
        <w:gridCol w:w="9060"/>
      </w:tblGrid>
      <w:tr w:rsidR="008E0E12" w:rsidRPr="00AC3675" w14:paraId="26828C72" w14:textId="77777777" w:rsidTr="003B1D74">
        <w:tc>
          <w:tcPr>
            <w:tcW w:w="9060" w:type="dxa"/>
            <w:shd w:val="clear" w:color="auto" w:fill="EBF0FB" w:themeFill="background2" w:themeFillTint="33"/>
          </w:tcPr>
          <w:p w14:paraId="5C29E5D2" w14:textId="77777777" w:rsidR="008E0E12" w:rsidRPr="0047527E" w:rsidRDefault="008E0E12" w:rsidP="003B1D74">
            <w:pPr>
              <w:tabs>
                <w:tab w:val="left" w:pos="3024"/>
              </w:tabs>
              <w:rPr>
                <w:b/>
                <w:szCs w:val="18"/>
              </w:rPr>
            </w:pPr>
            <w:r>
              <w:rPr>
                <w:b/>
                <w:szCs w:val="18"/>
              </w:rPr>
              <w:t>BOX 6: Čerpanie f</w:t>
            </w:r>
            <w:r w:rsidRPr="0047527E">
              <w:rPr>
                <w:b/>
                <w:szCs w:val="18"/>
              </w:rPr>
              <w:t>ond</w:t>
            </w:r>
            <w:r>
              <w:rPr>
                <w:b/>
                <w:szCs w:val="18"/>
              </w:rPr>
              <w:t>ov</w:t>
            </w:r>
            <w:r w:rsidRPr="0047527E">
              <w:rPr>
                <w:b/>
                <w:szCs w:val="18"/>
              </w:rPr>
              <w:t xml:space="preserve"> </w:t>
            </w:r>
            <w:r>
              <w:rPr>
                <w:b/>
                <w:szCs w:val="18"/>
              </w:rPr>
              <w:t xml:space="preserve">EÚ </w:t>
            </w:r>
            <w:r w:rsidRPr="0047527E">
              <w:rPr>
                <w:b/>
                <w:szCs w:val="18"/>
              </w:rPr>
              <w:t>v kapitole MŽP SR</w:t>
            </w:r>
            <w:r>
              <w:rPr>
                <w:b/>
                <w:szCs w:val="18"/>
              </w:rPr>
              <w:t xml:space="preserve"> a zistenia NKÚ SR</w:t>
            </w:r>
          </w:p>
          <w:p w14:paraId="4E6299D5" w14:textId="3ADF8545" w:rsidR="008E0E12" w:rsidRPr="005B50AB" w:rsidRDefault="008E0E12" w:rsidP="003B1D74">
            <w:pPr>
              <w:tabs>
                <w:tab w:val="left" w:pos="3024"/>
              </w:tabs>
              <w:rPr>
                <w:sz w:val="18"/>
              </w:rPr>
            </w:pPr>
            <w:r w:rsidRPr="006C3690">
              <w:rPr>
                <w:b/>
                <w:sz w:val="18"/>
              </w:rPr>
              <w:t xml:space="preserve">V roku 2023 predstavovali zdroje EÚ významný objem krytia výdavkov v kapitole MŽP SR. </w:t>
            </w:r>
            <w:r w:rsidRPr="00B10C7E">
              <w:rPr>
                <w:sz w:val="18"/>
              </w:rPr>
              <w:t>Schválené výdavky 1 681 mil. eur</w:t>
            </w:r>
            <w:r>
              <w:rPr>
                <w:sz w:val="18"/>
              </w:rPr>
              <w:t xml:space="preserve"> boli</w:t>
            </w:r>
            <w:r w:rsidRPr="00B10C7E">
              <w:rPr>
                <w:sz w:val="18"/>
              </w:rPr>
              <w:t xml:space="preserve"> </w:t>
            </w:r>
            <w:r>
              <w:rPr>
                <w:sz w:val="18"/>
              </w:rPr>
              <w:t xml:space="preserve">upravené </w:t>
            </w:r>
            <w:r w:rsidRPr="00B10C7E">
              <w:rPr>
                <w:sz w:val="18"/>
              </w:rPr>
              <w:t xml:space="preserve">RO v priebehu roka na 856 mil. eur. </w:t>
            </w:r>
            <w:r>
              <w:rPr>
                <w:sz w:val="18"/>
              </w:rPr>
              <w:t>V skutočnosti sa vyčerpalo</w:t>
            </w:r>
            <w:r w:rsidRPr="00B10C7E">
              <w:rPr>
                <w:sz w:val="18"/>
              </w:rPr>
              <w:t xml:space="preserve"> 855 mil. eur. Rozpočtované výdavky kapitoly zo </w:t>
            </w:r>
            <w:r>
              <w:rPr>
                <w:sz w:val="18"/>
              </w:rPr>
              <w:t>ŠR</w:t>
            </w:r>
            <w:r w:rsidRPr="00B10C7E">
              <w:rPr>
                <w:sz w:val="18"/>
              </w:rPr>
              <w:t xml:space="preserve"> boli na úrovni 175 mil. eur (cca 26 %) a</w:t>
            </w:r>
            <w:r>
              <w:rPr>
                <w:sz w:val="18"/>
              </w:rPr>
              <w:t> </w:t>
            </w:r>
            <w:r w:rsidRPr="00B10C7E">
              <w:rPr>
                <w:sz w:val="18"/>
              </w:rPr>
              <w:t>zvyš</w:t>
            </w:r>
            <w:r>
              <w:rPr>
                <w:sz w:val="18"/>
              </w:rPr>
              <w:t>ných</w:t>
            </w:r>
            <w:r w:rsidRPr="00B10C7E">
              <w:rPr>
                <w:sz w:val="18"/>
              </w:rPr>
              <w:t xml:space="preserve"> približne 680 mil. eur (74 %</w:t>
            </w:r>
            <w:r>
              <w:rPr>
                <w:sz w:val="18"/>
              </w:rPr>
              <w:t>) tvorili</w:t>
            </w:r>
            <w:r w:rsidRPr="00B10C7E">
              <w:rPr>
                <w:sz w:val="18"/>
              </w:rPr>
              <w:t xml:space="preserve"> výdavky z EÚ. Najväčšiu časť predstavovali finančné prostriedky EÚ z predchádzajúcich období (cca 546 mil. eur), najmä z PO 2014 – 2020, predovšetkým Kohézneho fondu a Európskeho fondu regionálneho rozvoja, ktoré slúžili na dofinancovanie projektov. Z Kohézneho fondu smerovali finančné prostriedky (360 mil. eur) na projekty z</w:t>
            </w:r>
            <w:r w:rsidR="001E15F4">
              <w:rPr>
                <w:sz w:val="18"/>
              </w:rPr>
              <w:t> </w:t>
            </w:r>
            <w:r w:rsidRPr="00B10C7E">
              <w:rPr>
                <w:sz w:val="18"/>
              </w:rPr>
              <w:t>OP</w:t>
            </w:r>
            <w:r w:rsidR="001E15F4">
              <w:rPr>
                <w:sz w:val="18"/>
              </w:rPr>
              <w:t xml:space="preserve"> </w:t>
            </w:r>
            <w:r w:rsidRPr="00B10C7E">
              <w:rPr>
                <w:sz w:val="18"/>
              </w:rPr>
              <w:t>K</w:t>
            </w:r>
            <w:r w:rsidR="001E15F4">
              <w:rPr>
                <w:sz w:val="18"/>
              </w:rPr>
              <w:t>valita životného prostredia</w:t>
            </w:r>
            <w:r w:rsidRPr="00B10C7E">
              <w:rPr>
                <w:sz w:val="18"/>
              </w:rPr>
              <w:t xml:space="preserve"> 2014</w:t>
            </w:r>
            <w:r>
              <w:rPr>
                <w:sz w:val="18"/>
              </w:rPr>
              <w:t xml:space="preserve"> – </w:t>
            </w:r>
            <w:r w:rsidRPr="00B10C7E">
              <w:rPr>
                <w:sz w:val="18"/>
              </w:rPr>
              <w:t>2020, najmä pre P</w:t>
            </w:r>
            <w:r w:rsidR="001E15F4">
              <w:rPr>
                <w:sz w:val="18"/>
              </w:rPr>
              <w:t>rioritnú os</w:t>
            </w:r>
            <w:r w:rsidR="00B169D7">
              <w:rPr>
                <w:sz w:val="18"/>
              </w:rPr>
              <w:t xml:space="preserve"> </w:t>
            </w:r>
            <w:r w:rsidRPr="00B10C7E">
              <w:rPr>
                <w:sz w:val="18"/>
              </w:rPr>
              <w:t>1 Udržateľné využívanie prírodných zdrojov prostredníctvom rozvoja environmentálnej infraštruktúry a</w:t>
            </w:r>
            <w:r w:rsidR="00F610FC">
              <w:rPr>
                <w:sz w:val="18"/>
              </w:rPr>
              <w:t> Prioritnú os</w:t>
            </w:r>
            <w:r w:rsidRPr="00B10C7E">
              <w:rPr>
                <w:sz w:val="18"/>
              </w:rPr>
              <w:t xml:space="preserve"> 2 Adaptácia na nepriaznivé dôsledky zmeny klímy so zameraním na ochranu pred povodňami, </w:t>
            </w:r>
            <w:r>
              <w:rPr>
                <w:sz w:val="18"/>
              </w:rPr>
              <w:t>najmä</w:t>
            </w:r>
            <w:r w:rsidRPr="00B10C7E">
              <w:rPr>
                <w:sz w:val="18"/>
              </w:rPr>
              <w:t xml:space="preserve"> na projekty zamerané na nakladanie s odpadmi, ako aj s odpadovými vodami pri budovaní ČOV. Časť týchto financií (55 mil. eur) smerovala na projekty zamerané na ochranu prírody a krajiny a na znižovanie znečistenia (36 mil. eur). Približne 181 mil. eur bolo použitých z</w:t>
            </w:r>
            <w:r>
              <w:rPr>
                <w:sz w:val="18"/>
              </w:rPr>
              <w:t> </w:t>
            </w:r>
            <w:r w:rsidRPr="00B10C7E">
              <w:rPr>
                <w:sz w:val="18"/>
              </w:rPr>
              <w:t>Európskeho fondu regionálneho rozvoja, predovšetkým na projekty z</w:t>
            </w:r>
            <w:r w:rsidR="00F610FC">
              <w:rPr>
                <w:sz w:val="18"/>
              </w:rPr>
              <w:t> Prioritnej osi</w:t>
            </w:r>
            <w:r w:rsidRPr="00B10C7E">
              <w:rPr>
                <w:sz w:val="18"/>
              </w:rPr>
              <w:t xml:space="preserve"> 4 Energeticky efektívne nízkouhlíkové hospodárstvo vo všetkých sektoroch, zamerané najmä na zníženie energetickej náročnosti verejných budov, zvýšenie využívania</w:t>
            </w:r>
            <w:r w:rsidR="001E15F4">
              <w:rPr>
                <w:sz w:val="18"/>
              </w:rPr>
              <w:t xml:space="preserve"> obnoviteľných zdrojov energie</w:t>
            </w:r>
            <w:r w:rsidRPr="00B10C7E">
              <w:rPr>
                <w:sz w:val="18"/>
              </w:rPr>
              <w:t xml:space="preserve"> v podnikoch a pod. Z POO bolo v r</w:t>
            </w:r>
            <w:r>
              <w:rPr>
                <w:sz w:val="18"/>
              </w:rPr>
              <w:t>oku 2023 čerpaných približne 193</w:t>
            </w:r>
            <w:r w:rsidRPr="00B10C7E">
              <w:rPr>
                <w:sz w:val="18"/>
              </w:rPr>
              <w:t xml:space="preserve"> mil. eur. Najväčšia č</w:t>
            </w:r>
            <w:r>
              <w:rPr>
                <w:sz w:val="18"/>
              </w:rPr>
              <w:t>asť prostriedkov (187</w:t>
            </w:r>
            <w:r w:rsidRPr="00B10C7E">
              <w:rPr>
                <w:sz w:val="18"/>
              </w:rPr>
              <w:t xml:space="preserve"> mil. eur) bola použitá na projekty súvisiace s obnovou domov. V menšej miere na projekty ori</w:t>
            </w:r>
            <w:r>
              <w:rPr>
                <w:sz w:val="18"/>
              </w:rPr>
              <w:t>entované na ochranu</w:t>
            </w:r>
            <w:r w:rsidR="001E15F4">
              <w:rPr>
                <w:sz w:val="18"/>
              </w:rPr>
              <w:t xml:space="preserve"> životného prostredia</w:t>
            </w:r>
            <w:r>
              <w:rPr>
                <w:sz w:val="18"/>
              </w:rPr>
              <w:t xml:space="preserve"> (4,2</w:t>
            </w:r>
            <w:r w:rsidRPr="00B10C7E">
              <w:rPr>
                <w:sz w:val="18"/>
              </w:rPr>
              <w:t xml:space="preserve"> mil. eur), na ochranu pred povodňami (2,2 mil. eur) a iné.</w:t>
            </w:r>
          </w:p>
          <w:p w14:paraId="37B4537A" w14:textId="1CC8EB77" w:rsidR="008E0E12" w:rsidRPr="00EB4521" w:rsidRDefault="008E0E12" w:rsidP="003B1D74">
            <w:pPr>
              <w:tabs>
                <w:tab w:val="left" w:pos="3024"/>
              </w:tabs>
              <w:rPr>
                <w:sz w:val="18"/>
              </w:rPr>
            </w:pPr>
            <w:r w:rsidRPr="005B50AB">
              <w:rPr>
                <w:b/>
                <w:sz w:val="18"/>
              </w:rPr>
              <w:t>NKÚ SR upozorňuje na významné riziko nízkej</w:t>
            </w:r>
            <w:r w:rsidRPr="00572858">
              <w:rPr>
                <w:sz w:val="18"/>
              </w:rPr>
              <w:t xml:space="preserve"> </w:t>
            </w:r>
            <w:r w:rsidRPr="00113ACD">
              <w:rPr>
                <w:b/>
                <w:sz w:val="18"/>
              </w:rPr>
              <w:t>pr</w:t>
            </w:r>
            <w:r>
              <w:rPr>
                <w:b/>
                <w:sz w:val="18"/>
              </w:rPr>
              <w:t>i</w:t>
            </w:r>
            <w:r w:rsidRPr="00113ACD">
              <w:rPr>
                <w:b/>
                <w:sz w:val="18"/>
              </w:rPr>
              <w:t>pojiteľnosti domácností k verejnej kanalizácii</w:t>
            </w:r>
            <w:r w:rsidR="008F5946">
              <w:rPr>
                <w:b/>
                <w:sz w:val="18"/>
              </w:rPr>
              <w:t>.</w:t>
            </w:r>
            <w:r w:rsidRPr="00EB4521">
              <w:rPr>
                <w:sz w:val="18"/>
              </w:rPr>
              <w:t xml:space="preserve"> Podiel obyvateľov napojených na kanalizáciu v roku 202</w:t>
            </w:r>
            <w:r w:rsidR="004E3C13">
              <w:rPr>
                <w:sz w:val="18"/>
              </w:rPr>
              <w:t>2</w:t>
            </w:r>
            <w:r w:rsidRPr="00EB4521">
              <w:rPr>
                <w:sz w:val="18"/>
              </w:rPr>
              <w:t xml:space="preserve"> </w:t>
            </w:r>
            <w:r w:rsidR="009471FF">
              <w:rPr>
                <w:sz w:val="18"/>
              </w:rPr>
              <w:t xml:space="preserve">sa zvýšil len na 71 % zo 65,2 % v </w:t>
            </w:r>
            <w:r w:rsidRPr="00EB4521">
              <w:rPr>
                <w:sz w:val="18"/>
              </w:rPr>
              <w:t xml:space="preserve">roku 2015. </w:t>
            </w:r>
            <w:r>
              <w:rPr>
                <w:sz w:val="18"/>
              </w:rPr>
              <w:t>Z</w:t>
            </w:r>
            <w:r w:rsidRPr="003A4757">
              <w:rPr>
                <w:sz w:val="18"/>
              </w:rPr>
              <w:t>odpovedné štátne inštitúcie si dlhodobo neplnia záväzky pri projektoch odkanalizovania územných sídel a E</w:t>
            </w:r>
            <w:r>
              <w:rPr>
                <w:sz w:val="18"/>
              </w:rPr>
              <w:t xml:space="preserve">K </w:t>
            </w:r>
            <w:r w:rsidRPr="003A4757">
              <w:rPr>
                <w:sz w:val="18"/>
              </w:rPr>
              <w:t>už začala voči S</w:t>
            </w:r>
            <w:r>
              <w:rPr>
                <w:sz w:val="18"/>
              </w:rPr>
              <w:t>R</w:t>
            </w:r>
            <w:r w:rsidRPr="003A4757">
              <w:rPr>
                <w:sz w:val="18"/>
              </w:rPr>
              <w:t xml:space="preserve"> proces infringementu</w:t>
            </w:r>
            <w:r w:rsidRPr="00EB4521">
              <w:rPr>
                <w:sz w:val="18"/>
              </w:rPr>
              <w:t>.</w:t>
            </w:r>
            <w:r>
              <w:rPr>
                <w:rStyle w:val="Odkaznapoznmkupodiarou"/>
                <w:sz w:val="18"/>
              </w:rPr>
              <w:footnoteReference w:id="39"/>
            </w:r>
            <w:r w:rsidRPr="00EB4521">
              <w:rPr>
                <w:sz w:val="18"/>
              </w:rPr>
              <w:t xml:space="preserve"> Za obdobie približne 20 rokov sa v rámci S</w:t>
            </w:r>
            <w:r>
              <w:rPr>
                <w:sz w:val="18"/>
              </w:rPr>
              <w:t>R</w:t>
            </w:r>
            <w:r w:rsidRPr="00EB4521">
              <w:rPr>
                <w:sz w:val="18"/>
              </w:rPr>
              <w:t xml:space="preserve"> investovalo pri budovaní nových kanalizácií, vodovodov a </w:t>
            </w:r>
            <w:r>
              <w:rPr>
                <w:sz w:val="18"/>
              </w:rPr>
              <w:t>ČOV</w:t>
            </w:r>
            <w:r w:rsidRPr="00EB4521">
              <w:rPr>
                <w:sz w:val="18"/>
              </w:rPr>
              <w:t xml:space="preserve"> 1 668 mil. eur</w:t>
            </w:r>
            <w:r w:rsidR="00F659D2">
              <w:rPr>
                <w:sz w:val="18"/>
              </w:rPr>
              <w:t>,</w:t>
            </w:r>
            <w:r w:rsidRPr="00EB4521">
              <w:rPr>
                <w:sz w:val="18"/>
              </w:rPr>
              <w:t xml:space="preserve"> pričom výrazná časť tejto sumy bola vygenerovaná vďaka európskej finančnej pomoci. V rámci </w:t>
            </w:r>
            <w:r>
              <w:rPr>
                <w:sz w:val="18"/>
              </w:rPr>
              <w:t>P</w:t>
            </w:r>
            <w:r w:rsidRPr="00EB4521">
              <w:rPr>
                <w:sz w:val="18"/>
              </w:rPr>
              <w:t xml:space="preserve">rogramu Slovensko je alokovaných ďalších 668 mil. eur, </w:t>
            </w:r>
            <w:r>
              <w:rPr>
                <w:sz w:val="18"/>
              </w:rPr>
              <w:t>ale</w:t>
            </w:r>
            <w:r w:rsidRPr="00EB4521">
              <w:rPr>
                <w:sz w:val="18"/>
              </w:rPr>
              <w:t xml:space="preserve"> </w:t>
            </w:r>
            <w:r>
              <w:rPr>
                <w:sz w:val="18"/>
              </w:rPr>
              <w:t>POO</w:t>
            </w:r>
            <w:r w:rsidRPr="00EB4521">
              <w:rPr>
                <w:sz w:val="18"/>
              </w:rPr>
              <w:t xml:space="preserve"> projekty vodáre</w:t>
            </w:r>
            <w:r w:rsidR="00F659D2">
              <w:rPr>
                <w:sz w:val="18"/>
              </w:rPr>
              <w:t>nskej infraštruktúry nepokrýva.</w:t>
            </w:r>
          </w:p>
          <w:p w14:paraId="1BF333A8" w14:textId="5D3A43BE" w:rsidR="008E0E12" w:rsidRPr="00EB4521" w:rsidRDefault="008E0E12" w:rsidP="003B1D74">
            <w:pPr>
              <w:tabs>
                <w:tab w:val="left" w:pos="3024"/>
              </w:tabs>
              <w:rPr>
                <w:sz w:val="18"/>
              </w:rPr>
            </w:pPr>
            <w:r w:rsidRPr="005B50AB">
              <w:rPr>
                <w:b/>
                <w:sz w:val="18"/>
              </w:rPr>
              <w:t>S</w:t>
            </w:r>
            <w:r>
              <w:rPr>
                <w:b/>
                <w:sz w:val="18"/>
              </w:rPr>
              <w:t>R</w:t>
            </w:r>
            <w:r w:rsidRPr="005B50AB">
              <w:rPr>
                <w:b/>
                <w:sz w:val="18"/>
              </w:rPr>
              <w:t xml:space="preserve"> vykazuje závažn</w:t>
            </w:r>
            <w:r>
              <w:rPr>
                <w:b/>
                <w:sz w:val="18"/>
              </w:rPr>
              <w:t>é</w:t>
            </w:r>
            <w:r w:rsidRPr="005B50AB">
              <w:rPr>
                <w:b/>
                <w:sz w:val="18"/>
              </w:rPr>
              <w:t xml:space="preserve"> nedostatky aj pri</w:t>
            </w:r>
            <w:r w:rsidRPr="00EB4521">
              <w:rPr>
                <w:sz w:val="18"/>
              </w:rPr>
              <w:t xml:space="preserve"> </w:t>
            </w:r>
            <w:r w:rsidRPr="00113ACD">
              <w:rPr>
                <w:b/>
                <w:sz w:val="18"/>
              </w:rPr>
              <w:t>odstraňovaní environmentálnych záťaž</w:t>
            </w:r>
            <w:r>
              <w:rPr>
                <w:b/>
                <w:sz w:val="18"/>
              </w:rPr>
              <w:t>í</w:t>
            </w:r>
            <w:r>
              <w:rPr>
                <w:sz w:val="18"/>
              </w:rPr>
              <w:t xml:space="preserve"> (EZ)</w:t>
            </w:r>
            <w:r w:rsidRPr="00F610FC">
              <w:rPr>
                <w:b/>
                <w:sz w:val="18"/>
              </w:rPr>
              <w:t>.</w:t>
            </w:r>
            <w:r w:rsidRPr="00EB4521">
              <w:rPr>
                <w:sz w:val="18"/>
              </w:rPr>
              <w:t xml:space="preserve"> NKÚ SR poukazuje na fakt, že </w:t>
            </w:r>
            <w:r w:rsidR="00F80593">
              <w:rPr>
                <w:sz w:val="18"/>
              </w:rPr>
              <w:t>v rokoch 2016 – 2021 sa podiel sanovaný</w:t>
            </w:r>
            <w:r w:rsidRPr="00EB4521">
              <w:rPr>
                <w:sz w:val="18"/>
              </w:rPr>
              <w:t xml:space="preserve">ch lokalít </w:t>
            </w:r>
            <w:r w:rsidR="00D47A29">
              <w:rPr>
                <w:sz w:val="18"/>
              </w:rPr>
              <w:t>k</w:t>
            </w:r>
            <w:r w:rsidRPr="00EB4521">
              <w:rPr>
                <w:sz w:val="18"/>
              </w:rPr>
              <w:t xml:space="preserve"> celkovo evidovaným envirozáťažiam </w:t>
            </w:r>
            <w:r w:rsidR="00F80593">
              <w:rPr>
                <w:sz w:val="18"/>
              </w:rPr>
              <w:t xml:space="preserve">na území SR </w:t>
            </w:r>
            <w:r w:rsidRPr="00EB4521">
              <w:rPr>
                <w:sz w:val="18"/>
              </w:rPr>
              <w:t>zvýšil</w:t>
            </w:r>
            <w:r w:rsidR="00D47A29">
              <w:rPr>
                <w:sz w:val="18"/>
              </w:rPr>
              <w:t xml:space="preserve"> len</w:t>
            </w:r>
            <w:r w:rsidRPr="00EB4521">
              <w:rPr>
                <w:sz w:val="18"/>
              </w:rPr>
              <w:t xml:space="preserve"> o</w:t>
            </w:r>
            <w:r w:rsidR="00F80593">
              <w:rPr>
                <w:sz w:val="18"/>
              </w:rPr>
              <w:t> </w:t>
            </w:r>
            <w:r w:rsidR="001C3C79">
              <w:rPr>
                <w:sz w:val="18"/>
              </w:rPr>
              <w:t>0</w:t>
            </w:r>
            <w:r w:rsidR="00F80593">
              <w:rPr>
                <w:sz w:val="18"/>
              </w:rPr>
              <w:t>,</w:t>
            </w:r>
            <w:r w:rsidR="00D47A29">
              <w:rPr>
                <w:sz w:val="18"/>
              </w:rPr>
              <w:t>7</w:t>
            </w:r>
            <w:r>
              <w:rPr>
                <w:sz w:val="18"/>
              </w:rPr>
              <w:t xml:space="preserve"> </w:t>
            </w:r>
            <w:r w:rsidR="00D47A29">
              <w:rPr>
                <w:sz w:val="18"/>
              </w:rPr>
              <w:t>p. b.</w:t>
            </w:r>
            <w:r w:rsidRPr="00EB4521">
              <w:rPr>
                <w:sz w:val="18"/>
              </w:rPr>
              <w:t xml:space="preserve"> Projektom</w:t>
            </w:r>
            <w:r>
              <w:rPr>
                <w:sz w:val="18"/>
              </w:rPr>
              <w:t xml:space="preserve"> </w:t>
            </w:r>
            <w:r w:rsidRPr="00EB4521">
              <w:rPr>
                <w:sz w:val="18"/>
              </w:rPr>
              <w:t>financovaný</w:t>
            </w:r>
            <w:r>
              <w:rPr>
                <w:sz w:val="18"/>
              </w:rPr>
              <w:t>m</w:t>
            </w:r>
            <w:r w:rsidRPr="00EB4521">
              <w:rPr>
                <w:sz w:val="18"/>
              </w:rPr>
              <w:t xml:space="preserve"> z Programu Slovensko v rámci </w:t>
            </w:r>
            <w:r>
              <w:rPr>
                <w:sz w:val="18"/>
              </w:rPr>
              <w:t>š</w:t>
            </w:r>
            <w:r w:rsidRPr="00EB4521">
              <w:rPr>
                <w:sz w:val="18"/>
              </w:rPr>
              <w:t>tátneho programu</w:t>
            </w:r>
            <w:r>
              <w:rPr>
                <w:sz w:val="18"/>
              </w:rPr>
              <w:t xml:space="preserve"> sanácie EZ</w:t>
            </w:r>
            <w:r w:rsidRPr="00EB4521">
              <w:rPr>
                <w:sz w:val="18"/>
              </w:rPr>
              <w:t xml:space="preserve"> 2022 – 2027 hrozí časový posun a </w:t>
            </w:r>
            <w:r>
              <w:rPr>
                <w:sz w:val="18"/>
              </w:rPr>
              <w:t>existuje</w:t>
            </w:r>
            <w:r w:rsidRPr="00EB4521">
              <w:rPr>
                <w:sz w:val="18"/>
              </w:rPr>
              <w:t xml:space="preserve"> riziko, že finančné zdroje sa nestihnú v rámci národných priorít vyčerpať. </w:t>
            </w:r>
            <w:r w:rsidRPr="001E15F4">
              <w:rPr>
                <w:sz w:val="18"/>
              </w:rPr>
              <w:t>Problematické</w:t>
            </w:r>
            <w:r w:rsidRPr="00EB4521">
              <w:rPr>
                <w:sz w:val="18"/>
              </w:rPr>
              <w:t xml:space="preserve"> sa zároveň ukazuje jednozdrojové financovanie zelených, ekologických projektov z fondov E</w:t>
            </w:r>
            <w:r>
              <w:rPr>
                <w:sz w:val="18"/>
              </w:rPr>
              <w:t>Ú</w:t>
            </w:r>
            <w:r w:rsidRPr="00EB4521">
              <w:rPr>
                <w:sz w:val="18"/>
              </w:rPr>
              <w:t>, zdĺhavosť procesov verejného obstarávania a </w:t>
            </w:r>
            <w:r>
              <w:rPr>
                <w:sz w:val="18"/>
              </w:rPr>
              <w:t>tiež</w:t>
            </w:r>
            <w:r w:rsidRPr="00EB4521">
              <w:rPr>
                <w:sz w:val="18"/>
              </w:rPr>
              <w:t xml:space="preserve"> </w:t>
            </w:r>
            <w:r w:rsidR="00111FF4">
              <w:rPr>
                <w:sz w:val="18"/>
              </w:rPr>
              <w:t xml:space="preserve">náročné </w:t>
            </w:r>
            <w:r w:rsidRPr="00EB4521">
              <w:rPr>
                <w:sz w:val="18"/>
              </w:rPr>
              <w:t>vysporiadanie vlastníckych vzťahov k pozemkom, ktoré môžu ohroziť udržateľnosť realizácie jednotlivých cieľov a opatrení v</w:t>
            </w:r>
            <w:r>
              <w:rPr>
                <w:sz w:val="18"/>
              </w:rPr>
              <w:t> </w:t>
            </w:r>
            <w:r w:rsidRPr="00EB4521">
              <w:rPr>
                <w:sz w:val="18"/>
              </w:rPr>
              <w:t>oblasti envirozáťaží</w:t>
            </w:r>
            <w:r>
              <w:rPr>
                <w:rStyle w:val="Odkaznapoznmkupodiarou"/>
                <w:sz w:val="18"/>
              </w:rPr>
              <w:footnoteReference w:id="40"/>
            </w:r>
            <w:r w:rsidRPr="00EB4521">
              <w:rPr>
                <w:sz w:val="18"/>
              </w:rPr>
              <w:t>.</w:t>
            </w:r>
          </w:p>
          <w:p w14:paraId="5C1180AE" w14:textId="43C93258" w:rsidR="008E0E12" w:rsidRPr="00EB4521" w:rsidRDefault="008E0E12" w:rsidP="003B1D74">
            <w:pPr>
              <w:tabs>
                <w:tab w:val="left" w:pos="3024"/>
              </w:tabs>
              <w:rPr>
                <w:sz w:val="18"/>
              </w:rPr>
            </w:pPr>
            <w:r w:rsidRPr="005B50AB">
              <w:rPr>
                <w:b/>
                <w:sz w:val="18"/>
              </w:rPr>
              <w:t xml:space="preserve">Závery kontroly </w:t>
            </w:r>
            <w:r w:rsidR="00111FF4">
              <w:rPr>
                <w:b/>
                <w:sz w:val="18"/>
              </w:rPr>
              <w:t xml:space="preserve">NKÚ SR </w:t>
            </w:r>
            <w:r w:rsidRPr="005B50AB">
              <w:rPr>
                <w:b/>
                <w:sz w:val="18"/>
              </w:rPr>
              <w:t>v</w:t>
            </w:r>
            <w:r w:rsidR="00111FF4">
              <w:rPr>
                <w:b/>
                <w:sz w:val="18"/>
              </w:rPr>
              <w:t> </w:t>
            </w:r>
            <w:r w:rsidRPr="005B50AB">
              <w:rPr>
                <w:b/>
                <w:sz w:val="18"/>
              </w:rPr>
              <w:t>oblasti obnovy budov poukázali na roztrieštenosť financovania a</w:t>
            </w:r>
            <w:r>
              <w:rPr>
                <w:b/>
                <w:sz w:val="18"/>
              </w:rPr>
              <w:t> absenciu národnej databázy</w:t>
            </w:r>
            <w:r w:rsidRPr="00872CCA">
              <w:rPr>
                <w:b/>
                <w:sz w:val="18"/>
              </w:rPr>
              <w:t xml:space="preserve"> údajov o energetickej hospodárnosti budov</w:t>
            </w:r>
            <w:r w:rsidRPr="00EB4521">
              <w:rPr>
                <w:sz w:val="18"/>
              </w:rPr>
              <w:t>, ktoré mali nepriaznivý dosah na presnosť, spoľahlivosť a kvalitu vykazovaných údajov. M</w:t>
            </w:r>
            <w:r>
              <w:rPr>
                <w:sz w:val="18"/>
              </w:rPr>
              <w:t>D</w:t>
            </w:r>
            <w:r w:rsidRPr="00EB4521">
              <w:rPr>
                <w:sz w:val="18"/>
              </w:rPr>
              <w:t xml:space="preserve"> SR ako gestor energetickej hospodárnosti budov nemalo v kontrolovanom období až do prijatia </w:t>
            </w:r>
            <w:r>
              <w:rPr>
                <w:sz w:val="18"/>
              </w:rPr>
              <w:t xml:space="preserve">POO </w:t>
            </w:r>
            <w:r w:rsidRPr="00EB4521">
              <w:rPr>
                <w:sz w:val="18"/>
              </w:rPr>
              <w:t xml:space="preserve">priamy finančný nástroj na obnovu verejných budov. Rezort tiež nemal k dispozícii relevantné údaje o financovaní a miere obnovy verejných budov. V rokoch 2014 až 2021 bolo obnovených 2 602 budov verejného sektora. Spolu je </w:t>
            </w:r>
            <w:r>
              <w:rPr>
                <w:sz w:val="18"/>
              </w:rPr>
              <w:t>v SR</w:t>
            </w:r>
            <w:r w:rsidRPr="00EB4521">
              <w:rPr>
                <w:sz w:val="18"/>
              </w:rPr>
              <w:t xml:space="preserve"> približne 15 </w:t>
            </w:r>
            <w:r>
              <w:rPr>
                <w:sz w:val="18"/>
              </w:rPr>
              <w:t>tisíc</w:t>
            </w:r>
            <w:r w:rsidRPr="00EB4521">
              <w:rPr>
                <w:sz w:val="18"/>
              </w:rPr>
              <w:t xml:space="preserve"> verejných budov. Pri zachovaní tohto tempa by obnova všetkých energeticky nehospodárnych verejných budov trvala približne 27 rokov. </w:t>
            </w:r>
            <w:r>
              <w:rPr>
                <w:sz w:val="18"/>
              </w:rPr>
              <w:t>Podľa</w:t>
            </w:r>
            <w:r w:rsidRPr="00EB4521">
              <w:rPr>
                <w:sz w:val="18"/>
              </w:rPr>
              <w:t xml:space="preserve"> </w:t>
            </w:r>
            <w:r>
              <w:rPr>
                <w:sz w:val="18"/>
              </w:rPr>
              <w:t>POO</w:t>
            </w:r>
            <w:r w:rsidRPr="00EB4521">
              <w:rPr>
                <w:sz w:val="18"/>
              </w:rPr>
              <w:t xml:space="preserve"> </w:t>
            </w:r>
            <w:r>
              <w:rPr>
                <w:sz w:val="18"/>
              </w:rPr>
              <w:t>si</w:t>
            </w:r>
            <w:r w:rsidRPr="00EB4521">
              <w:rPr>
                <w:sz w:val="18"/>
              </w:rPr>
              <w:t xml:space="preserve"> hĺbkovú obnovu vyžaduje až 75 % z nich. Potenciál na energetickú úsporu je teda v tejto oblasti výrazný</w:t>
            </w:r>
            <w:r>
              <w:rPr>
                <w:rStyle w:val="Odkaznapoznmkupodiarou"/>
                <w:sz w:val="18"/>
              </w:rPr>
              <w:footnoteReference w:id="41"/>
            </w:r>
            <w:r w:rsidRPr="00EB4521">
              <w:rPr>
                <w:sz w:val="18"/>
              </w:rPr>
              <w:t>.</w:t>
            </w:r>
          </w:p>
        </w:tc>
      </w:tr>
    </w:tbl>
    <w:p w14:paraId="18D818E6" w14:textId="148B8F07" w:rsidR="000D05F7" w:rsidRDefault="00730F50" w:rsidP="002C027A">
      <w:pPr>
        <w:pStyle w:val="Nadpis1"/>
      </w:pPr>
      <w:bookmarkStart w:id="35" w:name="_Toc168567197"/>
      <w:r>
        <w:lastRenderedPageBreak/>
        <w:t>Stanovisko k</w:t>
      </w:r>
      <w:r w:rsidR="001629C7">
        <w:t> vybraným verejným politikám</w:t>
      </w:r>
      <w:bookmarkEnd w:id="35"/>
    </w:p>
    <w:p w14:paraId="021D0698" w14:textId="3CBF749F" w:rsidR="00232D38" w:rsidRPr="00113ACD" w:rsidRDefault="00232D38" w:rsidP="00232D38">
      <w:pPr>
        <w:spacing w:before="120"/>
        <w:rPr>
          <w:rFonts w:eastAsia="Calibri" w:cs="Times New Roman"/>
        </w:rPr>
      </w:pPr>
      <w:r w:rsidRPr="00113ACD">
        <w:rPr>
          <w:rFonts w:eastAsia="Calibri" w:cs="Times New Roman"/>
          <w:b/>
        </w:rPr>
        <w:t xml:space="preserve">Celkové príjmy kapitol sa v roku 2023 </w:t>
      </w:r>
      <w:r w:rsidR="00BB5375">
        <w:rPr>
          <w:rFonts w:eastAsia="Calibri" w:cs="Times New Roman"/>
          <w:b/>
        </w:rPr>
        <w:t xml:space="preserve">medziročne </w:t>
      </w:r>
      <w:r w:rsidRPr="00113ACD">
        <w:rPr>
          <w:rFonts w:eastAsia="Calibri" w:cs="Times New Roman"/>
          <w:b/>
        </w:rPr>
        <w:t>zvýšili o 24,5 % na 23,7 mld. eur.</w:t>
      </w:r>
      <w:r w:rsidRPr="00113ACD">
        <w:rPr>
          <w:rFonts w:eastAsia="Calibri" w:cs="Times New Roman"/>
        </w:rPr>
        <w:t xml:space="preserve"> Viac príjmov smerovalo </w:t>
      </w:r>
      <w:r w:rsidR="003B1D74">
        <w:rPr>
          <w:rFonts w:eastAsia="Calibri" w:cs="Times New Roman"/>
        </w:rPr>
        <w:t xml:space="preserve">najmä </w:t>
      </w:r>
      <w:r w:rsidRPr="00113ACD">
        <w:rPr>
          <w:rFonts w:eastAsia="Calibri" w:cs="Times New Roman"/>
        </w:rPr>
        <w:t>do kapitoly VPS</w:t>
      </w:r>
      <w:r w:rsidR="002F5CC3">
        <w:rPr>
          <w:rFonts w:eastAsia="Calibri" w:cs="Times New Roman"/>
        </w:rPr>
        <w:t xml:space="preserve">, </w:t>
      </w:r>
      <w:r w:rsidRPr="00113ACD">
        <w:rPr>
          <w:rFonts w:eastAsia="Calibri" w:cs="Times New Roman"/>
        </w:rPr>
        <w:t>medziročne viac o 2,5 mld. eur, na MIRRI SR (</w:t>
      </w:r>
      <w:r w:rsidR="003B1D74">
        <w:rPr>
          <w:rFonts w:eastAsia="Calibri" w:cs="Times New Roman"/>
        </w:rPr>
        <w:t xml:space="preserve">viac </w:t>
      </w:r>
      <w:r w:rsidRPr="00113ACD">
        <w:rPr>
          <w:rFonts w:eastAsia="Calibri" w:cs="Times New Roman"/>
        </w:rPr>
        <w:t>o 777 mil. eur) a na MD SR (</w:t>
      </w:r>
      <w:r w:rsidR="002F5CC3">
        <w:rPr>
          <w:rFonts w:eastAsia="Calibri" w:cs="Times New Roman"/>
        </w:rPr>
        <w:t xml:space="preserve">viac </w:t>
      </w:r>
      <w:r w:rsidRPr="00113ACD">
        <w:rPr>
          <w:rFonts w:eastAsia="Calibri" w:cs="Times New Roman"/>
        </w:rPr>
        <w:t xml:space="preserve">o 597 mil. eur). </w:t>
      </w:r>
      <w:r w:rsidR="002F5CC3">
        <w:rPr>
          <w:rFonts w:eastAsia="Calibri" w:cs="Times New Roman"/>
        </w:rPr>
        <w:t>M</w:t>
      </w:r>
      <w:r w:rsidRPr="00113ACD">
        <w:rPr>
          <w:rFonts w:eastAsia="Calibri" w:cs="Times New Roman"/>
        </w:rPr>
        <w:t xml:space="preserve">enej príjmov </w:t>
      </w:r>
      <w:r w:rsidR="00BB5375">
        <w:rPr>
          <w:rFonts w:eastAsia="Calibri" w:cs="Times New Roman"/>
        </w:rPr>
        <w:t>oproti roku 2022</w:t>
      </w:r>
      <w:r w:rsidRPr="00113ACD">
        <w:rPr>
          <w:rFonts w:eastAsia="Calibri" w:cs="Times New Roman"/>
        </w:rPr>
        <w:t xml:space="preserve"> získalo MZ SR (o 33 mil. eur). Prehľad plnenia príjmov jednotlivých kapitol v roku 2023 na hotovostnej báze obsahuje tabuľka 5 v prílohe.</w:t>
      </w:r>
    </w:p>
    <w:p w14:paraId="2E92A912" w14:textId="5930D848" w:rsidR="00232D38" w:rsidRPr="00113ACD" w:rsidRDefault="00232D38" w:rsidP="00232D38">
      <w:pPr>
        <w:spacing w:before="120"/>
        <w:rPr>
          <w:rFonts w:eastAsia="Calibri" w:cs="Times New Roman"/>
        </w:rPr>
      </w:pPr>
      <w:r w:rsidRPr="00113ACD">
        <w:rPr>
          <w:rFonts w:eastAsia="Calibri" w:cs="Times New Roman"/>
          <w:b/>
        </w:rPr>
        <w:t>Celkové výdavky kapitol v roku 2023 stúpli medziročne o 33,2 % na 31,4 mld. eur.</w:t>
      </w:r>
      <w:r w:rsidRPr="00113ACD">
        <w:rPr>
          <w:rFonts w:eastAsia="Calibri" w:cs="Times New Roman"/>
        </w:rPr>
        <w:t xml:space="preserve"> Dôvodom vyšších výdavkov kapitol bolo vyrovnávanie sa s rastúcimi cenami, najmä energií a posledný rok </w:t>
      </w:r>
      <w:r w:rsidR="00BB5375">
        <w:rPr>
          <w:rFonts w:eastAsia="Calibri" w:cs="Times New Roman"/>
        </w:rPr>
        <w:t xml:space="preserve">čerpania </w:t>
      </w:r>
      <w:r w:rsidR="00BB5375" w:rsidRPr="00113ACD">
        <w:rPr>
          <w:rFonts w:eastAsia="Calibri" w:cs="Times New Roman"/>
        </w:rPr>
        <w:t xml:space="preserve">finančných prostriedkov EÚ </w:t>
      </w:r>
      <w:r w:rsidR="00BB5375">
        <w:rPr>
          <w:rFonts w:eastAsia="Calibri" w:cs="Times New Roman"/>
        </w:rPr>
        <w:t xml:space="preserve">z </w:t>
      </w:r>
      <w:r w:rsidRPr="00113ACD">
        <w:rPr>
          <w:rFonts w:eastAsia="Calibri" w:cs="Times New Roman"/>
        </w:rPr>
        <w:t xml:space="preserve">PO </w:t>
      </w:r>
      <w:r>
        <w:rPr>
          <w:rFonts w:eastAsia="Calibri" w:cs="Times New Roman"/>
        </w:rPr>
        <w:t>2014 – 2020</w:t>
      </w:r>
      <w:r w:rsidRPr="00113ACD">
        <w:rPr>
          <w:rFonts w:eastAsia="Calibri" w:cs="Times New Roman"/>
        </w:rPr>
        <w:t xml:space="preserve">. V roku 2023 malo najvyšší medziročný rast výdavkov MH SR (o 2,8 mld. eur), MIRRI SR (o 926 mil. eur) a MPSVR SR (o 768 mil. eur). Ďalších </w:t>
      </w:r>
      <w:r w:rsidR="00BB5375">
        <w:rPr>
          <w:rFonts w:eastAsia="Calibri" w:cs="Times New Roman"/>
        </w:rPr>
        <w:t>osem</w:t>
      </w:r>
      <w:r w:rsidRPr="00113ACD">
        <w:rPr>
          <w:rFonts w:eastAsia="Calibri" w:cs="Times New Roman"/>
        </w:rPr>
        <w:t xml:space="preserve"> rozpočtových kapitol malo rast výdavkov v</w:t>
      </w:r>
      <w:r w:rsidR="00BB5375">
        <w:rPr>
          <w:rFonts w:eastAsia="Calibri" w:cs="Times New Roman"/>
        </w:rPr>
        <w:t xml:space="preserve">yšší </w:t>
      </w:r>
      <w:r w:rsidRPr="00113ACD">
        <w:rPr>
          <w:rFonts w:eastAsia="Calibri" w:cs="Times New Roman"/>
        </w:rPr>
        <w:t xml:space="preserve">než 100 mil. eur. Pokles výdavkov vykázala jediná kapitola, </w:t>
      </w:r>
      <w:r w:rsidR="001E11FE">
        <w:rPr>
          <w:rFonts w:eastAsia="Calibri" w:cs="Times New Roman"/>
        </w:rPr>
        <w:t>Správa štátnych hmotných rezerv</w:t>
      </w:r>
      <w:r w:rsidRPr="00113ACD">
        <w:rPr>
          <w:rFonts w:eastAsia="Calibri" w:cs="Times New Roman"/>
        </w:rPr>
        <w:t>, vzhľadom k rozpočtu v zanedbateľnej výške 68 tis. eur. Prehľad plnenia hotovostných výdavkov kapitol v roku 202</w:t>
      </w:r>
      <w:r w:rsidR="00BB5375">
        <w:rPr>
          <w:rFonts w:eastAsia="Calibri" w:cs="Times New Roman"/>
        </w:rPr>
        <w:t>3 obsahuje tabuľka 6 v prílohe.</w:t>
      </w:r>
    </w:p>
    <w:p w14:paraId="316BA854" w14:textId="3EFA96C3" w:rsidR="00F4498C" w:rsidRPr="003A4204" w:rsidRDefault="00F4498C" w:rsidP="00F4498C">
      <w:pPr>
        <w:spacing w:before="120"/>
      </w:pPr>
      <w:r w:rsidRPr="0089787E">
        <w:t>V</w:t>
      </w:r>
      <w:r w:rsidR="003E1B64" w:rsidRPr="0089787E">
        <w:t xml:space="preserve"> nasledujúcich </w:t>
      </w:r>
      <w:r w:rsidR="00FA3875" w:rsidRPr="0089787E">
        <w:t>pod</w:t>
      </w:r>
      <w:r w:rsidR="003E1B64" w:rsidRPr="0089787E">
        <w:t xml:space="preserve">kapitolách </w:t>
      </w:r>
      <w:r w:rsidR="00883A9D" w:rsidRPr="0089787E">
        <w:t>hodnot</w:t>
      </w:r>
      <w:r w:rsidR="00FA3875" w:rsidRPr="0089787E">
        <w:t xml:space="preserve">íme </w:t>
      </w:r>
      <w:r w:rsidR="00883A9D" w:rsidRPr="0089787E">
        <w:t>a analyz</w:t>
      </w:r>
      <w:r w:rsidR="00FA3875" w:rsidRPr="0089787E">
        <w:t>ujeme</w:t>
      </w:r>
      <w:r w:rsidR="00883A9D" w:rsidRPr="0089787E">
        <w:t xml:space="preserve"> </w:t>
      </w:r>
      <w:r w:rsidRPr="0089787E">
        <w:t>rozpočtové hospodárenie</w:t>
      </w:r>
      <w:r w:rsidR="00757A0E" w:rsidRPr="0089787E">
        <w:t xml:space="preserve"> a napĺňanie cieľov rozpočtu</w:t>
      </w:r>
      <w:r w:rsidRPr="0089787E">
        <w:t xml:space="preserve"> </w:t>
      </w:r>
      <w:r w:rsidR="00757A0E" w:rsidRPr="0089787E">
        <w:t xml:space="preserve">v </w:t>
      </w:r>
      <w:r w:rsidR="0089787E">
        <w:t>troch</w:t>
      </w:r>
      <w:r w:rsidRPr="0089787E">
        <w:t xml:space="preserve"> </w:t>
      </w:r>
      <w:r w:rsidR="00757A0E" w:rsidRPr="0089787E">
        <w:t>oblastiach verejných politík</w:t>
      </w:r>
      <w:r w:rsidRPr="0089787E">
        <w:t>,</w:t>
      </w:r>
      <w:r w:rsidR="00757A0E" w:rsidRPr="0089787E">
        <w:t xml:space="preserve"> v</w:t>
      </w:r>
      <w:r w:rsidRPr="0089787E">
        <w:t xml:space="preserve"> </w:t>
      </w:r>
      <w:r w:rsidRPr="0089787E">
        <w:rPr>
          <w:b/>
        </w:rPr>
        <w:t>zdravotníctv</w:t>
      </w:r>
      <w:r w:rsidR="00757A0E" w:rsidRPr="0089787E">
        <w:rPr>
          <w:b/>
        </w:rPr>
        <w:t>e</w:t>
      </w:r>
      <w:r w:rsidRPr="0089787E">
        <w:rPr>
          <w:b/>
        </w:rPr>
        <w:t xml:space="preserve">, </w:t>
      </w:r>
      <w:r w:rsidR="0089787E" w:rsidRPr="0089787E">
        <w:rPr>
          <w:b/>
        </w:rPr>
        <w:t xml:space="preserve">sociálnych politikách </w:t>
      </w:r>
      <w:r w:rsidR="0089787E" w:rsidRPr="00BB5375">
        <w:t>a v oblasti</w:t>
      </w:r>
      <w:r w:rsidR="0089787E">
        <w:rPr>
          <w:b/>
        </w:rPr>
        <w:t xml:space="preserve"> </w:t>
      </w:r>
      <w:r w:rsidR="00757A0E" w:rsidRPr="0089787E">
        <w:rPr>
          <w:b/>
        </w:rPr>
        <w:t>vzdelávan</w:t>
      </w:r>
      <w:r w:rsidR="0089787E">
        <w:rPr>
          <w:b/>
        </w:rPr>
        <w:t>ia, výskumu</w:t>
      </w:r>
      <w:r w:rsidR="00757A0E" w:rsidRPr="0089787E">
        <w:rPr>
          <w:b/>
        </w:rPr>
        <w:t xml:space="preserve"> a vývoj</w:t>
      </w:r>
      <w:r w:rsidR="0089787E">
        <w:rPr>
          <w:b/>
        </w:rPr>
        <w:t>a</w:t>
      </w:r>
      <w:r w:rsidRPr="0089787E">
        <w:t xml:space="preserve">. Práve tieto oblasti verejných politík </w:t>
      </w:r>
      <w:r w:rsidR="003E1B64" w:rsidRPr="0089787E">
        <w:t xml:space="preserve">patrili aj </w:t>
      </w:r>
      <w:r w:rsidRPr="0089787E">
        <w:t>medzi priorit</w:t>
      </w:r>
      <w:r w:rsidR="003E1B64" w:rsidRPr="0089787E">
        <w:t>y</w:t>
      </w:r>
      <w:r w:rsidRPr="0089787E">
        <w:t xml:space="preserve"> činnosti NKÚ SR v roku 202</w:t>
      </w:r>
      <w:r w:rsidR="0089787E">
        <w:t>3</w:t>
      </w:r>
      <w:r w:rsidRPr="0089787E">
        <w:t>. Nasledujúce podkapitoly</w:t>
      </w:r>
      <w:r w:rsidR="00D54F5A">
        <w:t xml:space="preserve"> tak </w:t>
      </w:r>
      <w:r w:rsidRPr="0089787E">
        <w:t xml:space="preserve">sumarizujú </w:t>
      </w:r>
      <w:r w:rsidR="00D54F5A">
        <w:t>aj</w:t>
      </w:r>
      <w:r w:rsidRPr="0089787E">
        <w:t xml:space="preserve"> </w:t>
      </w:r>
      <w:r w:rsidR="00A74DAE" w:rsidRPr="0089787E">
        <w:t xml:space="preserve">niektoré </w:t>
      </w:r>
      <w:r w:rsidRPr="0089787E">
        <w:t xml:space="preserve">výsledky kontrolnej </w:t>
      </w:r>
      <w:r w:rsidR="003E1B64" w:rsidRPr="0089787E">
        <w:t xml:space="preserve">a analytickej </w:t>
      </w:r>
      <w:r w:rsidRPr="0089787E">
        <w:t>činnosti v týchto oblastiach</w:t>
      </w:r>
      <w:r w:rsidR="00152CF0" w:rsidRPr="0089787E">
        <w:t xml:space="preserve">, a to najmä so zameraním na plnenie programových </w:t>
      </w:r>
      <w:r w:rsidR="0089787E">
        <w:t>cieľov je</w:t>
      </w:r>
      <w:r w:rsidR="00152CF0" w:rsidRPr="0089787E">
        <w:t>dnotlivých kapitol</w:t>
      </w:r>
      <w:r w:rsidR="00DF40E7" w:rsidRPr="0089787E">
        <w:t xml:space="preserve"> a</w:t>
      </w:r>
      <w:r w:rsidR="0069052A" w:rsidRPr="0089787E">
        <w:t xml:space="preserve"> plnenie úsporných opatrení </w:t>
      </w:r>
      <w:r w:rsidR="00DF40E7" w:rsidRPr="0089787E">
        <w:t>identifikovaných v </w:t>
      </w:r>
      <w:r w:rsidR="0089787E">
        <w:t>revíziách výdavkov.</w:t>
      </w:r>
    </w:p>
    <w:p w14:paraId="7042EC93" w14:textId="21D62331" w:rsidR="000D05F7" w:rsidRPr="00523D20" w:rsidRDefault="00523D20" w:rsidP="00523D20">
      <w:pPr>
        <w:pStyle w:val="Nadpis2"/>
        <w:rPr>
          <w:color w:val="314364" w:themeColor="text2"/>
        </w:rPr>
      </w:pPr>
      <w:bookmarkStart w:id="36" w:name="_Toc168567198"/>
      <w:r>
        <w:rPr>
          <w:color w:val="314364" w:themeColor="text2"/>
        </w:rPr>
        <w:t xml:space="preserve">5.1 </w:t>
      </w:r>
      <w:r w:rsidR="00E43045" w:rsidRPr="00523D20">
        <w:rPr>
          <w:color w:val="314364" w:themeColor="text2"/>
        </w:rPr>
        <w:t xml:space="preserve"> </w:t>
      </w:r>
      <w:r w:rsidR="001629C7" w:rsidRPr="00523D20">
        <w:rPr>
          <w:color w:val="314364" w:themeColor="text2"/>
        </w:rPr>
        <w:t>Z</w:t>
      </w:r>
      <w:r w:rsidR="00E274E0" w:rsidRPr="00523D20">
        <w:rPr>
          <w:color w:val="314364" w:themeColor="text2"/>
        </w:rPr>
        <w:t>dravotníctv</w:t>
      </w:r>
      <w:r w:rsidR="001629C7" w:rsidRPr="00523D20">
        <w:rPr>
          <w:color w:val="314364" w:themeColor="text2"/>
        </w:rPr>
        <w:t>o</w:t>
      </w:r>
      <w:bookmarkEnd w:id="36"/>
    </w:p>
    <w:p w14:paraId="1EB8864C" w14:textId="6271C7F6" w:rsidR="00BA5F6A" w:rsidRDefault="00BA5F6A" w:rsidP="00BA5F6A">
      <w:r>
        <w:t>Verejné z</w:t>
      </w:r>
      <w:r w:rsidRPr="003304CC">
        <w:t>droje</w:t>
      </w:r>
      <w:r>
        <w:t xml:space="preserve"> plynú</w:t>
      </w:r>
      <w:r w:rsidRPr="003304CC">
        <w:t xml:space="preserve"> do</w:t>
      </w:r>
      <w:r>
        <w:t xml:space="preserve"> slovenského</w:t>
      </w:r>
      <w:r w:rsidRPr="003304CC">
        <w:t xml:space="preserve"> zdravotníctva </w:t>
      </w:r>
      <w:r>
        <w:t>predovšetkým dvoma spôsobmi, a to cez rozpočet kapitoly MZ SR a cez</w:t>
      </w:r>
      <w:r w:rsidRPr="003304CC">
        <w:t xml:space="preserve"> systém VZP. NKÚ SR sa zameral na</w:t>
      </w:r>
      <w:r>
        <w:t xml:space="preserve"> štruktúru a hlavne</w:t>
      </w:r>
      <w:r w:rsidRPr="003304CC">
        <w:t xml:space="preserve"> využitie týchto zdrojov,</w:t>
      </w:r>
      <w:r>
        <w:t xml:space="preserve"> ale aj na dlhodobé problémy slovenského zdravotníctva, </w:t>
      </w:r>
      <w:r w:rsidR="00A64C8A">
        <w:t>predovšetkým na</w:t>
      </w:r>
      <w:r>
        <w:t xml:space="preserve"> nedostatočne riešený problém zadlženia</w:t>
      </w:r>
      <w:r w:rsidRPr="003304CC">
        <w:t xml:space="preserve"> </w:t>
      </w:r>
      <w:r>
        <w:t>zdravotníckych zariadení (ZZ)</w:t>
      </w:r>
      <w:r w:rsidRPr="003304CC">
        <w:t>.</w:t>
      </w:r>
    </w:p>
    <w:p w14:paraId="2804CDA1" w14:textId="645CEBCF" w:rsidR="00BA5F6A" w:rsidRPr="00A27797" w:rsidRDefault="00BA5F6A" w:rsidP="00BA5F6A">
      <w:pPr>
        <w:pStyle w:val="Nadpis3"/>
      </w:pPr>
      <w:bookmarkStart w:id="37" w:name="_Toc168567199"/>
      <w:r>
        <w:t xml:space="preserve">5.1.1 </w:t>
      </w:r>
      <w:r w:rsidR="00E43045">
        <w:t xml:space="preserve"> </w:t>
      </w:r>
      <w:r>
        <w:t>P</w:t>
      </w:r>
      <w:r w:rsidR="002A6607">
        <w:t xml:space="preserve">lnenie cieľov </w:t>
      </w:r>
      <w:r w:rsidR="00F610FC">
        <w:t xml:space="preserve">v </w:t>
      </w:r>
      <w:r w:rsidR="002A6607">
        <w:t>p</w:t>
      </w:r>
      <w:r>
        <w:t>rogramo</w:t>
      </w:r>
      <w:r w:rsidR="00F610FC">
        <w:t>ch</w:t>
      </w:r>
      <w:r>
        <w:t xml:space="preserve"> kapitoly MZ SR</w:t>
      </w:r>
      <w:bookmarkEnd w:id="37"/>
    </w:p>
    <w:p w14:paraId="5EA12B88" w14:textId="53114A0F" w:rsidR="00FB66DA" w:rsidRPr="00D77101" w:rsidRDefault="00FB66DA" w:rsidP="00BA5F6A">
      <w:pPr>
        <w:rPr>
          <w:b/>
        </w:rPr>
      </w:pPr>
      <w:r w:rsidRPr="00D77101">
        <w:rPr>
          <w:b/>
        </w:rPr>
        <w:t xml:space="preserve">Tri programy tvorili takmer 99 % celkových výdavkov z rozpočtu kapitoly MZ SR v roku 2023 </w:t>
      </w:r>
      <w:r w:rsidR="00D77101">
        <w:rPr>
          <w:b/>
        </w:rPr>
        <w:t xml:space="preserve">– </w:t>
      </w:r>
      <w:r w:rsidRPr="00D77101">
        <w:rPr>
          <w:b/>
        </w:rPr>
        <w:t xml:space="preserve"> zdravotná starostlivosť, tvorba a implementácia politík</w:t>
      </w:r>
      <w:r w:rsidR="00F610FC">
        <w:rPr>
          <w:b/>
        </w:rPr>
        <w:t>,</w:t>
      </w:r>
      <w:r w:rsidRPr="00D77101">
        <w:rPr>
          <w:b/>
        </w:rPr>
        <w:t xml:space="preserve"> prevencia a ochrana zdravia. </w:t>
      </w:r>
      <w:r w:rsidR="00D77101">
        <w:rPr>
          <w:b/>
        </w:rPr>
        <w:t>C</w:t>
      </w:r>
      <w:r w:rsidR="00D77101" w:rsidRPr="00D77101">
        <w:rPr>
          <w:b/>
        </w:rPr>
        <w:t>iele v</w:t>
      </w:r>
      <w:r w:rsidR="00D77101">
        <w:rPr>
          <w:b/>
        </w:rPr>
        <w:t xml:space="preserve">o všetkých týchto </w:t>
      </w:r>
      <w:r w:rsidR="00D77101" w:rsidRPr="00D77101">
        <w:rPr>
          <w:b/>
        </w:rPr>
        <w:t>programo</w:t>
      </w:r>
      <w:r w:rsidR="00D77101">
        <w:rPr>
          <w:b/>
        </w:rPr>
        <w:t>ch však neboli</w:t>
      </w:r>
      <w:r w:rsidR="00D77101" w:rsidRPr="00D77101">
        <w:rPr>
          <w:b/>
        </w:rPr>
        <w:t xml:space="preserve"> definované dostatočne</w:t>
      </w:r>
      <w:r w:rsidR="00D77101">
        <w:rPr>
          <w:b/>
        </w:rPr>
        <w:t>.</w:t>
      </w:r>
    </w:p>
    <w:p w14:paraId="5B515FEB" w14:textId="6E8E4E02" w:rsidR="00BA5F6A" w:rsidRPr="0071215F" w:rsidRDefault="0071215F" w:rsidP="00BA5F6A">
      <w:r w:rsidRPr="0071215F">
        <w:rPr>
          <w:b/>
        </w:rPr>
        <w:t>A</w:t>
      </w:r>
      <w:r w:rsidR="00BA5F6A" w:rsidRPr="0071215F">
        <w:rPr>
          <w:b/>
        </w:rPr>
        <w:t xml:space="preserve">j v roku 2023 </w:t>
      </w:r>
      <w:r w:rsidRPr="0071215F">
        <w:rPr>
          <w:b/>
        </w:rPr>
        <w:t>sa najviac prostriedkov kapitoly vynaložilo na z</w:t>
      </w:r>
      <w:r w:rsidR="00BA5F6A" w:rsidRPr="0071215F">
        <w:rPr>
          <w:b/>
        </w:rPr>
        <w:t>dravotn</w:t>
      </w:r>
      <w:r w:rsidRPr="0071215F">
        <w:rPr>
          <w:b/>
        </w:rPr>
        <w:t>ú</w:t>
      </w:r>
      <w:r w:rsidR="00BA5F6A" w:rsidRPr="0071215F">
        <w:rPr>
          <w:b/>
        </w:rPr>
        <w:t xml:space="preserve"> starostlivosť, </w:t>
      </w:r>
      <w:r w:rsidRPr="0071215F">
        <w:rPr>
          <w:b/>
        </w:rPr>
        <w:t>čo predstavovalo</w:t>
      </w:r>
      <w:r w:rsidR="00BA5F6A" w:rsidRPr="0071215F">
        <w:rPr>
          <w:b/>
        </w:rPr>
        <w:t xml:space="preserve"> 88,5 % celkových výdavkov kapitoly</w:t>
      </w:r>
      <w:r w:rsidRPr="0071215F">
        <w:t xml:space="preserve"> (graf 1</w:t>
      </w:r>
      <w:r w:rsidR="00773D5B">
        <w:t>9</w:t>
      </w:r>
      <w:r w:rsidRPr="0071215F">
        <w:t>)</w:t>
      </w:r>
      <w:r w:rsidR="00BA5F6A" w:rsidRPr="00F610FC">
        <w:rPr>
          <w:b/>
        </w:rPr>
        <w:t>.</w:t>
      </w:r>
      <w:r w:rsidR="00BA5F6A" w:rsidRPr="0071215F">
        <w:t xml:space="preserve"> Podstatn</w:t>
      </w:r>
      <w:r>
        <w:t>á</w:t>
      </w:r>
      <w:r w:rsidR="00BA5F6A" w:rsidRPr="0071215F">
        <w:t xml:space="preserve"> časť t</w:t>
      </w:r>
      <w:r>
        <w:t xml:space="preserve">ýchto zdrojov, </w:t>
      </w:r>
      <w:r w:rsidRPr="0071215F">
        <w:t>2,08 mld. eur</w:t>
      </w:r>
      <w:r>
        <w:t xml:space="preserve">, išla na </w:t>
      </w:r>
      <w:r w:rsidRPr="0071215F">
        <w:t>p</w:t>
      </w:r>
      <w:r w:rsidR="00BA5F6A" w:rsidRPr="0071215F">
        <w:t>oistné za poistencov štátu</w:t>
      </w:r>
      <w:r>
        <w:t xml:space="preserve"> a </w:t>
      </w:r>
      <w:r w:rsidR="00BA5F6A" w:rsidRPr="0071215F">
        <w:t>pokrýva</w:t>
      </w:r>
      <w:r>
        <w:t>la tak</w:t>
      </w:r>
      <w:r w:rsidR="00BA5F6A" w:rsidRPr="0071215F">
        <w:t xml:space="preserve"> vyše 85 % celkových rozpočtových výdavkov kapitoly MZ SR. U platby za poistencov štátu bol medziročne zaznamenaný výrazný nárast, a to o vyše 61 %, čo je podrobnejšie popísané v</w:t>
      </w:r>
      <w:r w:rsidR="00405C13">
        <w:t> </w:t>
      </w:r>
      <w:r w:rsidR="00BA5F6A" w:rsidRPr="0071215F">
        <w:t>kapitol</w:t>
      </w:r>
      <w:r w:rsidR="00405C13">
        <w:t>e 3.5</w:t>
      </w:r>
      <w:r w:rsidR="00BA5F6A" w:rsidRPr="0071215F">
        <w:t xml:space="preserve">. Vzhľadom </w:t>
      </w:r>
      <w:r w:rsidR="00F610FC">
        <w:t>na</w:t>
      </w:r>
      <w:r w:rsidR="00BA5F6A" w:rsidRPr="0071215F">
        <w:t xml:space="preserve"> to, že ide o najväčšiu položku rozpočtu kapitoly</w:t>
      </w:r>
      <w:r>
        <w:t>,</w:t>
      </w:r>
      <w:r w:rsidR="00BA5F6A" w:rsidRPr="0071215F">
        <w:t xml:space="preserve"> bolo by žiadúce mať v programovom rozpočt</w:t>
      </w:r>
      <w:r w:rsidR="00C250A0">
        <w:t>e</w:t>
      </w:r>
      <w:r w:rsidR="00BA5F6A" w:rsidRPr="0071215F">
        <w:t xml:space="preserve"> jasne pomenované, aký cieľ a aký výsledok má byť touto platbou dosiahnutý. Namiesto toho je cieľ definovaný ako „Platba štátu za neaktívnych občanov“. Takéto stanovenie cieľa nedáva žiaden priestor na to, aby v rámci monitorovania bola hodnotená jeho výška alebo akékoľvek iné aspekty tohto podprogramu.</w:t>
      </w:r>
    </w:p>
    <w:p w14:paraId="0EA61FA0" w14:textId="29F5C799" w:rsidR="002A6607" w:rsidRDefault="002A6607" w:rsidP="002A6607">
      <w:r w:rsidRPr="0071215F">
        <w:rPr>
          <w:b/>
        </w:rPr>
        <w:t xml:space="preserve">Druhým najväčším programom rozpočtu kapitoly MZ SR je </w:t>
      </w:r>
      <w:r w:rsidR="0071215F" w:rsidRPr="0071215F">
        <w:rPr>
          <w:b/>
        </w:rPr>
        <w:t>t</w:t>
      </w:r>
      <w:r w:rsidRPr="0071215F">
        <w:rPr>
          <w:b/>
        </w:rPr>
        <w:t>vorba a implementácia politík, cez ktorý bolo v roku 2023 vyčerpaných vyše 175 mil. eur.</w:t>
      </w:r>
      <w:r>
        <w:t xml:space="preserve"> Rozpočtovaná bola</w:t>
      </w:r>
      <w:r w:rsidR="00696DE6">
        <w:t xml:space="preserve"> však</w:t>
      </w:r>
      <w:r>
        <w:t xml:space="preserve"> suma</w:t>
      </w:r>
      <w:r w:rsidR="00696DE6">
        <w:t xml:space="preserve"> vo výške</w:t>
      </w:r>
      <w:r>
        <w:t xml:space="preserve"> 340 mil.</w:t>
      </w:r>
      <w:r w:rsidR="00FB66DA">
        <w:t xml:space="preserve"> eur.</w:t>
      </w:r>
      <w:r>
        <w:t xml:space="preserve"> V roku 2022 bola </w:t>
      </w:r>
      <w:r w:rsidR="00696DE6">
        <w:t>opač</w:t>
      </w:r>
      <w:r>
        <w:t>ná situácia, kedy sa prečerpalo výrazne viac</w:t>
      </w:r>
      <w:r w:rsidR="00FB66DA">
        <w:t xml:space="preserve"> než</w:t>
      </w:r>
      <w:r>
        <w:t xml:space="preserve"> bol rozpočtovaný objem. Tieto veľké výkyvy čerpania oproti rozpočtu v poslednom období súvisia s pandémiou COVID-19, kde v roku 2022 bolo minutých viac prostriedkov, ako sa očakávalo, a v minulom roku bolo v rozpočte </w:t>
      </w:r>
      <w:r>
        <w:lastRenderedPageBreak/>
        <w:t xml:space="preserve">alokovaných na pandémiu viac prostriedkov, ako bolo nakoniec reálne potrebné. Aj v súvislosti s týmto </w:t>
      </w:r>
      <w:r w:rsidRPr="00D77101">
        <w:t xml:space="preserve">programom </w:t>
      </w:r>
      <w:r w:rsidR="00D77101">
        <w:t>možno</w:t>
      </w:r>
      <w:r w:rsidRPr="00D77101">
        <w:t xml:space="preserve"> konštatovať, že ciele v programovom rozpočtovaní</w:t>
      </w:r>
      <w:r w:rsidR="00FB66DA" w:rsidRPr="00D77101">
        <w:t>,</w:t>
      </w:r>
      <w:r w:rsidRPr="00D77101">
        <w:t xml:space="preserve"> ako napríklad „Riadenie a p</w:t>
      </w:r>
      <w:r>
        <w:t xml:space="preserve">odpora programov“, </w:t>
      </w:r>
      <w:r w:rsidR="00D77101">
        <w:t>neumožňujú</w:t>
      </w:r>
      <w:r>
        <w:t xml:space="preserve"> relevantné vyhodnotenie </w:t>
      </w:r>
      <w:r w:rsidR="00D77101">
        <w:t>ich</w:t>
      </w:r>
      <w:r w:rsidR="00696DE6">
        <w:t xml:space="preserve"> plnenia.</w:t>
      </w:r>
    </w:p>
    <w:p w14:paraId="4808D126" w14:textId="77777777" w:rsidR="0029006B" w:rsidRDefault="0029006B" w:rsidP="0029006B">
      <w:pPr>
        <w:pStyle w:val="Popis"/>
        <w:keepNext/>
        <w:rPr>
          <w:color w:val="314364"/>
        </w:rPr>
      </w:pPr>
      <w:r>
        <w:rPr>
          <w:color w:val="314364"/>
        </w:rPr>
        <w:t>Graf 19: Výdavky kapitoly MZ SR na vybrané programy v roku 2023 (v mil. eur)</w:t>
      </w:r>
    </w:p>
    <w:tbl>
      <w:tblPr>
        <w:tblStyle w:val="Mriekatabuky"/>
        <w:tblW w:w="5000" w:type="pct"/>
        <w:tblBorders>
          <w:top w:val="single" w:sz="4" w:space="0" w:color="314364"/>
          <w:left w:val="none" w:sz="0" w:space="0" w:color="auto"/>
          <w:bottom w:val="single" w:sz="4" w:space="0" w:color="314364"/>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9070"/>
      </w:tblGrid>
      <w:tr w:rsidR="0029006B" w14:paraId="2F6CFE41" w14:textId="77777777" w:rsidTr="00A81877">
        <w:trPr>
          <w:trHeight w:val="2835"/>
        </w:trPr>
        <w:tc>
          <w:tcPr>
            <w:tcW w:w="9070" w:type="dxa"/>
            <w:vAlign w:val="center"/>
            <w:hideMark/>
          </w:tcPr>
          <w:p w14:paraId="154C6936" w14:textId="77777777" w:rsidR="0029006B" w:rsidRDefault="0029006B" w:rsidP="00A81877">
            <w:pPr>
              <w:spacing w:after="0"/>
              <w:rPr>
                <w:b/>
                <w:color w:val="576431"/>
              </w:rPr>
            </w:pPr>
            <w:r>
              <w:rPr>
                <w:noProof/>
                <w:lang w:eastAsia="sk-SK"/>
              </w:rPr>
              <w:drawing>
                <wp:inline distT="0" distB="0" distL="0" distR="0" wp14:anchorId="0382F50F" wp14:editId="51FFE264">
                  <wp:extent cx="5671185" cy="1793875"/>
                  <wp:effectExtent l="0" t="0" r="5715" b="0"/>
                  <wp:docPr id="34" name="Graf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c>
      </w:tr>
    </w:tbl>
    <w:p w14:paraId="0362E1F4" w14:textId="029517ED" w:rsidR="0029006B" w:rsidRDefault="0029006B" w:rsidP="0029006B">
      <w:pPr>
        <w:pStyle w:val="Zdroj"/>
      </w:pPr>
      <w:r>
        <w:t>Zdroj: RIS, výpočty a spracovanie NKÚ SR.</w:t>
      </w:r>
    </w:p>
    <w:p w14:paraId="19212372" w14:textId="34AD1B3B" w:rsidR="00BA5F6A" w:rsidRDefault="00FB66DA" w:rsidP="00BA5F6A">
      <w:r w:rsidRPr="00FB66DA">
        <w:rPr>
          <w:b/>
        </w:rPr>
        <w:t xml:space="preserve">Na </w:t>
      </w:r>
      <w:r w:rsidR="00405C13">
        <w:rPr>
          <w:b/>
        </w:rPr>
        <w:t xml:space="preserve">program pokrývajúci </w:t>
      </w:r>
      <w:r w:rsidRPr="00FB66DA">
        <w:rPr>
          <w:b/>
        </w:rPr>
        <w:t>prevenciu a ochranu zdravia</w:t>
      </w:r>
      <w:r w:rsidR="00BA5F6A" w:rsidRPr="00FB66DA">
        <w:rPr>
          <w:b/>
        </w:rPr>
        <w:t xml:space="preserve"> bolo v roku 2023 vynaložených 76,4 mil. eur, čo predstavuje nárast oproti minulému roku o necelých 8 %.</w:t>
      </w:r>
      <w:r w:rsidR="00BA5F6A">
        <w:t xml:space="preserve"> Cieľ pre tento program je definovaný ako „</w:t>
      </w:r>
      <w:r w:rsidR="00BA5F6A" w:rsidRPr="006E49C9">
        <w:t>Zlepšiť a upevniť zdravotný stav obyvateľstva prostredníctvom projektov zameraných na zlepšenie životného a pracovného prostredia a presadzovanie zdravého spôsobu života vrátane stravovania.</w:t>
      </w:r>
      <w:r w:rsidR="00BA5F6A">
        <w:t xml:space="preserve">“ Monitorovacia správa k tomuto programu uvádza mnohé aktivity a výstupy uskutočnené v tejto oblasti, no chýbajú výsledkové indikátory. Pritom Slovensko dlhodobo zaostáva práve vo výsledkoch prevencie a dosahuje jednu z najvyšších úrovní preventabilnej úmrtnosti. Aj z týchto dôvodov NKÚ </w:t>
      </w:r>
      <w:r>
        <w:t xml:space="preserve">SR </w:t>
      </w:r>
      <w:r w:rsidR="00BA5F6A">
        <w:t>pripravuje v oblasti zdravotnej prevencie komplexnejšie zameranú kontrolu.</w:t>
      </w:r>
    </w:p>
    <w:p w14:paraId="27599C37" w14:textId="64ACA84C" w:rsidR="00BA5F6A" w:rsidRDefault="00BA5F6A" w:rsidP="00BA5F6A">
      <w:r w:rsidRPr="00D77101">
        <w:rPr>
          <w:b/>
        </w:rPr>
        <w:t>Podľa schváleného rozpočtu mal</w:t>
      </w:r>
      <w:r w:rsidR="00D77101">
        <w:rPr>
          <w:b/>
        </w:rPr>
        <w:t>i</w:t>
      </w:r>
      <w:r w:rsidRPr="00D77101">
        <w:rPr>
          <w:b/>
        </w:rPr>
        <w:t xml:space="preserve"> významnú časť výdavkov </w:t>
      </w:r>
      <w:r w:rsidR="00FB66DA" w:rsidRPr="00D77101">
        <w:rPr>
          <w:b/>
        </w:rPr>
        <w:t xml:space="preserve">kapitoly </w:t>
      </w:r>
      <w:r w:rsidRPr="00D77101">
        <w:rPr>
          <w:b/>
        </w:rPr>
        <w:t xml:space="preserve">tvoriť aj </w:t>
      </w:r>
      <w:r w:rsidR="00D77101">
        <w:rPr>
          <w:b/>
        </w:rPr>
        <w:t xml:space="preserve">prostriedky POO, avšak ich nízke čerpanie </w:t>
      </w:r>
      <w:r w:rsidR="00D77101" w:rsidRPr="009E0B68">
        <w:rPr>
          <w:b/>
        </w:rPr>
        <w:t>je vážnym signálom slabej pripravenosti</w:t>
      </w:r>
      <w:r w:rsidR="00D77101">
        <w:t xml:space="preserve"> </w:t>
      </w:r>
      <w:r w:rsidR="00D77101" w:rsidRPr="00D77101">
        <w:rPr>
          <w:b/>
        </w:rPr>
        <w:t>Slovenska reálne využiť  prostriedky z tohto zdroja na zlepšenie stavu zdravotníctva.</w:t>
      </w:r>
      <w:r>
        <w:t xml:space="preserve"> Na programe </w:t>
      </w:r>
      <w:r w:rsidR="00D77101">
        <w:t xml:space="preserve">plánu obnovy </w:t>
      </w:r>
      <w:r>
        <w:t>bolo pre rok 2023 rozpočtovaných 451,8 mil. eur</w:t>
      </w:r>
      <w:r w:rsidR="00D77101">
        <w:t>,</w:t>
      </w:r>
      <w:r>
        <w:t xml:space="preserve"> z čoho bolo reálne vyčerpaných </w:t>
      </w:r>
      <w:r w:rsidR="00D77101">
        <w:t>takmer</w:t>
      </w:r>
      <w:r>
        <w:t xml:space="preserve"> 21,3 mil. eur</w:t>
      </w:r>
      <w:r w:rsidR="00D77101">
        <w:t xml:space="preserve">, t. j. </w:t>
      </w:r>
      <w:r w:rsidR="00D77101" w:rsidRPr="00D77101">
        <w:t>4,7 %.</w:t>
      </w:r>
    </w:p>
    <w:p w14:paraId="1BBF5FA3" w14:textId="12D45E25" w:rsidR="00711CDD" w:rsidRPr="00405C13" w:rsidRDefault="00711CDD" w:rsidP="002240F4">
      <w:pPr>
        <w:rPr>
          <w:rFonts w:ascii="Times New Roman" w:hAnsi="Times New Roman" w:cs="Times New Roman"/>
          <w:sz w:val="24"/>
          <w:szCs w:val="24"/>
          <w:lang w:eastAsia="sk-SK"/>
        </w:rPr>
      </w:pPr>
      <w:r w:rsidRPr="00711CDD">
        <w:rPr>
          <w:b/>
        </w:rPr>
        <w:t>NKÚ SR opakovane upozorňuje na riziko nehospodárneho vynakladania verejných zdrojov na nákup vakcín proti COVID-19</w:t>
      </w:r>
      <w:r w:rsidRPr="00F610FC">
        <w:rPr>
          <w:b/>
        </w:rPr>
        <w:t>.</w:t>
      </w:r>
      <w:r w:rsidR="00405C13">
        <w:rPr>
          <w:rStyle w:val="Odkaznapoznmkupodiarou"/>
        </w:rPr>
        <w:footnoteReference w:id="42"/>
      </w:r>
      <w:r w:rsidR="00405C13">
        <w:rPr>
          <w:rFonts w:ascii="Times New Roman" w:hAnsi="Times New Roman" w:cs="Times New Roman"/>
          <w:sz w:val="24"/>
          <w:szCs w:val="24"/>
          <w:lang w:eastAsia="sk-SK"/>
        </w:rPr>
        <w:t xml:space="preserve"> </w:t>
      </w:r>
      <w:r>
        <w:t>V roku 2023 bolo SR dodaných ďalších 680 tis. dávok vakcín, na čo bolo vynaložených necelých 73,5 mil. eur. Podaných bolo vyše 33 tis. dávok. S </w:t>
      </w:r>
      <w:r w:rsidRPr="00D77101">
        <w:t>prebytkom vakcín</w:t>
      </w:r>
      <w:r>
        <w:t xml:space="preserve"> sa Slovensko </w:t>
      </w:r>
      <w:r w:rsidR="0065156A">
        <w:t xml:space="preserve">v roku 2023 </w:t>
      </w:r>
      <w:r>
        <w:t xml:space="preserve">vysporiadalo viacerými spôsobmi, napríklad darovaním vyše 2 mil. dávok, ale aj likvidáciou takmer 2,4 mil. exspirovaných dávok vakcín. Napriek týmto skutočnostiam mala SR ku koncu roka 2023 na skladoch takmer 4,4 mil. dávok, z čoho 3,4 mil. bola už exspirovaná. Tejto téme sa NKÚ </w:t>
      </w:r>
      <w:r w:rsidR="00E73A08">
        <w:t xml:space="preserve">SR </w:t>
      </w:r>
      <w:r>
        <w:t>venuje v samostatnej kontrole.</w:t>
      </w:r>
    </w:p>
    <w:p w14:paraId="7A27F85F" w14:textId="3E5F6043" w:rsidR="00102FC8" w:rsidRPr="00711CDD" w:rsidRDefault="00711CDD" w:rsidP="00C250A0">
      <w:pPr>
        <w:pStyle w:val="Zdroj"/>
        <w:spacing w:line="276" w:lineRule="auto"/>
        <w:jc w:val="both"/>
        <w:rPr>
          <w:i w:val="0"/>
          <w:color w:val="auto"/>
          <w:sz w:val="20"/>
        </w:rPr>
      </w:pPr>
      <w:r w:rsidRPr="00711CDD">
        <w:rPr>
          <w:b/>
          <w:i w:val="0"/>
          <w:color w:val="auto"/>
          <w:sz w:val="20"/>
        </w:rPr>
        <w:t>Dostupné</w:t>
      </w:r>
      <w:r>
        <w:rPr>
          <w:i w:val="0"/>
          <w:color w:val="auto"/>
          <w:sz w:val="20"/>
        </w:rPr>
        <w:t xml:space="preserve"> </w:t>
      </w:r>
      <w:r w:rsidRPr="00711CDD">
        <w:rPr>
          <w:b/>
          <w:i w:val="0"/>
          <w:color w:val="auto"/>
          <w:sz w:val="20"/>
        </w:rPr>
        <w:t>výsledkové</w:t>
      </w:r>
      <w:r>
        <w:rPr>
          <w:i w:val="0"/>
          <w:color w:val="auto"/>
          <w:sz w:val="20"/>
        </w:rPr>
        <w:t xml:space="preserve"> </w:t>
      </w:r>
      <w:r w:rsidRPr="00654BC8">
        <w:rPr>
          <w:b/>
          <w:i w:val="0"/>
          <w:color w:val="auto"/>
          <w:sz w:val="20"/>
        </w:rPr>
        <w:t>ukazovatele indikujú</w:t>
      </w:r>
      <w:r>
        <w:rPr>
          <w:b/>
          <w:i w:val="0"/>
          <w:color w:val="auto"/>
          <w:sz w:val="20"/>
        </w:rPr>
        <w:t xml:space="preserve"> v oblasti zdravia</w:t>
      </w:r>
      <w:r w:rsidRPr="00654BC8">
        <w:rPr>
          <w:b/>
          <w:i w:val="0"/>
          <w:color w:val="auto"/>
          <w:sz w:val="20"/>
        </w:rPr>
        <w:t xml:space="preserve"> náznaky zotavovania sa z pandémie a</w:t>
      </w:r>
      <w:r w:rsidR="00E73A08">
        <w:rPr>
          <w:b/>
          <w:i w:val="0"/>
          <w:color w:val="auto"/>
          <w:sz w:val="20"/>
        </w:rPr>
        <w:t> </w:t>
      </w:r>
      <w:r w:rsidRPr="00654BC8">
        <w:rPr>
          <w:b/>
          <w:i w:val="0"/>
          <w:color w:val="auto"/>
          <w:sz w:val="20"/>
        </w:rPr>
        <w:t>dobiehani</w:t>
      </w:r>
      <w:r w:rsidR="00E73A08">
        <w:rPr>
          <w:b/>
          <w:i w:val="0"/>
          <w:color w:val="auto"/>
          <w:sz w:val="20"/>
        </w:rPr>
        <w:t>e</w:t>
      </w:r>
      <w:r w:rsidRPr="00654BC8">
        <w:rPr>
          <w:b/>
          <w:i w:val="0"/>
          <w:color w:val="auto"/>
          <w:sz w:val="20"/>
        </w:rPr>
        <w:t xml:space="preserve"> vyspelejších krajín</w:t>
      </w:r>
      <w:r w:rsidRPr="00F610FC">
        <w:rPr>
          <w:b/>
          <w:i w:val="0"/>
          <w:color w:val="auto"/>
          <w:sz w:val="20"/>
        </w:rPr>
        <w:t>.</w:t>
      </w:r>
      <w:r>
        <w:rPr>
          <w:i w:val="0"/>
          <w:color w:val="auto"/>
          <w:sz w:val="20"/>
        </w:rPr>
        <w:t xml:space="preserve"> </w:t>
      </w:r>
      <w:r w:rsidR="00102FC8">
        <w:rPr>
          <w:i w:val="0"/>
          <w:color w:val="auto"/>
          <w:sz w:val="20"/>
        </w:rPr>
        <w:t>Za rok 2023 boli dostupné ukazovatele založené na zbere EU-SILC, ktorý obsahuje aj otázky ohľadom vnímania vlastného zdravotného stavu respondentov.</w:t>
      </w:r>
      <w:r>
        <w:rPr>
          <w:rStyle w:val="Odkaznapoznmkupodiarou"/>
          <w:i w:val="0"/>
          <w:color w:val="auto"/>
          <w:sz w:val="20"/>
        </w:rPr>
        <w:footnoteReference w:id="43"/>
      </w:r>
      <w:r w:rsidR="00102FC8">
        <w:rPr>
          <w:i w:val="0"/>
          <w:color w:val="auto"/>
          <w:sz w:val="20"/>
        </w:rPr>
        <w:t xml:space="preserve"> </w:t>
      </w:r>
      <w:r w:rsidR="00102FC8" w:rsidRPr="00711CDD">
        <w:rPr>
          <w:i w:val="0"/>
          <w:color w:val="auto"/>
          <w:sz w:val="20"/>
        </w:rPr>
        <w:t>Podľa týchto údajov vnímalo v roku 2023 svoj zdravotný stav ako dobrý alebo veľmi dobrý 67,8 % občanov SR</w:t>
      </w:r>
      <w:r>
        <w:rPr>
          <w:i w:val="0"/>
          <w:color w:val="auto"/>
          <w:sz w:val="20"/>
        </w:rPr>
        <w:t xml:space="preserve"> (graf </w:t>
      </w:r>
      <w:r w:rsidR="00773D5B">
        <w:rPr>
          <w:i w:val="0"/>
          <w:color w:val="auto"/>
          <w:sz w:val="20"/>
        </w:rPr>
        <w:t>20</w:t>
      </w:r>
      <w:r>
        <w:rPr>
          <w:i w:val="0"/>
          <w:color w:val="auto"/>
          <w:sz w:val="20"/>
        </w:rPr>
        <w:t>).</w:t>
      </w:r>
      <w:r w:rsidR="00102FC8">
        <w:rPr>
          <w:i w:val="0"/>
          <w:color w:val="auto"/>
          <w:sz w:val="20"/>
        </w:rPr>
        <w:t xml:space="preserve"> Táto hodnota sa medziročne zvýšila o 1,7 p.</w:t>
      </w:r>
      <w:r>
        <w:rPr>
          <w:i w:val="0"/>
          <w:color w:val="auto"/>
          <w:sz w:val="20"/>
        </w:rPr>
        <w:t xml:space="preserve"> </w:t>
      </w:r>
      <w:r w:rsidR="00102FC8">
        <w:rPr>
          <w:i w:val="0"/>
          <w:color w:val="auto"/>
          <w:sz w:val="20"/>
        </w:rPr>
        <w:t>b., čo znamená, že svoj zdravotný stav vnímala pozitívne väčšia časť populácie ako v roku 2022. Zaradili sme sa týmto do skupiny krajín s pozitívnym trendom vnímania zdravotného stavu</w:t>
      </w:r>
      <w:r>
        <w:rPr>
          <w:i w:val="0"/>
          <w:color w:val="auto"/>
          <w:sz w:val="20"/>
        </w:rPr>
        <w:t>.</w:t>
      </w:r>
      <w:r w:rsidR="00102FC8">
        <w:rPr>
          <w:i w:val="0"/>
          <w:color w:val="auto"/>
          <w:sz w:val="20"/>
        </w:rPr>
        <w:t xml:space="preserve"> </w:t>
      </w:r>
    </w:p>
    <w:p w14:paraId="026AEA1C" w14:textId="77777777" w:rsidR="0029006B" w:rsidRDefault="0029006B" w:rsidP="0029006B">
      <w:pPr>
        <w:pStyle w:val="Popis"/>
        <w:keepNext/>
        <w:rPr>
          <w:i/>
          <w:color w:val="314364"/>
        </w:rPr>
      </w:pPr>
      <w:r>
        <w:rPr>
          <w:color w:val="314364"/>
        </w:rPr>
        <w:lastRenderedPageBreak/>
        <w:t>Graf 20: Podiel populácie vnímajúcej svoj zdravotný stav ako dobrý alebo veľmi dobrý (v %)</w:t>
      </w:r>
    </w:p>
    <w:tbl>
      <w:tblPr>
        <w:tblStyle w:val="Mriekatabuky"/>
        <w:tblW w:w="5000" w:type="pct"/>
        <w:tblCellMar>
          <w:left w:w="70" w:type="dxa"/>
          <w:right w:w="70" w:type="dxa"/>
        </w:tblCellMar>
        <w:tblLook w:val="04A0" w:firstRow="1" w:lastRow="0" w:firstColumn="1" w:lastColumn="0" w:noHBand="0" w:noVBand="1"/>
      </w:tblPr>
      <w:tblGrid>
        <w:gridCol w:w="3225"/>
        <w:gridCol w:w="5845"/>
      </w:tblGrid>
      <w:tr w:rsidR="0029006B" w14:paraId="700B02ED" w14:textId="77777777" w:rsidTr="00A81877">
        <w:trPr>
          <w:trHeight w:val="3118"/>
        </w:trPr>
        <w:tc>
          <w:tcPr>
            <w:tcW w:w="3221" w:type="dxa"/>
            <w:tcBorders>
              <w:top w:val="single" w:sz="4" w:space="0" w:color="314364"/>
              <w:left w:val="nil"/>
              <w:bottom w:val="single" w:sz="4" w:space="0" w:color="314364"/>
              <w:right w:val="single" w:sz="4" w:space="0" w:color="auto"/>
            </w:tcBorders>
            <w:vAlign w:val="center"/>
            <w:hideMark/>
          </w:tcPr>
          <w:p w14:paraId="5AA3E519" w14:textId="77777777" w:rsidR="0029006B" w:rsidRDefault="0029006B" w:rsidP="00A81877">
            <w:pPr>
              <w:spacing w:after="0"/>
              <w:rPr>
                <w:b/>
                <w:color w:val="576431"/>
              </w:rPr>
            </w:pPr>
            <w:r>
              <w:rPr>
                <w:noProof/>
                <w:lang w:eastAsia="sk-SK"/>
              </w:rPr>
              <w:drawing>
                <wp:inline distT="0" distB="0" distL="0" distR="0" wp14:anchorId="0AECC260" wp14:editId="37E99419">
                  <wp:extent cx="2013585" cy="1951990"/>
                  <wp:effectExtent l="0" t="0" r="5715" b="0"/>
                  <wp:docPr id="49" name="Graf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tc>
        <w:tc>
          <w:tcPr>
            <w:tcW w:w="5849" w:type="dxa"/>
            <w:tcBorders>
              <w:top w:val="single" w:sz="4" w:space="0" w:color="314364"/>
              <w:left w:val="single" w:sz="4" w:space="0" w:color="auto"/>
              <w:bottom w:val="single" w:sz="4" w:space="0" w:color="314364"/>
              <w:right w:val="nil"/>
            </w:tcBorders>
            <w:hideMark/>
          </w:tcPr>
          <w:p w14:paraId="5C98E160" w14:textId="77777777" w:rsidR="0029006B" w:rsidRDefault="0029006B" w:rsidP="00A81877">
            <w:pPr>
              <w:spacing w:after="0"/>
              <w:rPr>
                <w:b/>
                <w:color w:val="576431"/>
              </w:rPr>
            </w:pPr>
            <w:r>
              <w:rPr>
                <w:noProof/>
                <w:lang w:eastAsia="sk-SK"/>
              </w:rPr>
              <w:drawing>
                <wp:inline distT="0" distB="0" distL="0" distR="0" wp14:anchorId="16E357E7" wp14:editId="2AB00413">
                  <wp:extent cx="3728085" cy="1943100"/>
                  <wp:effectExtent l="0" t="0" r="5715" b="0"/>
                  <wp:docPr id="37" name="Graf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tc>
      </w:tr>
    </w:tbl>
    <w:p w14:paraId="717C433E" w14:textId="77777777" w:rsidR="0029006B" w:rsidRDefault="0029006B" w:rsidP="0029006B">
      <w:pPr>
        <w:pStyle w:val="Zdroj"/>
        <w:spacing w:after="0"/>
      </w:pPr>
      <w:r>
        <w:t>Zdroj: Eurostat, databáza hlth_silc_01; výpočty a spracovanie NKÚ SR.</w:t>
      </w:r>
    </w:p>
    <w:p w14:paraId="472C992F" w14:textId="77777777" w:rsidR="0029006B" w:rsidRDefault="0029006B" w:rsidP="0029006B">
      <w:pPr>
        <w:pStyle w:val="Zdroj"/>
        <w:spacing w:line="276" w:lineRule="auto"/>
        <w:jc w:val="both"/>
        <w:rPr>
          <w:b/>
          <w:i w:val="0"/>
          <w:color w:val="auto"/>
          <w:sz w:val="20"/>
        </w:rPr>
      </w:pPr>
      <w:r>
        <w:t>Poznámka: Za viaceré krajiny dáta za rok 2023 ešte neboli k dispozícii.</w:t>
      </w:r>
    </w:p>
    <w:p w14:paraId="14FD7D10" w14:textId="1F92C5B6" w:rsidR="0029006B" w:rsidRDefault="0029006B" w:rsidP="0029006B">
      <w:pPr>
        <w:pStyle w:val="Zdroj"/>
        <w:spacing w:line="276" w:lineRule="auto"/>
        <w:jc w:val="both"/>
        <w:rPr>
          <w:i w:val="0"/>
          <w:color w:val="auto"/>
          <w:sz w:val="20"/>
        </w:rPr>
      </w:pPr>
      <w:r>
        <w:rPr>
          <w:b/>
          <w:i w:val="0"/>
          <w:color w:val="auto"/>
          <w:sz w:val="20"/>
        </w:rPr>
        <w:t>Indikátor očakávanej dĺžky života</w:t>
      </w:r>
      <w:r>
        <w:rPr>
          <w:rStyle w:val="Odkaznapoznmkupodiarou"/>
          <w:b/>
          <w:i w:val="0"/>
          <w:color w:val="auto"/>
          <w:sz w:val="20"/>
        </w:rPr>
        <w:footnoteReference w:id="44"/>
      </w:r>
      <w:r>
        <w:rPr>
          <w:b/>
          <w:i w:val="0"/>
          <w:color w:val="auto"/>
          <w:sz w:val="20"/>
        </w:rPr>
        <w:t xml:space="preserve"> v roku 2023 dosiahol na Slovensku výšku 78,1 roka, čo bola stále jedna z najnižších hodnôt v rámci EÚ</w:t>
      </w:r>
      <w:r>
        <w:rPr>
          <w:i w:val="0"/>
          <w:color w:val="auto"/>
          <w:sz w:val="20"/>
        </w:rPr>
        <w:t xml:space="preserve"> (graf 21). Oproti roku 2022 </w:t>
      </w:r>
      <w:r w:rsidR="00F610FC">
        <w:rPr>
          <w:i w:val="0"/>
          <w:color w:val="auto"/>
          <w:sz w:val="20"/>
        </w:rPr>
        <w:t>však</w:t>
      </w:r>
      <w:r>
        <w:rPr>
          <w:i w:val="0"/>
          <w:color w:val="auto"/>
          <w:sz w:val="20"/>
        </w:rPr>
        <w:t xml:space="preserve"> stúpol o 1,1 roka, čo bol siedmy najvyšší rast.</w:t>
      </w:r>
    </w:p>
    <w:p w14:paraId="5BB3923F" w14:textId="77777777" w:rsidR="0029006B" w:rsidRDefault="0029006B" w:rsidP="0029006B">
      <w:pPr>
        <w:pStyle w:val="Popis"/>
        <w:keepNext/>
        <w:rPr>
          <w:i/>
          <w:color w:val="314364"/>
        </w:rPr>
      </w:pPr>
      <w:r>
        <w:rPr>
          <w:color w:val="314364"/>
        </w:rPr>
        <w:t>Graf 21: Očakávaná dĺžka života v rokoch</w:t>
      </w:r>
    </w:p>
    <w:tbl>
      <w:tblPr>
        <w:tblStyle w:val="Mriekatabuky"/>
        <w:tblW w:w="5000" w:type="pct"/>
        <w:tblCellMar>
          <w:left w:w="70" w:type="dxa"/>
          <w:right w:w="70" w:type="dxa"/>
        </w:tblCellMar>
        <w:tblLook w:val="04A0" w:firstRow="1" w:lastRow="0" w:firstColumn="1" w:lastColumn="0" w:noHBand="0" w:noVBand="1"/>
      </w:tblPr>
      <w:tblGrid>
        <w:gridCol w:w="2971"/>
        <w:gridCol w:w="6099"/>
      </w:tblGrid>
      <w:tr w:rsidR="0029006B" w14:paraId="77F5523B" w14:textId="77777777" w:rsidTr="00A81877">
        <w:trPr>
          <w:trHeight w:val="3118"/>
        </w:trPr>
        <w:tc>
          <w:tcPr>
            <w:tcW w:w="2748" w:type="dxa"/>
            <w:tcBorders>
              <w:top w:val="single" w:sz="4" w:space="0" w:color="314364"/>
              <w:left w:val="nil"/>
              <w:bottom w:val="single" w:sz="4" w:space="0" w:color="314364"/>
              <w:right w:val="single" w:sz="4" w:space="0" w:color="auto"/>
            </w:tcBorders>
            <w:vAlign w:val="center"/>
            <w:hideMark/>
          </w:tcPr>
          <w:p w14:paraId="12FE6703" w14:textId="77777777" w:rsidR="0029006B" w:rsidRDefault="0029006B" w:rsidP="00A81877">
            <w:pPr>
              <w:spacing w:after="0"/>
              <w:rPr>
                <w:b/>
                <w:color w:val="576431"/>
              </w:rPr>
            </w:pPr>
            <w:r>
              <w:rPr>
                <w:noProof/>
                <w:lang w:eastAsia="sk-SK"/>
              </w:rPr>
              <w:drawing>
                <wp:inline distT="0" distB="0" distL="0" distR="0" wp14:anchorId="3D99077F" wp14:editId="32C16EA0">
                  <wp:extent cx="1837690" cy="1943100"/>
                  <wp:effectExtent l="0" t="0" r="0" b="0"/>
                  <wp:docPr id="36" name="Graf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tc>
        <w:tc>
          <w:tcPr>
            <w:tcW w:w="6322" w:type="dxa"/>
            <w:tcBorders>
              <w:top w:val="single" w:sz="4" w:space="0" w:color="314364"/>
              <w:left w:val="single" w:sz="4" w:space="0" w:color="auto"/>
              <w:bottom w:val="single" w:sz="4" w:space="0" w:color="314364"/>
              <w:right w:val="nil"/>
            </w:tcBorders>
            <w:hideMark/>
          </w:tcPr>
          <w:p w14:paraId="44C295B0" w14:textId="77777777" w:rsidR="0029006B" w:rsidRDefault="0029006B" w:rsidP="00A81877">
            <w:pPr>
              <w:spacing w:after="0"/>
              <w:rPr>
                <w:b/>
                <w:color w:val="576431"/>
              </w:rPr>
            </w:pPr>
            <w:r>
              <w:rPr>
                <w:noProof/>
                <w:lang w:eastAsia="sk-SK"/>
              </w:rPr>
              <w:drawing>
                <wp:inline distT="0" distB="0" distL="0" distR="0" wp14:anchorId="41BDC1A6" wp14:editId="27BAC8C2">
                  <wp:extent cx="3868420" cy="1943100"/>
                  <wp:effectExtent l="0" t="0" r="0" b="0"/>
                  <wp:docPr id="35" name="Graf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tc>
      </w:tr>
    </w:tbl>
    <w:p w14:paraId="1960A4B6" w14:textId="77777777" w:rsidR="0029006B" w:rsidRDefault="0029006B" w:rsidP="0029006B">
      <w:pPr>
        <w:pStyle w:val="Zdroj"/>
        <w:spacing w:after="0"/>
      </w:pPr>
      <w:r>
        <w:t>Zdroj:  Eurostat, databáza: demo_mlexpec; výpočty a spracovanie NKÚ SR.</w:t>
      </w:r>
    </w:p>
    <w:p w14:paraId="2B9B9696" w14:textId="77777777" w:rsidR="0029006B" w:rsidRDefault="0029006B" w:rsidP="0029006B">
      <w:pPr>
        <w:pStyle w:val="Zdroj"/>
      </w:pPr>
      <w:r>
        <w:t>Poznámka: Hodnoty za Írsko v databáze ešte k roku 2023 neboli uvedené.</w:t>
      </w:r>
    </w:p>
    <w:p w14:paraId="0199A590" w14:textId="188E2581" w:rsidR="00BA5F6A" w:rsidRDefault="00BA5F6A" w:rsidP="001E15F4">
      <w:pPr>
        <w:pStyle w:val="Nadpis3"/>
      </w:pPr>
      <w:bookmarkStart w:id="38" w:name="_Toc168567200"/>
      <w:r>
        <w:t xml:space="preserve">5.1.2 </w:t>
      </w:r>
      <w:r w:rsidR="00E43045">
        <w:t xml:space="preserve"> </w:t>
      </w:r>
      <w:r>
        <w:t>Výdavky verejného zdravotného poistenia</w:t>
      </w:r>
      <w:bookmarkEnd w:id="38"/>
    </w:p>
    <w:p w14:paraId="7E7147B2" w14:textId="1C96DAB7" w:rsidR="00BA5F6A" w:rsidRDefault="00BA5F6A" w:rsidP="00BA5F6A">
      <w:r w:rsidRPr="00D77101">
        <w:rPr>
          <w:b/>
        </w:rPr>
        <w:t xml:space="preserve">Podstatná časť verejných prostriedkov v zdravotníctve prechádza systémom VZP. Podľa dát MZ </w:t>
      </w:r>
      <w:r w:rsidR="00E73A08">
        <w:rPr>
          <w:b/>
        </w:rPr>
        <w:t> </w:t>
      </w:r>
      <w:r w:rsidRPr="00D77101">
        <w:rPr>
          <w:b/>
        </w:rPr>
        <w:t>SR boli celkové</w:t>
      </w:r>
      <w:r>
        <w:t xml:space="preserve"> </w:t>
      </w:r>
      <w:r w:rsidRPr="00654BC8">
        <w:rPr>
          <w:b/>
        </w:rPr>
        <w:t>výdavky VZP v roku 2023 na úrovni 7 164,5 mil. eur. Z hľadiska štruktúry bola najväčšou položkou ústavná zdravotná starostlivosť</w:t>
      </w:r>
      <w:r>
        <w:t xml:space="preserve">, na ktorú bolo vynaložených 2 477,5 mil. eur, teda viac ako tretina celkových výdavkov VZP. Vyše pätinu výdavkov tvoril nákup liekov a treťou najväčšou položkou bola špecializovaná ambulantná starostlivosť so 17,5 </w:t>
      </w:r>
      <w:r w:rsidR="00FB66DA">
        <w:t>%</w:t>
      </w:r>
      <w:r>
        <w:t xml:space="preserve"> podielom </w:t>
      </w:r>
      <w:r w:rsidRPr="00FB66DA">
        <w:t xml:space="preserve">(graf </w:t>
      </w:r>
      <w:r w:rsidR="00773D5B">
        <w:t>22</w:t>
      </w:r>
      <w:r w:rsidRPr="00FB66DA">
        <w:t>)</w:t>
      </w:r>
      <w:r w:rsidR="00FB66DA">
        <w:t>.</w:t>
      </w:r>
    </w:p>
    <w:p w14:paraId="3B3ED84D" w14:textId="462CAD98" w:rsidR="00B151EE" w:rsidRDefault="00B151EE" w:rsidP="00B151EE">
      <w:r w:rsidRPr="006145F0">
        <w:rPr>
          <w:b/>
        </w:rPr>
        <w:t>V období posledných roko</w:t>
      </w:r>
      <w:r>
        <w:rPr>
          <w:b/>
        </w:rPr>
        <w:t>v</w:t>
      </w:r>
      <w:r w:rsidRPr="006145F0">
        <w:rPr>
          <w:b/>
        </w:rPr>
        <w:t xml:space="preserve"> prudk</w:t>
      </w:r>
      <w:r w:rsidR="00456490">
        <w:rPr>
          <w:b/>
        </w:rPr>
        <w:t>o</w:t>
      </w:r>
      <w:r w:rsidRPr="006145F0">
        <w:rPr>
          <w:b/>
        </w:rPr>
        <w:t xml:space="preserve"> </w:t>
      </w:r>
      <w:r w:rsidR="00456490">
        <w:rPr>
          <w:b/>
        </w:rPr>
        <w:t>rastie</w:t>
      </w:r>
      <w:r w:rsidRPr="006145F0">
        <w:rPr>
          <w:b/>
        </w:rPr>
        <w:t xml:space="preserve"> celkov</w:t>
      </w:r>
      <w:r w:rsidR="00456490">
        <w:rPr>
          <w:b/>
        </w:rPr>
        <w:t>ý</w:t>
      </w:r>
      <w:r w:rsidRPr="006145F0">
        <w:rPr>
          <w:b/>
        </w:rPr>
        <w:t xml:space="preserve"> objem výdavkov VZP. Kým v roku 2015 pretieklo cez VZP celkovo 4,2 mld. eur, v roku 2023 to bolo 7,2 mld.</w:t>
      </w:r>
      <w:r>
        <w:t xml:space="preserve"> Pri rozdeľovaní balíka VZP medzi jednotlivé typy zdravotnej starostlivosti dochádza často k zložitým diskusiám, keďže celý sektor zdravotníctva je v zásade podfinancovaný, a preto navýšenie zdrojov pre jeden typ zdravotnej starostlivosti môže znamenať zväčšenie problémov iného sektora zdravotníctva. V poslednom období </w:t>
      </w:r>
      <w:r>
        <w:lastRenderedPageBreak/>
        <w:t>sme boli svedkami výrazného zvýšenia miezd lekárov v ústavnej zdravotnej starostlivosti. NKÚ SR preto analyzoval, či sa tieto navýšenia prejavili v zmene štruktúry výdavkov VZP.</w:t>
      </w:r>
      <w:r w:rsidRPr="00A1102A">
        <w:t xml:space="preserve"> </w:t>
      </w:r>
    </w:p>
    <w:p w14:paraId="69E22BA0" w14:textId="77777777" w:rsidR="0029006B" w:rsidRPr="00BC3CA3" w:rsidRDefault="0029006B" w:rsidP="0029006B">
      <w:pPr>
        <w:pStyle w:val="Popis"/>
        <w:keepNext/>
        <w:rPr>
          <w:color w:val="314364"/>
        </w:rPr>
      </w:pPr>
      <w:r w:rsidRPr="00BC3CA3">
        <w:rPr>
          <w:color w:val="314364"/>
        </w:rPr>
        <w:t>Graf</w:t>
      </w:r>
      <w:r>
        <w:rPr>
          <w:color w:val="314364"/>
        </w:rPr>
        <w:t xml:space="preserve"> 22</w:t>
      </w:r>
      <w:r w:rsidRPr="00BC3CA3">
        <w:rPr>
          <w:color w:val="314364"/>
        </w:rPr>
        <w:t xml:space="preserve">: </w:t>
      </w:r>
      <w:r>
        <w:rPr>
          <w:color w:val="314364"/>
        </w:rPr>
        <w:t>Štruktúra výdavkov VZP v roku 2023 (v %)</w:t>
      </w:r>
    </w:p>
    <w:tbl>
      <w:tblPr>
        <w:tblStyle w:val="Mriekatabuky"/>
        <w:tblW w:w="504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9210"/>
      </w:tblGrid>
      <w:tr w:rsidR="0029006B" w:rsidRPr="00C75134" w14:paraId="2613BBE5" w14:textId="77777777" w:rsidTr="00A81877">
        <w:trPr>
          <w:trHeight w:val="3124"/>
        </w:trPr>
        <w:tc>
          <w:tcPr>
            <w:tcW w:w="9153" w:type="dxa"/>
            <w:tcBorders>
              <w:top w:val="single" w:sz="4" w:space="0" w:color="314364"/>
              <w:bottom w:val="single" w:sz="4" w:space="0" w:color="314364"/>
            </w:tcBorders>
            <w:vAlign w:val="center"/>
          </w:tcPr>
          <w:p w14:paraId="24B09A14" w14:textId="77777777" w:rsidR="0029006B" w:rsidRPr="00C75134" w:rsidRDefault="0029006B" w:rsidP="00A81877">
            <w:pPr>
              <w:spacing w:after="0"/>
              <w:rPr>
                <w:b/>
                <w:color w:val="576431"/>
              </w:rPr>
            </w:pPr>
            <w:r>
              <w:rPr>
                <w:noProof/>
                <w:lang w:eastAsia="sk-SK"/>
              </w:rPr>
              <w:drawing>
                <wp:inline distT="0" distB="0" distL="0" distR="0" wp14:anchorId="76A0FC44" wp14:editId="18FAB1F8">
                  <wp:extent cx="5759450" cy="2496710"/>
                  <wp:effectExtent l="0" t="0" r="0" b="0"/>
                  <wp:docPr id="9" name="Graf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tc>
      </w:tr>
    </w:tbl>
    <w:p w14:paraId="39B06883" w14:textId="40515831" w:rsidR="0029006B" w:rsidRDefault="0029006B" w:rsidP="0029006B">
      <w:pPr>
        <w:pStyle w:val="Zdroj"/>
      </w:pPr>
      <w:r>
        <w:t xml:space="preserve">Zdroj: MZSR, výpočty a </w:t>
      </w:r>
      <w:r w:rsidRPr="00E6404F">
        <w:t>spracovanie NKÚ SR</w:t>
      </w:r>
      <w:r>
        <w:t>.</w:t>
      </w:r>
    </w:p>
    <w:p w14:paraId="17DA1A2D" w14:textId="0AE2CBC8" w:rsidR="00BA5F6A" w:rsidRDefault="006145F0" w:rsidP="00BA5F6A">
      <w:r w:rsidRPr="006145F0">
        <w:rPr>
          <w:b/>
        </w:rPr>
        <w:t>V</w:t>
      </w:r>
      <w:r w:rsidR="00BA5F6A" w:rsidRPr="006145F0">
        <w:rPr>
          <w:b/>
        </w:rPr>
        <w:t> štruktúr</w:t>
      </w:r>
      <w:r w:rsidR="0065156A">
        <w:rPr>
          <w:b/>
        </w:rPr>
        <w:t>e</w:t>
      </w:r>
      <w:r w:rsidR="00BA5F6A" w:rsidRPr="006145F0">
        <w:rPr>
          <w:b/>
        </w:rPr>
        <w:t xml:space="preserve"> výdavkov</w:t>
      </w:r>
      <w:r w:rsidRPr="006145F0">
        <w:rPr>
          <w:b/>
        </w:rPr>
        <w:t xml:space="preserve"> VZP</w:t>
      </w:r>
      <w:r w:rsidR="00BA5F6A" w:rsidRPr="006145F0">
        <w:rPr>
          <w:b/>
        </w:rPr>
        <w:t xml:space="preserve"> je</w:t>
      </w:r>
      <w:r w:rsidR="00BA5F6A">
        <w:t xml:space="preserve"> </w:t>
      </w:r>
      <w:r w:rsidR="00BA5F6A" w:rsidRPr="00654BC8">
        <w:rPr>
          <w:b/>
        </w:rPr>
        <w:t>evidentný posun v prospech ústavnej starostlivosti</w:t>
      </w:r>
      <w:r w:rsidR="00BA5F6A" w:rsidRPr="00F610FC">
        <w:rPr>
          <w:b/>
        </w:rPr>
        <w:t>.</w:t>
      </w:r>
      <w:r w:rsidR="00BA5F6A">
        <w:t xml:space="preserve"> Od roku 2015 sa jej podiel na celkových výdavkoch VZP zvýšil o 7,8 p.</w:t>
      </w:r>
      <w:r>
        <w:t xml:space="preserve"> </w:t>
      </w:r>
      <w:r w:rsidR="00BA5F6A">
        <w:t>b., Mierny nárast podielu zaznamenala aj ambulantná starostlivosť (všeobecná o 1,3 p.</w:t>
      </w:r>
      <w:r>
        <w:t xml:space="preserve"> </w:t>
      </w:r>
      <w:r w:rsidR="00BA5F6A">
        <w:t>b. a špecializovaná o 0,7 p.</w:t>
      </w:r>
      <w:r>
        <w:t xml:space="preserve"> </w:t>
      </w:r>
      <w:r w:rsidR="00BA5F6A">
        <w:t>b.</w:t>
      </w:r>
      <w:r>
        <w:t>)</w:t>
      </w:r>
      <w:r w:rsidR="00BA5F6A">
        <w:t xml:space="preserve"> Tieto nárasty boli uskutočnené na úkor výdavkov na </w:t>
      </w:r>
      <w:r w:rsidR="00C250A0">
        <w:t xml:space="preserve">spoločné vyšetrovacie a liečebné zložky </w:t>
      </w:r>
      <w:r w:rsidR="00BA5F6A">
        <w:t>(pokles o 5,2 p.</w:t>
      </w:r>
      <w:r>
        <w:t xml:space="preserve"> </w:t>
      </w:r>
      <w:r w:rsidR="00BA5F6A">
        <w:t>b.) a na lieky a dietetické potraviny (pokles o 3,3 p.</w:t>
      </w:r>
      <w:r>
        <w:t xml:space="preserve"> </w:t>
      </w:r>
      <w:r w:rsidR="00BA5F6A">
        <w:t>b.)</w:t>
      </w:r>
    </w:p>
    <w:p w14:paraId="252AE52D" w14:textId="1AA979CA" w:rsidR="00BA5F6A" w:rsidRDefault="00BA5F6A" w:rsidP="001E15F4">
      <w:pPr>
        <w:pStyle w:val="Nadpis3"/>
      </w:pPr>
      <w:r>
        <w:t xml:space="preserve"> </w:t>
      </w:r>
      <w:bookmarkStart w:id="39" w:name="_Toc168567201"/>
      <w:r>
        <w:t>5.1.3 Plnenie úsporných opatrení</w:t>
      </w:r>
      <w:bookmarkEnd w:id="39"/>
      <w:r>
        <w:t xml:space="preserve"> </w:t>
      </w:r>
    </w:p>
    <w:p w14:paraId="2C2F782B" w14:textId="136B9D68" w:rsidR="00B44557" w:rsidRPr="00270F8D" w:rsidRDefault="00B44557" w:rsidP="00B44557">
      <w:pPr>
        <w:spacing w:before="120"/>
      </w:pPr>
      <w:r>
        <w:rPr>
          <w:b/>
        </w:rPr>
        <w:t>Podľa návrhu RVS na roky 2023 až 2025</w:t>
      </w:r>
      <w:r w:rsidRPr="00270F8D">
        <w:rPr>
          <w:b/>
        </w:rPr>
        <w:t xml:space="preserve"> mali </w:t>
      </w:r>
      <w:r>
        <w:rPr>
          <w:b/>
        </w:rPr>
        <w:t xml:space="preserve">byť vo výdavkoch VZP v roku 2023 </w:t>
      </w:r>
      <w:r w:rsidRPr="00270F8D">
        <w:rPr>
          <w:b/>
        </w:rPr>
        <w:t xml:space="preserve">realizované úsporné opatrenia vo výške </w:t>
      </w:r>
      <w:r>
        <w:rPr>
          <w:b/>
        </w:rPr>
        <w:t>127</w:t>
      </w:r>
      <w:r w:rsidRPr="00270F8D">
        <w:rPr>
          <w:b/>
        </w:rPr>
        <w:t xml:space="preserve"> mil. eur.</w:t>
      </w:r>
      <w:r>
        <w:t xml:space="preserve"> </w:t>
      </w:r>
      <w:r w:rsidRPr="00FF6E7F">
        <w:rPr>
          <w:b/>
        </w:rPr>
        <w:t xml:space="preserve">Najväčšia časť úspor (67 mil. eur) sa mala </w:t>
      </w:r>
      <w:r>
        <w:rPr>
          <w:b/>
        </w:rPr>
        <w:t>realizovať</w:t>
      </w:r>
      <w:r w:rsidRPr="00FF6E7F">
        <w:rPr>
          <w:b/>
        </w:rPr>
        <w:t xml:space="preserve"> na neefektívnom vynakladaní finančných prostriedkov na lieky. </w:t>
      </w:r>
      <w:r w:rsidRPr="00F113B3">
        <w:t>Úsporné opatrenia</w:t>
      </w:r>
      <w:r w:rsidRPr="00270F8D">
        <w:t xml:space="preserve"> sa zameriavajú na oblasti zdravotníctva, v ktorých dochádza k neefektívnemu využívaniu zdrojov.</w:t>
      </w:r>
      <w:r>
        <w:t xml:space="preserve"> V roku 2023 boli úsporné opatrenia súčasťou metodiky tvorby rozpočtu výdavkov na zdravotníctvo a to ako odpočítateľná položka v štruktúre dodatočných výdavkov súvisiacich so zmenami politík.</w:t>
      </w:r>
    </w:p>
    <w:p w14:paraId="3421E1D0" w14:textId="77777777" w:rsidR="00B44557" w:rsidRDefault="00B44557" w:rsidP="00B44557">
      <w:pPr>
        <w:spacing w:before="120"/>
      </w:pPr>
      <w:r>
        <w:rPr>
          <w:b/>
          <w:szCs w:val="20"/>
        </w:rPr>
        <w:t>Z</w:t>
      </w:r>
      <w:r w:rsidRPr="0019421D">
        <w:rPr>
          <w:b/>
          <w:szCs w:val="20"/>
        </w:rPr>
        <w:t> hodnotených plánovaných úspor</w:t>
      </w:r>
      <w:r>
        <w:rPr>
          <w:b/>
          <w:szCs w:val="20"/>
        </w:rPr>
        <w:t xml:space="preserve"> vo výdavkoch</w:t>
      </w:r>
      <w:r w:rsidRPr="0019421D">
        <w:rPr>
          <w:b/>
          <w:szCs w:val="20"/>
        </w:rPr>
        <w:t xml:space="preserve"> VZP na lieky vo výške 60 mil. eur sa v roku 2023</w:t>
      </w:r>
      <w:r>
        <w:rPr>
          <w:b/>
          <w:szCs w:val="20"/>
        </w:rPr>
        <w:t xml:space="preserve"> skutočne</w:t>
      </w:r>
      <w:r w:rsidRPr="0019421D">
        <w:rPr>
          <w:b/>
          <w:szCs w:val="20"/>
        </w:rPr>
        <w:t xml:space="preserve"> usporilo 22</w:t>
      </w:r>
      <w:r>
        <w:rPr>
          <w:b/>
          <w:szCs w:val="20"/>
        </w:rPr>
        <w:t>,3 mil</w:t>
      </w:r>
      <w:r w:rsidRPr="0019421D">
        <w:rPr>
          <w:b/>
          <w:szCs w:val="20"/>
        </w:rPr>
        <w:t>. eur</w:t>
      </w:r>
      <w:r>
        <w:rPr>
          <w:b/>
          <w:szCs w:val="20"/>
        </w:rPr>
        <w:t xml:space="preserve">, čo predstavovalo </w:t>
      </w:r>
      <w:r w:rsidRPr="00196595">
        <w:rPr>
          <w:b/>
          <w:szCs w:val="20"/>
        </w:rPr>
        <w:t xml:space="preserve">plnenie na 37,1 %. </w:t>
      </w:r>
      <w:r w:rsidRPr="008B36C8">
        <w:rPr>
          <w:b/>
        </w:rPr>
        <w:t>Vzhľadom na to, že skutočné zvýšenie výdavkov na lieky nad očakávania rozpočtu dosiahlo podľa návrhu ŠZÚ za rok 2023 úroveň 179 mil. eur, výrazne to neguje dosiahnutú úsporu a predstavuje riziko nedofinancovania zdravotnej starostlivosti</w:t>
      </w:r>
      <w:r w:rsidRPr="008B36C8">
        <w:rPr>
          <w:b/>
          <w:szCs w:val="20"/>
        </w:rPr>
        <w:t>.</w:t>
      </w:r>
      <w:r w:rsidRPr="008B36C8">
        <w:t xml:space="preserve"> </w:t>
      </w:r>
      <w:r w:rsidRPr="004770DD">
        <w:t xml:space="preserve">Podľa návrhu RVS na roky 2023 až 2025 </w:t>
      </w:r>
      <w:r>
        <w:t xml:space="preserve">kľúčová úspora na </w:t>
      </w:r>
      <w:r w:rsidRPr="00BF5D08">
        <w:t>úrovni 60 mil. eur mala byť dosiahnutá v</w:t>
      </w:r>
      <w:r>
        <w:t> </w:t>
      </w:r>
      <w:r w:rsidRPr="00BF5D08">
        <w:t>oblastiach</w:t>
      </w:r>
      <w:r>
        <w:t xml:space="preserve"> prehodnotenia </w:t>
      </w:r>
      <w:r w:rsidRPr="00BF5D08">
        <w:t>nákladovej efektivity liekov, liekov hradených z VZP na výnimky, aktívneho vynucovania vyrovnávacieho rozdielu</w:t>
      </w:r>
      <w:r w:rsidRPr="00BF5D08">
        <w:rPr>
          <w:rStyle w:val="Odkaznapoznmkupodiarou"/>
        </w:rPr>
        <w:footnoteReference w:id="45"/>
      </w:r>
      <w:r w:rsidRPr="00BF5D08">
        <w:t xml:space="preserve"> a podpory vstupu generík a biologicky podobných liekov (biosimilárov)</w:t>
      </w:r>
      <w:r w:rsidRPr="00BF5D08">
        <w:rPr>
          <w:rStyle w:val="Odkaznapoznmkupodiarou"/>
          <w:sz w:val="18"/>
          <w:szCs w:val="18"/>
        </w:rPr>
        <w:footnoteReference w:id="46"/>
      </w:r>
      <w:r>
        <w:t>.</w:t>
      </w:r>
      <w:r w:rsidRPr="00BF5D08">
        <w:t xml:space="preserve"> </w:t>
      </w:r>
      <w:r>
        <w:t xml:space="preserve">Táto </w:t>
      </w:r>
      <w:r w:rsidRPr="004770DD">
        <w:t xml:space="preserve">výška úspory mala neutralizovať dopad na rozpočet z </w:t>
      </w:r>
      <w:r w:rsidRPr="00ED43E3">
        <w:t>dôvodu očakávaných výdavkov na nové lieky vo výške 60 mil. eur</w:t>
      </w:r>
      <w:r>
        <w:t>.</w:t>
      </w:r>
    </w:p>
    <w:p w14:paraId="18A8E058" w14:textId="3466BD74" w:rsidR="00FA04C6" w:rsidRDefault="00FA04C6" w:rsidP="00FA04C6">
      <w:pPr>
        <w:spacing w:before="120"/>
      </w:pPr>
      <w:r w:rsidRPr="00E41D61">
        <w:rPr>
          <w:b/>
        </w:rPr>
        <w:lastRenderedPageBreak/>
        <w:t xml:space="preserve">NKÚ SR </w:t>
      </w:r>
      <w:r>
        <w:rPr>
          <w:b/>
        </w:rPr>
        <w:t xml:space="preserve">poukazuje na </w:t>
      </w:r>
      <w:r w:rsidRPr="00DB09E4">
        <w:rPr>
          <w:b/>
        </w:rPr>
        <w:t xml:space="preserve">nedosiahnutie úspory </w:t>
      </w:r>
      <w:r w:rsidRPr="00E41D61">
        <w:rPr>
          <w:b/>
        </w:rPr>
        <w:t>u</w:t>
      </w:r>
      <w:r>
        <w:rPr>
          <w:b/>
        </w:rPr>
        <w:t> </w:t>
      </w:r>
      <w:r w:rsidRPr="00E41D61">
        <w:rPr>
          <w:b/>
        </w:rPr>
        <w:t>liekov</w:t>
      </w:r>
      <w:r>
        <w:rPr>
          <w:b/>
        </w:rPr>
        <w:t xml:space="preserve"> </w:t>
      </w:r>
      <w:r w:rsidRPr="00FA04C6">
        <w:t>(vrátane zaradených orphanov</w:t>
      </w:r>
      <w:r w:rsidRPr="00FA04C6">
        <w:rPr>
          <w:rStyle w:val="Odkaznapoznmkupodiarou"/>
        </w:rPr>
        <w:footnoteReference w:id="47"/>
      </w:r>
      <w:r w:rsidRPr="00FA04C6">
        <w:t>)</w:t>
      </w:r>
      <w:r>
        <w:rPr>
          <w:b/>
        </w:rPr>
        <w:t xml:space="preserve"> na základe prehodnotenia nákladovej</w:t>
      </w:r>
      <w:r w:rsidRPr="00753576">
        <w:rPr>
          <w:b/>
        </w:rPr>
        <w:t xml:space="preserve"> efek</w:t>
      </w:r>
      <w:r>
        <w:rPr>
          <w:b/>
        </w:rPr>
        <w:t>tivity</w:t>
      </w:r>
      <w:r w:rsidRPr="00E41D61">
        <w:rPr>
          <w:b/>
        </w:rPr>
        <w:t>.</w:t>
      </w:r>
      <w:r>
        <w:t xml:space="preserve"> V návrhu RVS boli tieto úspory na rok 2023 kvantifikované sumou 12 mil. eur</w:t>
      </w:r>
      <w:r w:rsidR="008D56BA">
        <w:t>. V</w:t>
      </w:r>
      <w:r>
        <w:t xml:space="preserve"> roku 2023 </w:t>
      </w:r>
      <w:r w:rsidR="008D56BA">
        <w:t xml:space="preserve">však </w:t>
      </w:r>
      <w:r>
        <w:t xml:space="preserve">nedošlo zo strany MZ SR k prehodnoteniu nákladovej </w:t>
      </w:r>
      <w:r w:rsidRPr="00DB09E4">
        <w:t xml:space="preserve">efektivity potenciálne </w:t>
      </w:r>
      <w:r>
        <w:t>nákladovo neefektívnych liekov</w:t>
      </w:r>
      <w:r w:rsidR="008D56BA">
        <w:t xml:space="preserve"> (tabuľka 15)</w:t>
      </w:r>
      <w:r>
        <w:t xml:space="preserve">. MZ SR nepožiadalo držiteľov registrácie </w:t>
      </w:r>
      <w:r w:rsidR="008D56BA">
        <w:t>týchto liekov</w:t>
      </w:r>
      <w:r>
        <w:t xml:space="preserve"> o vypracovanie farmakoekonomického rozboru, na základe ktorého by sa znížila úhrada, resp</w:t>
      </w:r>
      <w:r w:rsidR="00876825">
        <w:t>. vyradil liek z kategorizácie.</w:t>
      </w:r>
    </w:p>
    <w:p w14:paraId="7D35627C" w14:textId="77777777" w:rsidR="00876825" w:rsidRDefault="00876825" w:rsidP="00876825">
      <w:pPr>
        <w:spacing w:after="0"/>
        <w:ind w:right="163"/>
        <w:rPr>
          <w:b/>
          <w:szCs w:val="20"/>
        </w:rPr>
      </w:pPr>
      <w:r>
        <w:rPr>
          <w:b/>
          <w:color w:val="314364" w:themeColor="text2"/>
          <w:szCs w:val="20"/>
        </w:rPr>
        <w:t>Tabuľka 15:</w:t>
      </w:r>
      <w:r>
        <w:rPr>
          <w:b/>
          <w:szCs w:val="20"/>
        </w:rPr>
        <w:t xml:space="preserve"> </w:t>
      </w:r>
      <w:r>
        <w:rPr>
          <w:b/>
          <w:color w:val="314364" w:themeColor="text2"/>
          <w:szCs w:val="20"/>
        </w:rPr>
        <w:t>Úspora výdavkov VZP vo vybraných oblastiach liekovej politiky (v tis. eur)</w:t>
      </w:r>
    </w:p>
    <w:tbl>
      <w:tblPr>
        <w:tblW w:w="5000" w:type="pct"/>
        <w:tblBorders>
          <w:bottom w:val="single" w:sz="4" w:space="0" w:color="314364" w:themeColor="text2"/>
        </w:tblBorders>
        <w:tblCellMar>
          <w:left w:w="70" w:type="dxa"/>
          <w:right w:w="70" w:type="dxa"/>
        </w:tblCellMar>
        <w:tblLook w:val="04A0" w:firstRow="1" w:lastRow="0" w:firstColumn="1" w:lastColumn="0" w:noHBand="0" w:noVBand="1"/>
      </w:tblPr>
      <w:tblGrid>
        <w:gridCol w:w="6898"/>
        <w:gridCol w:w="900"/>
        <w:gridCol w:w="1272"/>
      </w:tblGrid>
      <w:tr w:rsidR="00876825" w14:paraId="20470D07" w14:textId="77777777" w:rsidTr="00876825">
        <w:trPr>
          <w:trHeight w:val="283"/>
        </w:trPr>
        <w:tc>
          <w:tcPr>
            <w:tcW w:w="3803" w:type="pct"/>
            <w:tcBorders>
              <w:top w:val="nil"/>
              <w:left w:val="nil"/>
              <w:bottom w:val="nil"/>
              <w:right w:val="nil"/>
            </w:tcBorders>
            <w:shd w:val="clear" w:color="auto" w:fill="314364"/>
            <w:vAlign w:val="center"/>
            <w:hideMark/>
          </w:tcPr>
          <w:p w14:paraId="04102D74" w14:textId="77777777" w:rsidR="00876825" w:rsidRDefault="00876825">
            <w:pPr>
              <w:spacing w:after="0" w:line="240" w:lineRule="auto"/>
              <w:jc w:val="left"/>
              <w:rPr>
                <w:rFonts w:eastAsia="Times New Roman" w:cs="Segoe UI"/>
                <w:b/>
                <w:bCs/>
                <w:color w:val="FFFFFF"/>
                <w:sz w:val="18"/>
                <w:szCs w:val="18"/>
                <w:lang w:eastAsia="sk-SK"/>
              </w:rPr>
            </w:pPr>
            <w:r>
              <w:rPr>
                <w:rFonts w:eastAsia="Times New Roman" w:cs="Segoe UI"/>
                <w:b/>
                <w:bCs/>
                <w:color w:val="FFFFFF"/>
                <w:sz w:val="18"/>
                <w:szCs w:val="18"/>
                <w:lang w:eastAsia="sk-SK"/>
              </w:rPr>
              <w:t>Ukazovateľ</w:t>
            </w:r>
          </w:p>
        </w:tc>
        <w:tc>
          <w:tcPr>
            <w:tcW w:w="496" w:type="pct"/>
            <w:tcBorders>
              <w:top w:val="nil"/>
              <w:left w:val="nil"/>
              <w:bottom w:val="nil"/>
              <w:right w:val="nil"/>
            </w:tcBorders>
            <w:shd w:val="clear" w:color="auto" w:fill="314364"/>
            <w:vAlign w:val="center"/>
            <w:hideMark/>
          </w:tcPr>
          <w:p w14:paraId="7BAC7F19" w14:textId="77777777" w:rsidR="00876825" w:rsidRDefault="00876825">
            <w:pPr>
              <w:spacing w:after="0" w:line="240" w:lineRule="auto"/>
              <w:jc w:val="center"/>
              <w:rPr>
                <w:rFonts w:eastAsia="Times New Roman" w:cs="Segoe UI"/>
                <w:b/>
                <w:bCs/>
                <w:color w:val="FFFFFF"/>
                <w:sz w:val="18"/>
                <w:szCs w:val="18"/>
                <w:lang w:eastAsia="sk-SK"/>
              </w:rPr>
            </w:pPr>
            <w:r>
              <w:rPr>
                <w:rFonts w:eastAsia="Times New Roman" w:cs="Segoe UI"/>
                <w:b/>
                <w:bCs/>
                <w:color w:val="FFFFFF"/>
                <w:sz w:val="18"/>
                <w:szCs w:val="18"/>
                <w:lang w:eastAsia="sk-SK"/>
              </w:rPr>
              <w:t>plán 2023*</w:t>
            </w:r>
          </w:p>
        </w:tc>
        <w:tc>
          <w:tcPr>
            <w:tcW w:w="702" w:type="pct"/>
            <w:tcBorders>
              <w:top w:val="nil"/>
              <w:left w:val="nil"/>
              <w:bottom w:val="nil"/>
              <w:right w:val="nil"/>
            </w:tcBorders>
            <w:shd w:val="clear" w:color="auto" w:fill="314364"/>
            <w:vAlign w:val="center"/>
            <w:hideMark/>
          </w:tcPr>
          <w:p w14:paraId="2394D89F" w14:textId="77777777" w:rsidR="00876825" w:rsidRDefault="00876825">
            <w:pPr>
              <w:spacing w:after="0" w:line="240" w:lineRule="auto"/>
              <w:jc w:val="center"/>
              <w:rPr>
                <w:rFonts w:eastAsia="Times New Roman" w:cs="Segoe UI"/>
                <w:b/>
                <w:bCs/>
                <w:color w:val="FFFFFF"/>
                <w:sz w:val="18"/>
                <w:szCs w:val="18"/>
                <w:lang w:eastAsia="sk-SK"/>
              </w:rPr>
            </w:pPr>
            <w:r>
              <w:rPr>
                <w:rFonts w:eastAsia="Times New Roman" w:cs="Segoe UI"/>
                <w:b/>
                <w:bCs/>
                <w:color w:val="FFFFFF"/>
                <w:sz w:val="18"/>
                <w:szCs w:val="18"/>
                <w:lang w:eastAsia="sk-SK"/>
              </w:rPr>
              <w:t>skutočnosť 2023**</w:t>
            </w:r>
          </w:p>
        </w:tc>
      </w:tr>
      <w:tr w:rsidR="00876825" w14:paraId="0CB70666" w14:textId="77777777" w:rsidTr="00876825">
        <w:trPr>
          <w:trHeight w:val="283"/>
        </w:trPr>
        <w:tc>
          <w:tcPr>
            <w:tcW w:w="3803" w:type="pct"/>
            <w:tcBorders>
              <w:top w:val="nil"/>
              <w:left w:val="nil"/>
              <w:bottom w:val="nil"/>
              <w:right w:val="nil"/>
            </w:tcBorders>
            <w:vAlign w:val="center"/>
            <w:hideMark/>
          </w:tcPr>
          <w:p w14:paraId="60CB8109" w14:textId="77777777" w:rsidR="00876825" w:rsidRDefault="00876825">
            <w:pPr>
              <w:spacing w:after="0" w:line="240" w:lineRule="auto"/>
              <w:jc w:val="left"/>
              <w:rPr>
                <w:rFonts w:eastAsia="Times New Roman" w:cs="Segoe UI"/>
                <w:color w:val="000000"/>
                <w:sz w:val="18"/>
                <w:szCs w:val="18"/>
                <w:lang w:eastAsia="sk-SK"/>
              </w:rPr>
            </w:pPr>
            <w:r>
              <w:rPr>
                <w:rFonts w:eastAsia="Times New Roman" w:cs="Segoe UI"/>
                <w:color w:val="000000"/>
                <w:sz w:val="18"/>
                <w:szCs w:val="18"/>
                <w:lang w:eastAsia="sk-SK"/>
              </w:rPr>
              <w:t xml:space="preserve">Úspora na základe prehodnotenia </w:t>
            </w:r>
            <w:r>
              <w:rPr>
                <w:rFonts w:eastAsia="Times New Roman" w:cs="Segoe UI"/>
                <w:bCs/>
                <w:color w:val="000000"/>
                <w:sz w:val="18"/>
                <w:szCs w:val="18"/>
                <w:lang w:eastAsia="sk-SK"/>
              </w:rPr>
              <w:t xml:space="preserve">nákladovej efektivity liekov </w:t>
            </w:r>
            <w:r>
              <w:rPr>
                <w:rFonts w:eastAsia="Times New Roman" w:cs="Segoe UI"/>
                <w:color w:val="000000"/>
                <w:sz w:val="18"/>
                <w:szCs w:val="18"/>
                <w:lang w:eastAsia="sk-SK"/>
              </w:rPr>
              <w:t>(vrátane zaradených orphanov) zo strany MZ SR u zaradených liekov v kategorizačnom zozname</w:t>
            </w:r>
          </w:p>
        </w:tc>
        <w:tc>
          <w:tcPr>
            <w:tcW w:w="496" w:type="pct"/>
            <w:tcBorders>
              <w:top w:val="nil"/>
              <w:left w:val="nil"/>
              <w:bottom w:val="nil"/>
              <w:right w:val="nil"/>
            </w:tcBorders>
            <w:vAlign w:val="center"/>
            <w:hideMark/>
          </w:tcPr>
          <w:p w14:paraId="7A2218A6" w14:textId="77777777" w:rsidR="00876825" w:rsidRDefault="00876825">
            <w:pPr>
              <w:spacing w:after="0" w:line="240" w:lineRule="auto"/>
              <w:jc w:val="center"/>
              <w:rPr>
                <w:rFonts w:eastAsia="Times New Roman" w:cs="Segoe UI"/>
                <w:color w:val="000000"/>
                <w:sz w:val="18"/>
                <w:szCs w:val="18"/>
                <w:lang w:eastAsia="sk-SK"/>
              </w:rPr>
            </w:pPr>
            <w:r>
              <w:rPr>
                <w:rFonts w:eastAsia="Times New Roman" w:cs="Segoe UI"/>
                <w:color w:val="000000"/>
                <w:sz w:val="18"/>
                <w:szCs w:val="18"/>
                <w:lang w:eastAsia="sk-SK"/>
              </w:rPr>
              <w:t>12 000</w:t>
            </w:r>
          </w:p>
        </w:tc>
        <w:tc>
          <w:tcPr>
            <w:tcW w:w="702" w:type="pct"/>
            <w:tcBorders>
              <w:top w:val="nil"/>
              <w:left w:val="nil"/>
              <w:bottom w:val="nil"/>
              <w:right w:val="nil"/>
            </w:tcBorders>
            <w:vAlign w:val="center"/>
            <w:hideMark/>
          </w:tcPr>
          <w:p w14:paraId="0918851B" w14:textId="77777777" w:rsidR="00876825" w:rsidRDefault="00876825">
            <w:pPr>
              <w:spacing w:after="0" w:line="240" w:lineRule="auto"/>
              <w:jc w:val="center"/>
              <w:rPr>
                <w:rFonts w:eastAsia="Times New Roman" w:cs="Segoe UI"/>
                <w:color w:val="000000"/>
                <w:sz w:val="18"/>
                <w:szCs w:val="18"/>
                <w:lang w:eastAsia="sk-SK"/>
              </w:rPr>
            </w:pPr>
            <w:r>
              <w:rPr>
                <w:rFonts w:eastAsia="Times New Roman" w:cs="Segoe UI"/>
                <w:color w:val="000000"/>
                <w:sz w:val="18"/>
                <w:szCs w:val="18"/>
                <w:lang w:eastAsia="sk-SK"/>
              </w:rPr>
              <w:t>0</w:t>
            </w:r>
          </w:p>
        </w:tc>
      </w:tr>
      <w:tr w:rsidR="00876825" w14:paraId="4406EC97" w14:textId="77777777" w:rsidTr="00876825">
        <w:trPr>
          <w:trHeight w:val="283"/>
        </w:trPr>
        <w:tc>
          <w:tcPr>
            <w:tcW w:w="3803" w:type="pct"/>
            <w:tcBorders>
              <w:top w:val="nil"/>
              <w:left w:val="nil"/>
              <w:bottom w:val="nil"/>
              <w:right w:val="nil"/>
            </w:tcBorders>
            <w:vAlign w:val="center"/>
            <w:hideMark/>
          </w:tcPr>
          <w:p w14:paraId="647D2343" w14:textId="77777777" w:rsidR="00876825" w:rsidRDefault="00876825">
            <w:pPr>
              <w:spacing w:after="0" w:line="240" w:lineRule="auto"/>
              <w:jc w:val="left"/>
              <w:rPr>
                <w:rFonts w:eastAsia="Times New Roman" w:cs="Segoe UI"/>
                <w:color w:val="000000"/>
                <w:sz w:val="18"/>
                <w:szCs w:val="18"/>
                <w:lang w:eastAsia="sk-SK"/>
              </w:rPr>
            </w:pPr>
            <w:r>
              <w:rPr>
                <w:rFonts w:eastAsia="Times New Roman" w:cs="Segoe UI"/>
                <w:color w:val="000000"/>
                <w:sz w:val="18"/>
                <w:szCs w:val="18"/>
                <w:lang w:eastAsia="sk-SK"/>
              </w:rPr>
              <w:t xml:space="preserve">Úspora na základe medziročného porovnania vývoja výdavkov na </w:t>
            </w:r>
            <w:r>
              <w:rPr>
                <w:rFonts w:eastAsia="Times New Roman" w:cs="Segoe UI"/>
                <w:bCs/>
                <w:color w:val="000000"/>
                <w:sz w:val="18"/>
                <w:szCs w:val="18"/>
                <w:lang w:eastAsia="sk-SK"/>
              </w:rPr>
              <w:t>lieky hradené z VZP na výnimky</w:t>
            </w:r>
          </w:p>
        </w:tc>
        <w:tc>
          <w:tcPr>
            <w:tcW w:w="496" w:type="pct"/>
            <w:tcBorders>
              <w:top w:val="nil"/>
              <w:left w:val="nil"/>
              <w:bottom w:val="nil"/>
              <w:right w:val="nil"/>
            </w:tcBorders>
            <w:vAlign w:val="center"/>
            <w:hideMark/>
          </w:tcPr>
          <w:p w14:paraId="2FBEA1A0" w14:textId="77777777" w:rsidR="00876825" w:rsidRDefault="00876825">
            <w:pPr>
              <w:spacing w:after="0" w:line="240" w:lineRule="auto"/>
              <w:jc w:val="center"/>
              <w:rPr>
                <w:rFonts w:eastAsia="Times New Roman" w:cs="Segoe UI"/>
                <w:color w:val="000000"/>
                <w:sz w:val="18"/>
                <w:szCs w:val="18"/>
                <w:lang w:eastAsia="sk-SK"/>
              </w:rPr>
            </w:pPr>
            <w:r>
              <w:rPr>
                <w:rFonts w:eastAsia="Times New Roman" w:cs="Segoe UI"/>
                <w:color w:val="000000"/>
                <w:sz w:val="18"/>
                <w:szCs w:val="18"/>
                <w:lang w:eastAsia="sk-SK"/>
              </w:rPr>
              <w:t>14 000</w:t>
            </w:r>
          </w:p>
        </w:tc>
        <w:tc>
          <w:tcPr>
            <w:tcW w:w="702" w:type="pct"/>
            <w:tcBorders>
              <w:top w:val="nil"/>
              <w:left w:val="nil"/>
              <w:bottom w:val="nil"/>
              <w:right w:val="nil"/>
            </w:tcBorders>
            <w:vAlign w:val="center"/>
            <w:hideMark/>
          </w:tcPr>
          <w:p w14:paraId="3F4B3A43" w14:textId="77777777" w:rsidR="00876825" w:rsidRDefault="00876825">
            <w:pPr>
              <w:spacing w:after="0" w:line="240" w:lineRule="auto"/>
              <w:jc w:val="center"/>
              <w:rPr>
                <w:rFonts w:eastAsia="Times New Roman" w:cs="Segoe UI"/>
                <w:color w:val="000000"/>
                <w:sz w:val="18"/>
                <w:szCs w:val="18"/>
                <w:lang w:eastAsia="sk-SK"/>
              </w:rPr>
            </w:pPr>
            <w:r>
              <w:rPr>
                <w:rFonts w:eastAsia="Times New Roman" w:cs="Segoe UI"/>
                <w:color w:val="000000"/>
                <w:sz w:val="18"/>
                <w:szCs w:val="18"/>
                <w:lang w:eastAsia="sk-SK"/>
              </w:rPr>
              <w:t>12 891</w:t>
            </w:r>
          </w:p>
        </w:tc>
      </w:tr>
      <w:tr w:rsidR="00876825" w14:paraId="53641D05" w14:textId="77777777" w:rsidTr="00876825">
        <w:trPr>
          <w:trHeight w:val="283"/>
        </w:trPr>
        <w:tc>
          <w:tcPr>
            <w:tcW w:w="3803" w:type="pct"/>
            <w:tcBorders>
              <w:top w:val="nil"/>
              <w:left w:val="nil"/>
              <w:bottom w:val="nil"/>
              <w:right w:val="nil"/>
            </w:tcBorders>
            <w:vAlign w:val="center"/>
            <w:hideMark/>
          </w:tcPr>
          <w:p w14:paraId="58AF24EF" w14:textId="77777777" w:rsidR="00876825" w:rsidRDefault="00876825">
            <w:pPr>
              <w:spacing w:after="0" w:line="240" w:lineRule="auto"/>
              <w:jc w:val="left"/>
              <w:rPr>
                <w:rFonts w:eastAsia="Times New Roman" w:cs="Segoe UI"/>
                <w:color w:val="000000"/>
                <w:sz w:val="18"/>
                <w:szCs w:val="18"/>
                <w:lang w:eastAsia="sk-SK"/>
              </w:rPr>
            </w:pPr>
            <w:r>
              <w:rPr>
                <w:rFonts w:eastAsia="Times New Roman" w:cs="Segoe UI"/>
                <w:color w:val="000000"/>
                <w:sz w:val="18"/>
                <w:szCs w:val="18"/>
                <w:lang w:eastAsia="sk-SK"/>
              </w:rPr>
              <w:t xml:space="preserve">Úspora z </w:t>
            </w:r>
            <w:r>
              <w:rPr>
                <w:rFonts w:eastAsia="Times New Roman" w:cs="Segoe UI"/>
                <w:bCs/>
                <w:color w:val="000000"/>
                <w:sz w:val="18"/>
                <w:szCs w:val="18"/>
                <w:lang w:eastAsia="sk-SK"/>
              </w:rPr>
              <w:t>vyrovnávacieho rozdielu</w:t>
            </w:r>
            <w:r>
              <w:rPr>
                <w:rFonts w:eastAsia="Times New Roman" w:cs="Segoe UI"/>
                <w:color w:val="000000"/>
                <w:sz w:val="18"/>
                <w:szCs w:val="18"/>
                <w:lang w:eastAsia="sk-SK"/>
              </w:rPr>
              <w:t xml:space="preserve"> u kategorizovaných liekov</w:t>
            </w:r>
          </w:p>
        </w:tc>
        <w:tc>
          <w:tcPr>
            <w:tcW w:w="496" w:type="pct"/>
            <w:tcBorders>
              <w:top w:val="nil"/>
              <w:left w:val="nil"/>
              <w:bottom w:val="nil"/>
              <w:right w:val="nil"/>
            </w:tcBorders>
            <w:vAlign w:val="center"/>
            <w:hideMark/>
          </w:tcPr>
          <w:p w14:paraId="5228DAFC" w14:textId="77777777" w:rsidR="00876825" w:rsidRDefault="00876825">
            <w:pPr>
              <w:spacing w:after="0" w:line="240" w:lineRule="auto"/>
              <w:jc w:val="center"/>
              <w:rPr>
                <w:rFonts w:eastAsia="Times New Roman" w:cs="Segoe UI"/>
                <w:color w:val="000000"/>
                <w:sz w:val="18"/>
                <w:szCs w:val="18"/>
                <w:lang w:eastAsia="sk-SK"/>
              </w:rPr>
            </w:pPr>
            <w:r>
              <w:rPr>
                <w:rFonts w:eastAsia="Times New Roman" w:cs="Segoe UI"/>
                <w:color w:val="000000"/>
                <w:sz w:val="18"/>
                <w:szCs w:val="18"/>
                <w:lang w:eastAsia="sk-SK"/>
              </w:rPr>
              <w:t>11 000</w:t>
            </w:r>
          </w:p>
        </w:tc>
        <w:tc>
          <w:tcPr>
            <w:tcW w:w="702" w:type="pct"/>
            <w:tcBorders>
              <w:top w:val="nil"/>
              <w:left w:val="nil"/>
              <w:bottom w:val="nil"/>
              <w:right w:val="nil"/>
            </w:tcBorders>
            <w:vAlign w:val="center"/>
            <w:hideMark/>
          </w:tcPr>
          <w:p w14:paraId="0465E08C" w14:textId="77777777" w:rsidR="00876825" w:rsidRDefault="00876825">
            <w:pPr>
              <w:spacing w:after="0" w:line="240" w:lineRule="auto"/>
              <w:jc w:val="center"/>
              <w:rPr>
                <w:rFonts w:eastAsia="Times New Roman" w:cs="Segoe UI"/>
                <w:color w:val="000000"/>
                <w:sz w:val="18"/>
                <w:szCs w:val="18"/>
                <w:lang w:eastAsia="sk-SK"/>
              </w:rPr>
            </w:pPr>
            <w:r>
              <w:rPr>
                <w:rFonts w:eastAsia="Times New Roman" w:cs="Segoe UI"/>
                <w:color w:val="000000"/>
                <w:sz w:val="18"/>
                <w:szCs w:val="18"/>
                <w:lang w:eastAsia="sk-SK"/>
              </w:rPr>
              <w:t>3 255</w:t>
            </w:r>
          </w:p>
        </w:tc>
      </w:tr>
      <w:tr w:rsidR="00876825" w14:paraId="0FAD813C" w14:textId="77777777" w:rsidTr="00876825">
        <w:trPr>
          <w:trHeight w:val="283"/>
        </w:trPr>
        <w:tc>
          <w:tcPr>
            <w:tcW w:w="3803" w:type="pct"/>
            <w:tcBorders>
              <w:top w:val="nil"/>
              <w:left w:val="nil"/>
              <w:bottom w:val="single" w:sz="4" w:space="0" w:color="314364" w:themeColor="text2"/>
              <w:right w:val="nil"/>
            </w:tcBorders>
            <w:vAlign w:val="center"/>
            <w:hideMark/>
          </w:tcPr>
          <w:p w14:paraId="42BA3191" w14:textId="77777777" w:rsidR="00876825" w:rsidRDefault="00876825">
            <w:pPr>
              <w:spacing w:after="0" w:line="240" w:lineRule="auto"/>
              <w:jc w:val="left"/>
              <w:rPr>
                <w:rFonts w:eastAsia="Times New Roman" w:cs="Segoe UI"/>
                <w:color w:val="000000"/>
                <w:sz w:val="18"/>
                <w:szCs w:val="18"/>
                <w:lang w:eastAsia="sk-SK"/>
              </w:rPr>
            </w:pPr>
            <w:r>
              <w:rPr>
                <w:rFonts w:eastAsia="Times New Roman" w:cs="Segoe UI"/>
                <w:color w:val="000000"/>
                <w:sz w:val="18"/>
                <w:szCs w:val="18"/>
                <w:lang w:eastAsia="sk-SK"/>
              </w:rPr>
              <w:t xml:space="preserve">Úspora z podpory vstupu </w:t>
            </w:r>
            <w:r>
              <w:rPr>
                <w:rFonts w:eastAsia="Times New Roman" w:cs="Segoe UI"/>
                <w:bCs/>
                <w:color w:val="000000"/>
                <w:sz w:val="18"/>
                <w:szCs w:val="18"/>
                <w:lang w:eastAsia="sk-SK"/>
              </w:rPr>
              <w:t>generík a biosimilárov</w:t>
            </w:r>
            <w:r>
              <w:rPr>
                <w:rFonts w:eastAsia="Times New Roman" w:cs="Segoe UI"/>
                <w:color w:val="000000"/>
                <w:sz w:val="18"/>
                <w:szCs w:val="18"/>
                <w:lang w:eastAsia="sk-SK"/>
              </w:rPr>
              <w:t xml:space="preserve"> zo strany MZ SR</w:t>
            </w:r>
          </w:p>
        </w:tc>
        <w:tc>
          <w:tcPr>
            <w:tcW w:w="496" w:type="pct"/>
            <w:tcBorders>
              <w:top w:val="nil"/>
              <w:left w:val="nil"/>
              <w:bottom w:val="single" w:sz="4" w:space="0" w:color="314364" w:themeColor="text2"/>
              <w:right w:val="nil"/>
            </w:tcBorders>
            <w:vAlign w:val="center"/>
            <w:hideMark/>
          </w:tcPr>
          <w:p w14:paraId="7C0C5EF7" w14:textId="77777777" w:rsidR="00876825" w:rsidRDefault="00876825">
            <w:pPr>
              <w:spacing w:after="0" w:line="240" w:lineRule="auto"/>
              <w:jc w:val="center"/>
              <w:rPr>
                <w:rFonts w:eastAsia="Times New Roman" w:cs="Segoe UI"/>
                <w:color w:val="000000"/>
                <w:sz w:val="18"/>
                <w:szCs w:val="18"/>
                <w:lang w:eastAsia="sk-SK"/>
              </w:rPr>
            </w:pPr>
            <w:r>
              <w:rPr>
                <w:rFonts w:eastAsia="Times New Roman" w:cs="Segoe UI"/>
                <w:color w:val="000000"/>
                <w:sz w:val="18"/>
                <w:szCs w:val="18"/>
                <w:lang w:eastAsia="sk-SK"/>
              </w:rPr>
              <w:t>23 000</w:t>
            </w:r>
          </w:p>
        </w:tc>
        <w:tc>
          <w:tcPr>
            <w:tcW w:w="702" w:type="pct"/>
            <w:tcBorders>
              <w:top w:val="nil"/>
              <w:left w:val="nil"/>
              <w:bottom w:val="single" w:sz="4" w:space="0" w:color="314364" w:themeColor="text2"/>
              <w:right w:val="nil"/>
            </w:tcBorders>
            <w:vAlign w:val="center"/>
            <w:hideMark/>
          </w:tcPr>
          <w:p w14:paraId="01A41B07" w14:textId="77777777" w:rsidR="00876825" w:rsidRDefault="00876825">
            <w:pPr>
              <w:spacing w:after="0" w:line="240" w:lineRule="auto"/>
              <w:jc w:val="center"/>
              <w:rPr>
                <w:rFonts w:eastAsia="Times New Roman" w:cs="Segoe UI"/>
                <w:color w:val="000000"/>
                <w:sz w:val="18"/>
                <w:szCs w:val="18"/>
                <w:lang w:eastAsia="sk-SK"/>
              </w:rPr>
            </w:pPr>
            <w:r>
              <w:rPr>
                <w:rFonts w:eastAsia="Times New Roman" w:cs="Segoe UI"/>
                <w:color w:val="000000"/>
                <w:sz w:val="18"/>
                <w:szCs w:val="18"/>
                <w:lang w:eastAsia="sk-SK"/>
              </w:rPr>
              <w:t>6 116</w:t>
            </w:r>
          </w:p>
        </w:tc>
      </w:tr>
      <w:tr w:rsidR="00876825" w14:paraId="784EC710" w14:textId="77777777" w:rsidTr="00876825">
        <w:trPr>
          <w:trHeight w:val="283"/>
        </w:trPr>
        <w:tc>
          <w:tcPr>
            <w:tcW w:w="3803" w:type="pct"/>
            <w:tcBorders>
              <w:top w:val="single" w:sz="4" w:space="0" w:color="314364" w:themeColor="text2"/>
              <w:left w:val="nil"/>
              <w:bottom w:val="single" w:sz="4" w:space="0" w:color="314364" w:themeColor="text2"/>
              <w:right w:val="nil"/>
            </w:tcBorders>
            <w:vAlign w:val="center"/>
            <w:hideMark/>
          </w:tcPr>
          <w:p w14:paraId="0E439C4A" w14:textId="77777777" w:rsidR="00876825" w:rsidRDefault="00876825">
            <w:pPr>
              <w:spacing w:after="0" w:line="240" w:lineRule="auto"/>
              <w:jc w:val="left"/>
              <w:rPr>
                <w:rFonts w:eastAsia="Times New Roman" w:cs="Segoe UI"/>
                <w:b/>
                <w:bCs/>
                <w:color w:val="000000"/>
                <w:sz w:val="18"/>
                <w:szCs w:val="18"/>
                <w:lang w:eastAsia="sk-SK"/>
              </w:rPr>
            </w:pPr>
            <w:r>
              <w:rPr>
                <w:rFonts w:eastAsia="Times New Roman" w:cs="Segoe UI"/>
                <w:b/>
                <w:bCs/>
                <w:color w:val="000000"/>
                <w:sz w:val="18"/>
                <w:szCs w:val="18"/>
                <w:lang w:eastAsia="sk-SK"/>
              </w:rPr>
              <w:t>Spolu</w:t>
            </w:r>
          </w:p>
        </w:tc>
        <w:tc>
          <w:tcPr>
            <w:tcW w:w="496" w:type="pct"/>
            <w:tcBorders>
              <w:top w:val="single" w:sz="4" w:space="0" w:color="314364" w:themeColor="text2"/>
              <w:left w:val="nil"/>
              <w:bottom w:val="single" w:sz="4" w:space="0" w:color="314364" w:themeColor="text2"/>
              <w:right w:val="nil"/>
            </w:tcBorders>
            <w:vAlign w:val="center"/>
            <w:hideMark/>
          </w:tcPr>
          <w:p w14:paraId="52CF786B" w14:textId="77777777" w:rsidR="00876825" w:rsidRDefault="00876825">
            <w:pPr>
              <w:spacing w:after="0" w:line="240" w:lineRule="auto"/>
              <w:jc w:val="center"/>
              <w:rPr>
                <w:rFonts w:eastAsia="Times New Roman" w:cs="Segoe UI"/>
                <w:b/>
                <w:color w:val="000000"/>
                <w:sz w:val="18"/>
                <w:szCs w:val="18"/>
                <w:lang w:eastAsia="sk-SK"/>
              </w:rPr>
            </w:pPr>
            <w:r>
              <w:rPr>
                <w:rFonts w:eastAsia="Times New Roman" w:cs="Segoe UI"/>
                <w:b/>
                <w:color w:val="000000"/>
                <w:sz w:val="18"/>
                <w:szCs w:val="18"/>
                <w:lang w:eastAsia="sk-SK"/>
              </w:rPr>
              <w:t>60 000</w:t>
            </w:r>
          </w:p>
        </w:tc>
        <w:tc>
          <w:tcPr>
            <w:tcW w:w="702" w:type="pct"/>
            <w:tcBorders>
              <w:top w:val="single" w:sz="4" w:space="0" w:color="314364" w:themeColor="text2"/>
              <w:left w:val="nil"/>
              <w:bottom w:val="single" w:sz="4" w:space="0" w:color="314364" w:themeColor="text2"/>
              <w:right w:val="nil"/>
            </w:tcBorders>
            <w:vAlign w:val="center"/>
            <w:hideMark/>
          </w:tcPr>
          <w:p w14:paraId="7C4B8589" w14:textId="77777777" w:rsidR="00876825" w:rsidRDefault="00876825">
            <w:pPr>
              <w:spacing w:after="0" w:line="240" w:lineRule="auto"/>
              <w:jc w:val="center"/>
              <w:rPr>
                <w:rFonts w:eastAsia="Times New Roman" w:cs="Segoe UI"/>
                <w:b/>
                <w:color w:val="000000"/>
                <w:sz w:val="18"/>
                <w:szCs w:val="18"/>
                <w:lang w:eastAsia="sk-SK"/>
              </w:rPr>
            </w:pPr>
            <w:r>
              <w:rPr>
                <w:rFonts w:eastAsia="Times New Roman" w:cs="Segoe UI"/>
                <w:b/>
                <w:color w:val="000000"/>
                <w:sz w:val="18"/>
                <w:szCs w:val="18"/>
                <w:lang w:eastAsia="sk-SK"/>
              </w:rPr>
              <w:t>22 262</w:t>
            </w:r>
          </w:p>
        </w:tc>
      </w:tr>
    </w:tbl>
    <w:p w14:paraId="0137990B" w14:textId="77777777" w:rsidR="00876825" w:rsidRDefault="00876825" w:rsidP="00876825">
      <w:pPr>
        <w:pStyle w:val="Zdroj"/>
      </w:pPr>
      <w:r>
        <w:t xml:space="preserve">Zdroj: MF SR, VšZP, ZP Dôvera, ZP Union. </w:t>
      </w:r>
      <w:r>
        <w:br/>
        <w:t>*Návrh RVS na roky 2023 – 2025</w:t>
      </w:r>
      <w:r>
        <w:br/>
        <w:t>**Zdravotné poisťovne spolu</w:t>
      </w:r>
    </w:p>
    <w:p w14:paraId="0FF03C43" w14:textId="58DCB92C" w:rsidR="00BA5F6A" w:rsidRPr="00876825" w:rsidRDefault="00BA5F6A" w:rsidP="00BA5F6A">
      <w:pPr>
        <w:spacing w:before="120"/>
        <w:ind w:right="-2"/>
        <w:rPr>
          <w:szCs w:val="20"/>
        </w:rPr>
      </w:pPr>
      <w:r w:rsidRPr="00876825">
        <w:rPr>
          <w:b/>
          <w:szCs w:val="20"/>
        </w:rPr>
        <w:t>Podľa ZP sa v roku 2023 dosiahli úspory zo zníženej spotreby liekov na výnimky vo výške 12</w:t>
      </w:r>
      <w:r w:rsidR="008D56BA" w:rsidRPr="00876825">
        <w:rPr>
          <w:b/>
          <w:szCs w:val="20"/>
        </w:rPr>
        <w:t>,9</w:t>
      </w:r>
      <w:r w:rsidRPr="00876825">
        <w:rPr>
          <w:b/>
          <w:szCs w:val="20"/>
        </w:rPr>
        <w:t xml:space="preserve"> </w:t>
      </w:r>
      <w:r w:rsidR="008D56BA" w:rsidRPr="00876825">
        <w:rPr>
          <w:b/>
          <w:szCs w:val="20"/>
        </w:rPr>
        <w:t>m</w:t>
      </w:r>
      <w:r w:rsidRPr="00876825">
        <w:rPr>
          <w:b/>
          <w:szCs w:val="20"/>
        </w:rPr>
        <w:t>i</w:t>
      </w:r>
      <w:r w:rsidR="008D56BA" w:rsidRPr="00876825">
        <w:rPr>
          <w:b/>
          <w:szCs w:val="20"/>
        </w:rPr>
        <w:t>l</w:t>
      </w:r>
      <w:r w:rsidRPr="00876825">
        <w:rPr>
          <w:b/>
          <w:szCs w:val="20"/>
        </w:rPr>
        <w:t>. eur aj v dôsledku prijatia novely zákona 363/2011 Z. z. platnej od 1. 8. 2022.</w:t>
      </w:r>
      <w:r>
        <w:rPr>
          <w:szCs w:val="20"/>
        </w:rPr>
        <w:t xml:space="preserve"> </w:t>
      </w:r>
      <w:r>
        <w:t xml:space="preserve">V návrhu RVS boli tieto úspory kvantifikované sumou 14 mil. eur. </w:t>
      </w:r>
      <w:r w:rsidRPr="00876825">
        <w:t xml:space="preserve">NKÚ SR upozorňuje, že </w:t>
      </w:r>
      <w:r w:rsidRPr="00876825">
        <w:rPr>
          <w:szCs w:val="20"/>
        </w:rPr>
        <w:t>z pohľadu celkových výdavkov VZP na lieky ide len o redistribúciu výdavkov z výnimiek na úhradu štandardne kategorizovaných liekov.</w:t>
      </w:r>
    </w:p>
    <w:p w14:paraId="10B8197C" w14:textId="1176706B" w:rsidR="00B44557" w:rsidRPr="00CF18D3" w:rsidRDefault="00B44557" w:rsidP="00B44557">
      <w:pPr>
        <w:spacing w:before="120"/>
        <w:ind w:right="-2"/>
        <w:rPr>
          <w:szCs w:val="20"/>
        </w:rPr>
      </w:pPr>
      <w:r>
        <w:rPr>
          <w:b/>
          <w:szCs w:val="20"/>
        </w:rPr>
        <w:t>P</w:t>
      </w:r>
      <w:r w:rsidRPr="00B64B3C">
        <w:rPr>
          <w:b/>
          <w:szCs w:val="20"/>
        </w:rPr>
        <w:t xml:space="preserve">roces uzatvárania zmlúv </w:t>
      </w:r>
      <w:r>
        <w:rPr>
          <w:b/>
          <w:szCs w:val="20"/>
        </w:rPr>
        <w:t xml:space="preserve">medzi MZ SR a farmaceutickými firmami </w:t>
      </w:r>
      <w:r w:rsidRPr="00B64B3C">
        <w:rPr>
          <w:b/>
          <w:szCs w:val="20"/>
        </w:rPr>
        <w:t xml:space="preserve">predstavuje významné </w:t>
      </w:r>
      <w:r>
        <w:rPr>
          <w:b/>
          <w:szCs w:val="20"/>
        </w:rPr>
        <w:t xml:space="preserve">riziko udržateľnosti výdavkov </w:t>
      </w:r>
      <w:r w:rsidRPr="00B64B3C">
        <w:rPr>
          <w:b/>
          <w:szCs w:val="20"/>
        </w:rPr>
        <w:t>VZP v ďalšom období.</w:t>
      </w:r>
      <w:r>
        <w:rPr>
          <w:b/>
          <w:szCs w:val="20"/>
        </w:rPr>
        <w:t xml:space="preserve"> </w:t>
      </w:r>
      <w:r w:rsidRPr="00B64B3C">
        <w:rPr>
          <w:szCs w:val="20"/>
        </w:rPr>
        <w:t>Novela zákona č. 363/2011 Z. z.</w:t>
      </w:r>
      <w:r>
        <w:rPr>
          <w:szCs w:val="20"/>
        </w:rPr>
        <w:t xml:space="preserve"> </w:t>
      </w:r>
      <w:r w:rsidRPr="00B64B3C">
        <w:rPr>
          <w:szCs w:val="20"/>
        </w:rPr>
        <w:t>o rozsahu a podmienkach úhrady liekov, zdravotníckych pomôcok a dietetických potravín na základe VZP, ktor</w:t>
      </w:r>
      <w:r>
        <w:rPr>
          <w:szCs w:val="20"/>
        </w:rPr>
        <w:t>á nadobudla platnosť 1. 8. 2022</w:t>
      </w:r>
      <w:r w:rsidRPr="00B64B3C">
        <w:rPr>
          <w:szCs w:val="20"/>
        </w:rPr>
        <w:t>, mala za cieľ znížiť náklady na lieky vo výnimkovom režime. N</w:t>
      </w:r>
      <w:r>
        <w:rPr>
          <w:szCs w:val="20"/>
        </w:rPr>
        <w:t xml:space="preserve">a základe tejto </w:t>
      </w:r>
      <w:r w:rsidRPr="00B64B3C">
        <w:rPr>
          <w:szCs w:val="20"/>
        </w:rPr>
        <w:t>novely</w:t>
      </w:r>
      <w:r>
        <w:rPr>
          <w:szCs w:val="20"/>
        </w:rPr>
        <w:t xml:space="preserve"> zákona</w:t>
      </w:r>
      <w:r w:rsidRPr="00B64B3C">
        <w:rPr>
          <w:szCs w:val="20"/>
        </w:rPr>
        <w:t xml:space="preserve"> MZ SR navrhlo vyriešiť problematiku úhrad liekov na výnimky uzatvár</w:t>
      </w:r>
      <w:r>
        <w:rPr>
          <w:szCs w:val="20"/>
        </w:rPr>
        <w:t xml:space="preserve">aním neverejných zmlúv </w:t>
      </w:r>
      <w:r w:rsidRPr="00B64B3C">
        <w:rPr>
          <w:szCs w:val="20"/>
        </w:rPr>
        <w:t>priamo medzi MZ SR a vybranými držit</w:t>
      </w:r>
      <w:r>
        <w:rPr>
          <w:szCs w:val="20"/>
        </w:rPr>
        <w:t xml:space="preserve">eľmi registrácie liekov. </w:t>
      </w:r>
      <w:r w:rsidRPr="00F86B21">
        <w:rPr>
          <w:szCs w:val="20"/>
        </w:rPr>
        <w:t xml:space="preserve">Podľa ZP </w:t>
      </w:r>
      <w:r w:rsidRPr="00B64B3C">
        <w:rPr>
          <w:szCs w:val="20"/>
        </w:rPr>
        <w:t>síce výdavky na lieky vo výnimkovom režime sa v roku 2023 medziročne znížili, ale z</w:t>
      </w:r>
      <w:r>
        <w:rPr>
          <w:szCs w:val="20"/>
        </w:rPr>
        <w:t xml:space="preserve"> </w:t>
      </w:r>
      <w:r w:rsidRPr="00F86B21">
        <w:rPr>
          <w:szCs w:val="20"/>
        </w:rPr>
        <w:t>webovej stránky MZ SR</w:t>
      </w:r>
      <w:r>
        <w:rPr>
          <w:szCs w:val="20"/>
        </w:rPr>
        <w:t xml:space="preserve"> (Katego</w:t>
      </w:r>
      <w:r w:rsidRPr="00F86B21">
        <w:rPr>
          <w:szCs w:val="20"/>
        </w:rPr>
        <w:t>rizácia E-portál)</w:t>
      </w:r>
      <w:r>
        <w:rPr>
          <w:rStyle w:val="Odkaznapoznmkupodiarou"/>
          <w:szCs w:val="20"/>
        </w:rPr>
        <w:footnoteReference w:id="48"/>
      </w:r>
      <w:r w:rsidRPr="00B64B3C">
        <w:rPr>
          <w:szCs w:val="20"/>
        </w:rPr>
        <w:t xml:space="preserve"> vyplýva, že uzatvorené zmluvy spôsobili mimoriadne vysoký nárast objemu </w:t>
      </w:r>
      <w:r w:rsidRPr="00F86B21">
        <w:rPr>
          <w:szCs w:val="20"/>
        </w:rPr>
        <w:t xml:space="preserve">výdavkov VZP </w:t>
      </w:r>
      <w:r>
        <w:rPr>
          <w:szCs w:val="20"/>
        </w:rPr>
        <w:t>na nové lieky</w:t>
      </w:r>
      <w:r w:rsidRPr="00B64B3C">
        <w:rPr>
          <w:szCs w:val="20"/>
        </w:rPr>
        <w:t>. Odhad výdavkov VZP na</w:t>
      </w:r>
      <w:r>
        <w:rPr>
          <w:szCs w:val="20"/>
        </w:rPr>
        <w:t xml:space="preserve"> nové</w:t>
      </w:r>
      <w:r w:rsidRPr="00B64B3C">
        <w:rPr>
          <w:szCs w:val="20"/>
        </w:rPr>
        <w:t xml:space="preserve"> lieky</w:t>
      </w:r>
      <w:r>
        <w:rPr>
          <w:szCs w:val="20"/>
        </w:rPr>
        <w:t xml:space="preserve"> </w:t>
      </w:r>
      <w:r w:rsidRPr="00B64B3C">
        <w:rPr>
          <w:szCs w:val="20"/>
        </w:rPr>
        <w:t xml:space="preserve">na </w:t>
      </w:r>
      <w:r w:rsidRPr="00B34857">
        <w:rPr>
          <w:szCs w:val="20"/>
        </w:rPr>
        <w:t xml:space="preserve">12 po sebe nasledujúcich mesiacov </w:t>
      </w:r>
      <w:r>
        <w:rPr>
          <w:szCs w:val="20"/>
        </w:rPr>
        <w:t>na základe uzavretých zmlúv</w:t>
      </w:r>
      <w:r w:rsidRPr="00B64B3C">
        <w:rPr>
          <w:szCs w:val="20"/>
        </w:rPr>
        <w:t xml:space="preserve"> v rokoch 2022</w:t>
      </w:r>
      <w:r>
        <w:rPr>
          <w:szCs w:val="20"/>
        </w:rPr>
        <w:t xml:space="preserve"> – </w:t>
      </w:r>
      <w:r w:rsidRPr="00B64B3C">
        <w:rPr>
          <w:szCs w:val="20"/>
        </w:rPr>
        <w:t xml:space="preserve">2023 dosiahol úroveň 255,4 mil. eur. </w:t>
      </w:r>
      <w:r>
        <w:rPr>
          <w:szCs w:val="20"/>
        </w:rPr>
        <w:t xml:space="preserve">NKÚ SR pripravuje </w:t>
      </w:r>
      <w:r w:rsidR="00111FF4">
        <w:rPr>
          <w:szCs w:val="20"/>
        </w:rPr>
        <w:t xml:space="preserve">kontrolu </w:t>
      </w:r>
      <w:r>
        <w:rPr>
          <w:szCs w:val="20"/>
        </w:rPr>
        <w:t>v</w:t>
      </w:r>
      <w:r w:rsidR="004B1FF4">
        <w:rPr>
          <w:szCs w:val="20"/>
        </w:rPr>
        <w:t> </w:t>
      </w:r>
      <w:r>
        <w:rPr>
          <w:szCs w:val="20"/>
        </w:rPr>
        <w:t>oblasti liekovej politiky.</w:t>
      </w:r>
    </w:p>
    <w:p w14:paraId="770BC139" w14:textId="2F8F72B0" w:rsidR="00BA5F6A" w:rsidRPr="00ED43E3" w:rsidRDefault="00BA5F6A" w:rsidP="00BA5F6A">
      <w:pPr>
        <w:spacing w:before="120"/>
        <w:ind w:right="-2"/>
        <w:rPr>
          <w:szCs w:val="20"/>
        </w:rPr>
      </w:pPr>
      <w:r>
        <w:rPr>
          <w:b/>
          <w:szCs w:val="20"/>
        </w:rPr>
        <w:t>Úspora z u</w:t>
      </w:r>
      <w:r w:rsidRPr="00E41D61">
        <w:rPr>
          <w:b/>
          <w:szCs w:val="20"/>
        </w:rPr>
        <w:t>platňovani</w:t>
      </w:r>
      <w:r>
        <w:rPr>
          <w:b/>
          <w:szCs w:val="20"/>
        </w:rPr>
        <w:t xml:space="preserve">a </w:t>
      </w:r>
      <w:r w:rsidRPr="00E41D61">
        <w:rPr>
          <w:b/>
          <w:szCs w:val="20"/>
        </w:rPr>
        <w:t>vyrovnávacieho rozdielu</w:t>
      </w:r>
      <w:r>
        <w:rPr>
          <w:b/>
          <w:szCs w:val="20"/>
        </w:rPr>
        <w:t xml:space="preserve"> u kategorizovaných liekov v plánovanej sume 11</w:t>
      </w:r>
      <w:r w:rsidRPr="00E41D61">
        <w:rPr>
          <w:b/>
          <w:color w:val="FF0000"/>
          <w:szCs w:val="20"/>
        </w:rPr>
        <w:t xml:space="preserve"> </w:t>
      </w:r>
      <w:r>
        <w:rPr>
          <w:b/>
          <w:szCs w:val="20"/>
        </w:rPr>
        <w:t xml:space="preserve">mil. eur za rok 2023 bola dosiahnutá </w:t>
      </w:r>
      <w:r w:rsidRPr="00B34857">
        <w:rPr>
          <w:b/>
          <w:szCs w:val="20"/>
        </w:rPr>
        <w:t xml:space="preserve">len </w:t>
      </w:r>
      <w:r>
        <w:rPr>
          <w:b/>
          <w:szCs w:val="20"/>
        </w:rPr>
        <w:t>vo výške 3</w:t>
      </w:r>
      <w:r w:rsidR="008D56BA">
        <w:rPr>
          <w:b/>
          <w:szCs w:val="20"/>
        </w:rPr>
        <w:t>,3 mil</w:t>
      </w:r>
      <w:r>
        <w:rPr>
          <w:b/>
          <w:szCs w:val="20"/>
        </w:rPr>
        <w:t>. eur</w:t>
      </w:r>
      <w:r w:rsidRPr="00B34857">
        <w:rPr>
          <w:b/>
          <w:szCs w:val="20"/>
        </w:rPr>
        <w:t xml:space="preserve">. </w:t>
      </w:r>
      <w:r w:rsidRPr="00B34857">
        <w:rPr>
          <w:szCs w:val="20"/>
        </w:rPr>
        <w:t>Podľa ZP</w:t>
      </w:r>
      <w:r>
        <w:rPr>
          <w:szCs w:val="20"/>
        </w:rPr>
        <w:t xml:space="preserve"> Dôvera a ZP Union</w:t>
      </w:r>
      <w:r w:rsidRPr="00B34857">
        <w:rPr>
          <w:szCs w:val="20"/>
        </w:rPr>
        <w:t xml:space="preserve"> proces </w:t>
      </w:r>
      <w:r>
        <w:rPr>
          <w:szCs w:val="20"/>
        </w:rPr>
        <w:t>správneho konania vo veci vyrovnáva</w:t>
      </w:r>
      <w:r w:rsidRPr="00B64B3C">
        <w:rPr>
          <w:szCs w:val="20"/>
        </w:rPr>
        <w:t xml:space="preserve">cieho rozdielu </w:t>
      </w:r>
      <w:r w:rsidRPr="00B34857">
        <w:rPr>
          <w:szCs w:val="20"/>
        </w:rPr>
        <w:t xml:space="preserve">bol príliš zdĺhavý, pretože MZ SR ho </w:t>
      </w:r>
      <w:r w:rsidRPr="00ED43E3">
        <w:rPr>
          <w:szCs w:val="20"/>
        </w:rPr>
        <w:t>vykonávalo nesystémovo a nedôsledne. Podľa VšZP boli vysporiadané niektoré vyrovnávacie rozdiely po rozhodnutiach o</w:t>
      </w:r>
      <w:r>
        <w:rPr>
          <w:szCs w:val="20"/>
        </w:rPr>
        <w:t> </w:t>
      </w:r>
      <w:r w:rsidRPr="00ED43E3">
        <w:rPr>
          <w:szCs w:val="20"/>
        </w:rPr>
        <w:t>úhrade</w:t>
      </w:r>
      <w:r>
        <w:rPr>
          <w:szCs w:val="20"/>
        </w:rPr>
        <w:t xml:space="preserve"> liekov</w:t>
      </w:r>
      <w:r w:rsidRPr="00ED43E3">
        <w:rPr>
          <w:szCs w:val="20"/>
        </w:rPr>
        <w:t>, ktoré MZ SR vydalo v 2. polroku 2023.</w:t>
      </w:r>
    </w:p>
    <w:p w14:paraId="1900A2BE" w14:textId="3A876C5E" w:rsidR="00BA5F6A" w:rsidRDefault="00BA5F6A" w:rsidP="00BA5F6A">
      <w:pPr>
        <w:spacing w:before="120"/>
        <w:ind w:right="-2"/>
        <w:rPr>
          <w:szCs w:val="20"/>
        </w:rPr>
      </w:pPr>
      <w:r>
        <w:rPr>
          <w:b/>
          <w:szCs w:val="20"/>
        </w:rPr>
        <w:t>V návrhu RVS bola navrhnutá</w:t>
      </w:r>
      <w:r w:rsidR="007B6FB2">
        <w:rPr>
          <w:b/>
          <w:szCs w:val="20"/>
        </w:rPr>
        <w:t xml:space="preserve"> aj</w:t>
      </w:r>
      <w:r>
        <w:rPr>
          <w:b/>
          <w:szCs w:val="20"/>
        </w:rPr>
        <w:t xml:space="preserve"> úspora </w:t>
      </w:r>
      <w:r w:rsidR="008D56BA" w:rsidRPr="008D56BA">
        <w:rPr>
          <w:b/>
          <w:szCs w:val="20"/>
        </w:rPr>
        <w:t xml:space="preserve">z podpory vstupu generík a biosimilárov zo strany MZ SR </w:t>
      </w:r>
      <w:r>
        <w:rPr>
          <w:b/>
          <w:szCs w:val="20"/>
        </w:rPr>
        <w:t>vo výške 23</w:t>
      </w:r>
      <w:r w:rsidRPr="00E41D61">
        <w:rPr>
          <w:b/>
          <w:szCs w:val="20"/>
        </w:rPr>
        <w:t xml:space="preserve"> mil. eur</w:t>
      </w:r>
      <w:r>
        <w:rPr>
          <w:b/>
          <w:szCs w:val="20"/>
        </w:rPr>
        <w:t xml:space="preserve"> za rok 2023</w:t>
      </w:r>
      <w:r w:rsidR="008D56BA">
        <w:rPr>
          <w:b/>
          <w:szCs w:val="20"/>
        </w:rPr>
        <w:t>, avšak s</w:t>
      </w:r>
      <w:r>
        <w:rPr>
          <w:b/>
          <w:szCs w:val="20"/>
        </w:rPr>
        <w:t>kutočná úspora dosiahla 6</w:t>
      </w:r>
      <w:r w:rsidR="0037141B">
        <w:rPr>
          <w:b/>
          <w:szCs w:val="20"/>
        </w:rPr>
        <w:t>,</w:t>
      </w:r>
      <w:r>
        <w:rPr>
          <w:b/>
          <w:szCs w:val="20"/>
        </w:rPr>
        <w:t>1</w:t>
      </w:r>
      <w:r w:rsidR="0037141B">
        <w:rPr>
          <w:b/>
          <w:szCs w:val="20"/>
        </w:rPr>
        <w:t xml:space="preserve"> mil</w:t>
      </w:r>
      <w:r>
        <w:rPr>
          <w:b/>
          <w:szCs w:val="20"/>
        </w:rPr>
        <w:t xml:space="preserve">. eur. </w:t>
      </w:r>
      <w:r>
        <w:rPr>
          <w:szCs w:val="20"/>
        </w:rPr>
        <w:t xml:space="preserve">Legislatíva súvisiaca so vstupom generík a biosimilárov sa síce upravila s účinnosťou od 1. 8. 2022, avšak neboli vyriešené ďalšie problémy ovplyvňujúce vstup tejto skupiny liekov do systému VZP. Okrem toho v priebehu roka 2023 ZP zaznamenali nerovnaký prístup MZ SR k znižovaniu úhrad originálnych liekov po vstupe </w:t>
      </w:r>
      <w:r>
        <w:rPr>
          <w:szCs w:val="20"/>
        </w:rPr>
        <w:lastRenderedPageBreak/>
        <w:t>generických a biosimilárnych liekov v jednotlivých referenčných skupinách a nedôsledné vykonávanie revízie úhrad v zmysle platnej legislatívy.</w:t>
      </w:r>
    </w:p>
    <w:p w14:paraId="0E319D1B" w14:textId="798E9DE8" w:rsidR="00BA5F6A" w:rsidRPr="00C2479B" w:rsidRDefault="00BA5F6A" w:rsidP="00523D20">
      <w:pPr>
        <w:pStyle w:val="Nadpis3"/>
      </w:pPr>
      <w:bookmarkStart w:id="40" w:name="_Toc168567202"/>
      <w:r>
        <w:t xml:space="preserve">5.1.4 </w:t>
      </w:r>
      <w:r w:rsidR="00E43045">
        <w:t xml:space="preserve"> </w:t>
      </w:r>
      <w:r w:rsidRPr="00C2479B">
        <w:t>Zadlženosť zdravotníckych zariadení</w:t>
      </w:r>
      <w:bookmarkEnd w:id="40"/>
    </w:p>
    <w:p w14:paraId="2064C0F2" w14:textId="7D709AE2" w:rsidR="00BA5F6A" w:rsidRDefault="00BA5F6A" w:rsidP="00BA5F6A">
      <w:pPr>
        <w:rPr>
          <w:rFonts w:cs="Segoe UI"/>
        </w:rPr>
      </w:pPr>
      <w:r w:rsidRPr="00F113B3">
        <w:rPr>
          <w:rFonts w:cs="Segoe UI"/>
          <w:b/>
        </w:rPr>
        <w:t>ZZ n</w:t>
      </w:r>
      <w:r w:rsidRPr="00616AFC">
        <w:rPr>
          <w:rFonts w:cs="Segoe UI"/>
          <w:b/>
        </w:rPr>
        <w:t>a Slovensku čelia vážnemu a dlhotrvajúcemu problému, ktorým je chronické zadlžovanie.</w:t>
      </w:r>
      <w:r w:rsidRPr="00616AFC">
        <w:rPr>
          <w:rFonts w:cs="Segoe UI"/>
        </w:rPr>
        <w:t xml:space="preserve"> Zvlášť </w:t>
      </w:r>
      <w:r w:rsidR="008D56BA">
        <w:rPr>
          <w:rFonts w:cs="Segoe UI"/>
        </w:rPr>
        <w:t>problematické</w:t>
      </w:r>
      <w:r w:rsidRPr="00616AFC">
        <w:rPr>
          <w:rFonts w:cs="Segoe UI"/>
        </w:rPr>
        <w:t xml:space="preserve"> je, že ani viackrát navrhované systémové opatrenia</w:t>
      </w:r>
      <w:r>
        <w:rPr>
          <w:rFonts w:cs="Segoe UI"/>
        </w:rPr>
        <w:t xml:space="preserve"> v podobe revízií</w:t>
      </w:r>
      <w:r w:rsidRPr="00616AFC">
        <w:rPr>
          <w:rFonts w:cs="Segoe UI"/>
        </w:rPr>
        <w:t xml:space="preserve"> výdavkov na zdravotníctvo</w:t>
      </w:r>
      <w:r>
        <w:rPr>
          <w:rFonts w:cs="Segoe UI"/>
        </w:rPr>
        <w:t xml:space="preserve"> </w:t>
      </w:r>
      <w:r w:rsidRPr="00616AFC">
        <w:rPr>
          <w:rFonts w:cs="Segoe UI"/>
        </w:rPr>
        <w:t>nepriniesli ri</w:t>
      </w:r>
      <w:r w:rsidR="002727A0">
        <w:rPr>
          <w:rFonts w:cs="Segoe UI"/>
        </w:rPr>
        <w:t>ešenia problému zadlženosti ZZ.</w:t>
      </w:r>
    </w:p>
    <w:p w14:paraId="3E0EA6A6" w14:textId="77777777" w:rsidR="00F80593" w:rsidRDefault="00F80593" w:rsidP="00F80593">
      <w:pPr>
        <w:spacing w:after="0"/>
        <w:ind w:right="163"/>
        <w:rPr>
          <w:b/>
          <w:color w:val="314364" w:themeColor="text2"/>
          <w:szCs w:val="20"/>
        </w:rPr>
      </w:pPr>
      <w:r>
        <w:rPr>
          <w:b/>
          <w:color w:val="314364" w:themeColor="text2"/>
          <w:szCs w:val="20"/>
        </w:rPr>
        <w:t>Graf 23 Vývoj štruktúry záväzkov v rezorte zdravotníctva na úrovni istiny (v mil. eur)</w:t>
      </w:r>
      <w:r w:rsidDel="00B76514">
        <w:rPr>
          <w:b/>
          <w:color w:val="314364" w:themeColor="text2"/>
          <w:szCs w:val="20"/>
        </w:rPr>
        <w:t xml:space="preserve"> </w:t>
      </w:r>
    </w:p>
    <w:tbl>
      <w:tblPr>
        <w:tblStyle w:val="Mriekatabuky"/>
        <w:tblW w:w="0" w:type="auto"/>
        <w:tblCellMar>
          <w:left w:w="70" w:type="dxa"/>
          <w:right w:w="70" w:type="dxa"/>
        </w:tblCellMar>
        <w:tblLook w:val="04A0" w:firstRow="1" w:lastRow="0" w:firstColumn="1" w:lastColumn="0" w:noHBand="0" w:noVBand="1"/>
      </w:tblPr>
      <w:tblGrid>
        <w:gridCol w:w="9070"/>
      </w:tblGrid>
      <w:tr w:rsidR="00F80593" w14:paraId="7326DF7E" w14:textId="77777777" w:rsidTr="00A81877">
        <w:trPr>
          <w:trHeight w:val="3402"/>
        </w:trPr>
        <w:tc>
          <w:tcPr>
            <w:tcW w:w="9070" w:type="dxa"/>
            <w:tcBorders>
              <w:top w:val="single" w:sz="4" w:space="0" w:color="314364" w:themeColor="text2"/>
              <w:left w:val="nil"/>
              <w:bottom w:val="single" w:sz="4" w:space="0" w:color="314364" w:themeColor="text2"/>
              <w:right w:val="nil"/>
            </w:tcBorders>
            <w:hideMark/>
          </w:tcPr>
          <w:p w14:paraId="531BF8DC" w14:textId="77777777" w:rsidR="00F80593" w:rsidRDefault="00F80593" w:rsidP="00A81877">
            <w:pPr>
              <w:spacing w:after="0"/>
              <w:rPr>
                <w:rFonts w:cs="Segoe UI"/>
              </w:rPr>
            </w:pPr>
            <w:r>
              <w:rPr>
                <w:noProof/>
                <w:lang w:eastAsia="sk-SK"/>
              </w:rPr>
              <w:drawing>
                <wp:inline distT="0" distB="0" distL="0" distR="0" wp14:anchorId="2DC56309" wp14:editId="08751881">
                  <wp:extent cx="5686425" cy="2143125"/>
                  <wp:effectExtent l="0" t="0" r="0" b="0"/>
                  <wp:docPr id="28" name="Graf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tc>
      </w:tr>
    </w:tbl>
    <w:p w14:paraId="6319A6E6" w14:textId="6A24B02D" w:rsidR="00F80593" w:rsidRDefault="00F80593" w:rsidP="00F80593">
      <w:pPr>
        <w:pStyle w:val="Zdroj"/>
      </w:pPr>
      <w:r>
        <w:t>Zdroj: MZ SR. Spracovanie NKÚ SR.</w:t>
      </w:r>
      <w:r w:rsidRPr="00F80593">
        <w:t xml:space="preserve"> </w:t>
      </w:r>
      <w:r>
        <w:t>Údaje sú k 31. 12. daného roka.</w:t>
      </w:r>
    </w:p>
    <w:p w14:paraId="1B3EBF23" w14:textId="2A3CAC2F" w:rsidR="00BA5F6A" w:rsidRDefault="00BA5F6A" w:rsidP="00BA5F6A">
      <w:pPr>
        <w:rPr>
          <w:rFonts w:cs="Segoe UI"/>
        </w:rPr>
      </w:pPr>
      <w:r w:rsidRPr="00203647">
        <w:rPr>
          <w:rFonts w:cs="Segoe UI"/>
          <w:b/>
        </w:rPr>
        <w:t>Vývoj dlhu v rezorte slovenského zdravotníctva predstavuje obrovskú záťaž pre udržateľnosť verejných financií.</w:t>
      </w:r>
      <w:r w:rsidRPr="0043783A">
        <w:rPr>
          <w:rFonts w:cs="Segoe UI"/>
        </w:rPr>
        <w:t xml:space="preserve"> Dlh v podobe celkových záväzkov na úrovni istiny sa medziročne zvýšil o viac ako 50 mil. eur (medziročný nárast o 2,6 %) a k 31.</w:t>
      </w:r>
      <w:r w:rsidR="003E7B3C">
        <w:rPr>
          <w:rFonts w:cs="Segoe UI"/>
        </w:rPr>
        <w:t xml:space="preserve"> </w:t>
      </w:r>
      <w:r w:rsidRPr="0043783A">
        <w:rPr>
          <w:rFonts w:cs="Segoe UI"/>
        </w:rPr>
        <w:t>12.</w:t>
      </w:r>
      <w:r w:rsidR="003E7B3C">
        <w:rPr>
          <w:rFonts w:cs="Segoe UI"/>
        </w:rPr>
        <w:t xml:space="preserve"> </w:t>
      </w:r>
      <w:r w:rsidRPr="0043783A">
        <w:rPr>
          <w:rFonts w:cs="Segoe UI"/>
        </w:rPr>
        <w:t>2023 dosiahol výšku 1,96 mld. eur</w:t>
      </w:r>
      <w:r w:rsidR="00C250A0">
        <w:rPr>
          <w:rFonts w:cs="Segoe UI"/>
        </w:rPr>
        <w:t xml:space="preserve"> (graf 2</w:t>
      </w:r>
      <w:r w:rsidR="00D339E7">
        <w:rPr>
          <w:rFonts w:cs="Segoe UI"/>
        </w:rPr>
        <w:t>3</w:t>
      </w:r>
      <w:r w:rsidR="00C250A0">
        <w:rPr>
          <w:rFonts w:cs="Segoe UI"/>
        </w:rPr>
        <w:t>)</w:t>
      </w:r>
      <w:r w:rsidRPr="0043783A">
        <w:rPr>
          <w:rFonts w:cs="Segoe UI"/>
        </w:rPr>
        <w:t>. Najväčší podiel</w:t>
      </w:r>
      <w:r>
        <w:rPr>
          <w:rFonts w:cs="Segoe UI"/>
        </w:rPr>
        <w:t>,</w:t>
      </w:r>
      <w:r w:rsidRPr="0043783A">
        <w:rPr>
          <w:rFonts w:cs="Segoe UI"/>
        </w:rPr>
        <w:t xml:space="preserve"> až 58 % na celkových záväzkoch majú príspevkové</w:t>
      </w:r>
      <w:r>
        <w:rPr>
          <w:rFonts w:cs="Segoe UI"/>
        </w:rPr>
        <w:t xml:space="preserve"> organizácie, ktorými sú predovšetkým najväčšie univerzitné nemocnice (UN) a fakultné nemocnice (FN). Celkovo je v zdravotníctve po lehote splatnosti až 42 % z celkových záväzkov.</w:t>
      </w:r>
      <w:r>
        <w:rPr>
          <w:rStyle w:val="Odkaznapoznmkupodiarou"/>
          <w:rFonts w:cs="Segoe UI"/>
        </w:rPr>
        <w:footnoteReference w:id="49"/>
      </w:r>
    </w:p>
    <w:p w14:paraId="4E245F73" w14:textId="7FCC9A37" w:rsidR="005E764C" w:rsidRPr="006A7016" w:rsidRDefault="005E764C" w:rsidP="005E764C">
      <w:pPr>
        <w:rPr>
          <w:rFonts w:eastAsia="Calibri" w:cs="Segoe UI"/>
        </w:rPr>
      </w:pPr>
      <w:r w:rsidRPr="0010039A">
        <w:rPr>
          <w:rFonts w:eastAsia="Calibri" w:cs="Segoe UI"/>
          <w:b/>
        </w:rPr>
        <w:t>Dlhodobý rast zadlženosti ZZ sleduje aj EK, ktorá v júli 2023 podala žalobu voči SR</w:t>
      </w:r>
      <w:r w:rsidRPr="005526D6">
        <w:rPr>
          <w:rFonts w:eastAsia="Calibri" w:cs="Segoe UI"/>
          <w:vertAlign w:val="superscript"/>
        </w:rPr>
        <w:footnoteReference w:id="50"/>
      </w:r>
      <w:r w:rsidRPr="0010039A">
        <w:rPr>
          <w:rFonts w:eastAsia="Calibri" w:cs="Segoe UI"/>
          <w:b/>
        </w:rPr>
        <w:t xml:space="preserve">. </w:t>
      </w:r>
      <w:r w:rsidRPr="0010039A">
        <w:rPr>
          <w:rFonts w:eastAsia="Calibri" w:cs="Segoe UI"/>
        </w:rPr>
        <w:t>Európska smernica o boji proti oneskoreným platbám v obchodných transakciách</w:t>
      </w:r>
      <w:r w:rsidRPr="0010039A">
        <w:rPr>
          <w:rFonts w:eastAsia="Calibri" w:cs="Segoe UI"/>
          <w:vertAlign w:val="superscript"/>
        </w:rPr>
        <w:footnoteReference w:id="51"/>
      </w:r>
      <w:r w:rsidRPr="0010039A">
        <w:rPr>
          <w:rFonts w:eastAsia="Calibri" w:cs="Segoe UI"/>
        </w:rPr>
        <w:t xml:space="preserve">určuje lehotu splatnosti faktúr na 30 kalendárnych dní a v prípade subjektov poskytujúcich zdravotnú starostlivosť na 60 dní. </w:t>
      </w:r>
      <w:r>
        <w:rPr>
          <w:rFonts w:eastAsia="Calibri" w:cs="Segoe UI"/>
        </w:rPr>
        <w:t>Podľa žaloby</w:t>
      </w:r>
      <w:r w:rsidRPr="0010039A">
        <w:rPr>
          <w:rFonts w:eastAsia="Calibri" w:cs="Segoe UI"/>
        </w:rPr>
        <w:t xml:space="preserve"> Slovensko nezabezpečilo, aby lehota splatnosti faktúr nepresahovala 60 dní a</w:t>
      </w:r>
      <w:r w:rsidR="005526D6">
        <w:rPr>
          <w:rFonts w:eastAsia="Calibri" w:cs="Segoe UI"/>
        </w:rPr>
        <w:t xml:space="preserve"> od roku 2015 </w:t>
      </w:r>
      <w:r w:rsidRPr="0010039A">
        <w:rPr>
          <w:rFonts w:eastAsia="Calibri" w:cs="Segoe UI"/>
        </w:rPr>
        <w:t>Slovensko porušuje príslušné ustanovenia</w:t>
      </w:r>
      <w:r>
        <w:rPr>
          <w:rFonts w:eastAsia="Calibri" w:cs="Segoe UI"/>
        </w:rPr>
        <w:t xml:space="preserve"> smernice</w:t>
      </w:r>
      <w:r w:rsidRPr="0010039A">
        <w:rPr>
          <w:rFonts w:eastAsia="Calibri" w:cs="Segoe UI"/>
        </w:rPr>
        <w:t xml:space="preserve">. </w:t>
      </w:r>
      <w:r w:rsidRPr="0010039A">
        <w:rPr>
          <w:rFonts w:eastAsia="Calibri" w:cs="Segoe UI"/>
          <w:b/>
        </w:rPr>
        <w:t>NKÚ SR upozorňuje, že zadlžovanie ZZ bude potrebné riešiť systematicky a dôveryhodne, nie nesystémovými</w:t>
      </w:r>
      <w:r w:rsidR="005526D6">
        <w:rPr>
          <w:rFonts w:eastAsia="Calibri" w:cs="Segoe UI"/>
          <w:b/>
        </w:rPr>
        <w:t xml:space="preserve"> a</w:t>
      </w:r>
      <w:r w:rsidRPr="0010039A">
        <w:rPr>
          <w:rFonts w:eastAsia="Calibri" w:cs="Segoe UI"/>
          <w:b/>
        </w:rPr>
        <w:t xml:space="preserve"> opakovanými oddlžovaniami. </w:t>
      </w:r>
      <w:r w:rsidR="005526D6" w:rsidRPr="006A7016">
        <w:rPr>
          <w:rFonts w:eastAsia="Calibri" w:cs="Segoe UI"/>
        </w:rPr>
        <w:t>NKÚ SR z</w:t>
      </w:r>
      <w:r w:rsidRPr="006A7016">
        <w:rPr>
          <w:rFonts w:eastAsia="Calibri" w:cs="Segoe UI"/>
        </w:rPr>
        <w:t>ároveň pripravuje</w:t>
      </w:r>
      <w:r w:rsidR="005526D6" w:rsidRPr="006A7016">
        <w:rPr>
          <w:rFonts w:eastAsia="Calibri" w:cs="Segoe UI"/>
        </w:rPr>
        <w:t xml:space="preserve"> </w:t>
      </w:r>
      <w:r w:rsidRPr="006A7016">
        <w:rPr>
          <w:rFonts w:eastAsia="Calibri" w:cs="Segoe UI"/>
        </w:rPr>
        <w:t>kontrolu manažmentu záväzkov ZZ po splatnosti.</w:t>
      </w:r>
    </w:p>
    <w:p w14:paraId="51375FD4" w14:textId="64391E16" w:rsidR="00BA5F6A" w:rsidRDefault="00BA5F6A" w:rsidP="003E7B3C">
      <w:pPr>
        <w:rPr>
          <w:rFonts w:cs="Segoe UI"/>
        </w:rPr>
      </w:pPr>
      <w:r w:rsidRPr="003E7B3C">
        <w:rPr>
          <w:rFonts w:cs="Segoe UI"/>
          <w:b/>
        </w:rPr>
        <w:t>Zadlženosť 13 najväčších UN a FN v pôsobností MZ SR</w:t>
      </w:r>
      <w:r w:rsidR="00C250A0">
        <w:rPr>
          <w:rFonts w:cs="Segoe UI"/>
          <w:b/>
        </w:rPr>
        <w:t xml:space="preserve"> </w:t>
      </w:r>
      <w:r w:rsidR="00C250A0" w:rsidRPr="00C250A0">
        <w:rPr>
          <w:rFonts w:cs="Segoe UI"/>
        </w:rPr>
        <w:t>(graf 2</w:t>
      </w:r>
      <w:r w:rsidR="00D339E7">
        <w:rPr>
          <w:rFonts w:cs="Segoe UI"/>
        </w:rPr>
        <w:t>4</w:t>
      </w:r>
      <w:r w:rsidR="00C250A0" w:rsidRPr="00C250A0">
        <w:rPr>
          <w:rFonts w:cs="Segoe UI"/>
        </w:rPr>
        <w:t>)</w:t>
      </w:r>
      <w:r w:rsidRPr="003E7B3C">
        <w:rPr>
          <w:rFonts w:cs="Segoe UI"/>
          <w:b/>
        </w:rPr>
        <w:t xml:space="preserve"> je obzvlášť </w:t>
      </w:r>
      <w:r w:rsidR="00C250A0">
        <w:rPr>
          <w:rFonts w:cs="Segoe UI"/>
          <w:b/>
        </w:rPr>
        <w:t>vážna</w:t>
      </w:r>
      <w:r w:rsidRPr="003E7B3C">
        <w:rPr>
          <w:rFonts w:cs="Segoe UI"/>
          <w:b/>
        </w:rPr>
        <w:t xml:space="preserve">, </w:t>
      </w:r>
      <w:r w:rsidR="00F610FC">
        <w:rPr>
          <w:rFonts w:cs="Segoe UI"/>
          <w:b/>
        </w:rPr>
        <w:t>pretože</w:t>
      </w:r>
      <w:r w:rsidRPr="003E7B3C">
        <w:rPr>
          <w:rFonts w:cs="Segoe UI"/>
          <w:b/>
        </w:rPr>
        <w:t xml:space="preserve"> tieto ZZ poskytujú najširší rozsah finančne náročných výkonov.</w:t>
      </w:r>
      <w:r w:rsidRPr="00616AFC">
        <w:rPr>
          <w:rFonts w:cs="Segoe UI"/>
        </w:rPr>
        <w:t xml:space="preserve"> Výnosy nemocníc nedokážu pokrývať ani základné náklady na personál (</w:t>
      </w:r>
      <w:r>
        <w:rPr>
          <w:rFonts w:cs="Segoe UI"/>
        </w:rPr>
        <w:t>predovšetkým</w:t>
      </w:r>
      <w:r w:rsidRPr="00616AFC">
        <w:rPr>
          <w:rFonts w:cs="Segoe UI"/>
        </w:rPr>
        <w:t xml:space="preserve"> odvod</w:t>
      </w:r>
      <w:r>
        <w:rPr>
          <w:rFonts w:cs="Segoe UI"/>
        </w:rPr>
        <w:t>y</w:t>
      </w:r>
      <w:r w:rsidRPr="00616AFC">
        <w:rPr>
          <w:rFonts w:cs="Segoe UI"/>
        </w:rPr>
        <w:t>), zdravotnícky materiál, lieky,</w:t>
      </w:r>
      <w:r w:rsidRPr="008207DA">
        <w:rPr>
          <w:rFonts w:cs="Segoe UI"/>
        </w:rPr>
        <w:t xml:space="preserve"> </w:t>
      </w:r>
      <w:r>
        <w:rPr>
          <w:rFonts w:cs="Segoe UI"/>
        </w:rPr>
        <w:t>krv a krvné produkty,</w:t>
      </w:r>
      <w:r w:rsidRPr="00616AFC">
        <w:rPr>
          <w:rFonts w:cs="Segoe UI"/>
        </w:rPr>
        <w:t xml:space="preserve"> energie, a už vôbec nie investičné náklady (HIM, z</w:t>
      </w:r>
      <w:r>
        <w:rPr>
          <w:rFonts w:cs="Segoe UI"/>
        </w:rPr>
        <w:t>dravotnícke prístroje, techniku</w:t>
      </w:r>
      <w:r w:rsidRPr="00616AFC">
        <w:rPr>
          <w:rFonts w:cs="Segoe UI"/>
        </w:rPr>
        <w:t xml:space="preserve"> a pod.).</w:t>
      </w:r>
    </w:p>
    <w:p w14:paraId="64CB0B2F" w14:textId="6399E691" w:rsidR="00B151EE" w:rsidRDefault="00B151EE" w:rsidP="003E7B3C">
      <w:pPr>
        <w:rPr>
          <w:rFonts w:cs="Segoe UI"/>
        </w:rPr>
      </w:pPr>
    </w:p>
    <w:p w14:paraId="222F29A3" w14:textId="77777777" w:rsidR="00B151EE" w:rsidRDefault="00B151EE" w:rsidP="003E7B3C">
      <w:pPr>
        <w:rPr>
          <w:rFonts w:cs="Segoe UI"/>
        </w:rPr>
      </w:pPr>
    </w:p>
    <w:p w14:paraId="4FD6DEBD" w14:textId="77777777" w:rsidR="0029006B" w:rsidRDefault="0029006B" w:rsidP="0029006B">
      <w:pPr>
        <w:spacing w:after="0"/>
        <w:rPr>
          <w:rFonts w:cs="Segoe UI"/>
        </w:rPr>
      </w:pPr>
      <w:r>
        <w:rPr>
          <w:rFonts w:cs="Segoe UI"/>
          <w:b/>
          <w:bCs/>
          <w:color w:val="304363"/>
          <w:szCs w:val="20"/>
        </w:rPr>
        <w:lastRenderedPageBreak/>
        <w:t>Graf 24: Vývoj štruktúry záväzkov vo fakultných a univerzitných nemocniciach (v mil. eur)</w:t>
      </w:r>
    </w:p>
    <w:tbl>
      <w:tblPr>
        <w:tblStyle w:val="Mriekatabuky"/>
        <w:tblW w:w="0" w:type="auto"/>
        <w:tblLook w:val="04A0" w:firstRow="1" w:lastRow="0" w:firstColumn="1" w:lastColumn="0" w:noHBand="0" w:noVBand="1"/>
      </w:tblPr>
      <w:tblGrid>
        <w:gridCol w:w="9070"/>
      </w:tblGrid>
      <w:tr w:rsidR="0029006B" w14:paraId="0A28BF50" w14:textId="77777777" w:rsidTr="00A81877">
        <w:trPr>
          <w:trHeight w:val="3118"/>
        </w:trPr>
        <w:tc>
          <w:tcPr>
            <w:tcW w:w="9060" w:type="dxa"/>
            <w:tcBorders>
              <w:top w:val="single" w:sz="4" w:space="0" w:color="314364" w:themeColor="text2"/>
              <w:left w:val="nil"/>
              <w:bottom w:val="single" w:sz="4" w:space="0" w:color="314364" w:themeColor="text2"/>
              <w:right w:val="nil"/>
            </w:tcBorders>
            <w:hideMark/>
          </w:tcPr>
          <w:p w14:paraId="012BD8CC" w14:textId="77777777" w:rsidR="0029006B" w:rsidRDefault="0029006B" w:rsidP="00A81877">
            <w:pPr>
              <w:spacing w:after="0"/>
              <w:rPr>
                <w:rFonts w:cs="Segoe UI"/>
              </w:rPr>
            </w:pPr>
            <w:r>
              <w:rPr>
                <w:noProof/>
                <w:lang w:eastAsia="sk-SK"/>
              </w:rPr>
              <w:drawing>
                <wp:inline distT="0" distB="0" distL="0" distR="0" wp14:anchorId="2D06B4A3" wp14:editId="754C904D">
                  <wp:extent cx="5644515" cy="1943100"/>
                  <wp:effectExtent l="0" t="0" r="0" b="0"/>
                  <wp:docPr id="53" name="Graf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tc>
      </w:tr>
    </w:tbl>
    <w:p w14:paraId="58401231" w14:textId="0E2389A7" w:rsidR="0029006B" w:rsidRDefault="0029006B" w:rsidP="0029006B">
      <w:pPr>
        <w:pStyle w:val="Zdroj"/>
        <w:rPr>
          <w:sz w:val="18"/>
        </w:rPr>
      </w:pPr>
      <w:r>
        <w:t>Z</w:t>
      </w:r>
      <w:r>
        <w:rPr>
          <w:sz w:val="18"/>
        </w:rPr>
        <w:t>droj: MZ SR, spracovanie NKÚ SR.</w:t>
      </w:r>
    </w:p>
    <w:p w14:paraId="75D9BCB2" w14:textId="244BDF29" w:rsidR="00C250A0" w:rsidRDefault="00BA5F6A" w:rsidP="00C250A0">
      <w:pPr>
        <w:rPr>
          <w:rFonts w:cs="Segoe UI"/>
        </w:rPr>
      </w:pPr>
      <w:r w:rsidRPr="00F31CCB">
        <w:rPr>
          <w:rFonts w:cs="Segoe UI"/>
          <w:b/>
        </w:rPr>
        <w:t xml:space="preserve">Celková zadlženosť v </w:t>
      </w:r>
      <w:r>
        <w:rPr>
          <w:rFonts w:cs="Segoe UI"/>
          <w:b/>
        </w:rPr>
        <w:t>UN a FN</w:t>
      </w:r>
      <w:r w:rsidRPr="00F31CCB">
        <w:rPr>
          <w:rFonts w:cs="Segoe UI"/>
          <w:b/>
        </w:rPr>
        <w:t xml:space="preserve"> dosiahla </w:t>
      </w:r>
      <w:r>
        <w:rPr>
          <w:rFonts w:cs="Segoe UI"/>
          <w:b/>
        </w:rPr>
        <w:t xml:space="preserve">v roku 2023 </w:t>
      </w:r>
      <w:r w:rsidRPr="00F31CCB">
        <w:rPr>
          <w:rFonts w:cs="Segoe UI"/>
          <w:b/>
        </w:rPr>
        <w:t xml:space="preserve">úroveň 1,02 mld. </w:t>
      </w:r>
      <w:r>
        <w:rPr>
          <w:rFonts w:cs="Segoe UI"/>
          <w:b/>
        </w:rPr>
        <w:t>e</w:t>
      </w:r>
      <w:r w:rsidRPr="00F31CCB">
        <w:rPr>
          <w:rFonts w:cs="Segoe UI"/>
          <w:b/>
        </w:rPr>
        <w:t>ur</w:t>
      </w:r>
      <w:r>
        <w:rPr>
          <w:rFonts w:cs="Segoe UI"/>
          <w:b/>
        </w:rPr>
        <w:t xml:space="preserve"> a medziročne sa zvýšila </w:t>
      </w:r>
      <w:r w:rsidRPr="00F31CCB">
        <w:rPr>
          <w:rFonts w:cs="Segoe UI"/>
          <w:b/>
        </w:rPr>
        <w:t>o 13,8 mil. eur</w:t>
      </w:r>
      <w:r w:rsidR="003E7B3C">
        <w:rPr>
          <w:rFonts w:cs="Segoe UI"/>
          <w:b/>
        </w:rPr>
        <w:t>.</w:t>
      </w:r>
      <w:r w:rsidR="00C250A0" w:rsidRPr="00C250A0">
        <w:rPr>
          <w:rStyle w:val="Odkaznapoznmkupodiarou"/>
          <w:rFonts w:cs="Segoe UI"/>
        </w:rPr>
        <w:t xml:space="preserve"> </w:t>
      </w:r>
      <w:r w:rsidR="00C250A0" w:rsidRPr="009621D0">
        <w:rPr>
          <w:rStyle w:val="Odkaznapoznmkupodiarou"/>
          <w:rFonts w:cs="Segoe UI"/>
        </w:rPr>
        <w:footnoteReference w:id="52"/>
      </w:r>
      <w:r>
        <w:rPr>
          <w:rFonts w:cs="Segoe UI"/>
        </w:rPr>
        <w:t xml:space="preserve"> Záväzky po lehote splatnosti vzrástli medziročne o 9,6 mil. eur a sú na úrovni takmer 700 mil. eur. Záväzky v lehote splatnosti vzrástli o 4,2 mil. eur a na konci roka 2023 predstavovali hodnotu 321,8 mil. eur. </w:t>
      </w:r>
      <w:r w:rsidR="002727A0">
        <w:rPr>
          <w:rFonts w:cs="Segoe UI"/>
        </w:rPr>
        <w:t>Z</w:t>
      </w:r>
      <w:r>
        <w:rPr>
          <w:rFonts w:cs="Segoe UI"/>
        </w:rPr>
        <w:t>áväzk</w:t>
      </w:r>
      <w:r w:rsidR="002727A0">
        <w:rPr>
          <w:rFonts w:cs="Segoe UI"/>
        </w:rPr>
        <w:t>y</w:t>
      </w:r>
      <w:r>
        <w:rPr>
          <w:rFonts w:cs="Segoe UI"/>
        </w:rPr>
        <w:t xml:space="preserve"> po lehote splatnosti </w:t>
      </w:r>
      <w:r w:rsidR="002727A0">
        <w:rPr>
          <w:rFonts w:cs="Segoe UI"/>
        </w:rPr>
        <w:t xml:space="preserve">tvorili z celkových záväzkov </w:t>
      </w:r>
      <w:r>
        <w:rPr>
          <w:rFonts w:cs="Segoe UI"/>
        </w:rPr>
        <w:t>až 68,5 %. Po predchádzajúcom roku 2022, kedy vďaka oddlženiu nemocníc nastala stagnácia v zadlženosti ZZ, sa opäť zadlženosť</w:t>
      </w:r>
      <w:r w:rsidRPr="005924BF">
        <w:rPr>
          <w:rFonts w:cs="Segoe UI"/>
        </w:rPr>
        <w:t xml:space="preserve"> </w:t>
      </w:r>
      <w:r>
        <w:rPr>
          <w:rFonts w:cs="Segoe UI"/>
        </w:rPr>
        <w:t>zvyšuje. Zadlženosť v roku 2023 nedokázalo zastaviť ani septembrové zvýšenie platby za poistenca štátu.</w:t>
      </w:r>
      <w:r w:rsidR="00C250A0" w:rsidRPr="00C250A0">
        <w:rPr>
          <w:rFonts w:cs="Segoe UI"/>
        </w:rPr>
        <w:t xml:space="preserve"> </w:t>
      </w:r>
      <w:r w:rsidR="00C250A0">
        <w:rPr>
          <w:rFonts w:cs="Segoe UI"/>
        </w:rPr>
        <w:t xml:space="preserve">Zadlženosť ZZ spôsobuje problémy dodávateľom tovarov a služieb týchto zariadení v podobe dlhodobo nezaplatených faktúr. V prípade Národnej transfúznej služby SR (NTS) eskalovali až do druhotnej platobnej neschopnosti (box </w:t>
      </w:r>
      <w:r w:rsidR="006922FF">
        <w:rPr>
          <w:rFonts w:cs="Segoe UI"/>
        </w:rPr>
        <w:t>7</w:t>
      </w:r>
      <w:r w:rsidR="00C250A0">
        <w:rPr>
          <w:rFonts w:cs="Segoe UI"/>
        </w:rPr>
        <w:t>).</w:t>
      </w:r>
    </w:p>
    <w:tbl>
      <w:tblPr>
        <w:tblW w:w="9245" w:type="dxa"/>
        <w:tblBorders>
          <w:top w:val="single" w:sz="4" w:space="0" w:color="314364" w:themeColor="text2"/>
          <w:left w:val="single" w:sz="4" w:space="0" w:color="314364" w:themeColor="text2"/>
          <w:bottom w:val="single" w:sz="4" w:space="0" w:color="314364" w:themeColor="text2"/>
          <w:right w:val="single" w:sz="4" w:space="0" w:color="314364" w:themeColor="text2"/>
        </w:tblBorders>
        <w:shd w:val="clear" w:color="auto" w:fill="EBF0FB" w:themeFill="accent2" w:themeFillTint="33"/>
        <w:tblCellMar>
          <w:left w:w="70" w:type="dxa"/>
          <w:right w:w="70" w:type="dxa"/>
        </w:tblCellMar>
        <w:tblLook w:val="04A0" w:firstRow="1" w:lastRow="0" w:firstColumn="1" w:lastColumn="0" w:noHBand="0" w:noVBand="1"/>
      </w:tblPr>
      <w:tblGrid>
        <w:gridCol w:w="9245"/>
      </w:tblGrid>
      <w:tr w:rsidR="00ED3DC2" w14:paraId="1FDC3284" w14:textId="77777777" w:rsidTr="00127A20">
        <w:tc>
          <w:tcPr>
            <w:tcW w:w="9245" w:type="dxa"/>
            <w:tcBorders>
              <w:top w:val="single" w:sz="4" w:space="0" w:color="314364" w:themeColor="text2"/>
              <w:left w:val="single" w:sz="4" w:space="0" w:color="314364" w:themeColor="text2"/>
              <w:bottom w:val="single" w:sz="4" w:space="0" w:color="314364" w:themeColor="text2"/>
              <w:right w:val="single" w:sz="4" w:space="0" w:color="314364" w:themeColor="text2"/>
            </w:tcBorders>
            <w:shd w:val="clear" w:color="auto" w:fill="EBF0FB" w:themeFill="accent2" w:themeFillTint="33"/>
            <w:hideMark/>
          </w:tcPr>
          <w:p w14:paraId="2F335FC5" w14:textId="159ECB16" w:rsidR="00ED3DC2" w:rsidRDefault="00ED3DC2" w:rsidP="00127A20">
            <w:pPr>
              <w:spacing w:before="120"/>
              <w:rPr>
                <w:rFonts w:cs="Segoe UI"/>
                <w:b/>
              </w:rPr>
            </w:pPr>
            <w:r>
              <w:rPr>
                <w:rFonts w:cs="Segoe UI"/>
                <w:b/>
              </w:rPr>
              <w:t xml:space="preserve">BOX </w:t>
            </w:r>
            <w:r w:rsidR="006922FF">
              <w:rPr>
                <w:rFonts w:cs="Segoe UI"/>
                <w:b/>
              </w:rPr>
              <w:t>7</w:t>
            </w:r>
            <w:r>
              <w:rPr>
                <w:rFonts w:cs="Segoe UI"/>
                <w:b/>
              </w:rPr>
              <w:t>: Národná transfúzna služba SR mala v roku 2023 problémy s platením svojich záväzkov pre druhotnú platobnú neschopnosť</w:t>
            </w:r>
          </w:p>
          <w:p w14:paraId="60EDCA34" w14:textId="77777777" w:rsidR="00ED3DC2" w:rsidRDefault="00ED3DC2" w:rsidP="00127A20">
            <w:pPr>
              <w:spacing w:before="120"/>
              <w:rPr>
                <w:rFonts w:cs="Segoe UI"/>
                <w:b/>
                <w:sz w:val="18"/>
              </w:rPr>
            </w:pPr>
            <w:r>
              <w:rPr>
                <w:rFonts w:cs="Segoe UI"/>
                <w:sz w:val="18"/>
              </w:rPr>
              <w:t>NTS SR nedokázala splácať všetky svoje záväzky voči dodávateľom z titulu druhotnej platobnej neschopnosti. Hlavným dôvodom je neplatenie za krv a krvné produkty od ZZ, čo spôsobilo nedostatočný cash-flow na splácanie ich záväzkov. NTS nepomohla ani návratná finančná výpomoc (NFV) od MZ SR z roku 2018 vo výške 28 mil. eur, ktorá doteraz nebola splatená, napriek tomu, že prvotný termín bol koniec roka 2020. Z účtovných závierok vyplýva, že NTS si splatnosť návratného príspevku postupne predlžuje, až do konca 2024</w:t>
            </w:r>
            <w:r>
              <w:rPr>
                <w:rStyle w:val="Odkaznapoznmkupodiarou"/>
                <w:rFonts w:cs="Segoe UI"/>
                <w:sz w:val="18"/>
              </w:rPr>
              <w:footnoteReference w:id="53"/>
            </w:r>
            <w:r>
              <w:rPr>
                <w:rFonts w:cs="Segoe UI"/>
                <w:sz w:val="18"/>
              </w:rPr>
              <w:t>. Zároveň počas roka 2023 NTS pristúpila k dohode s MZ SR o podmienkach oddlženia</w:t>
            </w:r>
            <w:r>
              <w:rPr>
                <w:rStyle w:val="Odkaznapoznmkupodiarou"/>
                <w:rFonts w:cs="Segoe UI"/>
                <w:sz w:val="18"/>
              </w:rPr>
              <w:footnoteReference w:id="54"/>
            </w:r>
            <w:r>
              <w:rPr>
                <w:rFonts w:cs="Segoe UI"/>
                <w:sz w:val="18"/>
              </w:rPr>
              <w:t>. V období rokov 2019 až 2020 už bola NTS poskytnutá pomoc vo forme odpustenia dlhu voči SP v sume viac ako 10 mil. eur prostredníctvom spoločnosti Debitum, a. s.</w:t>
            </w:r>
          </w:p>
          <w:p w14:paraId="702AC9C9" w14:textId="77777777" w:rsidR="0029006B" w:rsidRDefault="0029006B" w:rsidP="0029006B">
            <w:pPr>
              <w:spacing w:after="0"/>
              <w:rPr>
                <w:rFonts w:cs="Segoe UI"/>
                <w:sz w:val="18"/>
              </w:rPr>
            </w:pPr>
            <w:r>
              <w:rPr>
                <w:rFonts w:cs="Segoe UI"/>
                <w:b/>
                <w:bCs/>
                <w:color w:val="304363"/>
                <w:sz w:val="18"/>
                <w:szCs w:val="20"/>
              </w:rPr>
              <w:t>Graf 25: Vývoj záväzkov a pohľadávok NTS v rokoch 2017 – 2023 (v mil. eur)</w:t>
            </w:r>
          </w:p>
          <w:tbl>
            <w:tblPr>
              <w:tblW w:w="0" w:type="auto"/>
              <w:tblLook w:val="04A0" w:firstRow="1" w:lastRow="0" w:firstColumn="1" w:lastColumn="0" w:noHBand="0" w:noVBand="1"/>
            </w:tblPr>
            <w:tblGrid>
              <w:gridCol w:w="9105"/>
            </w:tblGrid>
            <w:tr w:rsidR="0029006B" w14:paraId="004225DA" w14:textId="77777777" w:rsidTr="00A81877">
              <w:tc>
                <w:tcPr>
                  <w:tcW w:w="9013" w:type="dxa"/>
                  <w:tcBorders>
                    <w:top w:val="single" w:sz="4" w:space="0" w:color="314364" w:themeColor="text2"/>
                    <w:left w:val="nil"/>
                    <w:bottom w:val="single" w:sz="4" w:space="0" w:color="314364" w:themeColor="text2"/>
                    <w:right w:val="nil"/>
                  </w:tcBorders>
                  <w:hideMark/>
                </w:tcPr>
                <w:p w14:paraId="348C2A5E" w14:textId="77777777" w:rsidR="0029006B" w:rsidRDefault="0029006B" w:rsidP="0029006B">
                  <w:pPr>
                    <w:spacing w:after="0"/>
                    <w:rPr>
                      <w:rFonts w:cs="Segoe UI"/>
                      <w:b/>
                      <w:sz w:val="18"/>
                    </w:rPr>
                  </w:pPr>
                  <w:r>
                    <w:rPr>
                      <w:noProof/>
                      <w:lang w:eastAsia="sk-SK"/>
                    </w:rPr>
                    <w:drawing>
                      <wp:inline distT="0" distB="0" distL="0" distR="0" wp14:anchorId="5CE9933B" wp14:editId="07C22B12">
                        <wp:extent cx="5644515" cy="1811020"/>
                        <wp:effectExtent l="0" t="0" r="0" b="0"/>
                        <wp:docPr id="8" name="Graf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tc>
            </w:tr>
          </w:tbl>
          <w:p w14:paraId="04B2DD89" w14:textId="40E38540" w:rsidR="0029006B" w:rsidRDefault="0029006B" w:rsidP="0029006B">
            <w:pPr>
              <w:pStyle w:val="Zdroj"/>
            </w:pPr>
            <w:r>
              <w:t>Zdroj: MZ SR, spracovanie NKÚ SR.</w:t>
            </w:r>
          </w:p>
          <w:p w14:paraId="3D848482" w14:textId="760DBA4F" w:rsidR="00ED3DC2" w:rsidRPr="007A7A7F" w:rsidRDefault="00ED3DC2" w:rsidP="00F610FC">
            <w:pPr>
              <w:spacing w:before="120"/>
              <w:rPr>
                <w:rFonts w:cs="Segoe UI"/>
                <w:sz w:val="18"/>
              </w:rPr>
            </w:pPr>
            <w:r>
              <w:rPr>
                <w:rFonts w:cs="Segoe UI"/>
                <w:b/>
                <w:sz w:val="18"/>
              </w:rPr>
              <w:lastRenderedPageBreak/>
              <w:t>Napriek vysokej úrovni záväzkov po lehote splatnosti mala NTS až do roku 2023 vyšší zostatok pohľadávok</w:t>
            </w:r>
            <w:r>
              <w:rPr>
                <w:rFonts w:cs="Segoe UI"/>
                <w:sz w:val="18"/>
              </w:rPr>
              <w:t xml:space="preserve"> (graf 2</w:t>
            </w:r>
            <w:r w:rsidR="00D339E7">
              <w:rPr>
                <w:rFonts w:cs="Segoe UI"/>
                <w:sz w:val="18"/>
              </w:rPr>
              <w:t>5</w:t>
            </w:r>
            <w:r>
              <w:rPr>
                <w:rFonts w:cs="Segoe UI"/>
                <w:sz w:val="18"/>
              </w:rPr>
              <w:t>)</w:t>
            </w:r>
            <w:r w:rsidRPr="00F610FC">
              <w:rPr>
                <w:rFonts w:cs="Segoe UI"/>
                <w:b/>
                <w:sz w:val="18"/>
              </w:rPr>
              <w:t xml:space="preserve">. </w:t>
            </w:r>
            <w:r>
              <w:rPr>
                <w:rFonts w:cs="Segoe UI"/>
                <w:sz w:val="18"/>
              </w:rPr>
              <w:t xml:space="preserve">Vývoj záväzkov po lehote splatnosti a v lehote splatnosti (vrátane NFV z MZ SR) a vývoj pohľadávok NTS nasvedčoval postupnému približovaniu sa výšky záväzkov k celkovým pohľadávkam. Riešenie nepriaznivej situácie v NTS prišlo v roku 2023 v podobe oddlženia záväzkov ZZ voči NTS v celkovej výške 42,9 mil. eur. Tieto prostriedky znížili časť pohľadávok NTS, avšak k poklesu v rovnakej výške na strane záväzkov NTS počas roka 2023 neprišlo, </w:t>
            </w:r>
            <w:r w:rsidR="00F610FC">
              <w:rPr>
                <w:rFonts w:cs="Segoe UI"/>
                <w:sz w:val="18"/>
              </w:rPr>
              <w:t>keďže</w:t>
            </w:r>
            <w:r>
              <w:rPr>
                <w:rFonts w:cs="Segoe UI"/>
                <w:sz w:val="18"/>
              </w:rPr>
              <w:t xml:space="preserve"> NTS disponuje s finančnými prostriedkami na bankovom účte. Po úhrade časti pohľadávok prostredníctvom oddlženia by mala NTS </w:t>
            </w:r>
            <w:r w:rsidR="00F610FC">
              <w:rPr>
                <w:rFonts w:cs="Segoe UI"/>
                <w:sz w:val="18"/>
              </w:rPr>
              <w:t>vedieť</w:t>
            </w:r>
            <w:r>
              <w:rPr>
                <w:rFonts w:cs="Segoe UI"/>
                <w:sz w:val="18"/>
              </w:rPr>
              <w:t xml:space="preserve"> splatiť väčšiu časť svojich záväzkov, a postupne by mala vyviaznuť z druhotnej platobnej neschopnosti.</w:t>
            </w:r>
          </w:p>
        </w:tc>
      </w:tr>
    </w:tbl>
    <w:p w14:paraId="25EB2998" w14:textId="738D317C" w:rsidR="00A95428" w:rsidRPr="00523D20" w:rsidRDefault="00523D20" w:rsidP="00523D20">
      <w:pPr>
        <w:pStyle w:val="Nadpis2"/>
        <w:rPr>
          <w:color w:val="314364" w:themeColor="text2"/>
        </w:rPr>
      </w:pPr>
      <w:bookmarkStart w:id="41" w:name="_Toc168567203"/>
      <w:r>
        <w:rPr>
          <w:color w:val="314364" w:themeColor="text2"/>
        </w:rPr>
        <w:lastRenderedPageBreak/>
        <w:t xml:space="preserve">5.2 </w:t>
      </w:r>
      <w:r w:rsidR="00E43045" w:rsidRPr="00523D20">
        <w:rPr>
          <w:color w:val="314364" w:themeColor="text2"/>
        </w:rPr>
        <w:t xml:space="preserve"> </w:t>
      </w:r>
      <w:r w:rsidR="00B67559" w:rsidRPr="00523D20">
        <w:rPr>
          <w:color w:val="314364" w:themeColor="text2"/>
        </w:rPr>
        <w:t>Sociáln</w:t>
      </w:r>
      <w:r w:rsidR="00C50B0E" w:rsidRPr="00523D20">
        <w:rPr>
          <w:color w:val="314364" w:themeColor="text2"/>
        </w:rPr>
        <w:t>e politiky</w:t>
      </w:r>
      <w:bookmarkEnd w:id="41"/>
    </w:p>
    <w:p w14:paraId="711EFA13" w14:textId="674AB8D2" w:rsidR="00B16203" w:rsidRPr="00A51405" w:rsidRDefault="00B16203" w:rsidP="00B16203">
      <w:pPr>
        <w:rPr>
          <w:rFonts w:cs="Segoe UI"/>
          <w:szCs w:val="20"/>
        </w:rPr>
      </w:pPr>
      <w:r w:rsidRPr="003441E4">
        <w:rPr>
          <w:rFonts w:cs="Segoe UI"/>
          <w:b/>
          <w:szCs w:val="20"/>
        </w:rPr>
        <w:t>V sociálnych politikách dominovali výdavky na rodinnú politiku a starobné dôchodky, ktoré sa významne zvýšili.</w:t>
      </w:r>
      <w:r w:rsidRPr="00A51405">
        <w:rPr>
          <w:rFonts w:cs="Segoe UI"/>
          <w:szCs w:val="20"/>
        </w:rPr>
        <w:t xml:space="preserve"> </w:t>
      </w:r>
      <w:r w:rsidR="00E92B85">
        <w:rPr>
          <w:rFonts w:cs="Segoe UI"/>
          <w:szCs w:val="20"/>
        </w:rPr>
        <w:t>N</w:t>
      </w:r>
      <w:r w:rsidRPr="00A51405">
        <w:rPr>
          <w:rFonts w:cs="Segoe UI"/>
          <w:szCs w:val="20"/>
        </w:rPr>
        <w:t xml:space="preserve">avýšenia položiek v rámci podpory rodiny ako aj dôchodkov mali za cieľ zmierniť </w:t>
      </w:r>
      <w:r w:rsidR="00E92B85">
        <w:rPr>
          <w:rFonts w:cs="Segoe UI"/>
          <w:szCs w:val="20"/>
        </w:rPr>
        <w:t>vplyv vysokej inflácie (</w:t>
      </w:r>
      <w:r w:rsidRPr="00A51405">
        <w:rPr>
          <w:rFonts w:cs="Segoe UI"/>
          <w:szCs w:val="20"/>
        </w:rPr>
        <w:t>cien energií, potravín</w:t>
      </w:r>
      <w:r w:rsidR="00E92B85">
        <w:rPr>
          <w:rFonts w:cs="Segoe UI"/>
          <w:szCs w:val="20"/>
        </w:rPr>
        <w:t xml:space="preserve"> atď.)</w:t>
      </w:r>
      <w:r w:rsidRPr="00A51405">
        <w:rPr>
          <w:rFonts w:cs="Segoe UI"/>
          <w:szCs w:val="20"/>
        </w:rPr>
        <w:t xml:space="preserve"> na rodiny a dôchodcov.</w:t>
      </w:r>
    </w:p>
    <w:p w14:paraId="4C6CAC14" w14:textId="530C4E26" w:rsidR="00B16203" w:rsidRPr="00A51405" w:rsidRDefault="00B16203" w:rsidP="00B16203">
      <w:pPr>
        <w:rPr>
          <w:rFonts w:cs="Segoe UI"/>
          <w:szCs w:val="20"/>
        </w:rPr>
      </w:pPr>
      <w:r w:rsidRPr="003441E4">
        <w:rPr>
          <w:rFonts w:cs="Segoe UI"/>
          <w:b/>
          <w:szCs w:val="20"/>
        </w:rPr>
        <w:t>Na podporu rodiny sa minulo 2 051,5 mil. eur, čo predstavuje 41,7 % z celkového rozpočtu kapitoly MPSVR SR.</w:t>
      </w:r>
      <w:r w:rsidRPr="00A51405">
        <w:rPr>
          <w:rFonts w:cs="Segoe UI"/>
          <w:szCs w:val="20"/>
        </w:rPr>
        <w:t xml:space="preserve"> Dominovali prídavk</w:t>
      </w:r>
      <w:r w:rsidR="003441E4">
        <w:rPr>
          <w:rFonts w:cs="Segoe UI"/>
          <w:szCs w:val="20"/>
        </w:rPr>
        <w:t>y</w:t>
      </w:r>
      <w:r w:rsidRPr="00A51405">
        <w:rPr>
          <w:rFonts w:cs="Segoe UI"/>
          <w:szCs w:val="20"/>
        </w:rPr>
        <w:t xml:space="preserve"> na d</w:t>
      </w:r>
      <w:r w:rsidR="003441E4">
        <w:rPr>
          <w:rFonts w:cs="Segoe UI"/>
          <w:szCs w:val="20"/>
        </w:rPr>
        <w:t>eti</w:t>
      </w:r>
      <w:r w:rsidRPr="00A51405">
        <w:rPr>
          <w:rFonts w:cs="Segoe UI"/>
          <w:szCs w:val="20"/>
        </w:rPr>
        <w:t xml:space="preserve"> (38,3 %), rodičovsk</w:t>
      </w:r>
      <w:r w:rsidR="003441E4">
        <w:rPr>
          <w:rFonts w:cs="Segoe UI"/>
          <w:szCs w:val="20"/>
        </w:rPr>
        <w:t>é príspev</w:t>
      </w:r>
      <w:r w:rsidRPr="00A51405">
        <w:rPr>
          <w:rFonts w:cs="Segoe UI"/>
          <w:szCs w:val="20"/>
        </w:rPr>
        <w:t>k</w:t>
      </w:r>
      <w:r w:rsidR="003441E4">
        <w:rPr>
          <w:rFonts w:cs="Segoe UI"/>
          <w:szCs w:val="20"/>
        </w:rPr>
        <w:t>y</w:t>
      </w:r>
      <w:r w:rsidRPr="00A51405">
        <w:rPr>
          <w:rFonts w:cs="Segoe UI"/>
          <w:szCs w:val="20"/>
        </w:rPr>
        <w:t xml:space="preserve"> (32,1 %) a štátom platené poistné (22 %) (graf </w:t>
      </w:r>
      <w:r w:rsidR="003441E4">
        <w:rPr>
          <w:rFonts w:cs="Segoe UI"/>
          <w:szCs w:val="20"/>
        </w:rPr>
        <w:t>2</w:t>
      </w:r>
      <w:r w:rsidR="00773D5B">
        <w:rPr>
          <w:rFonts w:cs="Segoe UI"/>
          <w:szCs w:val="20"/>
        </w:rPr>
        <w:t>6</w:t>
      </w:r>
      <w:r w:rsidRPr="00A51405">
        <w:rPr>
          <w:rFonts w:cs="Segoe UI"/>
          <w:szCs w:val="20"/>
        </w:rPr>
        <w:t>).</w:t>
      </w:r>
    </w:p>
    <w:p w14:paraId="67AC599F" w14:textId="72BD13C5" w:rsidR="00C90429" w:rsidRPr="00BC3CA3" w:rsidRDefault="00C90429" w:rsidP="00C90429">
      <w:pPr>
        <w:pStyle w:val="Popis"/>
        <w:keepNext/>
        <w:rPr>
          <w:color w:val="314364"/>
        </w:rPr>
      </w:pPr>
      <w:r w:rsidRPr="00BC3CA3">
        <w:rPr>
          <w:color w:val="314364"/>
        </w:rPr>
        <w:t xml:space="preserve">Graf </w:t>
      </w:r>
      <w:r>
        <w:rPr>
          <w:color w:val="314364"/>
        </w:rPr>
        <w:t>26</w:t>
      </w:r>
      <w:r w:rsidRPr="00BC3CA3">
        <w:rPr>
          <w:color w:val="314364"/>
        </w:rPr>
        <w:t xml:space="preserve">: </w:t>
      </w:r>
      <w:r>
        <w:rPr>
          <w:color w:val="314364"/>
        </w:rPr>
        <w:t>Štruktúra výdavkov na podporu rodiny v rokoch 2022 a 2023 (v %)</w:t>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9070"/>
      </w:tblGrid>
      <w:tr w:rsidR="00C90429" w:rsidRPr="00C75134" w14:paraId="76D20118" w14:textId="77777777" w:rsidTr="00A81877">
        <w:trPr>
          <w:trHeight w:val="3685"/>
        </w:trPr>
        <w:tc>
          <w:tcPr>
            <w:tcW w:w="9070" w:type="dxa"/>
            <w:tcBorders>
              <w:top w:val="single" w:sz="4" w:space="0" w:color="314364"/>
              <w:bottom w:val="single" w:sz="4" w:space="0" w:color="314364"/>
            </w:tcBorders>
            <w:vAlign w:val="center"/>
          </w:tcPr>
          <w:p w14:paraId="59F71448" w14:textId="77777777" w:rsidR="00C90429" w:rsidRPr="00C75134" w:rsidRDefault="00C90429" w:rsidP="00A81877">
            <w:pPr>
              <w:spacing w:after="0"/>
              <w:jc w:val="left"/>
              <w:rPr>
                <w:b/>
                <w:color w:val="576431"/>
              </w:rPr>
            </w:pPr>
            <w:r>
              <w:rPr>
                <w:noProof/>
                <w:lang w:eastAsia="sk-SK"/>
              </w:rPr>
              <w:drawing>
                <wp:inline distT="0" distB="0" distL="0" distR="0" wp14:anchorId="79508888" wp14:editId="2192CF75">
                  <wp:extent cx="2771775" cy="2305050"/>
                  <wp:effectExtent l="0" t="0" r="0" b="0"/>
                  <wp:docPr id="22" name="Graf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r>
              <w:rPr>
                <w:noProof/>
                <w:lang w:eastAsia="sk-SK"/>
              </w:rPr>
              <w:drawing>
                <wp:inline distT="0" distB="0" distL="0" distR="0" wp14:anchorId="182D6D55" wp14:editId="21C827B4">
                  <wp:extent cx="2895600" cy="2295525"/>
                  <wp:effectExtent l="0" t="0" r="0" b="0"/>
                  <wp:docPr id="24" name="Graf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tc>
      </w:tr>
    </w:tbl>
    <w:p w14:paraId="7180E7FB" w14:textId="4D9E8968" w:rsidR="00C90429" w:rsidRPr="00FF3ADB" w:rsidRDefault="00C90429" w:rsidP="00C90429">
      <w:pPr>
        <w:pStyle w:val="Zdroj"/>
      </w:pPr>
      <w:r w:rsidRPr="00FF3ADB">
        <w:t xml:space="preserve">Zdroj: Návrh ŠZÚ </w:t>
      </w:r>
      <w:r>
        <w:t xml:space="preserve">kapitoly </w:t>
      </w:r>
      <w:r w:rsidRPr="00FF3ADB">
        <w:t>MPSVR SR 2023</w:t>
      </w:r>
      <w:r>
        <w:t>.</w:t>
      </w:r>
    </w:p>
    <w:p w14:paraId="69EDE0BC" w14:textId="3EDF613C" w:rsidR="00C90429" w:rsidRPr="00781C1A" w:rsidRDefault="00B16203" w:rsidP="00C90429">
      <w:pPr>
        <w:rPr>
          <w:rFonts w:cs="Segoe UI"/>
          <w:szCs w:val="20"/>
        </w:rPr>
      </w:pPr>
      <w:r w:rsidRPr="003441E4">
        <w:rPr>
          <w:rFonts w:cs="Segoe UI"/>
          <w:b/>
          <w:szCs w:val="20"/>
        </w:rPr>
        <w:t>Skutočné čerpanie výdavkov ŠR na rodinu bolo</w:t>
      </w:r>
      <w:r w:rsidR="00C90429">
        <w:rPr>
          <w:rFonts w:cs="Segoe UI"/>
          <w:b/>
          <w:szCs w:val="20"/>
        </w:rPr>
        <w:t xml:space="preserve"> oproti schválenému rozpočtu</w:t>
      </w:r>
      <w:r w:rsidRPr="003441E4">
        <w:rPr>
          <w:rFonts w:cs="Segoe UI"/>
          <w:b/>
          <w:szCs w:val="20"/>
        </w:rPr>
        <w:t xml:space="preserve"> vyššie o 20,9 % </w:t>
      </w:r>
      <w:r w:rsidRPr="00D77B72">
        <w:rPr>
          <w:rFonts w:cs="Segoe UI"/>
          <w:szCs w:val="20"/>
        </w:rPr>
        <w:t xml:space="preserve">(o </w:t>
      </w:r>
      <w:r w:rsidR="00C90429">
        <w:rPr>
          <w:rFonts w:cs="Segoe UI"/>
          <w:szCs w:val="20"/>
        </w:rPr>
        <w:t> </w:t>
      </w:r>
      <w:r w:rsidRPr="00D77B72">
        <w:rPr>
          <w:rFonts w:cs="Segoe UI"/>
          <w:szCs w:val="20"/>
        </w:rPr>
        <w:t>354,8 mil. eur)</w:t>
      </w:r>
      <w:r w:rsidR="00C90429">
        <w:rPr>
          <w:rFonts w:cs="Segoe UI"/>
          <w:szCs w:val="20"/>
        </w:rPr>
        <w:t xml:space="preserve">, </w:t>
      </w:r>
      <w:r w:rsidR="00C90429" w:rsidRPr="00C90429">
        <w:rPr>
          <w:rFonts w:cs="Segoe UI"/>
          <w:b/>
          <w:szCs w:val="20"/>
        </w:rPr>
        <w:t>a to z</w:t>
      </w:r>
      <w:r w:rsidRPr="003441E4">
        <w:rPr>
          <w:rFonts w:cs="Segoe UI"/>
          <w:b/>
          <w:szCs w:val="20"/>
        </w:rPr>
        <w:t xml:space="preserve"> dôvodu prijatých legislatívnych zmien a následných </w:t>
      </w:r>
      <w:r w:rsidR="003441E4">
        <w:rPr>
          <w:rFonts w:cs="Segoe UI"/>
          <w:b/>
          <w:szCs w:val="20"/>
        </w:rPr>
        <w:t>RO</w:t>
      </w:r>
      <w:r w:rsidRPr="003441E4">
        <w:rPr>
          <w:rFonts w:cs="Segoe UI"/>
          <w:b/>
          <w:szCs w:val="20"/>
        </w:rPr>
        <w:t>.</w:t>
      </w:r>
      <w:r w:rsidRPr="00A51405">
        <w:rPr>
          <w:rFonts w:cs="Segoe UI"/>
          <w:szCs w:val="20"/>
        </w:rPr>
        <w:t xml:space="preserve"> V</w:t>
      </w:r>
      <w:r w:rsidR="003441E4">
        <w:rPr>
          <w:rFonts w:cs="Segoe UI"/>
          <w:szCs w:val="20"/>
        </w:rPr>
        <w:t xml:space="preserve"> schválenom </w:t>
      </w:r>
      <w:r w:rsidRPr="00A51405">
        <w:rPr>
          <w:rFonts w:cs="Segoe UI"/>
          <w:szCs w:val="20"/>
        </w:rPr>
        <w:t>rozpočte sa nepočítalo s dotáciou na podporu výchovy k stravovacím návykom dieťaťa</w:t>
      </w:r>
      <w:r w:rsidR="00032291">
        <w:rPr>
          <w:rFonts w:cs="Segoe UI"/>
          <w:szCs w:val="20"/>
        </w:rPr>
        <w:t>;</w:t>
      </w:r>
      <w:r w:rsidRPr="00A51405">
        <w:rPr>
          <w:rFonts w:cs="Segoe UI"/>
          <w:szCs w:val="20"/>
        </w:rPr>
        <w:t xml:space="preserve"> </w:t>
      </w:r>
      <w:r w:rsidR="003441E4">
        <w:rPr>
          <w:rFonts w:cs="Segoe UI"/>
          <w:szCs w:val="20"/>
        </w:rPr>
        <w:t>cez RO</w:t>
      </w:r>
      <w:r w:rsidRPr="00A51405">
        <w:rPr>
          <w:rFonts w:cs="Segoe UI"/>
          <w:szCs w:val="20"/>
        </w:rPr>
        <w:t xml:space="preserve"> </w:t>
      </w:r>
      <w:r w:rsidR="00032291">
        <w:rPr>
          <w:rFonts w:cs="Segoe UI"/>
          <w:szCs w:val="20"/>
        </w:rPr>
        <w:t xml:space="preserve">sa </w:t>
      </w:r>
      <w:r w:rsidRPr="00A51405">
        <w:rPr>
          <w:rFonts w:cs="Segoe UI"/>
          <w:szCs w:val="20"/>
        </w:rPr>
        <w:t>zvýšil</w:t>
      </w:r>
      <w:r w:rsidR="00D77B72">
        <w:rPr>
          <w:rFonts w:cs="Segoe UI"/>
          <w:szCs w:val="20"/>
        </w:rPr>
        <w:t>a</w:t>
      </w:r>
      <w:r w:rsidRPr="00A51405">
        <w:rPr>
          <w:rFonts w:cs="Segoe UI"/>
          <w:szCs w:val="20"/>
        </w:rPr>
        <w:t xml:space="preserve"> na 112,6 mil. eur (rozšíril sa okruh detí s nárokom na bezplatnú stravu</w:t>
      </w:r>
      <w:r w:rsidRPr="00A51405">
        <w:rPr>
          <w:rStyle w:val="Odkaznapoznmkupodiarou"/>
          <w:rFonts w:cs="Segoe UI"/>
          <w:szCs w:val="20"/>
        </w:rPr>
        <w:footnoteReference w:id="55"/>
      </w:r>
      <w:r w:rsidRPr="00A51405">
        <w:rPr>
          <w:rFonts w:cs="Segoe UI"/>
          <w:szCs w:val="20"/>
        </w:rPr>
        <w:t xml:space="preserve"> a zvýšila sa denná výška dotácie na obed na dieťa</w:t>
      </w:r>
      <w:r w:rsidRPr="00A51405">
        <w:rPr>
          <w:rStyle w:val="Odkaznapoznmkupodiarou"/>
          <w:rFonts w:cs="Segoe UI"/>
          <w:szCs w:val="20"/>
        </w:rPr>
        <w:footnoteReference w:id="56"/>
      </w:r>
      <w:r w:rsidRPr="00A51405">
        <w:rPr>
          <w:rFonts w:cs="Segoe UI"/>
          <w:szCs w:val="20"/>
        </w:rPr>
        <w:t>). Výrazne sa musel oproti rozpočtu upraviť aj prídavok na dieťa</w:t>
      </w:r>
      <w:r w:rsidR="00032291">
        <w:rPr>
          <w:rFonts w:cs="Segoe UI"/>
          <w:szCs w:val="20"/>
          <w:lang w:val="en-US"/>
        </w:rPr>
        <w:t>;</w:t>
      </w:r>
      <w:r w:rsidRPr="00A51405">
        <w:rPr>
          <w:rFonts w:cs="Segoe UI"/>
          <w:szCs w:val="20"/>
        </w:rPr>
        <w:t xml:space="preserve"> jeho plnenie bolo vyššie o 46,7 %  a dosiahlo 786,6 mil. eur z pôvodne schválených 536,1 mil. eur</w:t>
      </w:r>
      <w:r w:rsidRPr="00A51405">
        <w:rPr>
          <w:rStyle w:val="Odkaznapoznmkupodiarou"/>
          <w:rFonts w:cs="Segoe UI"/>
          <w:szCs w:val="20"/>
        </w:rPr>
        <w:footnoteReference w:id="57"/>
      </w:r>
      <w:r w:rsidRPr="00A51405">
        <w:rPr>
          <w:rFonts w:cs="Segoe UI"/>
          <w:szCs w:val="20"/>
        </w:rPr>
        <w:t xml:space="preserve">. </w:t>
      </w:r>
      <w:r w:rsidR="00C90429" w:rsidRPr="00781C1A">
        <w:rPr>
          <w:rFonts w:cs="Segoe UI"/>
          <w:szCs w:val="20"/>
        </w:rPr>
        <w:t>V porovnaní s rokom 2022 sa zmenila aj štruktúra výdavkov. Zvýšil sa podiel prídavku na dieťa z 30,01 % na 38,34 % a pribudla dotácia na podporu výchovy k stravovacím návykom dieťaťa. Na strane druhej sa znížil podiel výdavkov na rodičovský príspevok z 39,1 % na 32,13 % a tiež štátom platené poistné z 27,72 % na 22,03 %.</w:t>
      </w:r>
    </w:p>
    <w:p w14:paraId="4234BF3F" w14:textId="359804B4" w:rsidR="00B16203" w:rsidRDefault="00B16203" w:rsidP="00B16203">
      <w:pPr>
        <w:rPr>
          <w:rFonts w:cs="Segoe UI"/>
          <w:szCs w:val="20"/>
        </w:rPr>
      </w:pPr>
      <w:r w:rsidRPr="00032291">
        <w:rPr>
          <w:rFonts w:cs="Segoe UI"/>
          <w:b/>
          <w:szCs w:val="20"/>
        </w:rPr>
        <w:lastRenderedPageBreak/>
        <w:t>NKÚ SR upozor</w:t>
      </w:r>
      <w:r w:rsidR="00E92B85" w:rsidRPr="00032291">
        <w:rPr>
          <w:rFonts w:cs="Segoe UI"/>
          <w:b/>
          <w:szCs w:val="20"/>
        </w:rPr>
        <w:t>ňuje</w:t>
      </w:r>
      <w:r w:rsidRPr="00032291">
        <w:rPr>
          <w:rFonts w:cs="Segoe UI"/>
          <w:b/>
          <w:szCs w:val="20"/>
        </w:rPr>
        <w:t>, že za posledných 10 rokov sa výdavky na rodinnú politiku výrazne zvýšili a to viac ako dvojnásobne, najvýraznejšie medziročne vzrástli v roku 2023 a to o 32,4 %</w:t>
      </w:r>
      <w:r w:rsidRPr="00A51405">
        <w:rPr>
          <w:rFonts w:cs="Segoe UI"/>
          <w:szCs w:val="20"/>
        </w:rPr>
        <w:t xml:space="preserve"> (o 502,4 mil. eur</w:t>
      </w:r>
      <w:r w:rsidR="00E455E8">
        <w:rPr>
          <w:rFonts w:cs="Segoe UI"/>
          <w:szCs w:val="20"/>
        </w:rPr>
        <w:t>)</w:t>
      </w:r>
      <w:r w:rsidRPr="00A51405">
        <w:rPr>
          <w:rFonts w:cs="Segoe UI"/>
          <w:szCs w:val="20"/>
        </w:rPr>
        <w:t xml:space="preserve"> (graf</w:t>
      </w:r>
      <w:r w:rsidR="00E92B85">
        <w:rPr>
          <w:rFonts w:cs="Segoe UI"/>
          <w:szCs w:val="20"/>
        </w:rPr>
        <w:t xml:space="preserve"> 2</w:t>
      </w:r>
      <w:r w:rsidR="00BB087E">
        <w:rPr>
          <w:rFonts w:cs="Segoe UI"/>
          <w:szCs w:val="20"/>
        </w:rPr>
        <w:t>7</w:t>
      </w:r>
      <w:r w:rsidRPr="00A51405">
        <w:rPr>
          <w:rFonts w:cs="Segoe UI"/>
          <w:szCs w:val="20"/>
        </w:rPr>
        <w:t>).</w:t>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4535"/>
        <w:gridCol w:w="4535"/>
      </w:tblGrid>
      <w:tr w:rsidR="008B2D00" w:rsidRPr="00C75134" w14:paraId="4A4444C9" w14:textId="77777777" w:rsidTr="00A81877">
        <w:trPr>
          <w:trHeight w:val="567"/>
        </w:trPr>
        <w:tc>
          <w:tcPr>
            <w:tcW w:w="2500" w:type="pct"/>
            <w:tcBorders>
              <w:bottom w:val="single" w:sz="4" w:space="0" w:color="314364"/>
            </w:tcBorders>
            <w:vAlign w:val="center"/>
          </w:tcPr>
          <w:p w14:paraId="38547C95" w14:textId="77777777" w:rsidR="008B2D00" w:rsidRPr="00CA4AEF" w:rsidRDefault="008B2D00" w:rsidP="00A81877">
            <w:pPr>
              <w:spacing w:after="0"/>
              <w:jc w:val="left"/>
              <w:rPr>
                <w:b/>
                <w:noProof/>
                <w:lang w:eastAsia="sk-SK"/>
              </w:rPr>
            </w:pPr>
            <w:r w:rsidRPr="00CA4AEF">
              <w:rPr>
                <w:b/>
                <w:color w:val="314364"/>
              </w:rPr>
              <w:t xml:space="preserve">Graf </w:t>
            </w:r>
            <w:r>
              <w:rPr>
                <w:b/>
                <w:color w:val="314364"/>
              </w:rPr>
              <w:t>27</w:t>
            </w:r>
            <w:r w:rsidRPr="00CA4AEF">
              <w:rPr>
                <w:b/>
                <w:color w:val="314364"/>
              </w:rPr>
              <w:t xml:space="preserve">: Výdavky na podporu rodiny </w:t>
            </w:r>
            <w:r>
              <w:rPr>
                <w:b/>
                <w:color w:val="314364"/>
              </w:rPr>
              <w:br/>
            </w:r>
            <w:r w:rsidRPr="00CA4AEF">
              <w:rPr>
                <w:b/>
                <w:color w:val="314364"/>
              </w:rPr>
              <w:t>v 2014 – 2023</w:t>
            </w:r>
            <w:r>
              <w:rPr>
                <w:b/>
                <w:color w:val="314364"/>
              </w:rPr>
              <w:t xml:space="preserve"> (v mil. eur)</w:t>
            </w:r>
          </w:p>
        </w:tc>
        <w:tc>
          <w:tcPr>
            <w:tcW w:w="2500" w:type="pct"/>
            <w:tcBorders>
              <w:bottom w:val="single" w:sz="4" w:space="0" w:color="314364"/>
            </w:tcBorders>
            <w:vAlign w:val="center"/>
          </w:tcPr>
          <w:p w14:paraId="1C3C242B" w14:textId="77777777" w:rsidR="008B2D00" w:rsidRPr="00CA4AEF" w:rsidRDefault="008B2D00" w:rsidP="00A81877">
            <w:pPr>
              <w:spacing w:after="0"/>
              <w:jc w:val="left"/>
              <w:rPr>
                <w:b/>
                <w:noProof/>
                <w:lang w:eastAsia="sk-SK"/>
              </w:rPr>
            </w:pPr>
            <w:r w:rsidRPr="00CA4AEF">
              <w:rPr>
                <w:b/>
                <w:color w:val="314364"/>
              </w:rPr>
              <w:t xml:space="preserve">Graf </w:t>
            </w:r>
            <w:r>
              <w:rPr>
                <w:b/>
                <w:color w:val="314364"/>
              </w:rPr>
              <w:t>28</w:t>
            </w:r>
            <w:r w:rsidRPr="00CA4AEF">
              <w:rPr>
                <w:b/>
                <w:color w:val="314364"/>
              </w:rPr>
              <w:t>: Výdavky na starobné dôchodky v 20</w:t>
            </w:r>
            <w:r>
              <w:rPr>
                <w:b/>
                <w:color w:val="314364"/>
              </w:rPr>
              <w:t>14</w:t>
            </w:r>
            <w:r w:rsidRPr="00CA4AEF">
              <w:rPr>
                <w:b/>
                <w:color w:val="314364"/>
              </w:rPr>
              <w:t xml:space="preserve"> – 202</w:t>
            </w:r>
            <w:r>
              <w:rPr>
                <w:b/>
                <w:color w:val="314364"/>
              </w:rPr>
              <w:t>3 (v mil. eur)</w:t>
            </w:r>
          </w:p>
        </w:tc>
      </w:tr>
      <w:tr w:rsidR="008B2D00" w:rsidRPr="00C75134" w14:paraId="4D1C5D72" w14:textId="77777777" w:rsidTr="00A81877">
        <w:trPr>
          <w:trHeight w:val="3118"/>
        </w:trPr>
        <w:tc>
          <w:tcPr>
            <w:tcW w:w="5000" w:type="pct"/>
            <w:gridSpan w:val="2"/>
            <w:tcBorders>
              <w:top w:val="single" w:sz="4" w:space="0" w:color="314364"/>
              <w:bottom w:val="single" w:sz="4" w:space="0" w:color="314364"/>
            </w:tcBorders>
            <w:vAlign w:val="center"/>
          </w:tcPr>
          <w:p w14:paraId="380FB194" w14:textId="77777777" w:rsidR="008B2D00" w:rsidRPr="00C75134" w:rsidRDefault="008B2D00" w:rsidP="00A81877">
            <w:pPr>
              <w:spacing w:after="0"/>
              <w:rPr>
                <w:b/>
                <w:color w:val="576431"/>
              </w:rPr>
            </w:pPr>
            <w:r>
              <w:rPr>
                <w:noProof/>
                <w:lang w:eastAsia="sk-SK"/>
              </w:rPr>
              <w:t xml:space="preserve"> </w:t>
            </w:r>
            <w:r>
              <w:rPr>
                <w:noProof/>
                <w:lang w:eastAsia="sk-SK"/>
              </w:rPr>
              <w:drawing>
                <wp:inline distT="0" distB="0" distL="0" distR="0" wp14:anchorId="46A338AC" wp14:editId="7EC1F28D">
                  <wp:extent cx="2781300" cy="2219325"/>
                  <wp:effectExtent l="0" t="0" r="0" b="0"/>
                  <wp:docPr id="40" name="Graf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r w:rsidRPr="008824CE">
              <w:rPr>
                <w:noProof/>
                <w:sz w:val="16"/>
                <w:szCs w:val="16"/>
                <w:lang w:eastAsia="sk-SK"/>
              </w:rPr>
              <w:drawing>
                <wp:inline distT="0" distB="0" distL="0" distR="0" wp14:anchorId="718303C8" wp14:editId="4A34F389">
                  <wp:extent cx="2841625" cy="2236470"/>
                  <wp:effectExtent l="0" t="0" r="0" b="0"/>
                  <wp:docPr id="4" name="Graf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tc>
      </w:tr>
    </w:tbl>
    <w:p w14:paraId="5439C0B8" w14:textId="77777777" w:rsidR="008B2D00" w:rsidRPr="001B4BD0" w:rsidRDefault="008B2D00" w:rsidP="008B2D00">
      <w:pPr>
        <w:pStyle w:val="Zdroj"/>
      </w:pPr>
      <w:r w:rsidRPr="001B4BD0">
        <w:t>Zdroj: RIS BI 2014 – 2023</w:t>
      </w:r>
      <w:r>
        <w:t>.                                                                 Zdroj:</w:t>
      </w:r>
      <w:r w:rsidRPr="001B4BD0">
        <w:t xml:space="preserve"> Sociálna poisťovňa</w:t>
      </w:r>
      <w:r>
        <w:t>.</w:t>
      </w:r>
    </w:p>
    <w:p w14:paraId="3B11A4F9" w14:textId="40B35D19" w:rsidR="006453AB" w:rsidRPr="00A51405" w:rsidRDefault="00883D34" w:rsidP="006453AB">
      <w:pPr>
        <w:rPr>
          <w:rFonts w:cs="Segoe UI"/>
          <w:szCs w:val="20"/>
        </w:rPr>
      </w:pPr>
      <w:r w:rsidRPr="00883D34">
        <w:rPr>
          <w:rFonts w:cs="Segoe UI"/>
          <w:b/>
          <w:szCs w:val="20"/>
        </w:rPr>
        <w:t>Celkové výdavky na starobné dôchodky vzrástli v roku 2023 medziročne o 21,3 % (o 1</w:t>
      </w:r>
      <w:r w:rsidR="006453AB">
        <w:rPr>
          <w:rFonts w:cs="Segoe UI"/>
          <w:b/>
          <w:szCs w:val="20"/>
        </w:rPr>
        <w:t>,</w:t>
      </w:r>
      <w:r w:rsidRPr="00883D34">
        <w:rPr>
          <w:rFonts w:cs="Segoe UI"/>
          <w:b/>
          <w:szCs w:val="20"/>
        </w:rPr>
        <w:t>4 ml</w:t>
      </w:r>
      <w:r w:rsidR="006453AB">
        <w:rPr>
          <w:rFonts w:cs="Segoe UI"/>
          <w:b/>
          <w:szCs w:val="20"/>
        </w:rPr>
        <w:t>d</w:t>
      </w:r>
      <w:r w:rsidRPr="00883D34">
        <w:rPr>
          <w:rFonts w:cs="Segoe UI"/>
          <w:b/>
          <w:szCs w:val="20"/>
        </w:rPr>
        <w:t>. eur), čo bolo najviac za posledných desať rokov</w:t>
      </w:r>
      <w:r w:rsidR="0014526A">
        <w:rPr>
          <w:rFonts w:cs="Segoe UI"/>
          <w:szCs w:val="20"/>
        </w:rPr>
        <w:t xml:space="preserve"> (graf 28).</w:t>
      </w:r>
      <w:r w:rsidRPr="00A51405">
        <w:rPr>
          <w:rFonts w:cs="Segoe UI"/>
          <w:szCs w:val="20"/>
        </w:rPr>
        <w:t xml:space="preserve"> </w:t>
      </w:r>
      <w:r w:rsidR="00B16203" w:rsidRPr="00A51405">
        <w:rPr>
          <w:rFonts w:cs="Segoe UI"/>
          <w:szCs w:val="20"/>
        </w:rPr>
        <w:t>Prispel</w:t>
      </w:r>
      <w:r w:rsidR="006453AB">
        <w:rPr>
          <w:rFonts w:cs="Segoe UI"/>
          <w:szCs w:val="20"/>
        </w:rPr>
        <w:t>a</w:t>
      </w:r>
      <w:r w:rsidR="00B16203" w:rsidRPr="00A51405">
        <w:rPr>
          <w:rFonts w:cs="Segoe UI"/>
          <w:szCs w:val="20"/>
        </w:rPr>
        <w:t xml:space="preserve"> k tomu </w:t>
      </w:r>
      <w:r w:rsidR="006453AB">
        <w:rPr>
          <w:rFonts w:cs="Segoe UI"/>
          <w:szCs w:val="20"/>
        </w:rPr>
        <w:t xml:space="preserve">mimoriadna valorizácia dôchodkov, </w:t>
      </w:r>
      <w:r w:rsidR="00B16203" w:rsidRPr="00A51405">
        <w:rPr>
          <w:rFonts w:cs="Segoe UI"/>
          <w:szCs w:val="20"/>
        </w:rPr>
        <w:t>rodičovský dôchodok</w:t>
      </w:r>
      <w:r w:rsidR="006453AB">
        <w:rPr>
          <w:rFonts w:cs="Segoe UI"/>
          <w:szCs w:val="20"/>
        </w:rPr>
        <w:t xml:space="preserve"> </w:t>
      </w:r>
      <w:r w:rsidR="00B16203" w:rsidRPr="00A51405">
        <w:rPr>
          <w:rFonts w:cs="Segoe UI"/>
          <w:szCs w:val="20"/>
        </w:rPr>
        <w:t xml:space="preserve">a rozmrazenie minimálnych dôchodkov. Rodičovský dôchodok si </w:t>
      </w:r>
      <w:r w:rsidR="00E455E8">
        <w:rPr>
          <w:rFonts w:cs="Segoe UI"/>
          <w:szCs w:val="20"/>
        </w:rPr>
        <w:t>vyžiadal</w:t>
      </w:r>
      <w:r w:rsidR="00E455E8" w:rsidRPr="00A51405">
        <w:rPr>
          <w:rFonts w:cs="Segoe UI"/>
          <w:szCs w:val="20"/>
        </w:rPr>
        <w:t xml:space="preserve"> </w:t>
      </w:r>
      <w:r w:rsidR="00B16203" w:rsidRPr="00A51405">
        <w:rPr>
          <w:rFonts w:cs="Segoe UI"/>
          <w:szCs w:val="20"/>
        </w:rPr>
        <w:t xml:space="preserve">286,1 mil. eur a mimoriadne zvýšenie dôchodkov </w:t>
      </w:r>
      <w:r w:rsidR="00FA6A29" w:rsidRPr="00A51405">
        <w:rPr>
          <w:rFonts w:cs="Segoe UI"/>
          <w:szCs w:val="20"/>
        </w:rPr>
        <w:t>o 10,6</w:t>
      </w:r>
      <w:r w:rsidR="00FA6A29">
        <w:rPr>
          <w:rFonts w:cs="Segoe UI"/>
          <w:szCs w:val="20"/>
        </w:rPr>
        <w:t xml:space="preserve"> </w:t>
      </w:r>
      <w:r w:rsidR="00FA6A29" w:rsidRPr="00A51405">
        <w:rPr>
          <w:rFonts w:cs="Segoe UI"/>
          <w:szCs w:val="20"/>
        </w:rPr>
        <w:t>%</w:t>
      </w:r>
      <w:r w:rsidR="00FA6A29">
        <w:rPr>
          <w:rFonts w:cs="Segoe UI"/>
          <w:szCs w:val="20"/>
        </w:rPr>
        <w:t xml:space="preserve"> od </w:t>
      </w:r>
      <w:r w:rsidR="00B16203" w:rsidRPr="00A51405">
        <w:rPr>
          <w:rFonts w:cs="Segoe UI"/>
          <w:szCs w:val="20"/>
        </w:rPr>
        <w:t xml:space="preserve">1. </w:t>
      </w:r>
      <w:r w:rsidR="0014526A">
        <w:rPr>
          <w:rFonts w:cs="Segoe UI"/>
          <w:szCs w:val="20"/>
        </w:rPr>
        <w:t>7.</w:t>
      </w:r>
      <w:r w:rsidR="00B16203" w:rsidRPr="00A51405">
        <w:rPr>
          <w:rFonts w:cs="Segoe UI"/>
          <w:szCs w:val="20"/>
        </w:rPr>
        <w:t xml:space="preserve"> 2023 (okrem januárovej valorizácie o 11,8 %) ďalších 522,3 mil. eur, čo malo dopad na hospodárenie SP. </w:t>
      </w:r>
      <w:r w:rsidR="002D5984">
        <w:rPr>
          <w:rFonts w:cs="Segoe UI"/>
          <w:szCs w:val="20"/>
        </w:rPr>
        <w:t>M</w:t>
      </w:r>
      <w:r w:rsidR="00B16203" w:rsidRPr="00A51405">
        <w:rPr>
          <w:rFonts w:cs="Segoe UI"/>
          <w:szCs w:val="20"/>
        </w:rPr>
        <w:t xml:space="preserve">imoriadne zvýšenie na jeden starobný dôchodok predstavovalo </w:t>
      </w:r>
      <w:r w:rsidR="002D5984">
        <w:rPr>
          <w:rFonts w:cs="Segoe UI"/>
          <w:szCs w:val="20"/>
        </w:rPr>
        <w:t xml:space="preserve">v priemere </w:t>
      </w:r>
      <w:r w:rsidR="00B16203" w:rsidRPr="00A51405">
        <w:rPr>
          <w:rFonts w:cs="Segoe UI"/>
          <w:szCs w:val="20"/>
        </w:rPr>
        <w:t xml:space="preserve">57,5 eur a na jeden predčasný starobný dôchodok 66,8 eur. </w:t>
      </w:r>
      <w:r w:rsidR="00FA6A29">
        <w:rPr>
          <w:rFonts w:cs="Segoe UI"/>
          <w:szCs w:val="20"/>
        </w:rPr>
        <w:t xml:space="preserve">To </w:t>
      </w:r>
      <w:r w:rsidR="00B16203" w:rsidRPr="00A51405">
        <w:rPr>
          <w:rFonts w:cs="Segoe UI"/>
          <w:szCs w:val="20"/>
        </w:rPr>
        <w:t>spôsobil</w:t>
      </w:r>
      <w:r w:rsidR="00FA6A29">
        <w:rPr>
          <w:rFonts w:cs="Segoe UI"/>
          <w:szCs w:val="20"/>
        </w:rPr>
        <w:t>o</w:t>
      </w:r>
      <w:r w:rsidR="00B16203" w:rsidRPr="00A51405">
        <w:rPr>
          <w:rFonts w:cs="Segoe UI"/>
          <w:szCs w:val="20"/>
        </w:rPr>
        <w:t>, že čerpanie finančných prostriedkov v základnom fonde starobného poistenia oproti schválenému rozpočtu SP bolo vyššie o 904,4 mil. eur, z toho najviac v starobných dôchodkoch o 527,2 mil. eur, v rodičovských dôchodkoch o 286,1 mil.</w:t>
      </w:r>
      <w:r w:rsidR="0014526A">
        <w:rPr>
          <w:rFonts w:cs="Segoe UI"/>
          <w:szCs w:val="20"/>
        </w:rPr>
        <w:t xml:space="preserve"> eur a v PSD o 51,2 mil. eur.</w:t>
      </w:r>
      <w:r w:rsidR="006453AB" w:rsidRPr="006453AB">
        <w:rPr>
          <w:rFonts w:cs="Segoe UI"/>
          <w:szCs w:val="20"/>
        </w:rPr>
        <w:t xml:space="preserve"> </w:t>
      </w:r>
      <w:r w:rsidR="006453AB" w:rsidRPr="00A51405">
        <w:rPr>
          <w:rFonts w:cs="Segoe UI"/>
          <w:szCs w:val="20"/>
        </w:rPr>
        <w:t>Pôvodne plánované finančné prostriedky na 13. dôchodok</w:t>
      </w:r>
      <w:r w:rsidR="006453AB" w:rsidRPr="00A51405">
        <w:rPr>
          <w:rStyle w:val="Odkaznapoznmkupodiarou"/>
          <w:rFonts w:cs="Segoe UI"/>
          <w:szCs w:val="20"/>
        </w:rPr>
        <w:footnoteReference w:id="58"/>
      </w:r>
      <w:r w:rsidR="006453AB" w:rsidRPr="00A51405">
        <w:rPr>
          <w:rFonts w:cs="Segoe UI"/>
          <w:szCs w:val="20"/>
        </w:rPr>
        <w:t xml:space="preserve"> v objeme 310 mil. eur sa navýšili v rozpočte kapitoly MPSVR SR na 748,6 mil. eur</w:t>
      </w:r>
      <w:r w:rsidR="006453AB">
        <w:rPr>
          <w:rFonts w:cs="Segoe UI"/>
          <w:szCs w:val="20"/>
        </w:rPr>
        <w:t>,</w:t>
      </w:r>
      <w:r w:rsidR="006453AB" w:rsidRPr="00A51405">
        <w:rPr>
          <w:rFonts w:cs="Segoe UI"/>
          <w:szCs w:val="20"/>
        </w:rPr>
        <w:t xml:space="preserve"> pričom skutočné čerpanie</w:t>
      </w:r>
      <w:r w:rsidR="006453AB">
        <w:rPr>
          <w:rFonts w:cs="Segoe UI"/>
          <w:szCs w:val="20"/>
        </w:rPr>
        <w:t xml:space="preserve"> bolo vo výške 708,6 mil. eur.</w:t>
      </w:r>
    </w:p>
    <w:p w14:paraId="465F6A30" w14:textId="3AF545FF" w:rsidR="00B16203" w:rsidRDefault="00B16203" w:rsidP="001E15F4">
      <w:pPr>
        <w:pStyle w:val="Nadpis3"/>
      </w:pPr>
      <w:bookmarkStart w:id="42" w:name="_Toc168567204"/>
      <w:r w:rsidRPr="00257B9E">
        <w:t>5.2.</w:t>
      </w:r>
      <w:r>
        <w:t>1</w:t>
      </w:r>
      <w:r w:rsidRPr="00257B9E">
        <w:t xml:space="preserve"> </w:t>
      </w:r>
      <w:r w:rsidR="00E43045">
        <w:t xml:space="preserve"> </w:t>
      </w:r>
      <w:r w:rsidR="00E92B85">
        <w:t>Výdavky na p</w:t>
      </w:r>
      <w:r w:rsidRPr="00257B9E">
        <w:t>redčasné starobné dôchodky</w:t>
      </w:r>
      <w:bookmarkEnd w:id="42"/>
    </w:p>
    <w:p w14:paraId="54D4BDF0" w14:textId="161EFA33" w:rsidR="002D5984" w:rsidRDefault="00B16203" w:rsidP="002D5984">
      <w:pPr>
        <w:rPr>
          <w:rFonts w:cs="Segoe UI"/>
          <w:szCs w:val="20"/>
        </w:rPr>
      </w:pPr>
      <w:r w:rsidRPr="002D5984">
        <w:rPr>
          <w:rFonts w:cs="Segoe UI"/>
          <w:b/>
          <w:szCs w:val="20"/>
        </w:rPr>
        <w:t xml:space="preserve">Možnosť získať </w:t>
      </w:r>
      <w:r w:rsidR="00735903">
        <w:rPr>
          <w:rFonts w:cs="Segoe UI"/>
          <w:b/>
          <w:szCs w:val="20"/>
        </w:rPr>
        <w:t>PSD</w:t>
      </w:r>
      <w:r w:rsidRPr="002D5984">
        <w:rPr>
          <w:rFonts w:cs="Segoe UI"/>
          <w:b/>
          <w:szCs w:val="20"/>
        </w:rPr>
        <w:t xml:space="preserve"> po odpracovaní 40 rokov (PSD40</w:t>
      </w:r>
      <w:r w:rsidRPr="002D5984">
        <w:rPr>
          <w:rFonts w:cs="Segoe UI"/>
          <w:b/>
          <w:szCs w:val="20"/>
          <w:lang w:val="en-US"/>
        </w:rPr>
        <w:t>+</w:t>
      </w:r>
      <w:r w:rsidRPr="002D5984">
        <w:rPr>
          <w:rFonts w:cs="Segoe UI"/>
          <w:b/>
          <w:szCs w:val="20"/>
        </w:rPr>
        <w:t>) a riadna a mimoriadna valorizácia dôchodkových dávok</w:t>
      </w:r>
      <w:r w:rsidRPr="002D5984">
        <w:rPr>
          <w:rFonts w:cs="Segoe UI"/>
          <w:szCs w:val="20"/>
        </w:rPr>
        <w:t xml:space="preserve"> </w:t>
      </w:r>
      <w:r w:rsidRPr="002D5984">
        <w:rPr>
          <w:rFonts w:cs="Segoe UI"/>
          <w:b/>
          <w:szCs w:val="20"/>
        </w:rPr>
        <w:t xml:space="preserve">zvýhodnila žiadateľov o PSD a spôsobila veľký záujem zo strany </w:t>
      </w:r>
      <w:r w:rsidR="004E612D">
        <w:rPr>
          <w:rFonts w:cs="Segoe UI"/>
          <w:b/>
          <w:szCs w:val="20"/>
        </w:rPr>
        <w:t>poistencov</w:t>
      </w:r>
      <w:r w:rsidR="004E612D" w:rsidRPr="002D5984">
        <w:rPr>
          <w:rFonts w:cs="Segoe UI"/>
          <w:b/>
          <w:szCs w:val="20"/>
        </w:rPr>
        <w:t xml:space="preserve"> </w:t>
      </w:r>
      <w:r w:rsidRPr="002D5984">
        <w:rPr>
          <w:rFonts w:cs="Segoe UI"/>
          <w:b/>
          <w:szCs w:val="20"/>
        </w:rPr>
        <w:t>o </w:t>
      </w:r>
      <w:r w:rsidR="00456490">
        <w:rPr>
          <w:rFonts w:cs="Segoe UI"/>
          <w:b/>
          <w:szCs w:val="20"/>
        </w:rPr>
        <w:t>ich</w:t>
      </w:r>
      <w:r w:rsidRPr="002D5984">
        <w:rPr>
          <w:rFonts w:cs="Segoe UI"/>
          <w:b/>
          <w:szCs w:val="20"/>
        </w:rPr>
        <w:t xml:space="preserve"> získanie</w:t>
      </w:r>
      <w:r w:rsidR="002D5984">
        <w:rPr>
          <w:rFonts w:cs="Segoe UI"/>
          <w:b/>
          <w:szCs w:val="20"/>
        </w:rPr>
        <w:t>.</w:t>
      </w:r>
      <w:r w:rsidRPr="007006F6">
        <w:rPr>
          <w:rFonts w:cs="Segoe UI"/>
          <w:szCs w:val="20"/>
        </w:rPr>
        <w:t xml:space="preserve"> </w:t>
      </w:r>
      <w:r w:rsidR="002D5984" w:rsidRPr="00A51405">
        <w:rPr>
          <w:rFonts w:cs="Segoe UI"/>
          <w:szCs w:val="20"/>
        </w:rPr>
        <w:t>V roku 2023 SP prijala najviac žiadostí o </w:t>
      </w:r>
      <w:r w:rsidR="00735903">
        <w:rPr>
          <w:rFonts w:cs="Segoe UI"/>
          <w:szCs w:val="20"/>
        </w:rPr>
        <w:t>PSD</w:t>
      </w:r>
      <w:r w:rsidR="002D5984" w:rsidRPr="00A51405">
        <w:rPr>
          <w:rFonts w:cs="Segoe UI"/>
          <w:szCs w:val="20"/>
        </w:rPr>
        <w:t xml:space="preserve"> (46 954 žiadostí) (tabuľka </w:t>
      </w:r>
      <w:r w:rsidR="002D5984">
        <w:rPr>
          <w:rFonts w:cs="Segoe UI"/>
          <w:szCs w:val="20"/>
        </w:rPr>
        <w:t>16</w:t>
      </w:r>
      <w:r w:rsidR="002D5984" w:rsidRPr="00A51405">
        <w:rPr>
          <w:rFonts w:cs="Segoe UI"/>
          <w:szCs w:val="20"/>
        </w:rPr>
        <w:t>). Oproti roku 2022 kedy nebol zavedený PSD40+</w:t>
      </w:r>
      <w:r w:rsidR="002D5984">
        <w:rPr>
          <w:rFonts w:cs="Segoe UI"/>
          <w:szCs w:val="20"/>
        </w:rPr>
        <w:t>,</w:t>
      </w:r>
      <w:r w:rsidR="002D5984" w:rsidRPr="00A51405">
        <w:rPr>
          <w:rFonts w:cs="Segoe UI"/>
          <w:szCs w:val="20"/>
        </w:rPr>
        <w:t xml:space="preserve"> počet žiadosti o PSD</w:t>
      </w:r>
      <w:r w:rsidR="00A16163">
        <w:rPr>
          <w:rFonts w:cs="Segoe UI"/>
          <w:szCs w:val="20"/>
        </w:rPr>
        <w:t xml:space="preserve"> narástol viac ako trojnásobne.</w:t>
      </w:r>
    </w:p>
    <w:p w14:paraId="6B200E1C" w14:textId="77777777" w:rsidR="00A16163" w:rsidRPr="0060393A" w:rsidRDefault="00A16163" w:rsidP="00A16163">
      <w:pPr>
        <w:spacing w:after="0"/>
        <w:ind w:right="163"/>
        <w:rPr>
          <w:b/>
          <w:szCs w:val="20"/>
        </w:rPr>
      </w:pPr>
      <w:r>
        <w:rPr>
          <w:b/>
          <w:color w:val="314364" w:themeColor="text2"/>
          <w:szCs w:val="20"/>
        </w:rPr>
        <w:t>Tabuľka 16: Počet žiadostí o starobný a predčasný starobný dôchodok</w:t>
      </w:r>
    </w:p>
    <w:tbl>
      <w:tblPr>
        <w:tblW w:w="5000" w:type="pct"/>
        <w:tblBorders>
          <w:bottom w:val="single" w:sz="4" w:space="0" w:color="314364" w:themeColor="text2"/>
        </w:tblBorders>
        <w:tblCellMar>
          <w:left w:w="70" w:type="dxa"/>
          <w:right w:w="70" w:type="dxa"/>
        </w:tblCellMar>
        <w:tblLook w:val="04A0" w:firstRow="1" w:lastRow="0" w:firstColumn="1" w:lastColumn="0" w:noHBand="0" w:noVBand="1"/>
      </w:tblPr>
      <w:tblGrid>
        <w:gridCol w:w="4949"/>
        <w:gridCol w:w="1315"/>
        <w:gridCol w:w="1315"/>
        <w:gridCol w:w="1491"/>
      </w:tblGrid>
      <w:tr w:rsidR="00A16163" w:rsidRPr="004E6B4A" w14:paraId="23E44EC0" w14:textId="77777777" w:rsidTr="00A650EB">
        <w:trPr>
          <w:trHeight w:val="283"/>
        </w:trPr>
        <w:tc>
          <w:tcPr>
            <w:tcW w:w="2728" w:type="pct"/>
            <w:shd w:val="clear" w:color="000000" w:fill="314364"/>
            <w:vAlign w:val="center"/>
            <w:hideMark/>
          </w:tcPr>
          <w:p w14:paraId="47CA2DA0" w14:textId="77777777" w:rsidR="00A16163" w:rsidRPr="004E6B4A" w:rsidRDefault="00A16163" w:rsidP="00A650EB">
            <w:pPr>
              <w:spacing w:after="0" w:line="240" w:lineRule="auto"/>
              <w:jc w:val="left"/>
              <w:rPr>
                <w:rFonts w:eastAsia="Times New Roman" w:cs="Segoe UI"/>
                <w:b/>
                <w:bCs/>
                <w:color w:val="FFFFFF"/>
                <w:sz w:val="18"/>
                <w:szCs w:val="18"/>
                <w:lang w:eastAsia="sk-SK"/>
              </w:rPr>
            </w:pPr>
            <w:r>
              <w:rPr>
                <w:rFonts w:eastAsia="Times New Roman" w:cs="Segoe UI"/>
                <w:b/>
                <w:bCs/>
                <w:color w:val="FFFFFF"/>
                <w:sz w:val="18"/>
                <w:szCs w:val="18"/>
                <w:lang w:eastAsia="sk-SK"/>
              </w:rPr>
              <w:t>Druh dôchodku</w:t>
            </w:r>
          </w:p>
        </w:tc>
        <w:tc>
          <w:tcPr>
            <w:tcW w:w="725" w:type="pct"/>
            <w:shd w:val="clear" w:color="000000" w:fill="314364"/>
            <w:vAlign w:val="center"/>
            <w:hideMark/>
          </w:tcPr>
          <w:p w14:paraId="32452ADE" w14:textId="77777777" w:rsidR="00A16163" w:rsidRPr="004E6B4A" w:rsidRDefault="00A16163" w:rsidP="00A650EB">
            <w:pPr>
              <w:spacing w:after="0" w:line="240" w:lineRule="auto"/>
              <w:jc w:val="center"/>
              <w:rPr>
                <w:rFonts w:eastAsia="Times New Roman" w:cs="Segoe UI"/>
                <w:b/>
                <w:bCs/>
                <w:color w:val="FFFFFF"/>
                <w:sz w:val="18"/>
                <w:szCs w:val="18"/>
                <w:lang w:eastAsia="sk-SK"/>
              </w:rPr>
            </w:pPr>
            <w:r w:rsidRPr="004E6B4A">
              <w:rPr>
                <w:rFonts w:eastAsia="Times New Roman" w:cs="Segoe UI"/>
                <w:b/>
                <w:bCs/>
                <w:color w:val="FFFFFF"/>
                <w:sz w:val="18"/>
                <w:szCs w:val="18"/>
                <w:lang w:eastAsia="sk-SK"/>
              </w:rPr>
              <w:t>202</w:t>
            </w:r>
            <w:r>
              <w:rPr>
                <w:rFonts w:eastAsia="Times New Roman" w:cs="Segoe UI"/>
                <w:b/>
                <w:bCs/>
                <w:color w:val="FFFFFF"/>
                <w:sz w:val="18"/>
                <w:szCs w:val="18"/>
                <w:lang w:eastAsia="sk-SK"/>
              </w:rPr>
              <w:t>2</w:t>
            </w:r>
          </w:p>
        </w:tc>
        <w:tc>
          <w:tcPr>
            <w:tcW w:w="725" w:type="pct"/>
            <w:shd w:val="clear" w:color="000000" w:fill="314364"/>
            <w:vAlign w:val="center"/>
          </w:tcPr>
          <w:p w14:paraId="228A5507" w14:textId="77777777" w:rsidR="00A16163" w:rsidRPr="004E6B4A" w:rsidRDefault="00A16163" w:rsidP="00A650EB">
            <w:pPr>
              <w:spacing w:after="0" w:line="240" w:lineRule="auto"/>
              <w:jc w:val="center"/>
              <w:rPr>
                <w:rFonts w:eastAsia="Times New Roman" w:cs="Segoe UI"/>
                <w:b/>
                <w:bCs/>
                <w:color w:val="FFFFFF"/>
                <w:sz w:val="18"/>
                <w:szCs w:val="18"/>
                <w:lang w:eastAsia="sk-SK"/>
              </w:rPr>
            </w:pPr>
            <w:r>
              <w:rPr>
                <w:rFonts w:eastAsia="Times New Roman" w:cs="Segoe UI"/>
                <w:b/>
                <w:bCs/>
                <w:color w:val="FFFFFF"/>
                <w:sz w:val="18"/>
                <w:szCs w:val="18"/>
                <w:lang w:eastAsia="sk-SK"/>
              </w:rPr>
              <w:t>2023</w:t>
            </w:r>
          </w:p>
        </w:tc>
        <w:tc>
          <w:tcPr>
            <w:tcW w:w="822" w:type="pct"/>
            <w:shd w:val="clear" w:color="000000" w:fill="314364"/>
            <w:vAlign w:val="center"/>
            <w:hideMark/>
          </w:tcPr>
          <w:p w14:paraId="2FECA0DF" w14:textId="77777777" w:rsidR="00A16163" w:rsidRPr="004E6B4A" w:rsidRDefault="00A16163" w:rsidP="00A650EB">
            <w:pPr>
              <w:spacing w:after="0" w:line="240" w:lineRule="auto"/>
              <w:jc w:val="center"/>
              <w:rPr>
                <w:rFonts w:eastAsia="Times New Roman" w:cs="Segoe UI"/>
                <w:b/>
                <w:bCs/>
                <w:color w:val="FFFFFF"/>
                <w:sz w:val="18"/>
                <w:szCs w:val="18"/>
                <w:lang w:eastAsia="sk-SK"/>
              </w:rPr>
            </w:pPr>
            <w:r>
              <w:rPr>
                <w:rFonts w:eastAsia="Times New Roman" w:cs="Segoe UI"/>
                <w:b/>
                <w:bCs/>
                <w:color w:val="FFFFFF"/>
                <w:sz w:val="18"/>
                <w:szCs w:val="18"/>
                <w:lang w:eastAsia="sk-SK"/>
              </w:rPr>
              <w:t>Rozdiel</w:t>
            </w:r>
          </w:p>
        </w:tc>
      </w:tr>
      <w:tr w:rsidR="00A16163" w:rsidRPr="004E6B4A" w14:paraId="4A32516D" w14:textId="77777777" w:rsidTr="00A650EB">
        <w:trPr>
          <w:trHeight w:val="283"/>
        </w:trPr>
        <w:tc>
          <w:tcPr>
            <w:tcW w:w="2728" w:type="pct"/>
            <w:shd w:val="clear" w:color="auto" w:fill="auto"/>
            <w:vAlign w:val="center"/>
            <w:hideMark/>
          </w:tcPr>
          <w:p w14:paraId="08ADD706" w14:textId="77777777" w:rsidR="00A16163" w:rsidRPr="004E612D" w:rsidRDefault="00A16163" w:rsidP="00A650EB">
            <w:pPr>
              <w:spacing w:after="0" w:line="240" w:lineRule="auto"/>
              <w:jc w:val="left"/>
              <w:rPr>
                <w:rFonts w:eastAsia="Times New Roman" w:cs="Segoe UI"/>
                <w:color w:val="000000"/>
                <w:sz w:val="18"/>
                <w:szCs w:val="18"/>
                <w:lang w:eastAsia="sk-SK"/>
              </w:rPr>
            </w:pPr>
            <w:r w:rsidRPr="004E612D">
              <w:rPr>
                <w:rFonts w:eastAsia="Times New Roman" w:cs="Segoe UI"/>
                <w:color w:val="000000"/>
                <w:sz w:val="18"/>
                <w:szCs w:val="18"/>
                <w:lang w:eastAsia="sk-SK"/>
              </w:rPr>
              <w:t>Starobný dôchodok</w:t>
            </w:r>
          </w:p>
        </w:tc>
        <w:tc>
          <w:tcPr>
            <w:tcW w:w="725" w:type="pct"/>
            <w:shd w:val="clear" w:color="auto" w:fill="auto"/>
            <w:vAlign w:val="center"/>
            <w:hideMark/>
          </w:tcPr>
          <w:p w14:paraId="101EA84C" w14:textId="77777777" w:rsidR="00A16163" w:rsidRPr="004E612D" w:rsidRDefault="00A16163" w:rsidP="00A650EB">
            <w:pPr>
              <w:spacing w:after="0" w:line="240" w:lineRule="auto"/>
              <w:jc w:val="center"/>
              <w:rPr>
                <w:rFonts w:eastAsia="Times New Roman" w:cs="Segoe UI"/>
                <w:color w:val="000000"/>
                <w:sz w:val="18"/>
                <w:szCs w:val="18"/>
                <w:lang w:eastAsia="sk-SK"/>
              </w:rPr>
            </w:pPr>
            <w:r w:rsidRPr="004E612D">
              <w:rPr>
                <w:rFonts w:eastAsia="Times New Roman" w:cs="Segoe UI"/>
                <w:color w:val="000000"/>
                <w:sz w:val="18"/>
                <w:szCs w:val="18"/>
                <w:lang w:eastAsia="sk-SK"/>
              </w:rPr>
              <w:t>50 179</w:t>
            </w:r>
          </w:p>
        </w:tc>
        <w:tc>
          <w:tcPr>
            <w:tcW w:w="725" w:type="pct"/>
            <w:vAlign w:val="center"/>
          </w:tcPr>
          <w:p w14:paraId="032B180C" w14:textId="77777777" w:rsidR="00A16163" w:rsidRPr="00744046" w:rsidRDefault="00A16163" w:rsidP="00A650EB">
            <w:pPr>
              <w:spacing w:after="0" w:line="240" w:lineRule="auto"/>
              <w:jc w:val="center"/>
              <w:rPr>
                <w:rFonts w:eastAsia="Times New Roman" w:cs="Segoe UI"/>
                <w:color w:val="000000"/>
                <w:sz w:val="18"/>
                <w:szCs w:val="18"/>
                <w:lang w:eastAsia="sk-SK"/>
              </w:rPr>
            </w:pPr>
            <w:r w:rsidRPr="00744046">
              <w:rPr>
                <w:rFonts w:eastAsia="Times New Roman" w:cs="Segoe UI"/>
                <w:color w:val="000000"/>
                <w:sz w:val="18"/>
                <w:szCs w:val="18"/>
                <w:lang w:eastAsia="sk-SK"/>
              </w:rPr>
              <w:t>52 859</w:t>
            </w:r>
          </w:p>
        </w:tc>
        <w:tc>
          <w:tcPr>
            <w:tcW w:w="822" w:type="pct"/>
            <w:shd w:val="clear" w:color="auto" w:fill="auto"/>
            <w:vAlign w:val="center"/>
            <w:hideMark/>
          </w:tcPr>
          <w:p w14:paraId="27462CD3" w14:textId="77777777" w:rsidR="00A16163" w:rsidRPr="004E612D" w:rsidRDefault="00A16163" w:rsidP="00A650EB">
            <w:pPr>
              <w:spacing w:after="0" w:line="240" w:lineRule="auto"/>
              <w:jc w:val="center"/>
              <w:rPr>
                <w:rFonts w:eastAsia="Times New Roman" w:cs="Segoe UI"/>
                <w:color w:val="000000"/>
                <w:sz w:val="18"/>
                <w:szCs w:val="18"/>
                <w:lang w:eastAsia="sk-SK"/>
              </w:rPr>
            </w:pPr>
            <w:r w:rsidRPr="004E612D">
              <w:rPr>
                <w:rFonts w:eastAsia="Times New Roman" w:cs="Segoe UI"/>
                <w:color w:val="000000"/>
                <w:sz w:val="18"/>
                <w:szCs w:val="18"/>
                <w:lang w:eastAsia="sk-SK"/>
              </w:rPr>
              <w:t>2 140</w:t>
            </w:r>
          </w:p>
        </w:tc>
      </w:tr>
      <w:tr w:rsidR="00A16163" w:rsidRPr="004E6B4A" w14:paraId="5F324BB8" w14:textId="77777777" w:rsidTr="00A650EB">
        <w:trPr>
          <w:trHeight w:val="283"/>
        </w:trPr>
        <w:tc>
          <w:tcPr>
            <w:tcW w:w="2728" w:type="pct"/>
            <w:shd w:val="clear" w:color="auto" w:fill="auto"/>
            <w:vAlign w:val="center"/>
            <w:hideMark/>
          </w:tcPr>
          <w:p w14:paraId="076AAAFA" w14:textId="77777777" w:rsidR="00A16163" w:rsidRPr="004E612D" w:rsidRDefault="00A16163" w:rsidP="00A650EB">
            <w:pPr>
              <w:spacing w:after="0" w:line="240" w:lineRule="auto"/>
              <w:jc w:val="left"/>
              <w:rPr>
                <w:rFonts w:eastAsia="Times New Roman" w:cs="Segoe UI"/>
                <w:color w:val="000000"/>
                <w:sz w:val="18"/>
                <w:szCs w:val="18"/>
                <w:lang w:eastAsia="sk-SK"/>
              </w:rPr>
            </w:pPr>
            <w:r w:rsidRPr="004E612D">
              <w:rPr>
                <w:rFonts w:eastAsia="Times New Roman" w:cs="Segoe UI"/>
                <w:color w:val="000000"/>
                <w:sz w:val="18"/>
                <w:szCs w:val="18"/>
                <w:lang w:eastAsia="sk-SK"/>
              </w:rPr>
              <w:t>Predčasný starobný dôchodok</w:t>
            </w:r>
          </w:p>
        </w:tc>
        <w:tc>
          <w:tcPr>
            <w:tcW w:w="725" w:type="pct"/>
            <w:shd w:val="clear" w:color="auto" w:fill="auto"/>
            <w:vAlign w:val="center"/>
            <w:hideMark/>
          </w:tcPr>
          <w:p w14:paraId="222DED46" w14:textId="77777777" w:rsidR="00A16163" w:rsidRPr="004E612D" w:rsidRDefault="00A16163" w:rsidP="00A650EB">
            <w:pPr>
              <w:spacing w:after="0" w:line="240" w:lineRule="auto"/>
              <w:jc w:val="center"/>
              <w:rPr>
                <w:rFonts w:eastAsia="Times New Roman" w:cs="Segoe UI"/>
                <w:color w:val="000000"/>
                <w:sz w:val="18"/>
                <w:szCs w:val="18"/>
                <w:lang w:eastAsia="sk-SK"/>
              </w:rPr>
            </w:pPr>
            <w:r w:rsidRPr="004E612D">
              <w:rPr>
                <w:rFonts w:eastAsia="Times New Roman" w:cs="Segoe UI"/>
                <w:color w:val="000000"/>
                <w:sz w:val="18"/>
                <w:szCs w:val="18"/>
                <w:lang w:eastAsia="sk-SK"/>
              </w:rPr>
              <w:t>14 360</w:t>
            </w:r>
          </w:p>
        </w:tc>
        <w:tc>
          <w:tcPr>
            <w:tcW w:w="725" w:type="pct"/>
            <w:vAlign w:val="center"/>
          </w:tcPr>
          <w:p w14:paraId="56F44F99" w14:textId="77777777" w:rsidR="00A16163" w:rsidRPr="00744046" w:rsidRDefault="00A16163" w:rsidP="00A650EB">
            <w:pPr>
              <w:spacing w:after="0" w:line="240" w:lineRule="auto"/>
              <w:jc w:val="center"/>
              <w:rPr>
                <w:rFonts w:eastAsia="Times New Roman" w:cs="Segoe UI"/>
                <w:color w:val="000000"/>
                <w:sz w:val="18"/>
                <w:szCs w:val="18"/>
                <w:lang w:eastAsia="sk-SK"/>
              </w:rPr>
            </w:pPr>
            <w:r w:rsidRPr="00744046">
              <w:rPr>
                <w:rFonts w:eastAsia="Times New Roman" w:cs="Segoe UI"/>
                <w:color w:val="000000"/>
                <w:sz w:val="18"/>
                <w:szCs w:val="18"/>
                <w:lang w:eastAsia="sk-SK"/>
              </w:rPr>
              <w:t>46 954</w:t>
            </w:r>
          </w:p>
        </w:tc>
        <w:tc>
          <w:tcPr>
            <w:tcW w:w="822" w:type="pct"/>
            <w:shd w:val="clear" w:color="auto" w:fill="auto"/>
            <w:vAlign w:val="center"/>
            <w:hideMark/>
          </w:tcPr>
          <w:p w14:paraId="759E911F" w14:textId="77777777" w:rsidR="00A16163" w:rsidRPr="004E612D" w:rsidRDefault="00A16163" w:rsidP="00A650EB">
            <w:pPr>
              <w:spacing w:after="0" w:line="240" w:lineRule="auto"/>
              <w:jc w:val="center"/>
              <w:rPr>
                <w:rFonts w:eastAsia="Times New Roman" w:cs="Segoe UI"/>
                <w:color w:val="000000"/>
                <w:sz w:val="18"/>
                <w:szCs w:val="18"/>
                <w:lang w:eastAsia="sk-SK"/>
              </w:rPr>
            </w:pPr>
            <w:r w:rsidRPr="004E612D">
              <w:rPr>
                <w:rFonts w:eastAsia="Times New Roman" w:cs="Segoe UI"/>
                <w:color w:val="000000"/>
                <w:sz w:val="18"/>
                <w:szCs w:val="18"/>
                <w:lang w:eastAsia="sk-SK"/>
              </w:rPr>
              <w:t>32 594</w:t>
            </w:r>
          </w:p>
        </w:tc>
      </w:tr>
      <w:tr w:rsidR="00A16163" w:rsidRPr="004E6B4A" w14:paraId="4A1102F6" w14:textId="77777777" w:rsidTr="00A650EB">
        <w:trPr>
          <w:trHeight w:val="283"/>
        </w:trPr>
        <w:tc>
          <w:tcPr>
            <w:tcW w:w="2728" w:type="pct"/>
            <w:shd w:val="clear" w:color="auto" w:fill="auto"/>
            <w:vAlign w:val="center"/>
          </w:tcPr>
          <w:p w14:paraId="278FBC9E" w14:textId="77777777" w:rsidR="00A16163" w:rsidRPr="004E612D" w:rsidRDefault="00A16163" w:rsidP="00A650EB">
            <w:pPr>
              <w:spacing w:after="0" w:line="240" w:lineRule="auto"/>
              <w:jc w:val="left"/>
              <w:rPr>
                <w:rFonts w:eastAsia="Times New Roman" w:cs="Segoe UI"/>
                <w:color w:val="000000"/>
                <w:sz w:val="18"/>
                <w:szCs w:val="18"/>
                <w:lang w:eastAsia="sk-SK"/>
              </w:rPr>
            </w:pPr>
            <w:r w:rsidRPr="004E612D">
              <w:rPr>
                <w:rFonts w:eastAsia="Times New Roman" w:cs="Segoe UI"/>
                <w:color w:val="000000"/>
                <w:sz w:val="18"/>
                <w:szCs w:val="18"/>
                <w:lang w:eastAsia="sk-SK"/>
              </w:rPr>
              <w:t>SPOLU</w:t>
            </w:r>
          </w:p>
        </w:tc>
        <w:tc>
          <w:tcPr>
            <w:tcW w:w="725" w:type="pct"/>
            <w:shd w:val="clear" w:color="auto" w:fill="auto"/>
          </w:tcPr>
          <w:p w14:paraId="5043CD05" w14:textId="77777777" w:rsidR="00A16163" w:rsidRPr="004E612D" w:rsidRDefault="00A16163" w:rsidP="00A650EB">
            <w:pPr>
              <w:spacing w:after="0" w:line="240" w:lineRule="auto"/>
              <w:jc w:val="center"/>
              <w:rPr>
                <w:rFonts w:eastAsia="Times New Roman" w:cs="Segoe UI"/>
                <w:color w:val="000000"/>
                <w:sz w:val="18"/>
                <w:szCs w:val="18"/>
                <w:lang w:eastAsia="sk-SK"/>
              </w:rPr>
            </w:pPr>
            <w:r w:rsidRPr="001E15F4">
              <w:rPr>
                <w:sz w:val="18"/>
                <w:szCs w:val="18"/>
              </w:rPr>
              <w:t>64 539</w:t>
            </w:r>
          </w:p>
        </w:tc>
        <w:tc>
          <w:tcPr>
            <w:tcW w:w="725" w:type="pct"/>
          </w:tcPr>
          <w:p w14:paraId="541D0791" w14:textId="77777777" w:rsidR="00A16163" w:rsidRPr="004E612D" w:rsidRDefault="00A16163" w:rsidP="00A650EB">
            <w:pPr>
              <w:spacing w:after="0" w:line="240" w:lineRule="auto"/>
              <w:jc w:val="center"/>
              <w:rPr>
                <w:rFonts w:eastAsia="Times New Roman" w:cs="Segoe UI"/>
                <w:color w:val="000000"/>
                <w:sz w:val="18"/>
                <w:szCs w:val="18"/>
                <w:lang w:eastAsia="sk-SK"/>
              </w:rPr>
            </w:pPr>
            <w:r w:rsidRPr="001E15F4">
              <w:rPr>
                <w:sz w:val="18"/>
                <w:szCs w:val="18"/>
              </w:rPr>
              <w:t>99 813</w:t>
            </w:r>
          </w:p>
        </w:tc>
        <w:tc>
          <w:tcPr>
            <w:tcW w:w="822" w:type="pct"/>
            <w:shd w:val="clear" w:color="auto" w:fill="auto"/>
          </w:tcPr>
          <w:p w14:paraId="78B81BD7" w14:textId="77777777" w:rsidR="00A16163" w:rsidRPr="004E612D" w:rsidRDefault="00A16163" w:rsidP="00A650EB">
            <w:pPr>
              <w:spacing w:after="0" w:line="240" w:lineRule="auto"/>
              <w:jc w:val="center"/>
              <w:rPr>
                <w:rFonts w:eastAsia="Times New Roman" w:cs="Segoe UI"/>
                <w:color w:val="000000"/>
                <w:sz w:val="18"/>
                <w:szCs w:val="18"/>
                <w:lang w:eastAsia="sk-SK"/>
              </w:rPr>
            </w:pPr>
            <w:r w:rsidRPr="001E15F4">
              <w:rPr>
                <w:sz w:val="18"/>
                <w:szCs w:val="18"/>
              </w:rPr>
              <w:t>34 734</w:t>
            </w:r>
          </w:p>
        </w:tc>
      </w:tr>
    </w:tbl>
    <w:p w14:paraId="1EFB3C87" w14:textId="77777777" w:rsidR="007C1F09" w:rsidRPr="0060393A" w:rsidRDefault="007C1F09" w:rsidP="007C1F09">
      <w:pPr>
        <w:pStyle w:val="Zdroj"/>
      </w:pPr>
      <w:r>
        <w:t>Zdroj: Sociálna poisťovňa</w:t>
      </w:r>
    </w:p>
    <w:p w14:paraId="5BEDFA61" w14:textId="4B423DC9" w:rsidR="00574E5C" w:rsidRDefault="00574E5C" w:rsidP="00574E5C">
      <w:pPr>
        <w:rPr>
          <w:rFonts w:cs="Segoe UI"/>
          <w:szCs w:val="20"/>
        </w:rPr>
      </w:pPr>
      <w:r w:rsidRPr="00FB2ABA">
        <w:rPr>
          <w:rFonts w:cs="Segoe UI"/>
          <w:b/>
          <w:color w:val="000000"/>
          <w:szCs w:val="20"/>
        </w:rPr>
        <w:lastRenderedPageBreak/>
        <w:t>Od zavedenia PSD40+ výrazne rastie počet novopriznaných aj vyplácaných PSD v porovnaní s prechádzajúcim obdobím rokov 2020 až 2022.</w:t>
      </w:r>
      <w:r>
        <w:rPr>
          <w:rFonts w:cs="Segoe UI"/>
          <w:color w:val="000000"/>
          <w:szCs w:val="20"/>
        </w:rPr>
        <w:t xml:space="preserve"> </w:t>
      </w:r>
      <w:r w:rsidRPr="00737494">
        <w:rPr>
          <w:rFonts w:cs="Segoe UI"/>
          <w:szCs w:val="20"/>
        </w:rPr>
        <w:t xml:space="preserve">Počet novopriznaných PSD </w:t>
      </w:r>
      <w:r w:rsidR="00FB2ABA">
        <w:rPr>
          <w:rFonts w:cs="Segoe UI"/>
          <w:szCs w:val="20"/>
        </w:rPr>
        <w:t>v roku 2023</w:t>
      </w:r>
      <w:r>
        <w:rPr>
          <w:rFonts w:cs="Segoe UI"/>
          <w:b/>
          <w:szCs w:val="20"/>
        </w:rPr>
        <w:t xml:space="preserve"> </w:t>
      </w:r>
      <w:r w:rsidRPr="00A51405">
        <w:rPr>
          <w:rFonts w:cs="Segoe UI"/>
          <w:szCs w:val="20"/>
        </w:rPr>
        <w:t xml:space="preserve">stúpol </w:t>
      </w:r>
      <w:r w:rsidR="00FB2ABA">
        <w:rPr>
          <w:rFonts w:cs="Segoe UI"/>
          <w:szCs w:val="20"/>
        </w:rPr>
        <w:t xml:space="preserve">medziročne </w:t>
      </w:r>
      <w:r w:rsidRPr="00A51405">
        <w:rPr>
          <w:rFonts w:cs="Segoe UI"/>
          <w:szCs w:val="20"/>
        </w:rPr>
        <w:t xml:space="preserve">o 41,2 %. </w:t>
      </w:r>
      <w:r>
        <w:rPr>
          <w:rFonts w:cs="Segoe UI"/>
          <w:szCs w:val="20"/>
        </w:rPr>
        <w:t>Dokonca už z</w:t>
      </w:r>
      <w:r w:rsidRPr="00A51405">
        <w:rPr>
          <w:rFonts w:cs="Segoe UI"/>
          <w:szCs w:val="20"/>
        </w:rPr>
        <w:t xml:space="preserve">a prvé </w:t>
      </w:r>
      <w:r>
        <w:rPr>
          <w:rFonts w:cs="Segoe UI"/>
          <w:szCs w:val="20"/>
        </w:rPr>
        <w:t>tri</w:t>
      </w:r>
      <w:r w:rsidRPr="00A51405">
        <w:rPr>
          <w:rFonts w:cs="Segoe UI"/>
          <w:szCs w:val="20"/>
        </w:rPr>
        <w:t xml:space="preserve"> mesiace tohto roku </w:t>
      </w:r>
      <w:r>
        <w:rPr>
          <w:rFonts w:cs="Segoe UI"/>
          <w:szCs w:val="20"/>
        </w:rPr>
        <w:t xml:space="preserve">prekročil počet novopriznaných PSD </w:t>
      </w:r>
      <w:r w:rsidR="00FB2ABA">
        <w:rPr>
          <w:rFonts w:cs="Segoe UI"/>
          <w:szCs w:val="20"/>
        </w:rPr>
        <w:t xml:space="preserve">počty </w:t>
      </w:r>
      <w:r>
        <w:rPr>
          <w:rFonts w:cs="Segoe UI"/>
          <w:szCs w:val="20"/>
        </w:rPr>
        <w:t>v predchádzajúcich rokoch (18 775) a</w:t>
      </w:r>
      <w:r w:rsidRPr="00A51405">
        <w:rPr>
          <w:rFonts w:cs="Segoe UI"/>
          <w:szCs w:val="20"/>
        </w:rPr>
        <w:t xml:space="preserve"> dosiahol </w:t>
      </w:r>
      <w:r>
        <w:rPr>
          <w:rFonts w:cs="Segoe UI"/>
          <w:szCs w:val="20"/>
        </w:rPr>
        <w:t>105,7</w:t>
      </w:r>
      <w:r w:rsidRPr="00A51405">
        <w:rPr>
          <w:rFonts w:cs="Segoe UI"/>
          <w:szCs w:val="20"/>
        </w:rPr>
        <w:t xml:space="preserve"> % novopriznaných PSD z roku 2023 a až </w:t>
      </w:r>
      <w:r>
        <w:rPr>
          <w:rFonts w:cs="Segoe UI"/>
          <w:szCs w:val="20"/>
        </w:rPr>
        <w:t>149,2</w:t>
      </w:r>
      <w:r w:rsidRPr="00A51405">
        <w:rPr>
          <w:rFonts w:cs="Segoe UI"/>
          <w:szCs w:val="20"/>
        </w:rPr>
        <w:t xml:space="preserve"> % novopriznaných PSD z roku 2022 (graf </w:t>
      </w:r>
      <w:r w:rsidR="00FB2ABA">
        <w:rPr>
          <w:rFonts w:cs="Segoe UI"/>
          <w:szCs w:val="20"/>
        </w:rPr>
        <w:t>2</w:t>
      </w:r>
      <w:r w:rsidR="00BB087E">
        <w:rPr>
          <w:rFonts w:cs="Segoe UI"/>
          <w:szCs w:val="20"/>
        </w:rPr>
        <w:t>9</w:t>
      </w:r>
      <w:r w:rsidRPr="00A51405">
        <w:rPr>
          <w:rFonts w:cs="Segoe UI"/>
          <w:szCs w:val="20"/>
        </w:rPr>
        <w:t>).</w:t>
      </w:r>
    </w:p>
    <w:tbl>
      <w:tblPr>
        <w:tblStyle w:val="Mriekatabuky"/>
        <w:tblW w:w="504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4576"/>
        <w:gridCol w:w="4576"/>
      </w:tblGrid>
      <w:tr w:rsidR="00A16163" w:rsidRPr="00D2691B" w14:paraId="3A02CB7C" w14:textId="77777777" w:rsidTr="00A650EB">
        <w:trPr>
          <w:trHeight w:val="283"/>
        </w:trPr>
        <w:tc>
          <w:tcPr>
            <w:tcW w:w="4576" w:type="dxa"/>
            <w:tcBorders>
              <w:bottom w:val="single" w:sz="4" w:space="0" w:color="314364"/>
            </w:tcBorders>
            <w:vAlign w:val="center"/>
          </w:tcPr>
          <w:p w14:paraId="6CA38D32" w14:textId="4D101EEB" w:rsidR="00A16163" w:rsidRPr="00D2691B" w:rsidRDefault="00A16163" w:rsidP="00A650EB">
            <w:pPr>
              <w:spacing w:after="0"/>
              <w:jc w:val="left"/>
              <w:rPr>
                <w:b/>
                <w:noProof/>
                <w:lang w:eastAsia="sk-SK"/>
              </w:rPr>
            </w:pPr>
            <w:r w:rsidRPr="00D2691B">
              <w:rPr>
                <w:b/>
                <w:color w:val="314364"/>
              </w:rPr>
              <w:t>Gr</w:t>
            </w:r>
            <w:r>
              <w:rPr>
                <w:b/>
                <w:color w:val="314364"/>
              </w:rPr>
              <w:t>af 2</w:t>
            </w:r>
            <w:r w:rsidR="00BB087E">
              <w:rPr>
                <w:b/>
                <w:color w:val="314364"/>
              </w:rPr>
              <w:t>9</w:t>
            </w:r>
            <w:r>
              <w:rPr>
                <w:b/>
                <w:color w:val="314364"/>
              </w:rPr>
              <w:t>: Počet novopriznaných PSD</w:t>
            </w:r>
          </w:p>
        </w:tc>
        <w:tc>
          <w:tcPr>
            <w:tcW w:w="4576" w:type="dxa"/>
            <w:tcBorders>
              <w:bottom w:val="single" w:sz="4" w:space="0" w:color="314364"/>
            </w:tcBorders>
            <w:vAlign w:val="center"/>
          </w:tcPr>
          <w:p w14:paraId="596CB258" w14:textId="7E7F0EE2" w:rsidR="00A16163" w:rsidRPr="00D2691B" w:rsidRDefault="00A16163" w:rsidP="00A650EB">
            <w:pPr>
              <w:spacing w:after="0"/>
              <w:jc w:val="left"/>
              <w:rPr>
                <w:b/>
                <w:noProof/>
                <w:lang w:eastAsia="sk-SK"/>
              </w:rPr>
            </w:pPr>
            <w:r>
              <w:rPr>
                <w:b/>
                <w:color w:val="314364"/>
              </w:rPr>
              <w:t xml:space="preserve">Graf </w:t>
            </w:r>
            <w:r w:rsidR="00BB087E">
              <w:rPr>
                <w:b/>
                <w:color w:val="314364"/>
              </w:rPr>
              <w:t>30</w:t>
            </w:r>
            <w:r>
              <w:rPr>
                <w:b/>
                <w:color w:val="314364"/>
              </w:rPr>
              <w:t>: Počet vyplácaných PSD</w:t>
            </w:r>
          </w:p>
        </w:tc>
      </w:tr>
      <w:tr w:rsidR="00A16163" w:rsidRPr="00C75134" w14:paraId="320F42DA" w14:textId="77777777" w:rsidTr="00A650EB">
        <w:trPr>
          <w:trHeight w:val="3402"/>
        </w:trPr>
        <w:tc>
          <w:tcPr>
            <w:tcW w:w="9152" w:type="dxa"/>
            <w:gridSpan w:val="2"/>
            <w:tcBorders>
              <w:top w:val="single" w:sz="4" w:space="0" w:color="314364"/>
              <w:bottom w:val="single" w:sz="4" w:space="0" w:color="314364"/>
            </w:tcBorders>
            <w:vAlign w:val="center"/>
          </w:tcPr>
          <w:p w14:paraId="18453502" w14:textId="13CE3F01" w:rsidR="00A16163" w:rsidRPr="00C75134" w:rsidRDefault="00A16163" w:rsidP="007B6A42">
            <w:pPr>
              <w:spacing w:after="0"/>
              <w:rPr>
                <w:b/>
                <w:color w:val="576431"/>
              </w:rPr>
            </w:pPr>
            <w:r>
              <w:rPr>
                <w:noProof/>
                <w:lang w:eastAsia="sk-SK"/>
              </w:rPr>
              <w:t xml:space="preserve"> </w:t>
            </w:r>
            <w:r w:rsidR="007B6A42">
              <w:rPr>
                <w:noProof/>
                <w:lang w:eastAsia="sk-SK"/>
              </w:rPr>
              <w:drawing>
                <wp:inline distT="0" distB="0" distL="0" distR="0" wp14:anchorId="34BE5C57" wp14:editId="67AEF520">
                  <wp:extent cx="2800350" cy="2143125"/>
                  <wp:effectExtent l="0" t="0" r="0" b="0"/>
                  <wp:docPr id="5" name="Graf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007B6A42">
              <w:rPr>
                <w:noProof/>
                <w:lang w:eastAsia="sk-SK"/>
              </w:rPr>
              <w:drawing>
                <wp:inline distT="0" distB="0" distL="0" distR="0" wp14:anchorId="6A53C89A" wp14:editId="4D8E1481">
                  <wp:extent cx="2867025" cy="2124075"/>
                  <wp:effectExtent l="0" t="0" r="0" b="0"/>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tc>
      </w:tr>
    </w:tbl>
    <w:p w14:paraId="0E8476B8" w14:textId="77777777" w:rsidR="00A16163" w:rsidRPr="00E00C87" w:rsidRDefault="00A16163" w:rsidP="00A16163">
      <w:pPr>
        <w:pStyle w:val="Zdroj"/>
      </w:pPr>
      <w:r w:rsidRPr="00E00C87">
        <w:t>Zdroj: Sociálna poisťovňa</w:t>
      </w:r>
    </w:p>
    <w:p w14:paraId="2EB83517" w14:textId="538F25F6" w:rsidR="00B533FC" w:rsidRDefault="00B533FC" w:rsidP="00B533FC">
      <w:pPr>
        <w:rPr>
          <w:rFonts w:cs="Segoe UI"/>
          <w:color w:val="000000"/>
          <w:szCs w:val="20"/>
        </w:rPr>
      </w:pPr>
      <w:r w:rsidRPr="00B533FC">
        <w:rPr>
          <w:rFonts w:cs="Segoe UI"/>
          <w:b/>
          <w:color w:val="000000"/>
          <w:szCs w:val="20"/>
        </w:rPr>
        <w:t xml:space="preserve">Počet vyplácaných PSD v prvom štvrťroku 2024 sa zvýšil o 88,6 % oproti roku 2023 </w:t>
      </w:r>
      <w:r w:rsidRPr="00B533FC">
        <w:rPr>
          <w:rFonts w:cs="Segoe UI"/>
          <w:color w:val="000000"/>
          <w:szCs w:val="20"/>
        </w:rPr>
        <w:t>a o 136,4 % v porovnaní s rokom 2022,</w:t>
      </w:r>
      <w:r w:rsidRPr="00A51405">
        <w:rPr>
          <w:rFonts w:cs="Segoe UI"/>
          <w:color w:val="000000"/>
          <w:szCs w:val="20"/>
        </w:rPr>
        <w:t xml:space="preserve"> kedy ešte nebol zavedený PSD po odpracovaní 40 rokov (graf </w:t>
      </w:r>
      <w:r w:rsidR="00BB087E">
        <w:rPr>
          <w:rFonts w:cs="Segoe UI"/>
          <w:color w:val="000000"/>
          <w:szCs w:val="20"/>
        </w:rPr>
        <w:t>30</w:t>
      </w:r>
      <w:r w:rsidRPr="00A51405">
        <w:rPr>
          <w:rFonts w:cs="Segoe UI"/>
          <w:color w:val="000000"/>
          <w:szCs w:val="20"/>
        </w:rPr>
        <w:t>).</w:t>
      </w:r>
    </w:p>
    <w:tbl>
      <w:tblPr>
        <w:tblStyle w:val="Mriekatabuky"/>
        <w:tblW w:w="5006" w:type="pct"/>
        <w:tblBorders>
          <w:top w:val="none" w:sz="0" w:space="0" w:color="auto"/>
          <w:left w:val="none" w:sz="0" w:space="0" w:color="auto"/>
          <w:bottom w:val="single" w:sz="4" w:space="0" w:color="314364" w:themeColor="text2"/>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4490"/>
        <w:gridCol w:w="4622"/>
      </w:tblGrid>
      <w:tr w:rsidR="000B2315" w:rsidRPr="003027C7" w14:paraId="75E7FC80" w14:textId="77777777" w:rsidTr="003B1D74">
        <w:trPr>
          <w:trHeight w:val="283"/>
        </w:trPr>
        <w:tc>
          <w:tcPr>
            <w:tcW w:w="4540" w:type="dxa"/>
            <w:tcBorders>
              <w:bottom w:val="single" w:sz="4" w:space="0" w:color="314364" w:themeColor="text2"/>
            </w:tcBorders>
            <w:vAlign w:val="center"/>
          </w:tcPr>
          <w:p w14:paraId="0256D523" w14:textId="77777777" w:rsidR="000B2315" w:rsidRPr="003027C7" w:rsidRDefault="000B2315" w:rsidP="003B1D74">
            <w:pPr>
              <w:spacing w:after="0"/>
              <w:rPr>
                <w:b/>
                <w:noProof/>
                <w:lang w:eastAsia="sk-SK"/>
              </w:rPr>
            </w:pPr>
            <w:r w:rsidRPr="003027C7">
              <w:rPr>
                <w:b/>
                <w:color w:val="314364"/>
              </w:rPr>
              <w:t xml:space="preserve">Graf </w:t>
            </w:r>
            <w:r>
              <w:rPr>
                <w:b/>
                <w:color w:val="314364"/>
              </w:rPr>
              <w:t>31</w:t>
            </w:r>
            <w:r w:rsidRPr="003027C7">
              <w:rPr>
                <w:b/>
                <w:color w:val="314364"/>
              </w:rPr>
              <w:t>: Priemerná výška PSD a SD (eur)</w:t>
            </w:r>
          </w:p>
        </w:tc>
        <w:tc>
          <w:tcPr>
            <w:tcW w:w="4541" w:type="dxa"/>
            <w:tcBorders>
              <w:bottom w:val="single" w:sz="4" w:space="0" w:color="314364" w:themeColor="text2"/>
            </w:tcBorders>
          </w:tcPr>
          <w:p w14:paraId="583B4C39" w14:textId="77777777" w:rsidR="000B2315" w:rsidRPr="003027C7" w:rsidRDefault="000B2315" w:rsidP="003B1D74">
            <w:pPr>
              <w:spacing w:after="0"/>
              <w:rPr>
                <w:b/>
                <w:color w:val="314364"/>
              </w:rPr>
            </w:pPr>
            <w:r w:rsidRPr="003027C7">
              <w:rPr>
                <w:b/>
                <w:color w:val="314364"/>
              </w:rPr>
              <w:t xml:space="preserve">Graf </w:t>
            </w:r>
            <w:r>
              <w:rPr>
                <w:b/>
                <w:color w:val="314364"/>
              </w:rPr>
              <w:t>32</w:t>
            </w:r>
            <w:r w:rsidRPr="003027C7">
              <w:rPr>
                <w:b/>
                <w:color w:val="314364"/>
              </w:rPr>
              <w:t>: Výdavky na PSD (mil. eur, %)</w:t>
            </w:r>
          </w:p>
        </w:tc>
      </w:tr>
      <w:tr w:rsidR="000B2315" w:rsidRPr="00C75134" w14:paraId="73E18FB0" w14:textId="77777777" w:rsidTr="003B1D74">
        <w:trPr>
          <w:trHeight w:val="3402"/>
        </w:trPr>
        <w:tc>
          <w:tcPr>
            <w:tcW w:w="4540" w:type="dxa"/>
            <w:tcBorders>
              <w:top w:val="single" w:sz="4" w:space="0" w:color="314364" w:themeColor="text2"/>
              <w:bottom w:val="single" w:sz="4" w:space="0" w:color="314364" w:themeColor="text2"/>
            </w:tcBorders>
          </w:tcPr>
          <w:p w14:paraId="5FCEAA84" w14:textId="77777777" w:rsidR="000B2315" w:rsidRDefault="000B2315" w:rsidP="003B1D74">
            <w:pPr>
              <w:spacing w:after="0"/>
              <w:rPr>
                <w:noProof/>
                <w:lang w:eastAsia="sk-SK"/>
              </w:rPr>
            </w:pPr>
            <w:r>
              <w:rPr>
                <w:noProof/>
                <w:lang w:eastAsia="sk-SK"/>
              </w:rPr>
              <w:drawing>
                <wp:inline distT="0" distB="0" distL="0" distR="0" wp14:anchorId="014FC03B" wp14:editId="6B8E4117">
                  <wp:extent cx="2762250" cy="2133600"/>
                  <wp:effectExtent l="0" t="0" r="0" b="0"/>
                  <wp:docPr id="33" name="Graf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tc>
        <w:tc>
          <w:tcPr>
            <w:tcW w:w="4541" w:type="dxa"/>
            <w:tcBorders>
              <w:top w:val="single" w:sz="4" w:space="0" w:color="314364" w:themeColor="text2"/>
              <w:bottom w:val="single" w:sz="4" w:space="0" w:color="314364" w:themeColor="text2"/>
            </w:tcBorders>
          </w:tcPr>
          <w:p w14:paraId="16707913" w14:textId="77777777" w:rsidR="000B2315" w:rsidRDefault="000B2315" w:rsidP="003B1D74">
            <w:pPr>
              <w:spacing w:after="0"/>
              <w:rPr>
                <w:noProof/>
                <w:lang w:eastAsia="sk-SK"/>
              </w:rPr>
            </w:pPr>
            <w:r>
              <w:rPr>
                <w:noProof/>
                <w:lang w:eastAsia="sk-SK"/>
              </w:rPr>
              <w:drawing>
                <wp:inline distT="0" distB="0" distL="0" distR="0" wp14:anchorId="4B640F42" wp14:editId="58AA3EC0">
                  <wp:extent cx="2846070" cy="2133600"/>
                  <wp:effectExtent l="0" t="0" r="0" b="0"/>
                  <wp:docPr id="20" name="Graf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tc>
      </w:tr>
    </w:tbl>
    <w:p w14:paraId="2F523F36" w14:textId="77777777" w:rsidR="000B2315" w:rsidRPr="00E00C87" w:rsidRDefault="000B2315" w:rsidP="000B2315">
      <w:pPr>
        <w:pStyle w:val="Zdroj"/>
      </w:pPr>
      <w:r w:rsidRPr="00E00C87">
        <w:t>Zdroj: Sociálna poisťovňa</w:t>
      </w:r>
    </w:p>
    <w:p w14:paraId="0D13F9D7" w14:textId="58EC987F" w:rsidR="00B16203" w:rsidRDefault="00B16203" w:rsidP="00B16203">
      <w:pPr>
        <w:rPr>
          <w:rFonts w:eastAsia="Times New Roman" w:cs="Segoe UI"/>
          <w:bCs/>
          <w:color w:val="000000"/>
          <w:szCs w:val="20"/>
          <w:lang w:eastAsia="sk-SK"/>
        </w:rPr>
      </w:pPr>
      <w:r w:rsidRPr="00311A80">
        <w:rPr>
          <w:rFonts w:eastAsia="Times New Roman" w:cs="Segoe UI"/>
          <w:b/>
          <w:bCs/>
          <w:color w:val="000000"/>
          <w:szCs w:val="20"/>
          <w:lang w:eastAsia="sk-SK"/>
        </w:rPr>
        <w:t>Zavedenie PSD40+ zasiahlo aj do priemernej výšky dôchodkových dávok, PSD začína od roku 2023 presahovať priemernú výšku SD o 29,3 eur/mesiac.</w:t>
      </w:r>
      <w:r w:rsidRPr="00A51405">
        <w:rPr>
          <w:rFonts w:eastAsia="Times New Roman" w:cs="Segoe UI"/>
          <w:bCs/>
          <w:color w:val="000000"/>
          <w:szCs w:val="20"/>
          <w:lang w:eastAsia="sk-SK"/>
        </w:rPr>
        <w:t xml:space="preserve"> Ešte výraznejší rozdiel je u PSD vyplácaných </w:t>
      </w:r>
      <w:r w:rsidR="004969F3">
        <w:rPr>
          <w:rFonts w:eastAsia="Times New Roman" w:cs="Segoe UI"/>
          <w:bCs/>
          <w:color w:val="000000"/>
          <w:szCs w:val="20"/>
          <w:lang w:eastAsia="sk-SK"/>
        </w:rPr>
        <w:t>v prvom štvrťroku</w:t>
      </w:r>
      <w:r w:rsidRPr="00A51405">
        <w:rPr>
          <w:rFonts w:eastAsia="Times New Roman" w:cs="Segoe UI"/>
          <w:bCs/>
          <w:color w:val="000000"/>
          <w:szCs w:val="20"/>
          <w:lang w:eastAsia="sk-SK"/>
        </w:rPr>
        <w:t xml:space="preserve"> 2024, kedy tento rozdiel dosiahol </w:t>
      </w:r>
      <w:r w:rsidR="004969F3">
        <w:rPr>
          <w:rFonts w:eastAsia="Times New Roman" w:cs="Segoe UI"/>
          <w:bCs/>
          <w:color w:val="000000"/>
          <w:szCs w:val="20"/>
          <w:lang w:eastAsia="sk-SK"/>
        </w:rPr>
        <w:t>74</w:t>
      </w:r>
      <w:r>
        <w:rPr>
          <w:rFonts w:eastAsia="Times New Roman" w:cs="Segoe UI"/>
          <w:bCs/>
          <w:color w:val="000000"/>
          <w:szCs w:val="20"/>
          <w:lang w:eastAsia="sk-SK"/>
        </w:rPr>
        <w:t>,</w:t>
      </w:r>
      <w:r w:rsidR="004969F3">
        <w:rPr>
          <w:rFonts w:eastAsia="Times New Roman" w:cs="Segoe UI"/>
          <w:bCs/>
          <w:color w:val="000000"/>
          <w:szCs w:val="20"/>
          <w:lang w:eastAsia="sk-SK"/>
        </w:rPr>
        <w:t>7</w:t>
      </w:r>
      <w:r>
        <w:rPr>
          <w:rFonts w:eastAsia="Times New Roman" w:cs="Segoe UI"/>
          <w:bCs/>
          <w:color w:val="000000"/>
          <w:szCs w:val="20"/>
          <w:lang w:eastAsia="sk-SK"/>
        </w:rPr>
        <w:t xml:space="preserve">0 </w:t>
      </w:r>
      <w:r w:rsidRPr="00A51405">
        <w:rPr>
          <w:rFonts w:eastAsia="Times New Roman" w:cs="Segoe UI"/>
          <w:bCs/>
          <w:color w:val="000000"/>
          <w:szCs w:val="20"/>
          <w:lang w:eastAsia="sk-SK"/>
        </w:rPr>
        <w:t>eur/mesiac, čo nepriamo poukazuje na PSD40+ (graf</w:t>
      </w:r>
      <w:r>
        <w:rPr>
          <w:rFonts w:eastAsia="Times New Roman" w:cs="Segoe UI"/>
          <w:bCs/>
          <w:color w:val="000000"/>
          <w:szCs w:val="20"/>
          <w:lang w:eastAsia="sk-SK"/>
        </w:rPr>
        <w:t xml:space="preserve"> </w:t>
      </w:r>
      <w:r w:rsidR="00BB087E">
        <w:rPr>
          <w:rFonts w:eastAsia="Times New Roman" w:cs="Segoe UI"/>
          <w:bCs/>
          <w:color w:val="000000"/>
          <w:szCs w:val="20"/>
          <w:lang w:eastAsia="sk-SK"/>
        </w:rPr>
        <w:t>31</w:t>
      </w:r>
      <w:r w:rsidRPr="00A51405">
        <w:rPr>
          <w:rFonts w:eastAsia="Times New Roman" w:cs="Segoe UI"/>
          <w:bCs/>
          <w:color w:val="000000"/>
          <w:szCs w:val="20"/>
          <w:lang w:eastAsia="sk-SK"/>
        </w:rPr>
        <w:t>). Do 2022 bola priemerná výška starobného dôchodku spravidla vyššia ako priemerná výška PSD.</w:t>
      </w:r>
      <w:r w:rsidR="00311A80">
        <w:rPr>
          <w:rFonts w:eastAsia="Times New Roman" w:cs="Segoe UI"/>
          <w:bCs/>
          <w:color w:val="000000"/>
          <w:szCs w:val="20"/>
          <w:lang w:eastAsia="sk-SK"/>
        </w:rPr>
        <w:t xml:space="preserve"> </w:t>
      </w:r>
      <w:r w:rsidRPr="0030230B">
        <w:rPr>
          <w:rFonts w:eastAsia="Times New Roman" w:cs="Segoe UI"/>
          <w:bCs/>
          <w:color w:val="000000"/>
          <w:szCs w:val="20"/>
          <w:lang w:eastAsia="sk-SK"/>
        </w:rPr>
        <w:t>Rozdiel medzi priemernou výškou PSD a SD sa od roku 2023 zvyšuje, v roku 2023 bol tento rozdiel 4,8 % a v</w:t>
      </w:r>
      <w:r w:rsidR="004969F3">
        <w:rPr>
          <w:rFonts w:eastAsia="Times New Roman" w:cs="Segoe UI"/>
          <w:bCs/>
          <w:color w:val="000000"/>
          <w:szCs w:val="20"/>
          <w:lang w:eastAsia="sk-SK"/>
        </w:rPr>
        <w:t> prvom štvrťroku 2024 už 11</w:t>
      </w:r>
      <w:r w:rsidRPr="0030230B">
        <w:rPr>
          <w:rFonts w:eastAsia="Times New Roman" w:cs="Segoe UI"/>
          <w:bCs/>
          <w:color w:val="000000"/>
          <w:szCs w:val="20"/>
          <w:lang w:eastAsia="sk-SK"/>
        </w:rPr>
        <w:t>,</w:t>
      </w:r>
      <w:r w:rsidR="004969F3">
        <w:rPr>
          <w:rFonts w:eastAsia="Times New Roman" w:cs="Segoe UI"/>
          <w:bCs/>
          <w:color w:val="000000"/>
          <w:szCs w:val="20"/>
          <w:lang w:eastAsia="sk-SK"/>
        </w:rPr>
        <w:t>1</w:t>
      </w:r>
      <w:r w:rsidRPr="0030230B">
        <w:rPr>
          <w:rFonts w:eastAsia="Times New Roman" w:cs="Segoe UI"/>
          <w:bCs/>
          <w:color w:val="000000"/>
          <w:szCs w:val="20"/>
          <w:lang w:eastAsia="sk-SK"/>
        </w:rPr>
        <w:t xml:space="preserve"> %.</w:t>
      </w:r>
    </w:p>
    <w:p w14:paraId="5264623B" w14:textId="571AC6E5" w:rsidR="00B16203" w:rsidRDefault="00311A80" w:rsidP="00B16203">
      <w:pPr>
        <w:rPr>
          <w:rFonts w:eastAsia="Times New Roman" w:cs="Segoe UI"/>
          <w:bCs/>
          <w:color w:val="000000"/>
          <w:szCs w:val="20"/>
          <w:lang w:eastAsia="sk-SK"/>
        </w:rPr>
      </w:pPr>
      <w:r w:rsidRPr="00311A80">
        <w:rPr>
          <w:rFonts w:eastAsia="Times New Roman" w:cs="Segoe UI"/>
          <w:b/>
          <w:bCs/>
          <w:color w:val="000000"/>
          <w:szCs w:val="20"/>
          <w:lang w:eastAsia="sk-SK"/>
        </w:rPr>
        <w:t>Výdavky na PSD medziročne vzrástli o 60 %, čo predstavuje navýšenie o 54,3 mil. eur.</w:t>
      </w:r>
      <w:r w:rsidRPr="00A51405">
        <w:rPr>
          <w:rFonts w:eastAsia="Times New Roman" w:cs="Segoe UI"/>
          <w:bCs/>
          <w:color w:val="000000"/>
          <w:szCs w:val="20"/>
          <w:lang w:eastAsia="sk-SK"/>
        </w:rPr>
        <w:t xml:space="preserve"> Ich podiel na výdavkoch na SD sa zvýšil zo stabilných 1,4 až 1,5 % na 1,8 % v roku 2023 a</w:t>
      </w:r>
      <w:r>
        <w:rPr>
          <w:rFonts w:eastAsia="Times New Roman" w:cs="Segoe UI"/>
          <w:bCs/>
          <w:color w:val="000000"/>
          <w:szCs w:val="20"/>
          <w:lang w:eastAsia="sk-SK"/>
        </w:rPr>
        <w:t> </w:t>
      </w:r>
      <w:r w:rsidRPr="00A51405">
        <w:rPr>
          <w:rFonts w:eastAsia="Times New Roman" w:cs="Segoe UI"/>
          <w:bCs/>
          <w:color w:val="000000"/>
          <w:szCs w:val="20"/>
          <w:lang w:eastAsia="sk-SK"/>
        </w:rPr>
        <w:t>v</w:t>
      </w:r>
      <w:r w:rsidR="00186AD2">
        <w:rPr>
          <w:rFonts w:eastAsia="Times New Roman" w:cs="Segoe UI"/>
          <w:bCs/>
          <w:color w:val="000000"/>
          <w:szCs w:val="20"/>
          <w:lang w:eastAsia="sk-SK"/>
        </w:rPr>
        <w:t xml:space="preserve"> prvom štvrťroku </w:t>
      </w:r>
      <w:r>
        <w:rPr>
          <w:rFonts w:eastAsia="Times New Roman" w:cs="Segoe UI"/>
          <w:bCs/>
          <w:color w:val="000000"/>
          <w:szCs w:val="20"/>
          <w:lang w:eastAsia="sk-SK"/>
        </w:rPr>
        <w:t>2024 až na 4</w:t>
      </w:r>
      <w:r w:rsidRPr="00A51405">
        <w:rPr>
          <w:rFonts w:eastAsia="Times New Roman" w:cs="Segoe UI"/>
          <w:bCs/>
          <w:color w:val="000000"/>
          <w:szCs w:val="20"/>
          <w:lang w:eastAsia="sk-SK"/>
        </w:rPr>
        <w:t>,</w:t>
      </w:r>
      <w:r w:rsidR="00186AD2">
        <w:rPr>
          <w:rFonts w:eastAsia="Times New Roman" w:cs="Segoe UI"/>
          <w:bCs/>
          <w:color w:val="000000"/>
          <w:szCs w:val="20"/>
          <w:lang w:eastAsia="sk-SK"/>
        </w:rPr>
        <w:t>5</w:t>
      </w:r>
      <w:r w:rsidRPr="00A51405">
        <w:rPr>
          <w:rFonts w:eastAsia="Times New Roman" w:cs="Segoe UI"/>
          <w:bCs/>
          <w:color w:val="000000"/>
          <w:szCs w:val="20"/>
          <w:lang w:eastAsia="sk-SK"/>
        </w:rPr>
        <w:t xml:space="preserve"> % výdavkov na SD (graf </w:t>
      </w:r>
      <w:r w:rsidR="00BB087E">
        <w:rPr>
          <w:rFonts w:eastAsia="Times New Roman" w:cs="Segoe UI"/>
          <w:bCs/>
          <w:color w:val="000000"/>
          <w:szCs w:val="20"/>
          <w:lang w:eastAsia="sk-SK"/>
        </w:rPr>
        <w:t>32</w:t>
      </w:r>
      <w:r w:rsidRPr="00A51405">
        <w:rPr>
          <w:rFonts w:eastAsia="Times New Roman" w:cs="Segoe UI"/>
          <w:bCs/>
          <w:color w:val="000000"/>
          <w:szCs w:val="20"/>
          <w:lang w:eastAsia="sk-SK"/>
        </w:rPr>
        <w:t>).</w:t>
      </w:r>
      <w:r>
        <w:rPr>
          <w:rFonts w:eastAsia="Times New Roman" w:cs="Segoe UI"/>
          <w:bCs/>
          <w:color w:val="000000"/>
          <w:szCs w:val="20"/>
          <w:lang w:eastAsia="sk-SK"/>
        </w:rPr>
        <w:t xml:space="preserve"> </w:t>
      </w:r>
      <w:r w:rsidR="00B16203">
        <w:rPr>
          <w:rFonts w:eastAsia="Times New Roman" w:cs="Segoe UI"/>
          <w:bCs/>
          <w:color w:val="000000"/>
          <w:szCs w:val="20"/>
          <w:lang w:eastAsia="sk-SK"/>
        </w:rPr>
        <w:t xml:space="preserve">Nová forma PSD sa </w:t>
      </w:r>
      <w:r>
        <w:rPr>
          <w:rFonts w:eastAsia="Times New Roman" w:cs="Segoe UI"/>
          <w:bCs/>
          <w:color w:val="000000"/>
          <w:szCs w:val="20"/>
          <w:lang w:eastAsia="sk-SK"/>
        </w:rPr>
        <w:t xml:space="preserve">tak </w:t>
      </w:r>
      <w:r w:rsidR="00B16203">
        <w:rPr>
          <w:rFonts w:eastAsia="Times New Roman" w:cs="Segoe UI"/>
          <w:bCs/>
          <w:color w:val="000000"/>
          <w:szCs w:val="20"/>
          <w:lang w:eastAsia="sk-SK"/>
        </w:rPr>
        <w:t>prejavila aj v celkových v</w:t>
      </w:r>
      <w:r w:rsidR="00B16203" w:rsidRPr="0030230B">
        <w:rPr>
          <w:rFonts w:eastAsia="Times New Roman" w:cs="Segoe UI"/>
          <w:bCs/>
          <w:color w:val="000000"/>
          <w:szCs w:val="20"/>
          <w:lang w:eastAsia="sk-SK"/>
        </w:rPr>
        <w:t>ýdavk</w:t>
      </w:r>
      <w:r w:rsidR="00B16203">
        <w:rPr>
          <w:rFonts w:eastAsia="Times New Roman" w:cs="Segoe UI"/>
          <w:bCs/>
          <w:color w:val="000000"/>
          <w:szCs w:val="20"/>
          <w:lang w:eastAsia="sk-SK"/>
        </w:rPr>
        <w:t xml:space="preserve">och na dôchodky. </w:t>
      </w:r>
    </w:p>
    <w:p w14:paraId="3C033789" w14:textId="02F7982B" w:rsidR="00735903" w:rsidRDefault="00B16203" w:rsidP="00B16203">
      <w:pPr>
        <w:rPr>
          <w:rFonts w:cs="Segoe UI"/>
          <w:szCs w:val="20"/>
        </w:rPr>
      </w:pPr>
      <w:r w:rsidRPr="00311A80">
        <w:rPr>
          <w:rFonts w:cs="Segoe UI"/>
          <w:b/>
          <w:szCs w:val="20"/>
        </w:rPr>
        <w:lastRenderedPageBreak/>
        <w:t>Zavedenie PSD</w:t>
      </w:r>
      <w:r w:rsidR="00A20DE7">
        <w:rPr>
          <w:rFonts w:cs="Segoe UI"/>
          <w:b/>
          <w:szCs w:val="20"/>
        </w:rPr>
        <w:t>40+</w:t>
      </w:r>
      <w:r w:rsidRPr="00311A80">
        <w:rPr>
          <w:rFonts w:cs="Segoe UI"/>
          <w:b/>
          <w:szCs w:val="20"/>
        </w:rPr>
        <w:t xml:space="preserve"> v januári 2023 má významný vplyv na zamestnanosť, platen</w:t>
      </w:r>
      <w:r w:rsidR="00A16163">
        <w:rPr>
          <w:rFonts w:cs="Segoe UI"/>
          <w:b/>
          <w:szCs w:val="20"/>
        </w:rPr>
        <w:t>ie</w:t>
      </w:r>
      <w:r w:rsidRPr="00311A80">
        <w:rPr>
          <w:rFonts w:cs="Segoe UI"/>
          <w:b/>
          <w:szCs w:val="20"/>
        </w:rPr>
        <w:t xml:space="preserve"> daní a odvodov, na hospodárenie SP a na udržateľnosť verejných financií.</w:t>
      </w:r>
      <w:r w:rsidRPr="00A51405">
        <w:rPr>
          <w:rFonts w:cs="Segoe UI"/>
          <w:szCs w:val="20"/>
        </w:rPr>
        <w:t xml:space="preserve"> Z platiteľov odvodov na starobné dôchodkové poistenie, ktorí by mohli naďalej odvádzať zo svojich príjmov </w:t>
      </w:r>
      <w:r w:rsidR="00A16163">
        <w:rPr>
          <w:rFonts w:cs="Segoe UI"/>
          <w:szCs w:val="20"/>
        </w:rPr>
        <w:t>poistné</w:t>
      </w:r>
      <w:r w:rsidRPr="00A51405">
        <w:rPr>
          <w:rFonts w:cs="Segoe UI"/>
          <w:szCs w:val="20"/>
        </w:rPr>
        <w:t xml:space="preserve"> minimálne dva a viac rokov, sa stávajú pasívni prijímatelia. Nedostatok kvalifikovanej pracovnej sily v odvetviach priemyslu, poľnohospodárstva, potravinárstva (pekári, hydinári), stavebníctva, zdravotníctva a iných je ďalším nepriaznivým dôsledkom zavedenia PSD</w:t>
      </w:r>
      <w:r w:rsidR="00A20DE7">
        <w:rPr>
          <w:rFonts w:cs="Segoe UI"/>
          <w:szCs w:val="20"/>
        </w:rPr>
        <w:t>40+</w:t>
      </w:r>
      <w:r w:rsidRPr="00A51405">
        <w:rPr>
          <w:rFonts w:cs="Segoe UI"/>
          <w:szCs w:val="20"/>
        </w:rPr>
        <w:t>. Skorší odchod pracovníkov týchto odvetví, často s dlhoročnými skúsenosťami, si žiada dodatočné náklady na zaškolenie nových pracovníkov, ktorí ich musia nahradiť.</w:t>
      </w:r>
      <w:r>
        <w:rPr>
          <w:rFonts w:cs="Segoe UI"/>
          <w:szCs w:val="20"/>
        </w:rPr>
        <w:t xml:space="preserve"> </w:t>
      </w:r>
    </w:p>
    <w:p w14:paraId="3773C84E" w14:textId="3DA1C7AA" w:rsidR="00B16203" w:rsidRPr="00A51405" w:rsidRDefault="00B16203" w:rsidP="00B16203">
      <w:pPr>
        <w:rPr>
          <w:rFonts w:cs="Segoe UI"/>
          <w:szCs w:val="20"/>
        </w:rPr>
      </w:pPr>
      <w:r w:rsidRPr="006058CE">
        <w:rPr>
          <w:rFonts w:cs="Segoe UI"/>
          <w:b/>
          <w:szCs w:val="20"/>
        </w:rPr>
        <w:t xml:space="preserve">NKÚ SR v tejto súvislosti upozorňuje aj na </w:t>
      </w:r>
      <w:r w:rsidR="006058CE" w:rsidRPr="006058CE">
        <w:rPr>
          <w:rFonts w:cs="Segoe UI"/>
          <w:b/>
          <w:szCs w:val="20"/>
        </w:rPr>
        <w:t xml:space="preserve">zhoršujúci sa </w:t>
      </w:r>
      <w:r w:rsidRPr="006058CE">
        <w:rPr>
          <w:rFonts w:cs="Segoe UI"/>
          <w:b/>
          <w:szCs w:val="20"/>
        </w:rPr>
        <w:t>demografický vývoj na Slovensku.</w:t>
      </w:r>
      <w:r>
        <w:rPr>
          <w:rFonts w:cs="Segoe UI"/>
          <w:szCs w:val="20"/>
        </w:rPr>
        <w:t xml:space="preserve"> </w:t>
      </w:r>
      <w:r w:rsidR="006058CE">
        <w:rPr>
          <w:rFonts w:cs="Segoe UI"/>
          <w:szCs w:val="20"/>
        </w:rPr>
        <w:t>Demografický vývoj</w:t>
      </w:r>
      <w:r>
        <w:rPr>
          <w:rFonts w:cs="Segoe UI"/>
          <w:szCs w:val="20"/>
        </w:rPr>
        <w:t xml:space="preserve"> ako aj v</w:t>
      </w:r>
      <w:r w:rsidRPr="00A51405">
        <w:rPr>
          <w:rFonts w:cs="Segoe UI"/>
          <w:szCs w:val="20"/>
        </w:rPr>
        <w:t xml:space="preserve">ýrazný tlak na výdavky SP </w:t>
      </w:r>
      <w:r w:rsidR="006058CE">
        <w:rPr>
          <w:rFonts w:cs="Segoe UI"/>
          <w:szCs w:val="20"/>
        </w:rPr>
        <w:t>cez</w:t>
      </w:r>
      <w:r w:rsidRPr="00A51405">
        <w:rPr>
          <w:rFonts w:cs="Segoe UI"/>
          <w:szCs w:val="20"/>
        </w:rPr>
        <w:t xml:space="preserve"> </w:t>
      </w:r>
      <w:r>
        <w:rPr>
          <w:rFonts w:cs="Segoe UI"/>
          <w:szCs w:val="20"/>
        </w:rPr>
        <w:t>dôchodkové dávky</w:t>
      </w:r>
      <w:r w:rsidRPr="00A51405">
        <w:rPr>
          <w:rFonts w:cs="Segoe UI"/>
          <w:szCs w:val="20"/>
        </w:rPr>
        <w:t xml:space="preserve"> </w:t>
      </w:r>
      <w:r w:rsidR="006058CE">
        <w:rPr>
          <w:rFonts w:cs="Segoe UI"/>
          <w:szCs w:val="20"/>
        </w:rPr>
        <w:t xml:space="preserve">si </w:t>
      </w:r>
      <w:r w:rsidR="00FB546E">
        <w:rPr>
          <w:rFonts w:cs="Segoe UI"/>
          <w:szCs w:val="20"/>
        </w:rPr>
        <w:t xml:space="preserve">tento rok </w:t>
      </w:r>
      <w:r w:rsidR="006058CE">
        <w:rPr>
          <w:rFonts w:cs="Segoe UI"/>
          <w:szCs w:val="20"/>
        </w:rPr>
        <w:t>vyžiadali úpravu legislatívy. O</w:t>
      </w:r>
      <w:r w:rsidRPr="00A51405">
        <w:rPr>
          <w:rFonts w:cs="Segoe UI"/>
          <w:szCs w:val="20"/>
        </w:rPr>
        <w:t xml:space="preserve">d 15. </w:t>
      </w:r>
      <w:r w:rsidR="006058CE">
        <w:rPr>
          <w:rFonts w:cs="Segoe UI"/>
          <w:szCs w:val="20"/>
        </w:rPr>
        <w:t>5.</w:t>
      </w:r>
      <w:r w:rsidRPr="00A51405">
        <w:rPr>
          <w:rFonts w:cs="Segoe UI"/>
          <w:szCs w:val="20"/>
        </w:rPr>
        <w:t xml:space="preserve"> 2024 platí novela zákona o sociálnom poistení, ktorá sťažila prístup k PSD40+ zmenou dvoch dôležitých podmienok:</w:t>
      </w:r>
    </w:p>
    <w:p w14:paraId="39302EE6" w14:textId="46859CB4" w:rsidR="00210ADE" w:rsidRPr="00A51405" w:rsidRDefault="00210ADE" w:rsidP="00210ADE">
      <w:pPr>
        <w:numPr>
          <w:ilvl w:val="0"/>
          <w:numId w:val="14"/>
        </w:numPr>
        <w:contextualSpacing/>
        <w:rPr>
          <w:rFonts w:eastAsia="Times New Roman" w:cs="Segoe UI"/>
          <w:szCs w:val="20"/>
          <w:lang w:eastAsia="sk-SK"/>
        </w:rPr>
      </w:pPr>
      <w:r w:rsidRPr="00A51405">
        <w:rPr>
          <w:rFonts w:eastAsia="Times New Roman" w:cs="Segoe UI"/>
          <w:szCs w:val="20"/>
          <w:lang w:eastAsia="sk-SK"/>
        </w:rPr>
        <w:t xml:space="preserve">zjednotenie </w:t>
      </w:r>
      <w:r>
        <w:rPr>
          <w:rFonts w:eastAsia="Times New Roman" w:cs="Segoe UI"/>
          <w:szCs w:val="20"/>
          <w:lang w:eastAsia="sk-SK"/>
        </w:rPr>
        <w:t>%</w:t>
      </w:r>
      <w:r w:rsidRPr="00A51405">
        <w:rPr>
          <w:rFonts w:eastAsia="Times New Roman" w:cs="Segoe UI"/>
          <w:szCs w:val="20"/>
          <w:lang w:eastAsia="sk-SK"/>
        </w:rPr>
        <w:t>, o ktoré sa znižuje dôchodok  pri PSD40+ a to z 0,3 % na 0,5 % za každých 30 dní</w:t>
      </w:r>
      <w:r>
        <w:rPr>
          <w:rFonts w:eastAsia="Times New Roman" w:cs="Segoe UI"/>
          <w:szCs w:val="20"/>
          <w:lang w:eastAsia="sk-SK"/>
        </w:rPr>
        <w:t xml:space="preserve"> odo dňa vzniku nároku na PSD</w:t>
      </w:r>
      <w:r w:rsidRPr="00A51405">
        <w:rPr>
          <w:rFonts w:eastAsia="Times New Roman" w:cs="Segoe UI"/>
          <w:szCs w:val="20"/>
          <w:lang w:eastAsia="sk-SK"/>
        </w:rPr>
        <w:t xml:space="preserve"> do dovŕšenia dôchodkového veku,</w:t>
      </w:r>
    </w:p>
    <w:p w14:paraId="0883FB8F" w14:textId="0B6A107F" w:rsidR="00210ADE" w:rsidRDefault="00210ADE" w:rsidP="00210ADE">
      <w:pPr>
        <w:numPr>
          <w:ilvl w:val="0"/>
          <w:numId w:val="14"/>
        </w:numPr>
        <w:contextualSpacing/>
        <w:rPr>
          <w:rFonts w:eastAsia="Times New Roman" w:cs="Segoe UI"/>
          <w:szCs w:val="20"/>
          <w:lang w:eastAsia="sk-SK"/>
        </w:rPr>
      </w:pPr>
      <w:r w:rsidRPr="00A51405">
        <w:rPr>
          <w:rFonts w:eastAsia="Times New Roman" w:cs="Segoe UI"/>
          <w:szCs w:val="20"/>
          <w:lang w:eastAsia="sk-SK"/>
        </w:rPr>
        <w:t xml:space="preserve">naviazanie </w:t>
      </w:r>
      <w:r>
        <w:rPr>
          <w:rFonts w:eastAsia="Times New Roman" w:cs="Segoe UI"/>
          <w:szCs w:val="20"/>
          <w:lang w:eastAsia="sk-SK"/>
        </w:rPr>
        <w:t>počtu</w:t>
      </w:r>
      <w:r w:rsidRPr="00A51405">
        <w:rPr>
          <w:rFonts w:eastAsia="Times New Roman" w:cs="Segoe UI"/>
          <w:szCs w:val="20"/>
          <w:lang w:eastAsia="sk-SK"/>
        </w:rPr>
        <w:t xml:space="preserve"> odpracovaných rokov </w:t>
      </w:r>
      <w:r>
        <w:rPr>
          <w:rFonts w:eastAsia="Times New Roman" w:cs="Segoe UI"/>
          <w:szCs w:val="20"/>
          <w:lang w:eastAsia="sk-SK"/>
        </w:rPr>
        <w:t>potrebných na splnenie</w:t>
      </w:r>
      <w:r w:rsidRPr="00A51405">
        <w:rPr>
          <w:rFonts w:eastAsia="Times New Roman" w:cs="Segoe UI"/>
          <w:szCs w:val="20"/>
          <w:lang w:eastAsia="sk-SK"/>
        </w:rPr>
        <w:t xml:space="preserve"> podmienky nároku na PSD</w:t>
      </w:r>
      <w:r>
        <w:rPr>
          <w:rFonts w:eastAsia="Times New Roman" w:cs="Segoe UI"/>
          <w:szCs w:val="20"/>
          <w:lang w:eastAsia="sk-SK"/>
        </w:rPr>
        <w:t>40+</w:t>
      </w:r>
      <w:r w:rsidRPr="00A51405">
        <w:rPr>
          <w:rFonts w:eastAsia="Times New Roman" w:cs="Segoe UI"/>
          <w:szCs w:val="20"/>
          <w:lang w:eastAsia="sk-SK"/>
        </w:rPr>
        <w:t xml:space="preserve"> </w:t>
      </w:r>
      <w:r>
        <w:rPr>
          <w:rFonts w:eastAsia="Times New Roman" w:cs="Segoe UI"/>
          <w:szCs w:val="20"/>
          <w:lang w:eastAsia="sk-SK"/>
        </w:rPr>
        <w:t>pre jednotlivé ročníky na všeobecný dôchodkový vek jednotlivých ročníkov</w:t>
      </w:r>
      <w:r w:rsidRPr="00A51405">
        <w:rPr>
          <w:rFonts w:eastAsia="Times New Roman" w:cs="Segoe UI"/>
          <w:szCs w:val="20"/>
          <w:lang w:eastAsia="sk-SK"/>
        </w:rPr>
        <w:t>.</w:t>
      </w:r>
    </w:p>
    <w:p w14:paraId="162AFEDE" w14:textId="17135055" w:rsidR="00B16203" w:rsidRPr="001E15F4" w:rsidRDefault="00B16203" w:rsidP="00B16203">
      <w:pPr>
        <w:pStyle w:val="Nadpis3"/>
      </w:pPr>
      <w:bookmarkStart w:id="43" w:name="_Toc168567205"/>
      <w:r w:rsidRPr="001E15F4">
        <w:t xml:space="preserve">5.2.2 </w:t>
      </w:r>
      <w:r w:rsidR="00E43045" w:rsidRPr="001E15F4">
        <w:t xml:space="preserve"> </w:t>
      </w:r>
      <w:r w:rsidRPr="001E15F4">
        <w:t>Výdavky na energopomoc</w:t>
      </w:r>
      <w:bookmarkEnd w:id="43"/>
    </w:p>
    <w:p w14:paraId="31DB724C" w14:textId="34FB72F9" w:rsidR="00557876" w:rsidRDefault="0053254C" w:rsidP="00557876">
      <w:pPr>
        <w:pStyle w:val="Zkladntext0"/>
        <w:spacing w:after="120"/>
        <w:jc w:val="both"/>
        <w:rPr>
          <w:rFonts w:ascii="Segoe UI" w:hAnsi="Segoe UI" w:cs="Segoe UI"/>
          <w:b/>
          <w:sz w:val="20"/>
          <w:szCs w:val="22"/>
        </w:rPr>
      </w:pPr>
      <w:r w:rsidRPr="0053254C">
        <w:rPr>
          <w:rFonts w:ascii="Segoe UI" w:hAnsi="Segoe UI" w:cs="Segoe UI"/>
          <w:b/>
          <w:sz w:val="20"/>
          <w:szCs w:val="22"/>
        </w:rPr>
        <w:t>Celkové výdavky SR na schémy pomoci súvisiace s nárastom cien energií v roku 2023 predstavovali objem 2,92 mld. eur.</w:t>
      </w:r>
      <w:r w:rsidRPr="0053254C">
        <w:rPr>
          <w:rFonts w:ascii="Segoe UI" w:hAnsi="Segoe UI" w:cs="Segoe UI"/>
          <w:sz w:val="20"/>
          <w:szCs w:val="22"/>
        </w:rPr>
        <w:t xml:space="preserve"> Objem týchto výdavkov bol významný, </w:t>
      </w:r>
      <w:r w:rsidRPr="00557876">
        <w:rPr>
          <w:rFonts w:ascii="Segoe UI" w:hAnsi="Segoe UI" w:cs="Segoe UI"/>
          <w:sz w:val="20"/>
          <w:szCs w:val="22"/>
        </w:rPr>
        <w:t xml:space="preserve">dosahoval 9,3 </w:t>
      </w:r>
      <w:r w:rsidRPr="00557876">
        <w:rPr>
          <w:rFonts w:ascii="Segoe UI" w:hAnsi="Segoe UI" w:cs="Segoe UI"/>
          <w:sz w:val="20"/>
          <w:szCs w:val="22"/>
          <w:lang w:val="en-US"/>
        </w:rPr>
        <w:t xml:space="preserve">% </w:t>
      </w:r>
      <w:r w:rsidRPr="00557876">
        <w:rPr>
          <w:rFonts w:ascii="Segoe UI" w:hAnsi="Segoe UI" w:cs="Segoe UI"/>
          <w:sz w:val="20"/>
          <w:szCs w:val="22"/>
        </w:rPr>
        <w:t xml:space="preserve">výdavkov ŠR a prevyšoval výdavky kapitol dopravy, zdravotníctva či vnútra. </w:t>
      </w:r>
      <w:r w:rsidR="00557876">
        <w:rPr>
          <w:rFonts w:ascii="Segoe UI" w:hAnsi="Segoe UI" w:cs="Segoe UI"/>
          <w:sz w:val="20"/>
          <w:szCs w:val="22"/>
        </w:rPr>
        <w:t>K</w:t>
      </w:r>
      <w:r w:rsidRPr="00557876">
        <w:rPr>
          <w:rFonts w:ascii="Segoe UI" w:hAnsi="Segoe UI" w:cs="Segoe UI"/>
          <w:sz w:val="20"/>
          <w:szCs w:val="22"/>
        </w:rPr>
        <w:t>ompenzácie boli hradené zo ŠR a následne časť z nich bola refundovaná z prostriedkov EŠIF.</w:t>
      </w:r>
      <w:r w:rsidRPr="00557876">
        <w:rPr>
          <w:rStyle w:val="Odkaznapoznmkupodiarou"/>
          <w:rFonts w:ascii="Segoe UI" w:hAnsi="Segoe UI" w:cs="Segoe UI"/>
          <w:sz w:val="20"/>
          <w:szCs w:val="22"/>
        </w:rPr>
        <w:footnoteReference w:id="59"/>
      </w:r>
      <w:r w:rsidRPr="0053254C">
        <w:rPr>
          <w:rFonts w:ascii="Segoe UI" w:hAnsi="Segoe UI" w:cs="Segoe UI"/>
          <w:sz w:val="20"/>
          <w:szCs w:val="22"/>
        </w:rPr>
        <w:t xml:space="preserve"> Takmer 90 % týchto výdavkov bolo v roku 2023 vyplatených prostredníctvom MH SR (2,62 mld. eur). Najvyšší objem prostriedkov vo výške 1,24 mld. eur bol uhradený ako kompenzácie cien plynu pre domácnosti (graf 3</w:t>
      </w:r>
      <w:r w:rsidR="009308CB">
        <w:rPr>
          <w:rFonts w:ascii="Segoe UI" w:hAnsi="Segoe UI" w:cs="Segoe UI"/>
          <w:sz w:val="20"/>
          <w:szCs w:val="22"/>
        </w:rPr>
        <w:t>3</w:t>
      </w:r>
      <w:r w:rsidRPr="0053254C">
        <w:rPr>
          <w:rFonts w:ascii="Segoe UI" w:hAnsi="Segoe UI" w:cs="Segoe UI"/>
          <w:sz w:val="20"/>
          <w:szCs w:val="22"/>
        </w:rPr>
        <w:t>).</w:t>
      </w:r>
    </w:p>
    <w:p w14:paraId="0021A655" w14:textId="7DA28EAB" w:rsidR="00A650EB" w:rsidRPr="00EC4191" w:rsidRDefault="00A650EB" w:rsidP="00A650EB">
      <w:pPr>
        <w:pStyle w:val="Popis"/>
        <w:keepNext/>
        <w:rPr>
          <w:color w:val="314364"/>
        </w:rPr>
      </w:pPr>
      <w:r w:rsidRPr="00EC4191">
        <w:rPr>
          <w:color w:val="314364"/>
        </w:rPr>
        <w:t xml:space="preserve">Graf </w:t>
      </w:r>
      <w:r>
        <w:rPr>
          <w:color w:val="314364"/>
        </w:rPr>
        <w:t>3</w:t>
      </w:r>
      <w:r w:rsidR="009308CB">
        <w:rPr>
          <w:color w:val="314364"/>
        </w:rPr>
        <w:t>3</w:t>
      </w:r>
      <w:r>
        <w:rPr>
          <w:color w:val="314364"/>
        </w:rPr>
        <w:t>:</w:t>
      </w:r>
      <w:r w:rsidRPr="00EC4191">
        <w:rPr>
          <w:color w:val="314364"/>
        </w:rPr>
        <w:t xml:space="preserve"> Rozdelenie poskytnutej energopomoci</w:t>
      </w:r>
      <w:r>
        <w:rPr>
          <w:color w:val="314364"/>
        </w:rPr>
        <w:t xml:space="preserve"> </w:t>
      </w:r>
      <w:r w:rsidR="00B151EE">
        <w:rPr>
          <w:color w:val="314364"/>
        </w:rPr>
        <w:t xml:space="preserve">cez kapitolu MH SR </w:t>
      </w:r>
      <w:r>
        <w:rPr>
          <w:color w:val="314364"/>
        </w:rPr>
        <w:t xml:space="preserve">v roku </w:t>
      </w:r>
      <w:r w:rsidRPr="00EC4191">
        <w:rPr>
          <w:color w:val="314364"/>
        </w:rPr>
        <w:t xml:space="preserve">2023 </w:t>
      </w:r>
      <w:r>
        <w:rPr>
          <w:color w:val="314364"/>
        </w:rPr>
        <w:t xml:space="preserve">(v </w:t>
      </w:r>
      <w:r w:rsidRPr="00EC4191">
        <w:rPr>
          <w:color w:val="314364"/>
        </w:rPr>
        <w:t>mil. eur)</w:t>
      </w:r>
    </w:p>
    <w:tbl>
      <w:tblPr>
        <w:tblStyle w:val="Mriekatabuky"/>
        <w:tblW w:w="9111" w:type="dxa"/>
        <w:tblCellMar>
          <w:left w:w="70" w:type="dxa"/>
          <w:right w:w="70" w:type="dxa"/>
        </w:tblCellMar>
        <w:tblLook w:val="04A0" w:firstRow="1" w:lastRow="0" w:firstColumn="1" w:lastColumn="0" w:noHBand="0" w:noVBand="1"/>
      </w:tblPr>
      <w:tblGrid>
        <w:gridCol w:w="9210"/>
      </w:tblGrid>
      <w:tr w:rsidR="00A650EB" w14:paraId="07056E52" w14:textId="77777777" w:rsidTr="004969F3">
        <w:trPr>
          <w:trHeight w:val="3969"/>
        </w:trPr>
        <w:tc>
          <w:tcPr>
            <w:tcW w:w="9111" w:type="dxa"/>
            <w:tcBorders>
              <w:top w:val="single" w:sz="4" w:space="0" w:color="314364" w:themeColor="text2"/>
              <w:left w:val="nil"/>
              <w:bottom w:val="single" w:sz="4" w:space="0" w:color="314364" w:themeColor="text2"/>
              <w:right w:val="nil"/>
            </w:tcBorders>
          </w:tcPr>
          <w:p w14:paraId="25F6C58D" w14:textId="7DE318F5" w:rsidR="00A650EB" w:rsidRDefault="00815FB0" w:rsidP="00A650EB">
            <w:pPr>
              <w:spacing w:after="0"/>
            </w:pPr>
            <w:r>
              <w:rPr>
                <w:noProof/>
                <w:lang w:eastAsia="sk-SK"/>
              </w:rPr>
              <w:drawing>
                <wp:inline distT="0" distB="0" distL="0" distR="0" wp14:anchorId="42A6A37F" wp14:editId="620A5755">
                  <wp:extent cx="5759450" cy="2790825"/>
                  <wp:effectExtent l="0" t="0" r="0" b="0"/>
                  <wp:docPr id="21" name="Graf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r w:rsidDel="00815FB0">
              <w:rPr>
                <w:noProof/>
                <w:lang w:eastAsia="sk-SK"/>
              </w:rPr>
              <w:t xml:space="preserve"> </w:t>
            </w:r>
          </w:p>
        </w:tc>
      </w:tr>
    </w:tbl>
    <w:p w14:paraId="7665F536" w14:textId="38237E32" w:rsidR="00A650EB" w:rsidRDefault="00A650EB" w:rsidP="00A650EB">
      <w:pPr>
        <w:pStyle w:val="Zdroj"/>
      </w:pPr>
      <w:r w:rsidRPr="006E4590">
        <w:t xml:space="preserve">Zdroj: </w:t>
      </w:r>
      <w:r w:rsidR="00840FCB">
        <w:t xml:space="preserve">MH </w:t>
      </w:r>
      <w:r w:rsidRPr="006E4590">
        <w:t>SR</w:t>
      </w:r>
      <w:r w:rsidR="00B151EE">
        <w:t>.</w:t>
      </w:r>
    </w:p>
    <w:p w14:paraId="19B93DDE" w14:textId="77859B82" w:rsidR="00557876" w:rsidRDefault="00557876" w:rsidP="00557876">
      <w:pPr>
        <w:pStyle w:val="Zkladntext0"/>
        <w:spacing w:after="120"/>
        <w:jc w:val="both"/>
        <w:rPr>
          <w:rFonts w:ascii="Segoe UI" w:hAnsi="Segoe UI" w:cs="Segoe UI"/>
          <w:sz w:val="20"/>
          <w:szCs w:val="22"/>
        </w:rPr>
      </w:pPr>
      <w:r w:rsidRPr="00311A80">
        <w:rPr>
          <w:rFonts w:ascii="Segoe UI" w:hAnsi="Segoe UI" w:cs="Segoe UI"/>
          <w:b/>
          <w:sz w:val="20"/>
          <w:szCs w:val="22"/>
        </w:rPr>
        <w:lastRenderedPageBreak/>
        <w:t xml:space="preserve">NKÚ SR pri kontrole zameranej na manažment zo strany štátu pri poskytovaní energopomoci zistil viacero významných nedostatkov </w:t>
      </w:r>
      <w:r w:rsidRPr="003308BB">
        <w:rPr>
          <w:rFonts w:ascii="Segoe UI" w:hAnsi="Segoe UI" w:cs="Segoe UI"/>
          <w:sz w:val="20"/>
          <w:szCs w:val="22"/>
        </w:rPr>
        <w:t xml:space="preserve">(box </w:t>
      </w:r>
      <w:r>
        <w:rPr>
          <w:rFonts w:ascii="Segoe UI" w:hAnsi="Segoe UI" w:cs="Segoe UI"/>
          <w:sz w:val="20"/>
          <w:szCs w:val="22"/>
        </w:rPr>
        <w:t>8</w:t>
      </w:r>
      <w:r w:rsidRPr="003308BB">
        <w:rPr>
          <w:rFonts w:ascii="Segoe UI" w:hAnsi="Segoe UI" w:cs="Segoe UI"/>
          <w:sz w:val="20"/>
          <w:szCs w:val="22"/>
        </w:rPr>
        <w:t>)</w:t>
      </w:r>
      <w:r w:rsidRPr="00E61544">
        <w:rPr>
          <w:rFonts w:ascii="Segoe UI" w:hAnsi="Segoe UI" w:cs="Segoe UI"/>
          <w:b/>
          <w:sz w:val="20"/>
          <w:szCs w:val="22"/>
        </w:rPr>
        <w:t>.</w:t>
      </w:r>
    </w:p>
    <w:tbl>
      <w:tblPr>
        <w:tblStyle w:val="Mriekatabuky"/>
        <w:tblW w:w="0" w:type="auto"/>
        <w:tblBorders>
          <w:top w:val="single" w:sz="4" w:space="0" w:color="314364" w:themeColor="text2"/>
          <w:left w:val="single" w:sz="4" w:space="0" w:color="314364" w:themeColor="text2"/>
          <w:bottom w:val="single" w:sz="4" w:space="0" w:color="314364" w:themeColor="text2"/>
          <w:right w:val="single" w:sz="4" w:space="0" w:color="314364" w:themeColor="text2"/>
          <w:insideH w:val="single" w:sz="4" w:space="0" w:color="314364" w:themeColor="text2"/>
          <w:insideV w:val="single" w:sz="4" w:space="0" w:color="314364" w:themeColor="text2"/>
        </w:tblBorders>
        <w:shd w:val="clear" w:color="auto" w:fill="EBF0FB"/>
        <w:tblLook w:val="04A0" w:firstRow="1" w:lastRow="0" w:firstColumn="1" w:lastColumn="0" w:noHBand="0" w:noVBand="1"/>
      </w:tblPr>
      <w:tblGrid>
        <w:gridCol w:w="9060"/>
      </w:tblGrid>
      <w:tr w:rsidR="00B16203" w:rsidRPr="00AC3675" w14:paraId="054BA3F9" w14:textId="77777777" w:rsidTr="0019343E">
        <w:tc>
          <w:tcPr>
            <w:tcW w:w="9060" w:type="dxa"/>
            <w:shd w:val="clear" w:color="auto" w:fill="EBF0FB"/>
          </w:tcPr>
          <w:p w14:paraId="0634F5AB" w14:textId="6D036699" w:rsidR="00B16203" w:rsidRPr="003A1F5A" w:rsidRDefault="00B16203" w:rsidP="00FB546E">
            <w:pPr>
              <w:spacing w:before="120"/>
              <w:rPr>
                <w:rFonts w:cs="Segoe UI"/>
                <w:b/>
                <w:sz w:val="22"/>
              </w:rPr>
            </w:pPr>
            <w:r w:rsidRPr="00FB546E">
              <w:rPr>
                <w:rFonts w:cs="Segoe UI"/>
                <w:b/>
              </w:rPr>
              <w:t xml:space="preserve">BOX </w:t>
            </w:r>
            <w:r w:rsidR="006922FF">
              <w:rPr>
                <w:rFonts w:cs="Segoe UI"/>
                <w:b/>
              </w:rPr>
              <w:t>8</w:t>
            </w:r>
            <w:r w:rsidRPr="00FB546E">
              <w:rPr>
                <w:rFonts w:cs="Segoe UI"/>
                <w:b/>
              </w:rPr>
              <w:t>: Zistenia NKÚ SR pri manažmente energopomoci zo strany štátu</w:t>
            </w:r>
          </w:p>
          <w:p w14:paraId="6A98319B" w14:textId="77777777" w:rsidR="00B16203" w:rsidRPr="000C44E9" w:rsidRDefault="00B16203" w:rsidP="0019343E">
            <w:pPr>
              <w:pStyle w:val="Zkladntext0"/>
              <w:spacing w:before="60" w:after="60"/>
              <w:jc w:val="both"/>
              <w:rPr>
                <w:rFonts w:ascii="Segoe UI" w:hAnsi="Segoe UI" w:cs="Segoe UI"/>
                <w:b/>
                <w:sz w:val="20"/>
                <w:szCs w:val="22"/>
              </w:rPr>
            </w:pPr>
            <w:r w:rsidRPr="000C44E9">
              <w:rPr>
                <w:rFonts w:ascii="Segoe UI" w:hAnsi="Segoe UI" w:cs="Segoe UI"/>
                <w:b/>
                <w:sz w:val="20"/>
                <w:szCs w:val="22"/>
              </w:rPr>
              <w:t>Elektrina</w:t>
            </w:r>
          </w:p>
          <w:p w14:paraId="6BB40423" w14:textId="6F157B81" w:rsidR="00B16203" w:rsidRPr="00357322" w:rsidRDefault="00B16203" w:rsidP="0019343E">
            <w:pPr>
              <w:pStyle w:val="Zkladntext0"/>
              <w:jc w:val="both"/>
              <w:rPr>
                <w:rFonts w:ascii="Segoe UI" w:hAnsi="Segoe UI" w:cs="Segoe UI"/>
                <w:sz w:val="18"/>
                <w:szCs w:val="18"/>
              </w:rPr>
            </w:pPr>
            <w:r w:rsidRPr="00357322">
              <w:rPr>
                <w:rFonts w:ascii="Segoe UI" w:hAnsi="Segoe UI" w:cs="Segoe UI"/>
                <w:sz w:val="18"/>
                <w:szCs w:val="18"/>
              </w:rPr>
              <w:t>Vláda SR v zastúpení MH SR a MF SR uzatvorila dňa 16.</w:t>
            </w:r>
            <w:r w:rsidR="000C44E9">
              <w:rPr>
                <w:rFonts w:ascii="Segoe UI" w:hAnsi="Segoe UI" w:cs="Segoe UI"/>
                <w:sz w:val="18"/>
                <w:szCs w:val="18"/>
              </w:rPr>
              <w:t xml:space="preserve"> </w:t>
            </w:r>
            <w:r w:rsidRPr="00357322">
              <w:rPr>
                <w:rFonts w:ascii="Segoe UI" w:hAnsi="Segoe UI" w:cs="Segoe UI"/>
                <w:sz w:val="18"/>
                <w:szCs w:val="18"/>
              </w:rPr>
              <w:t>2.</w:t>
            </w:r>
            <w:r w:rsidR="000C44E9">
              <w:rPr>
                <w:rFonts w:ascii="Segoe UI" w:hAnsi="Segoe UI" w:cs="Segoe UI"/>
                <w:sz w:val="18"/>
                <w:szCs w:val="18"/>
              </w:rPr>
              <w:t xml:space="preserve"> </w:t>
            </w:r>
            <w:r w:rsidRPr="00357322">
              <w:rPr>
                <w:rFonts w:ascii="Segoe UI" w:hAnsi="Segoe UI" w:cs="Segoe UI"/>
                <w:sz w:val="18"/>
                <w:szCs w:val="18"/>
              </w:rPr>
              <w:t>2022 memorandum s hlavným akcionárom Slovenských elektrární, a. s.</w:t>
            </w:r>
            <w:r w:rsidR="00332448">
              <w:rPr>
                <w:rFonts w:ascii="Segoe UI" w:hAnsi="Segoe UI" w:cs="Segoe UI"/>
                <w:sz w:val="18"/>
                <w:szCs w:val="18"/>
              </w:rPr>
              <w:t xml:space="preserve">, spoločnosťou </w:t>
            </w:r>
            <w:r w:rsidR="004B1FF4" w:rsidRPr="004266B7">
              <w:rPr>
                <w:rFonts w:ascii="Segoe UI" w:hAnsi="Segoe UI" w:cs="Segoe UI"/>
                <w:sz w:val="18"/>
                <w:szCs w:val="18"/>
              </w:rPr>
              <w:t>Slovak Power Holding, B. V. (66</w:t>
            </w:r>
            <w:r w:rsidR="004B1FF4">
              <w:rPr>
                <w:rFonts w:ascii="Segoe UI" w:hAnsi="Segoe UI" w:cs="Segoe UI"/>
                <w:sz w:val="18"/>
                <w:szCs w:val="18"/>
              </w:rPr>
              <w:t xml:space="preserve"> %</w:t>
            </w:r>
            <w:r w:rsidR="004B1FF4" w:rsidRPr="004266B7">
              <w:rPr>
                <w:rFonts w:ascii="Segoe UI" w:hAnsi="Segoe UI" w:cs="Segoe UI"/>
                <w:sz w:val="18"/>
                <w:szCs w:val="18"/>
              </w:rPr>
              <w:t xml:space="preserve"> akcionár Slovenských elektrární, a. s.)</w:t>
            </w:r>
            <w:r w:rsidR="004B1FF4">
              <w:rPr>
                <w:rFonts w:ascii="Segoe UI" w:hAnsi="Segoe UI" w:cs="Segoe UI"/>
                <w:sz w:val="18"/>
                <w:szCs w:val="18"/>
              </w:rPr>
              <w:t>.</w:t>
            </w:r>
            <w:r w:rsidR="004B1FF4" w:rsidRPr="00357322">
              <w:rPr>
                <w:rFonts w:ascii="Segoe UI" w:hAnsi="Segoe UI" w:cs="Segoe UI"/>
                <w:sz w:val="18"/>
                <w:szCs w:val="18"/>
              </w:rPr>
              <w:t xml:space="preserve"> </w:t>
            </w:r>
            <w:r w:rsidRPr="00357322">
              <w:rPr>
                <w:rFonts w:ascii="Segoe UI" w:hAnsi="Segoe UI" w:cs="Segoe UI"/>
                <w:sz w:val="18"/>
                <w:szCs w:val="18"/>
              </w:rPr>
              <w:t xml:space="preserve">V ňom sa Slovenské elektrárne, a. s. zaviazali ponúknuť na predaj stanovené množstvo silovej elektriny pokrývajúce domácnosti v priebehu rokov 2023 a 2024 za cenu na úrovni koncovej ceny v roku 2022 (61,2077 eur/MWh). K memorandu bolo potrebné uzatvoriť tzv. implementačnú zmluvu. NKÚ SR zistil, že vzhľadom na nasledujúce rokovania a potrebu odsúhlasenia EK bola implementačná zmluva podpísaná až v septembri 2023. </w:t>
            </w:r>
            <w:r w:rsidRPr="00357322">
              <w:rPr>
                <w:rFonts w:ascii="Segoe UI" w:hAnsi="Segoe UI" w:cs="Segoe UI"/>
                <w:b/>
                <w:sz w:val="18"/>
                <w:szCs w:val="18"/>
              </w:rPr>
              <w:t>Postup nebol v súlade s dohodnutými podmienkami budúcich aktérov zmluvy, ani s prijatým uznesením vlády.</w:t>
            </w:r>
            <w:r w:rsidRPr="00357322">
              <w:rPr>
                <w:rFonts w:ascii="Segoe UI" w:hAnsi="Segoe UI" w:cs="Segoe UI"/>
                <w:sz w:val="18"/>
                <w:szCs w:val="18"/>
              </w:rPr>
              <w:t xml:space="preserve"> Aby bola domácnostiam poskytnutá sľúbená pomoc, </w:t>
            </w:r>
            <w:r w:rsidR="004E612D">
              <w:rPr>
                <w:rFonts w:ascii="Segoe UI" w:hAnsi="Segoe UI" w:cs="Segoe UI"/>
                <w:sz w:val="18"/>
                <w:szCs w:val="18"/>
              </w:rPr>
              <w:t>vláda</w:t>
            </w:r>
            <w:r w:rsidR="004E612D" w:rsidRPr="00357322">
              <w:rPr>
                <w:rFonts w:ascii="Segoe UI" w:hAnsi="Segoe UI" w:cs="Segoe UI"/>
                <w:sz w:val="18"/>
                <w:szCs w:val="18"/>
              </w:rPr>
              <w:t xml:space="preserve"> </w:t>
            </w:r>
            <w:r w:rsidRPr="00357322">
              <w:rPr>
                <w:rFonts w:ascii="Segoe UI" w:hAnsi="Segoe UI" w:cs="Segoe UI"/>
                <w:sz w:val="18"/>
                <w:szCs w:val="18"/>
              </w:rPr>
              <w:t>musel</w:t>
            </w:r>
            <w:r w:rsidR="004E612D">
              <w:rPr>
                <w:rFonts w:ascii="Segoe UI" w:hAnsi="Segoe UI" w:cs="Segoe UI"/>
                <w:sz w:val="18"/>
                <w:szCs w:val="18"/>
              </w:rPr>
              <w:t>a</w:t>
            </w:r>
            <w:r w:rsidRPr="00357322">
              <w:rPr>
                <w:rFonts w:ascii="Segoe UI" w:hAnsi="Segoe UI" w:cs="Segoe UI"/>
                <w:sz w:val="18"/>
                <w:szCs w:val="18"/>
              </w:rPr>
              <w:t xml:space="preserve"> v decembri 2022 situáciu riešiť iným spôsobom, a to prostredníctvom schválenia všeobecného hospodárskeho záujmu, kde spôsob poskytnutia cenovo výhodnej elektriny kopíroval podmienky nastavené v memorande. Vo februári 2023 bol k memorandu uzatvorený dodatok, v </w:t>
            </w:r>
            <w:r w:rsidR="00673C87">
              <w:rPr>
                <w:rFonts w:ascii="Segoe UI" w:hAnsi="Segoe UI" w:cs="Segoe UI"/>
                <w:sz w:val="18"/>
                <w:szCs w:val="18"/>
              </w:rPr>
              <w:t>ktorom</w:t>
            </w:r>
            <w:r w:rsidRPr="00357322">
              <w:rPr>
                <w:rFonts w:ascii="Segoe UI" w:hAnsi="Segoe UI" w:cs="Segoe UI"/>
                <w:sz w:val="18"/>
                <w:szCs w:val="18"/>
              </w:rPr>
              <w:t xml:space="preserve"> boli prehodnotené ďalšie možnosti pomoci a upravená situácia, ak Slovenské elektrárne nedodajú celé dohodnuté množstvo elektrickej energie. Taktiež obsahoval ustanovenie, v zmysle ktorého ak nedôjde k prijatiu legislatívneho opatrenia na dosiahnutie poverenia oboch ministrov na podpis implementačnej zmluvy do 31. 8. 2023, stráca dodatok platnosť a účinnosť. </w:t>
            </w:r>
            <w:r w:rsidRPr="00357322">
              <w:rPr>
                <w:rFonts w:ascii="Segoe UI" w:hAnsi="Segoe UI" w:cs="Segoe UI"/>
                <w:b/>
                <w:sz w:val="18"/>
                <w:szCs w:val="18"/>
              </w:rPr>
              <w:t xml:space="preserve">Legislatívne opatrenie prijaté nebolo, ministri poverenie nemali a zmluva uzatvorená nebola. V ďalšom konaní však MH SR postupovalo spôsobom, akoby dodatok platil. Na jeho existenciu sa odvolával schválený všeobecný hospodársky záujem, aj neskôr podpísaná implementačná zmluva. </w:t>
            </w:r>
          </w:p>
          <w:p w14:paraId="740FA414" w14:textId="0DFDB9F0" w:rsidR="00B16203" w:rsidRPr="003A1F5A" w:rsidRDefault="00B16203" w:rsidP="0019343E">
            <w:pPr>
              <w:pStyle w:val="Zkladntext0"/>
              <w:jc w:val="both"/>
              <w:rPr>
                <w:rFonts w:ascii="Segoe UI" w:hAnsi="Segoe UI" w:cs="Segoe UI"/>
                <w:sz w:val="18"/>
                <w:szCs w:val="18"/>
              </w:rPr>
            </w:pPr>
            <w:r w:rsidRPr="00357322">
              <w:rPr>
                <w:rFonts w:ascii="Segoe UI" w:hAnsi="Segoe UI" w:cs="Segoe UI"/>
                <w:sz w:val="18"/>
                <w:szCs w:val="18"/>
              </w:rPr>
              <w:t>Proces schvaľovania všeobecného hospodárskeho záujmu prebiehal v dvoch kolách a schválený bol 16. 11. 2022. NKÚ SR zist</w:t>
            </w:r>
            <w:r w:rsidR="00673C87">
              <w:rPr>
                <w:rFonts w:ascii="Segoe UI" w:hAnsi="Segoe UI" w:cs="Segoe UI"/>
                <w:sz w:val="18"/>
                <w:szCs w:val="18"/>
              </w:rPr>
              <w:t>il</w:t>
            </w:r>
            <w:r w:rsidRPr="00357322">
              <w:rPr>
                <w:rFonts w:ascii="Segoe UI" w:hAnsi="Segoe UI" w:cs="Segoe UI"/>
                <w:sz w:val="18"/>
                <w:szCs w:val="18"/>
              </w:rPr>
              <w:t xml:space="preserve">, že prvý predložený materiál obsahoval namiesto analýzy vplyvov (ktorú malo v zmysle zákona o energetike vypracovať MH SR) memorandum k analýze vplyvov, ktoré bolo vypracované spoločnosťou Ernst &amp; Young s. r. o, Praha. Okrem toho </w:t>
            </w:r>
            <w:r w:rsidR="00673C87">
              <w:rPr>
                <w:rFonts w:ascii="Segoe UI" w:hAnsi="Segoe UI" w:cs="Segoe UI"/>
                <w:sz w:val="18"/>
                <w:szCs w:val="18"/>
              </w:rPr>
              <w:t>m</w:t>
            </w:r>
            <w:r w:rsidRPr="00357322">
              <w:rPr>
                <w:rFonts w:ascii="Segoe UI" w:hAnsi="Segoe UI" w:cs="Segoe UI"/>
                <w:sz w:val="18"/>
                <w:szCs w:val="18"/>
              </w:rPr>
              <w:t xml:space="preserve">emorandum nebolo vypracované pre MH SR, ale pre Slovenský plynárenský priemysel, a. s., ktorý plnil funkciu agenta. </w:t>
            </w:r>
            <w:r w:rsidRPr="00357322">
              <w:rPr>
                <w:rFonts w:ascii="Segoe UI" w:hAnsi="Segoe UI" w:cs="Segoe UI"/>
                <w:b/>
                <w:sz w:val="18"/>
                <w:szCs w:val="18"/>
              </w:rPr>
              <w:t xml:space="preserve">Tento postup nebol v súlade s ustanovením zákona o energetike. </w:t>
            </w:r>
            <w:r w:rsidR="00B96EC3" w:rsidRPr="00B96EC3">
              <w:rPr>
                <w:rFonts w:ascii="Segoe UI" w:hAnsi="Segoe UI" w:cs="Segoe UI"/>
                <w:sz w:val="18"/>
                <w:szCs w:val="18"/>
              </w:rPr>
              <w:t>Minister hospodárstva p</w:t>
            </w:r>
            <w:r w:rsidRPr="00B96EC3">
              <w:rPr>
                <w:rFonts w:ascii="Segoe UI" w:hAnsi="Segoe UI" w:cs="Segoe UI"/>
                <w:sz w:val="18"/>
                <w:szCs w:val="18"/>
              </w:rPr>
              <w:t>o</w:t>
            </w:r>
            <w:r w:rsidRPr="00357322">
              <w:rPr>
                <w:rFonts w:ascii="Segoe UI" w:hAnsi="Segoe UI" w:cs="Segoe UI"/>
                <w:sz w:val="18"/>
                <w:szCs w:val="18"/>
              </w:rPr>
              <w:t xml:space="preserve"> schválení všeobecného hospodárskeho záujmu </w:t>
            </w:r>
            <w:r w:rsidR="00B96EC3">
              <w:rPr>
                <w:rFonts w:ascii="Segoe UI" w:hAnsi="Segoe UI" w:cs="Segoe UI"/>
                <w:sz w:val="18"/>
                <w:szCs w:val="18"/>
              </w:rPr>
              <w:t>a</w:t>
            </w:r>
            <w:r w:rsidRPr="00357322">
              <w:rPr>
                <w:rFonts w:ascii="Segoe UI" w:hAnsi="Segoe UI" w:cs="Segoe UI"/>
                <w:sz w:val="18"/>
                <w:szCs w:val="18"/>
              </w:rPr>
              <w:t xml:space="preserve"> v súlade so zákonom o energetike </w:t>
            </w:r>
            <w:r w:rsidR="00B96EC3">
              <w:rPr>
                <w:rFonts w:ascii="Segoe UI" w:hAnsi="Segoe UI" w:cs="Segoe UI"/>
                <w:sz w:val="18"/>
                <w:szCs w:val="18"/>
              </w:rPr>
              <w:t xml:space="preserve">vydal </w:t>
            </w:r>
            <w:r w:rsidRPr="00357322">
              <w:rPr>
                <w:rFonts w:ascii="Segoe UI" w:hAnsi="Segoe UI" w:cs="Segoe UI"/>
                <w:sz w:val="18"/>
                <w:szCs w:val="18"/>
              </w:rPr>
              <w:t xml:space="preserve">rozhodnutia. Nimi boli uložené povinnosti jednotlivým aktérom (Slovenské elektrárne, a. s., SPP, a. s., ako agent a dodávatelia elektriny). </w:t>
            </w:r>
            <w:r w:rsidRPr="00357322">
              <w:rPr>
                <w:rFonts w:ascii="Segoe UI" w:hAnsi="Segoe UI" w:cs="Segoe UI"/>
                <w:b/>
                <w:sz w:val="18"/>
                <w:szCs w:val="18"/>
              </w:rPr>
              <w:t>Rozhodnutia, v ktorých bola deklarovaná potreba prijať včasné a adresné riešenia, boli vydané až v priebehu decembra 2022 (7. 12. 2022 pre Slovenské elektrárne, a. s. a 15. 12. 2022 pre agenta a dodávateľov).</w:t>
            </w:r>
            <w:r w:rsidRPr="00357322">
              <w:rPr>
                <w:rFonts w:ascii="Segoe UI" w:hAnsi="Segoe UI" w:cs="Segoe UI"/>
                <w:sz w:val="18"/>
                <w:szCs w:val="18"/>
              </w:rPr>
              <w:t xml:space="preserve"> Od podpísania memoranda po </w:t>
            </w:r>
            <w:r w:rsidR="00673C87">
              <w:rPr>
                <w:rFonts w:ascii="Segoe UI" w:hAnsi="Segoe UI" w:cs="Segoe UI"/>
                <w:sz w:val="18"/>
                <w:szCs w:val="18"/>
              </w:rPr>
              <w:t>tento</w:t>
            </w:r>
            <w:r w:rsidRPr="00357322">
              <w:rPr>
                <w:rFonts w:ascii="Segoe UI" w:hAnsi="Segoe UI" w:cs="Segoe UI"/>
                <w:sz w:val="18"/>
                <w:szCs w:val="18"/>
              </w:rPr>
              <w:t xml:space="preserve"> krok ministerstva uplynulo takmer 10 mesiacov a ďalších 10 mesiacov uplynulo od podpísania implementačnej zmluvy. Zdĺhavosť popisovaného postupu ovplyvňovala všetkých zainteresovaných účastníkov procesu. Dodávatelia potrebovali nakupovať elektrinu na burze, nebolo však jasné, aké množstvo je potrebné nakúpiť, t. j. či skutočne a akým spôsobom bude poskytnutá zvýhodnená elektrina domácnostiam. </w:t>
            </w:r>
            <w:r w:rsidRPr="00357322">
              <w:rPr>
                <w:rFonts w:ascii="Segoe UI" w:hAnsi="Segoe UI" w:cs="Segoe UI"/>
                <w:b/>
                <w:sz w:val="18"/>
                <w:szCs w:val="18"/>
              </w:rPr>
              <w:t>Tento stav spôsoboval neistotu medzi dodávateľmi, aj medzi odberateľmi</w:t>
            </w:r>
            <w:r w:rsidR="00E61544">
              <w:rPr>
                <w:rFonts w:ascii="Segoe UI" w:hAnsi="Segoe UI" w:cs="Segoe UI"/>
                <w:b/>
                <w:sz w:val="18"/>
                <w:szCs w:val="18"/>
                <w:lang w:val="en-US"/>
              </w:rPr>
              <w:t>;</w:t>
            </w:r>
            <w:r w:rsidRPr="00357322">
              <w:rPr>
                <w:rFonts w:ascii="Segoe UI" w:hAnsi="Segoe UI" w:cs="Segoe UI"/>
                <w:b/>
                <w:sz w:val="18"/>
                <w:szCs w:val="18"/>
              </w:rPr>
              <w:t xml:space="preserve"> pre mnohých </w:t>
            </w:r>
            <w:r w:rsidR="00673C87">
              <w:rPr>
                <w:rFonts w:ascii="Segoe UI" w:hAnsi="Segoe UI" w:cs="Segoe UI"/>
                <w:b/>
                <w:sz w:val="18"/>
                <w:szCs w:val="18"/>
              </w:rPr>
              <w:t>m</w:t>
            </w:r>
            <w:r w:rsidRPr="00357322">
              <w:rPr>
                <w:rFonts w:ascii="Segoe UI" w:hAnsi="Segoe UI" w:cs="Segoe UI"/>
                <w:b/>
                <w:sz w:val="18"/>
                <w:szCs w:val="18"/>
              </w:rPr>
              <w:t xml:space="preserve">al likvidačné </w:t>
            </w:r>
            <w:r w:rsidR="00673C87">
              <w:rPr>
                <w:rFonts w:ascii="Segoe UI" w:hAnsi="Segoe UI" w:cs="Segoe UI"/>
                <w:b/>
                <w:sz w:val="18"/>
                <w:szCs w:val="18"/>
              </w:rPr>
              <w:t>ná</w:t>
            </w:r>
            <w:r w:rsidRPr="00357322">
              <w:rPr>
                <w:rFonts w:ascii="Segoe UI" w:hAnsi="Segoe UI" w:cs="Segoe UI"/>
                <w:b/>
                <w:sz w:val="18"/>
                <w:szCs w:val="18"/>
              </w:rPr>
              <w:t>sledky.</w:t>
            </w:r>
            <w:r w:rsidRPr="00357322">
              <w:rPr>
                <w:rFonts w:ascii="Segoe UI" w:hAnsi="Segoe UI" w:cs="Segoe UI"/>
                <w:sz w:val="18"/>
                <w:szCs w:val="18"/>
              </w:rPr>
              <w:t xml:space="preserve"> </w:t>
            </w:r>
            <w:r w:rsidRPr="00357322">
              <w:rPr>
                <w:rFonts w:ascii="Segoe UI" w:hAnsi="Segoe UI" w:cs="Segoe UI"/>
                <w:b/>
                <w:sz w:val="18"/>
                <w:szCs w:val="18"/>
              </w:rPr>
              <w:t xml:space="preserve">Bolo zistené, že pri dotáciách poskytovaných v zmysle zákona o dotáciách boli novelou z 30. 11. 2022 vykonané zmeny, ktoré umožnili nezverejňovať základné údaje o poskytovaní energopomoci. NKÚ SR v tejto súvislosti poukazuje na riziko možnej netransparentnosti a neinformovanosti o tom, ako sa nakladá s prostriedkami poskytovanými zo </w:t>
            </w:r>
            <w:r w:rsidR="00673C87">
              <w:rPr>
                <w:rFonts w:ascii="Segoe UI" w:hAnsi="Segoe UI" w:cs="Segoe UI"/>
                <w:b/>
                <w:sz w:val="18"/>
                <w:szCs w:val="18"/>
              </w:rPr>
              <w:t>ŠR</w:t>
            </w:r>
            <w:r w:rsidRPr="00357322">
              <w:rPr>
                <w:rFonts w:ascii="Segoe UI" w:hAnsi="Segoe UI" w:cs="Segoe UI"/>
                <w:b/>
                <w:sz w:val="18"/>
                <w:szCs w:val="18"/>
              </w:rPr>
              <w:t>.</w:t>
            </w:r>
            <w:r w:rsidRPr="00357322">
              <w:rPr>
                <w:rFonts w:ascii="Segoe UI" w:hAnsi="Segoe UI" w:cs="Segoe UI"/>
                <w:sz w:val="18"/>
                <w:szCs w:val="18"/>
              </w:rPr>
              <w:t xml:space="preserve">  </w:t>
            </w:r>
            <w:r w:rsidR="00E61544" w:rsidRPr="00357322">
              <w:rPr>
                <w:rFonts w:ascii="Segoe UI" w:hAnsi="Segoe UI" w:cs="Segoe UI"/>
                <w:sz w:val="18"/>
                <w:szCs w:val="18"/>
              </w:rPr>
              <w:t>MH</w:t>
            </w:r>
            <w:r w:rsidR="00E61544">
              <w:rPr>
                <w:rFonts w:ascii="Segoe UI" w:hAnsi="Segoe UI" w:cs="Segoe UI"/>
                <w:sz w:val="18"/>
                <w:szCs w:val="18"/>
              </w:rPr>
              <w:t> </w:t>
            </w:r>
            <w:r w:rsidR="00E61544" w:rsidRPr="00357322">
              <w:rPr>
                <w:rFonts w:ascii="Segoe UI" w:hAnsi="Segoe UI" w:cs="Segoe UI"/>
                <w:sz w:val="18"/>
                <w:szCs w:val="18"/>
              </w:rPr>
              <w:t xml:space="preserve">SR </w:t>
            </w:r>
            <w:r w:rsidRPr="00357322">
              <w:rPr>
                <w:rFonts w:ascii="Segoe UI" w:hAnsi="Segoe UI" w:cs="Segoe UI"/>
                <w:sz w:val="18"/>
                <w:szCs w:val="18"/>
              </w:rPr>
              <w:t>napriek novelizovaným ustanoveniam informácie zverejňovalo. Nesústreďovalo ich však na jednom mieste</w:t>
            </w:r>
            <w:r w:rsidR="00673C87">
              <w:rPr>
                <w:rFonts w:ascii="Segoe UI" w:hAnsi="Segoe UI" w:cs="Segoe UI"/>
                <w:sz w:val="18"/>
                <w:szCs w:val="18"/>
              </w:rPr>
              <w:t xml:space="preserve"> a</w:t>
            </w:r>
            <w:r w:rsidRPr="00357322">
              <w:rPr>
                <w:rFonts w:ascii="Segoe UI" w:hAnsi="Segoe UI" w:cs="Segoe UI"/>
                <w:sz w:val="18"/>
                <w:szCs w:val="18"/>
              </w:rPr>
              <w:t xml:space="preserve"> prístup k nim bol s ohľadom na ich komplexnosť zložitý a nelogický.</w:t>
            </w:r>
          </w:p>
          <w:p w14:paraId="17168CBA" w14:textId="77777777" w:rsidR="00B16203" w:rsidRPr="000C44E9" w:rsidRDefault="00B16203" w:rsidP="0019343E">
            <w:pPr>
              <w:pStyle w:val="Zkladntext0"/>
              <w:spacing w:before="60" w:after="60"/>
              <w:jc w:val="both"/>
              <w:rPr>
                <w:rFonts w:ascii="Segoe UI" w:hAnsi="Segoe UI" w:cs="Segoe UI"/>
                <w:b/>
                <w:sz w:val="20"/>
                <w:szCs w:val="22"/>
              </w:rPr>
            </w:pPr>
            <w:r w:rsidRPr="000C44E9">
              <w:rPr>
                <w:rFonts w:ascii="Segoe UI" w:hAnsi="Segoe UI" w:cs="Segoe UI"/>
                <w:b/>
                <w:sz w:val="20"/>
                <w:szCs w:val="22"/>
              </w:rPr>
              <w:t>Plyn</w:t>
            </w:r>
          </w:p>
          <w:p w14:paraId="57217FFB" w14:textId="63292D82" w:rsidR="00B16203" w:rsidRPr="00357322" w:rsidRDefault="00B16203" w:rsidP="0019343E">
            <w:pPr>
              <w:pStyle w:val="Zkladntext0"/>
              <w:jc w:val="both"/>
              <w:rPr>
                <w:rFonts w:ascii="Segoe UI" w:hAnsi="Segoe UI" w:cs="Segoe UI"/>
                <w:sz w:val="18"/>
                <w:szCs w:val="18"/>
              </w:rPr>
            </w:pPr>
            <w:r w:rsidRPr="00357322">
              <w:rPr>
                <w:rFonts w:ascii="Segoe UI" w:hAnsi="Segoe UI" w:cs="Segoe UI"/>
                <w:sz w:val="18"/>
                <w:szCs w:val="18"/>
              </w:rPr>
              <w:t xml:space="preserve">Aj v prípade plynu prebiehal proces schvaľovania všeobecného hospodárskeho záujmu v dvoch kolách. Prvý návrh bol predložený 17. 8. 2022, druhý (s odlišným riešením zabezpečenia dodávok plynu pre domácnosti) bol vládou SR schválený 1. 12. 2022. Rozhodnutie ministra hospodárstva, v zmysle ktorého boli uložené povinnosti dodávateľom plynu a prevádzkovateľom distribučnej siete účtovať domácnostiam maximálne ceny stanovené vo všeobecnom hospodárskom záujme, bolo vydané 23. 12. 2022. </w:t>
            </w:r>
            <w:r w:rsidRPr="00357322">
              <w:rPr>
                <w:rFonts w:ascii="Segoe UI" w:hAnsi="Segoe UI" w:cs="Segoe UI"/>
                <w:b/>
                <w:sz w:val="18"/>
                <w:szCs w:val="18"/>
              </w:rPr>
              <w:t xml:space="preserve">Riešenie situácie prostredníctvom </w:t>
            </w:r>
            <w:r w:rsidRPr="00357322">
              <w:rPr>
                <w:rFonts w:ascii="Segoe UI" w:hAnsi="Segoe UI" w:cs="Segoe UI"/>
                <w:b/>
                <w:sz w:val="18"/>
                <w:szCs w:val="18"/>
              </w:rPr>
              <w:lastRenderedPageBreak/>
              <w:t>všeobecného hospodárskeho záujmu nebolo včasné. Takýto priebeh udalostí predstavoval neistotu tak pre dodávateľov, ako aj pre odberateľov.</w:t>
            </w:r>
            <w:r w:rsidRPr="00357322">
              <w:rPr>
                <w:rFonts w:ascii="Segoe UI" w:hAnsi="Segoe UI" w:cs="Segoe UI"/>
                <w:sz w:val="18"/>
                <w:szCs w:val="18"/>
              </w:rPr>
              <w:t xml:space="preserve"> Vzhľadom na ďalší vývoj situácie bolo nakoniec rozhodnutie MH SR zrušené a </w:t>
            </w:r>
            <w:r w:rsidRPr="00357322">
              <w:rPr>
                <w:rFonts w:ascii="Segoe UI" w:hAnsi="Segoe UI" w:cs="Segoe UI"/>
                <w:b/>
                <w:sz w:val="18"/>
                <w:szCs w:val="18"/>
              </w:rPr>
              <w:t>vláda SR určila ďalší postup vydaním nariadení</w:t>
            </w:r>
            <w:r w:rsidRPr="00E61544">
              <w:rPr>
                <w:rFonts w:ascii="Segoe UI" w:hAnsi="Segoe UI" w:cs="Segoe UI"/>
                <w:sz w:val="18"/>
                <w:szCs w:val="18"/>
              </w:rPr>
              <w:t xml:space="preserve">. </w:t>
            </w:r>
          </w:p>
          <w:p w14:paraId="3B3793CE" w14:textId="5D4EE2A3" w:rsidR="00B16203" w:rsidRPr="00357322" w:rsidRDefault="00B16203" w:rsidP="0019343E">
            <w:pPr>
              <w:pStyle w:val="Zkladntext0"/>
              <w:jc w:val="both"/>
              <w:rPr>
                <w:rFonts w:ascii="Segoe UI" w:hAnsi="Segoe UI" w:cs="Segoe UI"/>
                <w:sz w:val="18"/>
                <w:szCs w:val="18"/>
              </w:rPr>
            </w:pPr>
            <w:r w:rsidRPr="00357322">
              <w:rPr>
                <w:rFonts w:ascii="Segoe UI" w:hAnsi="Segoe UI" w:cs="Segoe UI"/>
                <w:sz w:val="18"/>
                <w:szCs w:val="18"/>
              </w:rPr>
              <w:t xml:space="preserve">Krízová regulácia bola v roku 2023 pri plyne uplatňovaná obdobne ako pri elektrine. Stanovená bola maximálna cena za časť regulovanej dodávky plynu v rámci ceny za združenú dodávku plynu pre malých odberateľov. Realizácia nariadení bola v pôsobnosti MH SR. MH SR však ani v tomto prípade nemalo žiaden vplyv na určenie oprávnených príjemcov a cenového limitu. Podľa vyjadrenia MH SR príjemcov a limity určovalo MPSVaR SR, ktoré však na dotaz NKÚ SR neodpovedalo. </w:t>
            </w:r>
            <w:r w:rsidRPr="00357322">
              <w:rPr>
                <w:rFonts w:ascii="Segoe UI" w:hAnsi="Segoe UI" w:cs="Segoe UI"/>
                <w:b/>
                <w:sz w:val="18"/>
                <w:szCs w:val="18"/>
              </w:rPr>
              <w:t>NKÚ SR tak nezískal uistenie, kto a na základe akých kritérií rozhodol o výške maximálnej ceny a skupinách oprávnených príjemcov.</w:t>
            </w:r>
          </w:p>
          <w:p w14:paraId="5E2E1496" w14:textId="6E560640" w:rsidR="00B16203" w:rsidRPr="000C44E9" w:rsidRDefault="00B16203" w:rsidP="0019343E">
            <w:pPr>
              <w:pStyle w:val="Zkladntext0"/>
              <w:spacing w:before="60" w:after="60"/>
              <w:jc w:val="both"/>
              <w:rPr>
                <w:rFonts w:ascii="Segoe UI" w:hAnsi="Segoe UI" w:cs="Segoe UI"/>
                <w:b/>
                <w:sz w:val="20"/>
                <w:szCs w:val="22"/>
              </w:rPr>
            </w:pPr>
            <w:r w:rsidRPr="000C44E9">
              <w:rPr>
                <w:rFonts w:ascii="Segoe UI" w:hAnsi="Segoe UI" w:cs="Segoe UI"/>
                <w:b/>
                <w:sz w:val="20"/>
                <w:szCs w:val="22"/>
              </w:rPr>
              <w:t>Úrad pre reguláciu sieťových odvetví</w:t>
            </w:r>
            <w:r w:rsidR="00AF74B4">
              <w:rPr>
                <w:rFonts w:ascii="Segoe UI" w:hAnsi="Segoe UI" w:cs="Segoe UI"/>
                <w:b/>
                <w:sz w:val="20"/>
                <w:szCs w:val="22"/>
              </w:rPr>
              <w:t xml:space="preserve"> (ÚRSO)</w:t>
            </w:r>
          </w:p>
          <w:p w14:paraId="28D894A9" w14:textId="16AF8533" w:rsidR="00B16203" w:rsidRPr="00357322" w:rsidRDefault="00B16203" w:rsidP="0019343E">
            <w:pPr>
              <w:pStyle w:val="Zkladntext0"/>
              <w:jc w:val="both"/>
              <w:rPr>
                <w:rFonts w:ascii="Segoe UI" w:hAnsi="Segoe UI" w:cs="Segoe UI"/>
                <w:sz w:val="18"/>
                <w:szCs w:val="18"/>
              </w:rPr>
            </w:pPr>
            <w:r w:rsidRPr="00357322">
              <w:rPr>
                <w:rFonts w:ascii="Segoe UI" w:hAnsi="Segoe UI" w:cs="Segoe UI"/>
                <w:sz w:val="18"/>
                <w:szCs w:val="18"/>
              </w:rPr>
              <w:t>Pred vypuknutím energetickej krízy boli úlohy úradu napĺňané v súlade so zákonom. Zmeny na trhu s energiami ukázali, že potrebné riešenia cenovej primeranosti presiahli možnosti platného regulačného rámca ÚRSO. Energetická kríza, zlyhanie trhu s</w:t>
            </w:r>
            <w:r w:rsidR="00E61544">
              <w:rPr>
                <w:rFonts w:ascii="Segoe UI" w:hAnsi="Segoe UI" w:cs="Segoe UI"/>
                <w:sz w:val="18"/>
                <w:szCs w:val="18"/>
              </w:rPr>
              <w:t> </w:t>
            </w:r>
            <w:r w:rsidRPr="00357322">
              <w:rPr>
                <w:rFonts w:ascii="Segoe UI" w:hAnsi="Segoe UI" w:cs="Segoe UI"/>
                <w:sz w:val="18"/>
                <w:szCs w:val="18"/>
              </w:rPr>
              <w:t>energiami</w:t>
            </w:r>
            <w:r w:rsidR="00E61544">
              <w:rPr>
                <w:rFonts w:ascii="Segoe UI" w:hAnsi="Segoe UI" w:cs="Segoe UI"/>
                <w:sz w:val="18"/>
                <w:szCs w:val="18"/>
              </w:rPr>
              <w:t>,</w:t>
            </w:r>
            <w:r w:rsidRPr="00357322">
              <w:rPr>
                <w:rFonts w:ascii="Segoe UI" w:hAnsi="Segoe UI" w:cs="Segoe UI"/>
                <w:sz w:val="18"/>
                <w:szCs w:val="18"/>
              </w:rPr>
              <w:t xml:space="preserve"> opatrenia štátu a EK znefunkčnili rozhodujúcu časť regulácie ÚRSO a boli nahradené nástrojmi krízovej regulácie. </w:t>
            </w:r>
            <w:r w:rsidRPr="00357322">
              <w:rPr>
                <w:rFonts w:ascii="Segoe UI" w:hAnsi="Segoe UI" w:cs="Segoe UI"/>
                <w:b/>
                <w:sz w:val="18"/>
                <w:szCs w:val="18"/>
              </w:rPr>
              <w:t>Situácia bola riešená prostredníctvom nariadení vlády, ktoré mali prednosť pred cenovými rozhodnutiami ÚRSO.</w:t>
            </w:r>
            <w:r w:rsidRPr="00357322">
              <w:rPr>
                <w:rFonts w:ascii="Segoe UI" w:hAnsi="Segoe UI" w:cs="Segoe UI"/>
                <w:sz w:val="18"/>
                <w:szCs w:val="18"/>
              </w:rPr>
              <w:t xml:space="preserve"> </w:t>
            </w:r>
          </w:p>
          <w:p w14:paraId="17CBECE4" w14:textId="274044D1" w:rsidR="00B16203" w:rsidRPr="003A1F5A" w:rsidRDefault="00B16203" w:rsidP="00E61544">
            <w:pPr>
              <w:pStyle w:val="Zkladntext0"/>
              <w:jc w:val="both"/>
              <w:rPr>
                <w:rFonts w:ascii="Segoe UI" w:hAnsi="Segoe UI" w:cs="Segoe UI"/>
                <w:szCs w:val="22"/>
              </w:rPr>
            </w:pPr>
            <w:r w:rsidRPr="00357322">
              <w:rPr>
                <w:rFonts w:ascii="Segoe UI" w:hAnsi="Segoe UI" w:cs="Segoe UI"/>
                <w:sz w:val="18"/>
                <w:szCs w:val="18"/>
              </w:rPr>
              <w:t xml:space="preserve">Priebeh udalostí počas energetickej krízy naznačil, že najmä v neštandardných situáciách je potrebná účinná spolupráca medzi MH SR a ÚRSO. </w:t>
            </w:r>
            <w:r w:rsidRPr="00357322">
              <w:rPr>
                <w:rFonts w:ascii="Segoe UI" w:hAnsi="Segoe UI" w:cs="Segoe UI"/>
                <w:b/>
                <w:sz w:val="18"/>
                <w:szCs w:val="18"/>
              </w:rPr>
              <w:t xml:space="preserve">Medzi subjektmi prebiehala písomná komunikácia, ktorá však neviedla k </w:t>
            </w:r>
            <w:r w:rsidR="00332448">
              <w:rPr>
                <w:rFonts w:ascii="Segoe UI" w:hAnsi="Segoe UI" w:cs="Segoe UI"/>
                <w:b/>
                <w:sz w:val="18"/>
                <w:szCs w:val="18"/>
              </w:rPr>
              <w:t> </w:t>
            </w:r>
            <w:r w:rsidRPr="00357322">
              <w:rPr>
                <w:rFonts w:ascii="Segoe UI" w:hAnsi="Segoe UI" w:cs="Segoe UI"/>
                <w:b/>
                <w:sz w:val="18"/>
                <w:szCs w:val="18"/>
              </w:rPr>
              <w:t>riešeniu problémov, nebola efektívna ani konštruktívna.</w:t>
            </w:r>
          </w:p>
        </w:tc>
      </w:tr>
    </w:tbl>
    <w:p w14:paraId="310C55F5" w14:textId="503D3A56" w:rsidR="00123348" w:rsidRPr="00523D20" w:rsidRDefault="00523D20" w:rsidP="00523D20">
      <w:pPr>
        <w:pStyle w:val="Nadpis2"/>
        <w:rPr>
          <w:color w:val="314364" w:themeColor="text2"/>
        </w:rPr>
      </w:pPr>
      <w:bookmarkStart w:id="44" w:name="_Toc168567206"/>
      <w:r>
        <w:rPr>
          <w:color w:val="314364" w:themeColor="text2"/>
        </w:rPr>
        <w:lastRenderedPageBreak/>
        <w:t xml:space="preserve">5.3 </w:t>
      </w:r>
      <w:r w:rsidR="00E43045" w:rsidRPr="00523D20">
        <w:rPr>
          <w:color w:val="314364" w:themeColor="text2"/>
        </w:rPr>
        <w:t xml:space="preserve"> </w:t>
      </w:r>
      <w:r w:rsidR="00123348" w:rsidRPr="00523D20">
        <w:rPr>
          <w:color w:val="314364" w:themeColor="text2"/>
        </w:rPr>
        <w:t>Vzdelávanie, veda a výskum</w:t>
      </w:r>
      <w:bookmarkEnd w:id="44"/>
    </w:p>
    <w:p w14:paraId="28E29699" w14:textId="3A7D6704" w:rsidR="00747F82" w:rsidRDefault="00747F82" w:rsidP="00747F82">
      <w:r w:rsidRPr="00A54583">
        <w:rPr>
          <w:b/>
        </w:rPr>
        <w:t>Z analýzy výdavkov rezortu školstva vyplýva nedostatočné čerpanie nových eurofondov a spomalenie reformy vysokoškolského systému</w:t>
      </w:r>
      <w:r w:rsidRPr="00E61544">
        <w:rPr>
          <w:b/>
        </w:rPr>
        <w:t>.</w:t>
      </w:r>
      <w:r w:rsidRPr="00A54583">
        <w:t xml:space="preserve"> Oproti schválenému rozpočtu kapitoly ministerstva školstva na rok 2023 sa vyčerpalo o 75 mil. eur viac. Z vybraných programov </w:t>
      </w:r>
      <w:r w:rsidR="00D92BC7">
        <w:t>bolo</w:t>
      </w:r>
      <w:r w:rsidRPr="00A54583">
        <w:t xml:space="preserve"> najvyššie čerpanie v </w:t>
      </w:r>
      <w:r w:rsidR="00D92BC7">
        <w:t> </w:t>
      </w:r>
      <w:r w:rsidRPr="00A54583">
        <w:t xml:space="preserve">OP Integrovaná infraštruktúra (124,3 %) a najnižšie v </w:t>
      </w:r>
      <w:r w:rsidR="00D92BC7">
        <w:t>Programe</w:t>
      </w:r>
      <w:r w:rsidRPr="00A54583">
        <w:t xml:space="preserve"> Slovensko (61,5 %) </w:t>
      </w:r>
      <w:r w:rsidRPr="00A97B00">
        <w:t>(graf</w:t>
      </w:r>
      <w:r w:rsidR="00A97B00" w:rsidRPr="00A97B00">
        <w:t xml:space="preserve"> 3</w:t>
      </w:r>
      <w:r w:rsidR="009308CB">
        <w:t>4</w:t>
      </w:r>
      <w:r w:rsidRPr="00A97B00">
        <w:t>).</w:t>
      </w:r>
      <w:r w:rsidRPr="00A54583">
        <w:t xml:space="preserve"> Nové </w:t>
      </w:r>
      <w:r w:rsidR="00D92BC7">
        <w:t>prostriedky</w:t>
      </w:r>
      <w:r w:rsidRPr="00A54583">
        <w:t>, ktoré plynú cez Program Slovensko, nie sú čerpané dostatočne, avšak dobiehajúci OP Integrovaná infraštruktúra bol čerpaný viac</w:t>
      </w:r>
      <w:r w:rsidR="006145F0">
        <w:t>, než</w:t>
      </w:r>
      <w:r w:rsidRPr="00A54583">
        <w:t xml:space="preserve"> rezortu školstva očakával v schválenom rozpočte. Okrem Programu Slovensko sa celý rozpočet nevyčerpal ani na rozvoj vedy a techniky, tvorbu a implementáciu politík</w:t>
      </w:r>
      <w:r w:rsidR="00E61544">
        <w:t>,</w:t>
      </w:r>
      <w:r w:rsidRPr="00A54583">
        <w:t xml:space="preserve"> ani na vysoké školstvo. V prípade vysokého školstva sa z 53,5 mil. eur rozpočtovaných na jeho rozvoj vyčerpalo len 3,2 mil. eur. Dôvodom je nečerpanie prostriedkov z POO</w:t>
      </w:r>
      <w:r>
        <w:t>. Zámerom predmetného programu</w:t>
      </w:r>
      <w:r>
        <w:rPr>
          <w:rStyle w:val="Odkaznapoznmkupodiarou"/>
        </w:rPr>
        <w:footnoteReference w:id="60"/>
      </w:r>
      <w:r>
        <w:t xml:space="preserve"> </w:t>
      </w:r>
      <w:r w:rsidRPr="00A54583">
        <w:t>bolo dosiahnuť reformovaný vysokoškolský systém poskytujúci vzdelávanie medzinárodnej kvality s dostatočnou kapacitou na pokrytie záujmu o vysokoškolské štúdium.</w:t>
      </w:r>
    </w:p>
    <w:p w14:paraId="7624ACB0" w14:textId="61893289" w:rsidR="008B2D00" w:rsidRPr="00BC3CA3" w:rsidRDefault="008B2D00" w:rsidP="008B2D00">
      <w:pPr>
        <w:pStyle w:val="Popis"/>
        <w:keepNext/>
        <w:rPr>
          <w:color w:val="314364"/>
        </w:rPr>
      </w:pPr>
      <w:r w:rsidRPr="00BC3CA3">
        <w:rPr>
          <w:color w:val="314364"/>
        </w:rPr>
        <w:t>Graf</w:t>
      </w:r>
      <w:r>
        <w:rPr>
          <w:color w:val="314364"/>
        </w:rPr>
        <w:t xml:space="preserve"> 34</w:t>
      </w:r>
      <w:r w:rsidRPr="00BC3CA3">
        <w:rPr>
          <w:color w:val="314364"/>
        </w:rPr>
        <w:t>:</w:t>
      </w:r>
      <w:r>
        <w:rPr>
          <w:color w:val="314364"/>
        </w:rPr>
        <w:t xml:space="preserve"> </w:t>
      </w:r>
      <w:r w:rsidRPr="00B40242">
        <w:rPr>
          <w:color w:val="314364"/>
        </w:rPr>
        <w:t>Výdavky kapitoly MŠVVa</w:t>
      </w:r>
      <w:r w:rsidR="00B74DF2">
        <w:rPr>
          <w:color w:val="314364"/>
        </w:rPr>
        <w:t>Š</w:t>
      </w:r>
      <w:r w:rsidRPr="00B40242">
        <w:rPr>
          <w:color w:val="314364"/>
        </w:rPr>
        <w:t xml:space="preserve"> SR</w:t>
      </w:r>
      <w:r>
        <w:rPr>
          <w:color w:val="314364"/>
        </w:rPr>
        <w:t xml:space="preserve"> na vybrané programy v roku 2023 (v mil. eur)</w:t>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9070"/>
      </w:tblGrid>
      <w:tr w:rsidR="008B2D00" w:rsidRPr="00C75134" w14:paraId="7AC5FE7B" w14:textId="77777777" w:rsidTr="00A81877">
        <w:trPr>
          <w:trHeight w:val="2835"/>
        </w:trPr>
        <w:tc>
          <w:tcPr>
            <w:tcW w:w="9070" w:type="dxa"/>
            <w:tcBorders>
              <w:top w:val="single" w:sz="4" w:space="0" w:color="314364"/>
              <w:bottom w:val="single" w:sz="4" w:space="0" w:color="314364"/>
            </w:tcBorders>
            <w:vAlign w:val="center"/>
          </w:tcPr>
          <w:p w14:paraId="7801DE9C" w14:textId="77777777" w:rsidR="008B2D00" w:rsidRPr="00C75134" w:rsidRDefault="008B2D00" w:rsidP="00A81877">
            <w:pPr>
              <w:spacing w:after="0"/>
              <w:rPr>
                <w:b/>
                <w:color w:val="576431"/>
              </w:rPr>
            </w:pPr>
            <w:r>
              <w:rPr>
                <w:noProof/>
                <w:lang w:eastAsia="sk-SK"/>
              </w:rPr>
              <w:drawing>
                <wp:inline distT="0" distB="0" distL="0" distR="0" wp14:anchorId="30B7DEF1" wp14:editId="7C331924">
                  <wp:extent cx="5759450" cy="1800225"/>
                  <wp:effectExtent l="0" t="0" r="0" b="0"/>
                  <wp:docPr id="19" name="Graf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tc>
      </w:tr>
    </w:tbl>
    <w:p w14:paraId="18C09F9C" w14:textId="77777777" w:rsidR="008B2D00" w:rsidRDefault="008B2D00" w:rsidP="008B2D00">
      <w:pPr>
        <w:pStyle w:val="Zdroj"/>
      </w:pPr>
      <w:r w:rsidRPr="00CD7042">
        <w:t xml:space="preserve">Zdroj: </w:t>
      </w:r>
      <w:r w:rsidRPr="00B40242">
        <w:t>RIS; výpočty a spracovanie NKÚ SR.</w:t>
      </w:r>
    </w:p>
    <w:p w14:paraId="2D02B46D" w14:textId="59871EC4" w:rsidR="00747F82" w:rsidRPr="007D6979" w:rsidRDefault="00747F82" w:rsidP="00747F82">
      <w:pPr>
        <w:rPr>
          <w:rFonts w:cs="Segoe UI"/>
          <w:color w:val="0D0D0D"/>
          <w:shd w:val="clear" w:color="auto" w:fill="FFFFFF"/>
        </w:rPr>
      </w:pPr>
      <w:r>
        <w:rPr>
          <w:rFonts w:cs="Segoe UI"/>
          <w:b/>
          <w:color w:val="0D0D0D"/>
          <w:shd w:val="clear" w:color="auto" w:fill="FFFFFF"/>
        </w:rPr>
        <w:lastRenderedPageBreak/>
        <w:t xml:space="preserve">Nastavené ciele v rámci programového rozpočtu kapitoly školstva na úrovni programov a podprogramov nereflektujú hlavné poslanie, ktoré majú napĺňať prostredníctvom vynaložených prostriedkov. </w:t>
      </w:r>
      <w:r>
        <w:rPr>
          <w:rFonts w:cs="Segoe UI"/>
          <w:color w:val="0D0D0D"/>
          <w:shd w:val="clear" w:color="auto" w:fill="FFFFFF"/>
        </w:rPr>
        <w:t>Ciele často nepokrývajú väčšiu časť výdavkov a sú nastavené na veľmi nízku alokáciu prostriedkov.</w:t>
      </w:r>
      <w:r>
        <w:rPr>
          <w:rStyle w:val="Odkaznapoznmkupodiarou"/>
          <w:rFonts w:cs="Segoe UI"/>
          <w:color w:val="0D0D0D"/>
          <w:shd w:val="clear" w:color="auto" w:fill="FFFFFF"/>
        </w:rPr>
        <w:footnoteReference w:id="61"/>
      </w:r>
      <w:r>
        <w:rPr>
          <w:rFonts w:cs="Segoe UI"/>
          <w:color w:val="0D0D0D"/>
          <w:shd w:val="clear" w:color="auto" w:fill="FFFFFF"/>
        </w:rPr>
        <w:t xml:space="preserve"> Najväčšie programy z hľadiska objemu financií nemajú prispôsobené hodnoty merateľných ukazovateľov, dokonca niekde stále figurujú logické hodnoty (áno/nie), ktoré nie sú vhodným indikátorom posúdenia napĺňania cieľov v čase.</w:t>
      </w:r>
      <w:r>
        <w:rPr>
          <w:rStyle w:val="Odkaznapoznmkupodiarou"/>
          <w:rFonts w:cs="Segoe UI"/>
          <w:color w:val="0D0D0D"/>
          <w:shd w:val="clear" w:color="auto" w:fill="FFFFFF"/>
        </w:rPr>
        <w:footnoteReference w:id="62"/>
      </w:r>
      <w:r>
        <w:rPr>
          <w:rFonts w:cs="Segoe UI"/>
          <w:color w:val="0D0D0D"/>
          <w:shd w:val="clear" w:color="auto" w:fill="FFFFFF"/>
        </w:rPr>
        <w:t xml:space="preserve"> Problematický je aj neštandardne a málo ambiciózne nastavený cieľ v oblasti čitateľskej gramotnosti.</w:t>
      </w:r>
      <w:r>
        <w:rPr>
          <w:rStyle w:val="Odkaznapoznmkupodiarou"/>
          <w:rFonts w:cs="Segoe UI"/>
          <w:color w:val="0D0D0D"/>
          <w:shd w:val="clear" w:color="auto" w:fill="FFFFFF"/>
        </w:rPr>
        <w:footnoteReference w:id="63"/>
      </w:r>
      <w:r>
        <w:rPr>
          <w:rFonts w:cs="Segoe UI"/>
          <w:color w:val="0D0D0D"/>
          <w:shd w:val="clear" w:color="auto" w:fill="FFFFFF"/>
        </w:rPr>
        <w:t xml:space="preserve"> </w:t>
      </w:r>
      <w:r w:rsidRPr="00AC4E0C">
        <w:rPr>
          <w:rFonts w:cs="Segoe UI"/>
          <w:color w:val="0D0D0D"/>
          <w:shd w:val="clear" w:color="auto" w:fill="FFFFFF"/>
        </w:rPr>
        <w:t>Cieľová hodnota priemerného skóre slovenských žiakov v oblasti čitateľskej gramotnosti na úrovni 469 by bola podpriemerná dokonca aj v cykle PISA 2022, teda v cykle, v ktorom takmer všetky krajiny dosiahli v dôsledku pandémie COVID-19 slabé výsledky. Napríklad českí a poľskí žiaci dosiahli 489 bo</w:t>
      </w:r>
      <w:r>
        <w:rPr>
          <w:rFonts w:cs="Segoe UI"/>
          <w:color w:val="0D0D0D"/>
          <w:shd w:val="clear" w:color="auto" w:fill="FFFFFF"/>
        </w:rPr>
        <w:t>dov a maďarskí žiaci 473 bodov.</w:t>
      </w:r>
      <w:r w:rsidR="00FB4D0B" w:rsidRPr="00FB4D0B">
        <w:t xml:space="preserve"> </w:t>
      </w:r>
      <w:r w:rsidR="00FB4D0B" w:rsidRPr="00FB4D0B">
        <w:rPr>
          <w:rFonts w:cs="Segoe UI"/>
          <w:color w:val="0D0D0D"/>
          <w:shd w:val="clear" w:color="auto" w:fill="FFFFFF"/>
        </w:rPr>
        <w:t>Slovensko dosiahlo 447 bodov, čo je výsledok na úrovni čilských, maltských či srbských žiakov.</w:t>
      </w:r>
      <w:r w:rsidR="00FB4D0B">
        <w:rPr>
          <w:rFonts w:cs="Segoe UI"/>
          <w:color w:val="0D0D0D"/>
          <w:shd w:val="clear" w:color="auto" w:fill="FFFFFF"/>
        </w:rPr>
        <w:t xml:space="preserve"> </w:t>
      </w:r>
      <w:r>
        <w:rPr>
          <w:rFonts w:cs="Segoe UI"/>
          <w:color w:val="0D0D0D"/>
          <w:shd w:val="clear" w:color="auto" w:fill="FFFFFF"/>
        </w:rPr>
        <w:t>Programová štruktúra kapitoly školstva tak nenapĺňa poslanie a nezvyšuje transparentnosť výdavkov.</w:t>
      </w:r>
    </w:p>
    <w:p w14:paraId="5BD08486" w14:textId="671841A3" w:rsidR="00747F82" w:rsidRPr="00B40242" w:rsidRDefault="00747F82" w:rsidP="00747F82">
      <w:r w:rsidRPr="005F0417">
        <w:rPr>
          <w:rFonts w:cs="Segoe UI"/>
          <w:b/>
          <w:color w:val="0D0D0D"/>
          <w:shd w:val="clear" w:color="auto" w:fill="FFFFFF"/>
        </w:rPr>
        <w:t>Po prvý</w:t>
      </w:r>
      <w:r w:rsidR="00E61544">
        <w:rPr>
          <w:rFonts w:cs="Segoe UI"/>
          <w:b/>
          <w:color w:val="0D0D0D"/>
          <w:shd w:val="clear" w:color="auto" w:fill="FFFFFF"/>
        </w:rPr>
        <w:t xml:space="preserve"> raz </w:t>
      </w:r>
      <w:r w:rsidRPr="005F0417">
        <w:rPr>
          <w:rFonts w:cs="Segoe UI"/>
          <w:b/>
          <w:color w:val="0D0D0D"/>
          <w:shd w:val="clear" w:color="auto" w:fill="FFFFFF"/>
        </w:rPr>
        <w:t>boli výdavky na vedu a</w:t>
      </w:r>
      <w:r>
        <w:rPr>
          <w:rFonts w:cs="Segoe UI"/>
          <w:b/>
          <w:color w:val="0D0D0D"/>
          <w:shd w:val="clear" w:color="auto" w:fill="FFFFFF"/>
        </w:rPr>
        <w:t> </w:t>
      </w:r>
      <w:r w:rsidRPr="005F0417">
        <w:rPr>
          <w:rFonts w:cs="Segoe UI"/>
          <w:b/>
          <w:color w:val="0D0D0D"/>
          <w:shd w:val="clear" w:color="auto" w:fill="FFFFFF"/>
        </w:rPr>
        <w:t>výskum</w:t>
      </w:r>
      <w:r>
        <w:rPr>
          <w:rFonts w:cs="Segoe UI"/>
          <w:b/>
          <w:color w:val="0D0D0D"/>
          <w:shd w:val="clear" w:color="auto" w:fill="FFFFFF"/>
        </w:rPr>
        <w:t xml:space="preserve"> </w:t>
      </w:r>
      <w:r w:rsidRPr="00AC5F80">
        <w:rPr>
          <w:rFonts w:cs="Segoe UI"/>
          <w:color w:val="0D0D0D"/>
          <w:shd w:val="clear" w:color="auto" w:fill="FFFFFF"/>
        </w:rPr>
        <w:t xml:space="preserve">(ktorých významná časť je v správe </w:t>
      </w:r>
      <w:r w:rsidR="00B74DF2">
        <w:rPr>
          <w:rFonts w:cs="Segoe UI"/>
          <w:color w:val="0D0D0D"/>
          <w:shd w:val="clear" w:color="auto" w:fill="FFFFFF"/>
        </w:rPr>
        <w:t>ministerstva školstva</w:t>
      </w:r>
      <w:r w:rsidRPr="00AC5F80">
        <w:rPr>
          <w:rFonts w:cs="Segoe UI"/>
          <w:color w:val="0D0D0D"/>
          <w:shd w:val="clear" w:color="auto" w:fill="FFFFFF"/>
        </w:rPr>
        <w:t>)</w:t>
      </w:r>
      <w:r w:rsidRPr="005F0417">
        <w:rPr>
          <w:rFonts w:cs="Segoe UI"/>
          <w:b/>
          <w:color w:val="0D0D0D"/>
          <w:shd w:val="clear" w:color="auto" w:fill="FFFFFF"/>
        </w:rPr>
        <w:t xml:space="preserve"> v roku 2023 podrobené revízii výdavkov realizovanej v spolupráci M</w:t>
      </w:r>
      <w:r w:rsidR="00E56EBE">
        <w:rPr>
          <w:rFonts w:cs="Segoe UI"/>
          <w:b/>
          <w:color w:val="0D0D0D"/>
          <w:shd w:val="clear" w:color="auto" w:fill="FFFFFF"/>
        </w:rPr>
        <w:t>F</w:t>
      </w:r>
      <w:r w:rsidRPr="005F0417">
        <w:rPr>
          <w:rFonts w:cs="Segoe UI"/>
          <w:b/>
          <w:color w:val="0D0D0D"/>
          <w:shd w:val="clear" w:color="auto" w:fill="FFFFFF"/>
        </w:rPr>
        <w:t xml:space="preserve"> SR a Úradu vlády SR.</w:t>
      </w:r>
      <w:r w:rsidR="00AC5F80" w:rsidRPr="005F0417">
        <w:rPr>
          <w:rStyle w:val="Odkaznapoznmkupodiarou"/>
          <w:rFonts w:cs="Segoe UI"/>
          <w:color w:val="0D0D0D"/>
          <w:shd w:val="clear" w:color="auto" w:fill="FFFFFF"/>
        </w:rPr>
        <w:footnoteReference w:id="64"/>
      </w:r>
      <w:r w:rsidRPr="005F0417">
        <w:rPr>
          <w:rFonts w:cs="Segoe UI"/>
          <w:color w:val="0D0D0D"/>
          <w:shd w:val="clear" w:color="auto" w:fill="FFFFFF"/>
        </w:rPr>
        <w:t xml:space="preserve"> Revízia predstavovala prvý komplexný pohľad na financovanie týchto oblastí na Slovensku. Cieľom bolo posúdiť efektívnosť verejných zdrojov a podporiť reformu riadenia vedy a výsku</w:t>
      </w:r>
      <w:r>
        <w:rPr>
          <w:rFonts w:cs="Segoe UI"/>
          <w:color w:val="0D0D0D"/>
          <w:shd w:val="clear" w:color="auto" w:fill="FFFFFF"/>
        </w:rPr>
        <w:t>mu podľa Národnej stratégie výskumu, vývoja a inovácií</w:t>
      </w:r>
      <w:r w:rsidRPr="005F0417">
        <w:rPr>
          <w:rFonts w:cs="Segoe UI"/>
          <w:color w:val="0D0D0D"/>
          <w:shd w:val="clear" w:color="auto" w:fill="FFFFFF"/>
        </w:rPr>
        <w:t xml:space="preserve"> 2030</w:t>
      </w:r>
      <w:r>
        <w:rPr>
          <w:rFonts w:cs="Segoe UI"/>
          <w:color w:val="0D0D0D"/>
          <w:shd w:val="clear" w:color="auto" w:fill="FFFFFF"/>
        </w:rPr>
        <w:t>.</w:t>
      </w:r>
      <w:r>
        <w:rPr>
          <w:rStyle w:val="Odkaznapoznmkupodiarou"/>
          <w:rFonts w:cs="Segoe UI"/>
          <w:color w:val="0D0D0D"/>
          <w:shd w:val="clear" w:color="auto" w:fill="FFFFFF"/>
        </w:rPr>
        <w:footnoteReference w:id="65"/>
      </w:r>
      <w:r w:rsidRPr="005F0417">
        <w:rPr>
          <w:rFonts w:cs="Segoe UI"/>
          <w:color w:val="0D0D0D"/>
          <w:shd w:val="clear" w:color="auto" w:fill="FFFFFF"/>
        </w:rPr>
        <w:t xml:space="preserve"> Revízia zameraná na identifikáciu zdrojov a návrhov opatrení má zvýšiť pridanú hodnotu a spoločenský prínos investícií</w:t>
      </w:r>
      <w:r w:rsidR="00E56EBE">
        <w:rPr>
          <w:rFonts w:cs="Segoe UI"/>
          <w:color w:val="0D0D0D"/>
          <w:shd w:val="clear" w:color="auto" w:fill="FFFFFF"/>
        </w:rPr>
        <w:t>.</w:t>
      </w:r>
      <w:r w:rsidRPr="005F0417">
        <w:rPr>
          <w:rFonts w:cs="Segoe UI"/>
          <w:color w:val="0D0D0D"/>
          <w:shd w:val="clear" w:color="auto" w:fill="FFFFFF"/>
        </w:rPr>
        <w:t xml:space="preserve"> </w:t>
      </w:r>
      <w:r w:rsidR="00E56EBE">
        <w:rPr>
          <w:rFonts w:cs="Segoe UI"/>
          <w:color w:val="0D0D0D"/>
          <w:shd w:val="clear" w:color="auto" w:fill="FFFFFF"/>
        </w:rPr>
        <w:t>D</w:t>
      </w:r>
      <w:r w:rsidRPr="005F0417">
        <w:rPr>
          <w:rFonts w:cs="Segoe UI"/>
          <w:color w:val="0D0D0D"/>
          <w:shd w:val="clear" w:color="auto" w:fill="FFFFFF"/>
        </w:rPr>
        <w:t>ôležitá je predovšetkým implementácia opatrení zodpovednými subjektmi, ktoré môžu priniesť želaný efekt revízie</w:t>
      </w:r>
      <w:r>
        <w:rPr>
          <w:rFonts w:cs="Segoe UI"/>
          <w:color w:val="0D0D0D"/>
          <w:shd w:val="clear" w:color="auto" w:fill="FFFFFF"/>
        </w:rPr>
        <w:t>.</w:t>
      </w:r>
    </w:p>
    <w:p w14:paraId="6978FB18" w14:textId="198EE93A" w:rsidR="00747F82" w:rsidRPr="00747F82" w:rsidRDefault="00747F82" w:rsidP="00747F82">
      <w:pPr>
        <w:pStyle w:val="Nadpis3"/>
      </w:pPr>
      <w:bookmarkStart w:id="45" w:name="_Toc166658079"/>
      <w:bookmarkStart w:id="46" w:name="_Toc168567207"/>
      <w:r>
        <w:t xml:space="preserve">5.3.1 </w:t>
      </w:r>
      <w:r w:rsidR="00E43045">
        <w:t xml:space="preserve"> </w:t>
      </w:r>
      <w:r w:rsidRPr="00747F82">
        <w:t xml:space="preserve">Zhodnotenie čerpania a adresnosti výzvy na zvýšenie kapacít </w:t>
      </w:r>
      <w:r w:rsidR="00A97B00">
        <w:t>MŠ</w:t>
      </w:r>
      <w:bookmarkEnd w:id="45"/>
      <w:bookmarkEnd w:id="46"/>
    </w:p>
    <w:p w14:paraId="6145AF91" w14:textId="241527FE" w:rsidR="00747F82" w:rsidRDefault="00747F82" w:rsidP="00747F82">
      <w:pPr>
        <w:rPr>
          <w:rFonts w:cs="Segoe UI"/>
          <w:szCs w:val="20"/>
        </w:rPr>
      </w:pPr>
      <w:r w:rsidRPr="005D7D85">
        <w:rPr>
          <w:rFonts w:cs="Segoe UI"/>
          <w:b/>
          <w:szCs w:val="20"/>
        </w:rPr>
        <w:t xml:space="preserve">Slovensko dlhodobo a výrazne zaostáva za ostatnými krajinami EÚ v účasti detí na predprimárnom </w:t>
      </w:r>
      <w:r w:rsidRPr="00A97B00">
        <w:rPr>
          <w:rFonts w:cs="Segoe UI"/>
          <w:b/>
          <w:szCs w:val="20"/>
        </w:rPr>
        <w:t>vzdelávaní</w:t>
      </w:r>
      <w:r w:rsidR="007B6FB2" w:rsidRPr="00A97B00">
        <w:rPr>
          <w:rFonts w:cs="Segoe UI"/>
          <w:szCs w:val="20"/>
        </w:rPr>
        <w:t xml:space="preserve"> (graf </w:t>
      </w:r>
      <w:r w:rsidR="00A97B00" w:rsidRPr="00A97B00">
        <w:rPr>
          <w:rFonts w:cs="Segoe UI"/>
          <w:szCs w:val="20"/>
        </w:rPr>
        <w:t>3</w:t>
      </w:r>
      <w:r w:rsidR="009308CB">
        <w:rPr>
          <w:rFonts w:cs="Segoe UI"/>
          <w:szCs w:val="20"/>
        </w:rPr>
        <w:t>5</w:t>
      </w:r>
      <w:r w:rsidR="007B6FB2" w:rsidRPr="00A97B00">
        <w:rPr>
          <w:rFonts w:cs="Segoe UI"/>
          <w:szCs w:val="20"/>
        </w:rPr>
        <w:t>)</w:t>
      </w:r>
      <w:r w:rsidR="007B6FB2" w:rsidRPr="00E61544">
        <w:rPr>
          <w:rFonts w:cs="Segoe UI"/>
          <w:b/>
          <w:szCs w:val="20"/>
        </w:rPr>
        <w:t>.</w:t>
      </w:r>
      <w:r w:rsidRPr="00A97B00">
        <w:rPr>
          <w:rFonts w:cs="Segoe UI"/>
          <w:szCs w:val="20"/>
        </w:rPr>
        <w:t xml:space="preserve"> V roku</w:t>
      </w:r>
      <w:r>
        <w:rPr>
          <w:rFonts w:cs="Segoe UI"/>
          <w:szCs w:val="20"/>
        </w:rPr>
        <w:t xml:space="preserve"> 202</w:t>
      </w:r>
      <w:r w:rsidR="009B2D58">
        <w:rPr>
          <w:rFonts w:cs="Segoe UI"/>
          <w:szCs w:val="20"/>
        </w:rPr>
        <w:t>2</w:t>
      </w:r>
      <w:r>
        <w:rPr>
          <w:rFonts w:cs="Segoe UI"/>
          <w:szCs w:val="20"/>
        </w:rPr>
        <w:t xml:space="preserve"> navštevovalo materské školy (MŠ) 7</w:t>
      </w:r>
      <w:r w:rsidR="009B2D58">
        <w:rPr>
          <w:rFonts w:cs="Segoe UI"/>
          <w:szCs w:val="20"/>
        </w:rPr>
        <w:t>8</w:t>
      </w:r>
      <w:r>
        <w:rPr>
          <w:rFonts w:cs="Segoe UI"/>
          <w:szCs w:val="20"/>
        </w:rPr>
        <w:t>,</w:t>
      </w:r>
      <w:r w:rsidR="009B2D58">
        <w:rPr>
          <w:rFonts w:cs="Segoe UI"/>
          <w:szCs w:val="20"/>
        </w:rPr>
        <w:t>6</w:t>
      </w:r>
      <w:r>
        <w:rPr>
          <w:rFonts w:cs="Segoe UI"/>
          <w:szCs w:val="20"/>
        </w:rPr>
        <w:t xml:space="preserve"> % trojročných a starších detí. Nižšia účasť detí na predprimárnom vzdelávaní bola len v Rumunsku. Priemer EÚ je dlhodobo na úrovni približne 92 %. Predprimárne vzdelávanie zvyšuje kognitívne zručnosti žiakov a študentov, ľudský kapitál pracovníkov, ich produktivitu a v konečnom dôsledku aj ekonomickú výkonnosť krajiny. Autori novej štúdie OECD sa dopracovali k záveru, že </w:t>
      </w:r>
      <w:r w:rsidRPr="00E56EBE">
        <w:rPr>
          <w:rFonts w:cs="Segoe UI"/>
          <w:szCs w:val="20"/>
        </w:rPr>
        <w:t>zo všetkých vzdelávacích politík je práve zvyšovanie účasti na predprimárnom vzdelávaní z tohto pohľadu najefektívnejšie.</w:t>
      </w:r>
      <w:r>
        <w:rPr>
          <w:rStyle w:val="Odkaznapoznmkupodiarou"/>
          <w:rFonts w:cs="Segoe UI"/>
          <w:szCs w:val="20"/>
        </w:rPr>
        <w:footnoteReference w:id="66"/>
      </w:r>
    </w:p>
    <w:p w14:paraId="5FBC6342" w14:textId="77777777" w:rsidR="005E0A95" w:rsidRDefault="005E0A95" w:rsidP="005E0A95">
      <w:pPr>
        <w:rPr>
          <w:rFonts w:cs="Segoe UI"/>
          <w:szCs w:val="20"/>
        </w:rPr>
      </w:pPr>
      <w:r w:rsidRPr="005D7D85">
        <w:rPr>
          <w:rFonts w:cs="Segoe UI"/>
          <w:b/>
          <w:szCs w:val="20"/>
        </w:rPr>
        <w:t>Hoci si slovenské vlády uvedomujú dôležitosť predprimárneho vzdelávania, dlhodobo sa im nedarí dostatočne zvýšiť kapacitu MŠ</w:t>
      </w:r>
      <w:r w:rsidRPr="00BA63DB">
        <w:rPr>
          <w:rFonts w:cs="Segoe UI"/>
          <w:b/>
          <w:szCs w:val="20"/>
        </w:rPr>
        <w:t xml:space="preserve">. </w:t>
      </w:r>
      <w:r w:rsidRPr="003D6146">
        <w:rPr>
          <w:rFonts w:cs="Segoe UI"/>
          <w:szCs w:val="20"/>
        </w:rPr>
        <w:t xml:space="preserve">V PVV </w:t>
      </w:r>
      <w:r>
        <w:rPr>
          <w:rFonts w:cs="Segoe UI"/>
          <w:szCs w:val="20"/>
        </w:rPr>
        <w:t>na roky 2023 – 2027</w:t>
      </w:r>
      <w:r>
        <w:rPr>
          <w:rStyle w:val="Odkaznapoznmkupodiarou"/>
          <w:rFonts w:cs="Segoe UI"/>
          <w:szCs w:val="20"/>
        </w:rPr>
        <w:footnoteReference w:id="67"/>
      </w:r>
      <w:r>
        <w:rPr>
          <w:rFonts w:cs="Segoe UI"/>
          <w:szCs w:val="20"/>
        </w:rPr>
        <w:t xml:space="preserve"> </w:t>
      </w:r>
      <w:r w:rsidRPr="003D6146">
        <w:rPr>
          <w:rFonts w:cs="Segoe UI"/>
          <w:szCs w:val="20"/>
        </w:rPr>
        <w:t xml:space="preserve">sa ako krátkodobá priorita v oblasti sociálnej politiky uvádza rozšírenie kapacity predškolských zariadení s konečným cieľom </w:t>
      </w:r>
      <w:r w:rsidRPr="003D6146">
        <w:rPr>
          <w:rFonts w:cs="Segoe UI"/>
          <w:szCs w:val="20"/>
        </w:rPr>
        <w:lastRenderedPageBreak/>
        <w:t>garantovať miesto v MŠ každému dieťaťu. Veľmi podobná krátkodobá priorita sa uvádza aj pre oblasť vzdelávacej politiky.</w:t>
      </w:r>
      <w:r>
        <w:rPr>
          <w:rFonts w:cs="Segoe UI"/>
          <w:szCs w:val="20"/>
        </w:rPr>
        <w:t xml:space="preserve"> Cieľ vybudovať dodatočné kapacity MŠ a zaviesť nárokovateľnosť miesta v MŠ sa nachádza aj v PVV na roky 2021 – 2024</w:t>
      </w:r>
      <w:r>
        <w:rPr>
          <w:rStyle w:val="Odkaznapoznmkupodiarou"/>
          <w:rFonts w:cs="Segoe UI"/>
          <w:szCs w:val="20"/>
        </w:rPr>
        <w:footnoteReference w:id="68"/>
      </w:r>
      <w:r>
        <w:rPr>
          <w:rFonts w:cs="Segoe UI"/>
          <w:szCs w:val="20"/>
        </w:rPr>
        <w:t>.</w:t>
      </w:r>
    </w:p>
    <w:p w14:paraId="3088D1D4" w14:textId="77777777" w:rsidR="008B2D00" w:rsidRPr="00BC3CA3" w:rsidRDefault="008B2D00" w:rsidP="008B2D00">
      <w:pPr>
        <w:pStyle w:val="Popis"/>
        <w:keepNext/>
        <w:rPr>
          <w:color w:val="314364"/>
        </w:rPr>
      </w:pPr>
      <w:r w:rsidRPr="00BC3CA3">
        <w:rPr>
          <w:color w:val="314364"/>
        </w:rPr>
        <w:t>Graf</w:t>
      </w:r>
      <w:r>
        <w:rPr>
          <w:color w:val="314364"/>
        </w:rPr>
        <w:t xml:space="preserve"> 35</w:t>
      </w:r>
      <w:r w:rsidRPr="00BC3CA3">
        <w:rPr>
          <w:color w:val="314364"/>
        </w:rPr>
        <w:t>:</w:t>
      </w:r>
      <w:r>
        <w:rPr>
          <w:color w:val="314364"/>
        </w:rPr>
        <w:t xml:space="preserve"> Účasť</w:t>
      </w:r>
      <w:r w:rsidRPr="00BC45D7">
        <w:rPr>
          <w:color w:val="314364"/>
        </w:rPr>
        <w:t xml:space="preserve"> trojročných a starších detí na predprimárnom vzdelávaní v roku 202</w:t>
      </w:r>
      <w:r>
        <w:rPr>
          <w:color w:val="314364"/>
        </w:rPr>
        <w:t>2</w:t>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9070"/>
      </w:tblGrid>
      <w:tr w:rsidR="008B2D00" w:rsidRPr="00C75134" w14:paraId="24DE15C3" w14:textId="77777777" w:rsidTr="00A81877">
        <w:trPr>
          <w:trHeight w:val="3118"/>
        </w:trPr>
        <w:tc>
          <w:tcPr>
            <w:tcW w:w="9070" w:type="dxa"/>
            <w:tcBorders>
              <w:top w:val="single" w:sz="4" w:space="0" w:color="314364"/>
              <w:bottom w:val="single" w:sz="4" w:space="0" w:color="314364"/>
            </w:tcBorders>
            <w:vAlign w:val="center"/>
          </w:tcPr>
          <w:p w14:paraId="0BE6808B" w14:textId="77777777" w:rsidR="008B2D00" w:rsidRPr="00C75134" w:rsidRDefault="008B2D00" w:rsidP="00A81877">
            <w:pPr>
              <w:spacing w:after="0"/>
              <w:rPr>
                <w:b/>
                <w:color w:val="576431"/>
              </w:rPr>
            </w:pPr>
            <w:r>
              <w:rPr>
                <w:noProof/>
                <w:lang w:eastAsia="sk-SK"/>
              </w:rPr>
              <w:drawing>
                <wp:inline distT="0" distB="0" distL="0" distR="0" wp14:anchorId="466EC042" wp14:editId="21D290D9">
                  <wp:extent cx="5724525" cy="1914525"/>
                  <wp:effectExtent l="0" t="0" r="0" b="0"/>
                  <wp:docPr id="11" name="Graf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tc>
      </w:tr>
    </w:tbl>
    <w:p w14:paraId="76F59554" w14:textId="77777777" w:rsidR="008B2D00" w:rsidRDefault="008B2D00" w:rsidP="008B2D00">
      <w:pPr>
        <w:pStyle w:val="Zdroj"/>
        <w:rPr>
          <w:rFonts w:cs="Segoe UI"/>
          <w:szCs w:val="20"/>
        </w:rPr>
      </w:pPr>
      <w:r w:rsidRPr="00CD7042">
        <w:t xml:space="preserve">Zdroj: </w:t>
      </w:r>
      <w:r>
        <w:rPr>
          <w:rFonts w:cs="Segoe UI"/>
          <w:szCs w:val="20"/>
        </w:rPr>
        <w:t>Eurostat;</w:t>
      </w:r>
      <w:r w:rsidRPr="00824F67">
        <w:rPr>
          <w:rFonts w:cs="Segoe UI"/>
          <w:szCs w:val="20"/>
        </w:rPr>
        <w:t xml:space="preserve"> spracovanie NKÚ SR.</w:t>
      </w:r>
    </w:p>
    <w:p w14:paraId="467897C2" w14:textId="46CBF5EA" w:rsidR="00FB4D0B" w:rsidRPr="00A54583" w:rsidRDefault="00747F82" w:rsidP="00FB4D0B">
      <w:pPr>
        <w:rPr>
          <w:rFonts w:cs="Segoe UI"/>
          <w:szCs w:val="20"/>
        </w:rPr>
      </w:pPr>
      <w:r w:rsidRPr="00CF46E9">
        <w:rPr>
          <w:rFonts w:cs="Segoe UI"/>
          <w:b/>
          <w:szCs w:val="20"/>
        </w:rPr>
        <w:t>Dobudovanie potrebných kapacít MŠ má zabezpečiť výzva z</w:t>
      </w:r>
      <w:r w:rsidR="00BA63DB">
        <w:rPr>
          <w:rFonts w:cs="Segoe UI"/>
          <w:b/>
          <w:szCs w:val="20"/>
        </w:rPr>
        <w:t> </w:t>
      </w:r>
      <w:r>
        <w:rPr>
          <w:rFonts w:cs="Segoe UI"/>
          <w:b/>
          <w:szCs w:val="20"/>
        </w:rPr>
        <w:t>POO</w:t>
      </w:r>
      <w:r w:rsidR="00BA63DB">
        <w:rPr>
          <w:rFonts w:cs="Segoe UI"/>
          <w:b/>
          <w:szCs w:val="20"/>
        </w:rPr>
        <w:t>,</w:t>
      </w:r>
      <w:r w:rsidRPr="00CF46E9">
        <w:rPr>
          <w:rFonts w:cs="Segoe UI"/>
          <w:b/>
          <w:szCs w:val="20"/>
        </w:rPr>
        <w:t xml:space="preserve"> </w:t>
      </w:r>
      <w:r w:rsidR="00E56EBE">
        <w:rPr>
          <w:rFonts w:cs="Segoe UI"/>
          <w:b/>
          <w:szCs w:val="20"/>
        </w:rPr>
        <w:t xml:space="preserve">zameraná na </w:t>
      </w:r>
      <w:r w:rsidR="00E56EBE" w:rsidRPr="00E56EBE">
        <w:rPr>
          <w:rFonts w:cs="Segoe UI"/>
          <w:b/>
          <w:szCs w:val="20"/>
        </w:rPr>
        <w:t>z</w:t>
      </w:r>
      <w:r w:rsidRPr="00E56EBE">
        <w:rPr>
          <w:rFonts w:cs="Segoe UI"/>
          <w:b/>
          <w:szCs w:val="20"/>
        </w:rPr>
        <w:t>výšenie kapacít materských škôl,</w:t>
      </w:r>
      <w:r>
        <w:rPr>
          <w:rFonts w:cs="Segoe UI"/>
          <w:szCs w:val="20"/>
        </w:rPr>
        <w:t xml:space="preserve"> ktorej hlavným cieľom je,</w:t>
      </w:r>
      <w:r w:rsidRPr="00E422ED">
        <w:rPr>
          <w:rFonts w:cs="Segoe UI"/>
          <w:szCs w:val="20"/>
        </w:rPr>
        <w:t xml:space="preserve"> </w:t>
      </w:r>
      <w:r>
        <w:rPr>
          <w:rFonts w:cs="Segoe UI"/>
          <w:szCs w:val="20"/>
        </w:rPr>
        <w:t>a</w:t>
      </w:r>
      <w:r w:rsidRPr="005E71EC">
        <w:rPr>
          <w:rFonts w:cs="Segoe UI"/>
          <w:szCs w:val="20"/>
        </w:rPr>
        <w:t>by sa každé dieťa vo veku od troch rokov do nástupu na povinn</w:t>
      </w:r>
      <w:r>
        <w:rPr>
          <w:rFonts w:cs="Segoe UI"/>
          <w:szCs w:val="20"/>
        </w:rPr>
        <w:t xml:space="preserve">ú školskú dochádzku mohlo od </w:t>
      </w:r>
      <w:r w:rsidRPr="005E71EC">
        <w:rPr>
          <w:rFonts w:cs="Segoe UI"/>
          <w:szCs w:val="20"/>
        </w:rPr>
        <w:t>septembra 2025 zúčastňovať na predprimárnom vzdelávaní</w:t>
      </w:r>
      <w:r>
        <w:rPr>
          <w:rFonts w:cs="Segoe UI"/>
          <w:szCs w:val="20"/>
        </w:rPr>
        <w:t xml:space="preserve">. Výzva bola vyhlásená v auguste 2022. NKÚ SR v máji 2023 upozornil, že </w:t>
      </w:r>
      <w:r w:rsidRPr="006C4285">
        <w:rPr>
          <w:rFonts w:cs="Segoe UI"/>
          <w:szCs w:val="20"/>
        </w:rPr>
        <w:t>k 31. 12.</w:t>
      </w:r>
      <w:r>
        <w:rPr>
          <w:rFonts w:cs="Segoe UI"/>
          <w:szCs w:val="20"/>
        </w:rPr>
        <w:t xml:space="preserve"> 2022 bolo vyčerpaných len 1,3 % prostriedkov </w:t>
      </w:r>
      <w:r w:rsidR="00AC5F80">
        <w:rPr>
          <w:rFonts w:cs="Segoe UI"/>
          <w:szCs w:val="20"/>
        </w:rPr>
        <w:t xml:space="preserve">tejto </w:t>
      </w:r>
      <w:r>
        <w:rPr>
          <w:rFonts w:cs="Segoe UI"/>
          <w:szCs w:val="20"/>
        </w:rPr>
        <w:t>výzvy</w:t>
      </w:r>
      <w:r w:rsidRPr="006C4285">
        <w:rPr>
          <w:rFonts w:cs="Segoe UI"/>
          <w:szCs w:val="20"/>
        </w:rPr>
        <w:t>.</w:t>
      </w:r>
      <w:r>
        <w:rPr>
          <w:rStyle w:val="Odkaznapoznmkupodiarou"/>
          <w:rFonts w:cs="Segoe UI"/>
        </w:rPr>
        <w:footnoteReference w:id="69"/>
      </w:r>
      <w:r>
        <w:rPr>
          <w:rFonts w:cs="Segoe UI"/>
          <w:szCs w:val="20"/>
        </w:rPr>
        <w:t xml:space="preserve"> V decembri 2023 NKÚ SR poukázal na zvýšenie tempa čerpania.</w:t>
      </w:r>
      <w:r>
        <w:rPr>
          <w:rStyle w:val="Odkaznapoznmkupodiarou"/>
          <w:rFonts w:cs="Segoe UI"/>
          <w:szCs w:val="20"/>
        </w:rPr>
        <w:footnoteReference w:id="70"/>
      </w:r>
      <w:r>
        <w:rPr>
          <w:rFonts w:cs="Segoe UI"/>
          <w:szCs w:val="20"/>
        </w:rPr>
        <w:t xml:space="preserve"> Stále však išlo o čerpanie na úrovni 13,5 %. </w:t>
      </w:r>
      <w:r w:rsidR="00FB4D0B" w:rsidRPr="00E56EBE">
        <w:rPr>
          <w:rFonts w:cs="Segoe UI"/>
          <w:b/>
          <w:szCs w:val="20"/>
        </w:rPr>
        <w:t>NKÚ SR preto zdôraznil, že</w:t>
      </w:r>
      <w:r w:rsidR="00FB4D0B">
        <w:rPr>
          <w:rFonts w:cs="Segoe UI"/>
          <w:szCs w:val="20"/>
        </w:rPr>
        <w:t xml:space="preserve"> </w:t>
      </w:r>
      <w:r w:rsidR="00FB4D0B" w:rsidRPr="00E56EBE">
        <w:rPr>
          <w:rFonts w:cs="Segoe UI"/>
          <w:b/>
          <w:szCs w:val="20"/>
        </w:rPr>
        <w:t xml:space="preserve">ak </w:t>
      </w:r>
      <w:r w:rsidR="00FB4D0B" w:rsidRPr="002365BF">
        <w:rPr>
          <w:rFonts w:cs="Segoe UI"/>
          <w:b/>
          <w:szCs w:val="20"/>
        </w:rPr>
        <w:t xml:space="preserve">nedôjde k výraznému zvýšeniu tempa čerpania </w:t>
      </w:r>
      <w:r w:rsidR="00FB4D0B">
        <w:rPr>
          <w:rFonts w:cs="Segoe UI"/>
          <w:b/>
          <w:szCs w:val="20"/>
        </w:rPr>
        <w:t>prostriedkov výzvy, kapacita MŠ nebude dostatočná</w:t>
      </w:r>
      <w:r w:rsidR="00FB4D0B" w:rsidRPr="002365BF">
        <w:rPr>
          <w:rFonts w:cs="Segoe UI"/>
          <w:b/>
          <w:szCs w:val="20"/>
        </w:rPr>
        <w:t xml:space="preserve"> ani v septembri 2025</w:t>
      </w:r>
      <w:r w:rsidR="00FB4D0B" w:rsidRPr="00EC7A58">
        <w:rPr>
          <w:rFonts w:cs="Segoe UI"/>
          <w:szCs w:val="20"/>
        </w:rPr>
        <w:t xml:space="preserve">. </w:t>
      </w:r>
      <w:r w:rsidR="00FB4D0B" w:rsidRPr="000B466E">
        <w:rPr>
          <w:rFonts w:cs="Segoe UI"/>
          <w:szCs w:val="20"/>
        </w:rPr>
        <w:t>Celkovo na zaručenie kvalitného a dostupného predprimárneho vzdelávania pre všetky deti</w:t>
      </w:r>
      <w:r w:rsidR="00FB4D0B">
        <w:rPr>
          <w:rFonts w:cs="Segoe UI"/>
          <w:szCs w:val="20"/>
        </w:rPr>
        <w:t xml:space="preserve"> treba alokovať</w:t>
      </w:r>
      <w:r w:rsidR="00FB4D0B" w:rsidRPr="000B466E">
        <w:rPr>
          <w:rFonts w:cs="Segoe UI"/>
          <w:szCs w:val="20"/>
        </w:rPr>
        <w:t xml:space="preserve"> vyše 150 mil. eur.</w:t>
      </w:r>
      <w:r w:rsidR="00FB4D0B" w:rsidRPr="000B466E">
        <w:rPr>
          <w:rStyle w:val="Odkaznapoznmkupodiarou"/>
          <w:rFonts w:cs="Segoe UI"/>
        </w:rPr>
        <w:footnoteReference w:id="71"/>
      </w:r>
    </w:p>
    <w:p w14:paraId="7FE752B4" w14:textId="17D922E8" w:rsidR="00747F82" w:rsidRPr="00C241FC" w:rsidRDefault="00747F82" w:rsidP="00747F82">
      <w:pPr>
        <w:rPr>
          <w:rFonts w:cs="Segoe UI"/>
        </w:rPr>
      </w:pPr>
      <w:r w:rsidRPr="00A54583">
        <w:rPr>
          <w:rFonts w:cs="Segoe UI"/>
          <w:b/>
          <w:szCs w:val="20"/>
        </w:rPr>
        <w:t>K 31. 12. 2023 bolo z alokovaných 82,6 mil. eur vyčerpaných 21,7 %</w:t>
      </w:r>
      <w:r w:rsidR="00AC5F80">
        <w:rPr>
          <w:rFonts w:cs="Segoe UI"/>
          <w:b/>
          <w:szCs w:val="20"/>
        </w:rPr>
        <w:t xml:space="preserve"> </w:t>
      </w:r>
      <w:r w:rsidR="00AC5F80">
        <w:rPr>
          <w:rFonts w:cs="Segoe UI"/>
          <w:szCs w:val="20"/>
        </w:rPr>
        <w:t>(17,9 mil. eur)</w:t>
      </w:r>
      <w:r w:rsidR="00AC5F80" w:rsidRPr="00BA63DB">
        <w:rPr>
          <w:rFonts w:cs="Segoe UI"/>
          <w:b/>
          <w:szCs w:val="20"/>
        </w:rPr>
        <w:t>.</w:t>
      </w:r>
      <w:r w:rsidRPr="00A54583">
        <w:rPr>
          <w:rFonts w:cs="Segoe UI"/>
          <w:szCs w:val="20"/>
        </w:rPr>
        <w:t xml:space="preserve"> Tempo</w:t>
      </w:r>
      <w:r>
        <w:rPr>
          <w:rFonts w:cs="Segoe UI"/>
          <w:szCs w:val="20"/>
        </w:rPr>
        <w:t xml:space="preserve"> čerpania sa teda v závere roka 2023 opäť zvýšilo. </w:t>
      </w:r>
      <w:r w:rsidRPr="001C196A">
        <w:rPr>
          <w:rFonts w:cs="Segoe UI"/>
          <w:szCs w:val="20"/>
        </w:rPr>
        <w:t>Okrem zazmluvnenej alokácie poznáme aj celkový rozpočet</w:t>
      </w:r>
      <w:r w:rsidRPr="001C196A">
        <w:rPr>
          <w:rStyle w:val="Odkaznapoznmkupodiarou"/>
          <w:rFonts w:cs="Segoe UI"/>
          <w:szCs w:val="20"/>
        </w:rPr>
        <w:footnoteReference w:id="72"/>
      </w:r>
      <w:r w:rsidRPr="001C196A">
        <w:rPr>
          <w:rFonts w:cs="Segoe UI"/>
          <w:szCs w:val="20"/>
        </w:rPr>
        <w:t xml:space="preserve"> projektov, ktoré splnili podmienky výzvy. Ten k 31. 12. 2023 predstavoval 30,5 mil. eur.</w:t>
      </w:r>
      <w:r>
        <w:rPr>
          <w:rFonts w:cs="Segoe UI"/>
          <w:szCs w:val="20"/>
        </w:rPr>
        <w:t xml:space="preserve"> </w:t>
      </w:r>
      <w:r w:rsidR="00AC5F80">
        <w:rPr>
          <w:rFonts w:cs="Segoe UI"/>
          <w:szCs w:val="20"/>
        </w:rPr>
        <w:t>Na</w:t>
      </w:r>
      <w:r w:rsidRPr="005904E5">
        <w:rPr>
          <w:rFonts w:cs="Segoe UI"/>
          <w:szCs w:val="20"/>
        </w:rPr>
        <w:t xml:space="preserve"> </w:t>
      </w:r>
      <w:r w:rsidRPr="00AC5F80">
        <w:rPr>
          <w:rFonts w:cs="Segoe UI"/>
          <w:szCs w:val="20"/>
        </w:rPr>
        <w:t>zhodno</w:t>
      </w:r>
      <w:r w:rsidR="00AC5F80">
        <w:rPr>
          <w:rFonts w:cs="Segoe UI"/>
          <w:szCs w:val="20"/>
        </w:rPr>
        <w:t>tenie toho,</w:t>
      </w:r>
      <w:r w:rsidRPr="00AC5F80">
        <w:rPr>
          <w:rFonts w:cs="Segoe UI"/>
          <w:szCs w:val="20"/>
        </w:rPr>
        <w:t xml:space="preserve"> či prostriedky smerujú tam, kde sú najviac potrebné</w:t>
      </w:r>
      <w:r w:rsidR="00AC5F80">
        <w:rPr>
          <w:rFonts w:cs="Segoe UI"/>
          <w:szCs w:val="20"/>
        </w:rPr>
        <w:t>, sme využili</w:t>
      </w:r>
      <w:r>
        <w:rPr>
          <w:rFonts w:cs="Segoe UI"/>
          <w:szCs w:val="20"/>
        </w:rPr>
        <w:t xml:space="preserve"> index dostupnosti materských škôl</w:t>
      </w:r>
      <w:r>
        <w:rPr>
          <w:rStyle w:val="Odkaznapoznmkupodiarou"/>
          <w:rFonts w:cs="Segoe UI"/>
          <w:szCs w:val="20"/>
        </w:rPr>
        <w:footnoteReference w:id="73"/>
      </w:r>
      <w:r>
        <w:rPr>
          <w:rFonts w:cs="Segoe UI"/>
          <w:szCs w:val="20"/>
        </w:rPr>
        <w:t>.</w:t>
      </w:r>
      <w:r w:rsidRPr="00C3006F">
        <w:t xml:space="preserve"> </w:t>
      </w:r>
      <w:r w:rsidRPr="00C3006F">
        <w:rPr>
          <w:rFonts w:cs="Segoe UI"/>
          <w:szCs w:val="20"/>
        </w:rPr>
        <w:t xml:space="preserve">Index komplexne vyhodnocuje dostupnosť predprimárneho vzdelávania </w:t>
      </w:r>
      <w:r>
        <w:rPr>
          <w:rFonts w:cs="Segoe UI"/>
          <w:szCs w:val="20"/>
        </w:rPr>
        <w:t>(zohľadňuje kapacitu, dopyt, poplatky a demografiu) v obci v septembri 2022 a nadobúda hodnoty od 0 (najhoršia dostupnosť) po</w:t>
      </w:r>
      <w:r w:rsidRPr="00C3006F">
        <w:rPr>
          <w:rFonts w:cs="Segoe UI"/>
          <w:szCs w:val="20"/>
        </w:rPr>
        <w:t xml:space="preserve"> 10 (najlepšia dostupnosť)</w:t>
      </w:r>
      <w:r>
        <w:rPr>
          <w:rFonts w:cs="Segoe UI"/>
          <w:szCs w:val="20"/>
        </w:rPr>
        <w:t>. Na účely našej analýzy sme index upravili tak, aby zohľadňoval len kapacitu, dopyt a demografiu, pričom všetky tri komponenty majú rovnakú váhu. Priemerná hodnota takto upraveného indexu za všetky obce s MŠ je 5,9. Priemerná hodnota za 49 schválených projektov je 4,1.</w:t>
      </w:r>
      <w:r>
        <w:rPr>
          <w:rStyle w:val="Odkaznapoznmkupodiarou"/>
          <w:rFonts w:cs="Segoe UI"/>
          <w:szCs w:val="20"/>
        </w:rPr>
        <w:footnoteReference w:id="74"/>
      </w:r>
      <w:r>
        <w:rPr>
          <w:rFonts w:cs="Segoe UI"/>
          <w:szCs w:val="20"/>
        </w:rPr>
        <w:t xml:space="preserve"> </w:t>
      </w:r>
      <w:r>
        <w:rPr>
          <w:rFonts w:cs="Segoe UI"/>
          <w:b/>
          <w:szCs w:val="20"/>
        </w:rPr>
        <w:t>NKÚ SR pozitívne hodnotí, že prostriedky výzvy</w:t>
      </w:r>
      <w:r w:rsidRPr="00E05A3B">
        <w:rPr>
          <w:rFonts w:cs="Segoe UI"/>
          <w:b/>
          <w:szCs w:val="20"/>
        </w:rPr>
        <w:t xml:space="preserve"> smerujú </w:t>
      </w:r>
      <w:r w:rsidR="00CE5023">
        <w:rPr>
          <w:rFonts w:cs="Segoe UI"/>
          <w:b/>
          <w:szCs w:val="20"/>
        </w:rPr>
        <w:t xml:space="preserve">najmä </w:t>
      </w:r>
      <w:r w:rsidRPr="00E05A3B">
        <w:rPr>
          <w:rFonts w:cs="Segoe UI"/>
          <w:b/>
          <w:szCs w:val="20"/>
        </w:rPr>
        <w:t>do obcí s podpriemernou dostupnosťou</w:t>
      </w:r>
      <w:r>
        <w:rPr>
          <w:rFonts w:cs="Segoe UI"/>
          <w:b/>
          <w:szCs w:val="20"/>
        </w:rPr>
        <w:t xml:space="preserve"> MŠ</w:t>
      </w:r>
      <w:r>
        <w:rPr>
          <w:rFonts w:cs="Segoe UI"/>
          <w:szCs w:val="20"/>
        </w:rPr>
        <w:t xml:space="preserve">. </w:t>
      </w:r>
      <w:r w:rsidRPr="002F4658">
        <w:rPr>
          <w:rFonts w:cs="Segoe UI"/>
          <w:b/>
          <w:szCs w:val="20"/>
        </w:rPr>
        <w:t>Nezanedbateľná časť prostriedkov však smeruje aj do obcí s</w:t>
      </w:r>
      <w:r>
        <w:rPr>
          <w:rFonts w:cs="Segoe UI"/>
          <w:b/>
          <w:szCs w:val="20"/>
        </w:rPr>
        <w:t xml:space="preserve"> veľmi dobrou</w:t>
      </w:r>
      <w:r w:rsidRPr="002F4658">
        <w:rPr>
          <w:rFonts w:cs="Segoe UI"/>
          <w:b/>
          <w:szCs w:val="20"/>
        </w:rPr>
        <w:t xml:space="preserve"> </w:t>
      </w:r>
      <w:r w:rsidRPr="00A97B00">
        <w:rPr>
          <w:rFonts w:cs="Segoe UI"/>
          <w:b/>
          <w:szCs w:val="20"/>
        </w:rPr>
        <w:t xml:space="preserve">dostupnosťou </w:t>
      </w:r>
      <w:r w:rsidRPr="00A97B00">
        <w:rPr>
          <w:rFonts w:cs="Segoe UI"/>
          <w:szCs w:val="20"/>
        </w:rPr>
        <w:t>(graf</w:t>
      </w:r>
      <w:r w:rsidR="00A97B00" w:rsidRPr="00A97B00">
        <w:rPr>
          <w:rFonts w:cs="Segoe UI"/>
          <w:szCs w:val="20"/>
        </w:rPr>
        <w:t xml:space="preserve"> 3</w:t>
      </w:r>
      <w:r w:rsidR="009308CB">
        <w:rPr>
          <w:rFonts w:cs="Segoe UI"/>
          <w:szCs w:val="20"/>
        </w:rPr>
        <w:t>6</w:t>
      </w:r>
      <w:r w:rsidRPr="00A54583">
        <w:rPr>
          <w:rFonts w:cs="Segoe UI"/>
          <w:szCs w:val="20"/>
        </w:rPr>
        <w:t>)</w:t>
      </w:r>
      <w:r w:rsidRPr="00BA63DB">
        <w:rPr>
          <w:rFonts w:cs="Segoe UI"/>
          <w:b/>
          <w:szCs w:val="20"/>
        </w:rPr>
        <w:t>.</w:t>
      </w:r>
      <w:r w:rsidRPr="00A54583">
        <w:rPr>
          <w:rFonts w:cs="Segoe UI"/>
          <w:szCs w:val="20"/>
        </w:rPr>
        <w:t xml:space="preserve"> Napríklad</w:t>
      </w:r>
      <w:r>
        <w:rPr>
          <w:rFonts w:cs="Segoe UI"/>
          <w:szCs w:val="20"/>
        </w:rPr>
        <w:t xml:space="preserve"> pre obce s dostupnosťou vyššou ako 8 bolo schválených 1,4 mil. eur. </w:t>
      </w:r>
      <w:r w:rsidRPr="00EC354C">
        <w:rPr>
          <w:rFonts w:cs="Segoe UI"/>
          <w:b/>
          <w:szCs w:val="20"/>
        </w:rPr>
        <w:t>A naopak, len malá časť prostriedkov smeruje do obcí s najhoršou dostupnosťou</w:t>
      </w:r>
      <w:r>
        <w:rPr>
          <w:rFonts w:cs="Segoe UI"/>
          <w:szCs w:val="20"/>
        </w:rPr>
        <w:t xml:space="preserve">. Z 18 obcí </w:t>
      </w:r>
      <w:r>
        <w:rPr>
          <w:rFonts w:cs="Segoe UI"/>
          <w:szCs w:val="20"/>
        </w:rPr>
        <w:lastRenderedPageBreak/>
        <w:t xml:space="preserve">s dostupnosťou menšou alebo rovnou 1 sa do výzvy úspešne zapojili zatiaľ len dve. </w:t>
      </w:r>
      <w:r w:rsidRPr="007970B7">
        <w:rPr>
          <w:rFonts w:cs="Segoe UI"/>
          <w:b/>
          <w:szCs w:val="20"/>
        </w:rPr>
        <w:t xml:space="preserve">NKÚ SR odporúča </w:t>
      </w:r>
      <w:r w:rsidR="007B6FB2" w:rsidRPr="00D8654E">
        <w:rPr>
          <w:rFonts w:cs="Segoe UI"/>
          <w:b/>
          <w:szCs w:val="20"/>
        </w:rPr>
        <w:t>MŠVVaM SR</w:t>
      </w:r>
      <w:r w:rsidR="00B74DF2">
        <w:rPr>
          <w:rStyle w:val="Odkaznapoznmkupodiarou"/>
          <w:rFonts w:cs="Segoe UI"/>
          <w:b/>
          <w:szCs w:val="20"/>
        </w:rPr>
        <w:footnoteReference w:id="75"/>
      </w:r>
      <w:r w:rsidR="007B6FB2">
        <w:rPr>
          <w:rFonts w:cs="Segoe UI"/>
          <w:b/>
          <w:szCs w:val="20"/>
        </w:rPr>
        <w:t xml:space="preserve"> a Národnej implementačnej a koordinačnej autorite </w:t>
      </w:r>
      <w:r>
        <w:rPr>
          <w:rFonts w:cs="Segoe UI"/>
          <w:b/>
          <w:szCs w:val="20"/>
        </w:rPr>
        <w:t>vyvinúť v</w:t>
      </w:r>
      <w:r w:rsidR="00BA63DB">
        <w:rPr>
          <w:rFonts w:cs="Segoe UI"/>
          <w:b/>
          <w:szCs w:val="20"/>
        </w:rPr>
        <w:t>äčšie</w:t>
      </w:r>
      <w:r>
        <w:rPr>
          <w:rFonts w:cs="Segoe UI"/>
          <w:b/>
          <w:szCs w:val="20"/>
        </w:rPr>
        <w:t xml:space="preserve"> úsili</w:t>
      </w:r>
      <w:r w:rsidR="00BA63DB">
        <w:rPr>
          <w:rFonts w:cs="Segoe UI"/>
          <w:b/>
          <w:szCs w:val="20"/>
        </w:rPr>
        <w:t>e</w:t>
      </w:r>
      <w:r w:rsidR="001C196A">
        <w:rPr>
          <w:rFonts w:cs="Segoe UI"/>
          <w:b/>
          <w:szCs w:val="20"/>
        </w:rPr>
        <w:t>, aby sa do tejto výzvy zapojilo viac</w:t>
      </w:r>
      <w:r w:rsidRPr="007970B7">
        <w:rPr>
          <w:rFonts w:cs="Segoe UI"/>
          <w:b/>
          <w:szCs w:val="20"/>
        </w:rPr>
        <w:t xml:space="preserve"> žiadateľov z obcí s najhoršou dostupnosťou</w:t>
      </w:r>
      <w:r>
        <w:rPr>
          <w:rFonts w:cs="Segoe UI"/>
          <w:b/>
          <w:szCs w:val="20"/>
        </w:rPr>
        <w:t xml:space="preserve"> MŠ</w:t>
      </w:r>
      <w:r>
        <w:rPr>
          <w:rFonts w:cs="Segoe UI"/>
          <w:szCs w:val="20"/>
        </w:rPr>
        <w:t>.</w:t>
      </w:r>
    </w:p>
    <w:p w14:paraId="685CB14F" w14:textId="79F6A058" w:rsidR="00747F82" w:rsidRPr="00BC3CA3" w:rsidRDefault="00747F82" w:rsidP="00747F82">
      <w:pPr>
        <w:pStyle w:val="Popis"/>
        <w:keepNext/>
        <w:rPr>
          <w:color w:val="314364"/>
        </w:rPr>
      </w:pPr>
      <w:r w:rsidRPr="00BC3CA3">
        <w:rPr>
          <w:color w:val="314364"/>
        </w:rPr>
        <w:t>Graf</w:t>
      </w:r>
      <w:r>
        <w:rPr>
          <w:color w:val="314364"/>
        </w:rPr>
        <w:t xml:space="preserve"> </w:t>
      </w:r>
      <w:r w:rsidR="00A97B00">
        <w:rPr>
          <w:color w:val="314364"/>
        </w:rPr>
        <w:t>3</w:t>
      </w:r>
      <w:r w:rsidR="009308CB">
        <w:rPr>
          <w:color w:val="314364"/>
        </w:rPr>
        <w:t>6</w:t>
      </w:r>
      <w:r w:rsidRPr="00BC3CA3">
        <w:rPr>
          <w:color w:val="314364"/>
        </w:rPr>
        <w:t>:</w:t>
      </w:r>
      <w:r>
        <w:rPr>
          <w:color w:val="314364"/>
        </w:rPr>
        <w:t xml:space="preserve"> </w:t>
      </w:r>
      <w:r w:rsidRPr="00824F67">
        <w:t xml:space="preserve">Rozpočet schválených projektov výzvy </w:t>
      </w:r>
      <w:r w:rsidRPr="00A97B00">
        <w:t>Zvýšenie kapacít materských škôl</w:t>
      </w:r>
      <w:r w:rsidRPr="00824F67">
        <w:t xml:space="preserve"> podľa hodnoty indexu dostupnosti MŠ obce, ktorej sa (budúce) novovytvorené kapacity týkajú (k 31. 12. 2023)</w:t>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9070"/>
      </w:tblGrid>
      <w:tr w:rsidR="00747F82" w:rsidRPr="00C75134" w14:paraId="0E5F49C5" w14:textId="77777777" w:rsidTr="007C1F09">
        <w:trPr>
          <w:trHeight w:val="3402"/>
        </w:trPr>
        <w:tc>
          <w:tcPr>
            <w:tcW w:w="9070" w:type="dxa"/>
            <w:tcBorders>
              <w:top w:val="single" w:sz="4" w:space="0" w:color="314364"/>
              <w:bottom w:val="single" w:sz="4" w:space="0" w:color="314364"/>
            </w:tcBorders>
            <w:vAlign w:val="center"/>
          </w:tcPr>
          <w:p w14:paraId="470B0F85" w14:textId="585098AF" w:rsidR="00747F82" w:rsidRPr="00C75134" w:rsidRDefault="007C1F09" w:rsidP="00B4653C">
            <w:pPr>
              <w:spacing w:after="0"/>
              <w:rPr>
                <w:b/>
                <w:color w:val="576431"/>
              </w:rPr>
            </w:pPr>
            <w:r>
              <w:rPr>
                <w:noProof/>
                <w:lang w:eastAsia="sk-SK"/>
              </w:rPr>
              <w:drawing>
                <wp:inline distT="0" distB="0" distL="0" distR="0" wp14:anchorId="26FE4D97" wp14:editId="04F34F6F">
                  <wp:extent cx="5759450" cy="2124075"/>
                  <wp:effectExtent l="0" t="0" r="0" b="0"/>
                  <wp:docPr id="23" name="Graf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tc>
      </w:tr>
    </w:tbl>
    <w:p w14:paraId="789DC5FB" w14:textId="1B4D2E7F" w:rsidR="00747F82" w:rsidRDefault="00747F82" w:rsidP="00747F82">
      <w:pPr>
        <w:pStyle w:val="Zdroj"/>
        <w:spacing w:after="0"/>
        <w:rPr>
          <w:rFonts w:cs="Segoe UI"/>
          <w:szCs w:val="20"/>
        </w:rPr>
      </w:pPr>
      <w:r w:rsidRPr="00CD7042">
        <w:t xml:space="preserve">Zdroj: </w:t>
      </w:r>
      <w:r w:rsidRPr="00FC2863">
        <w:rPr>
          <w:rFonts w:cs="Segoe UI"/>
          <w:szCs w:val="20"/>
        </w:rPr>
        <w:t>MŠVVa</w:t>
      </w:r>
      <w:r w:rsidR="00691712">
        <w:rPr>
          <w:rFonts w:cs="Segoe UI"/>
          <w:szCs w:val="20"/>
        </w:rPr>
        <w:t>M</w:t>
      </w:r>
      <w:r>
        <w:rPr>
          <w:rFonts w:cs="Segoe UI"/>
          <w:szCs w:val="20"/>
        </w:rPr>
        <w:t xml:space="preserve"> SR</w:t>
      </w:r>
      <w:r w:rsidRPr="00824F67">
        <w:rPr>
          <w:rFonts w:cs="Segoe UI"/>
          <w:szCs w:val="20"/>
        </w:rPr>
        <w:t>; výpočty a spracovanie NKÚ SR.</w:t>
      </w:r>
    </w:p>
    <w:p w14:paraId="57C12FF5" w14:textId="251DE11D" w:rsidR="00747F82" w:rsidRDefault="00747F82" w:rsidP="00747F82">
      <w:pPr>
        <w:pStyle w:val="Zdroj"/>
        <w:rPr>
          <w:rFonts w:cs="Segoe UI"/>
          <w:szCs w:val="20"/>
        </w:rPr>
      </w:pPr>
      <w:r>
        <w:rPr>
          <w:rFonts w:cs="Segoe UI"/>
          <w:szCs w:val="20"/>
        </w:rPr>
        <w:t xml:space="preserve">Poznámka: </w:t>
      </w:r>
      <w:r w:rsidRPr="000D64DD">
        <w:rPr>
          <w:rFonts w:cs="Segoe UI"/>
          <w:szCs w:val="20"/>
        </w:rPr>
        <w:t>Ide o upravený index dostupnosti MŠ. Index vytvorený Inštitútom vzdelávacej politiky zohľadňuje kapacitu, dopyt, poplatky a demografiu (</w:t>
      </w:r>
      <w:hyperlink r:id="rId59" w:history="1">
        <w:r w:rsidRPr="00CE79EB">
          <w:rPr>
            <w:rStyle w:val="Hypertextovprepojenie"/>
            <w:rFonts w:cs="Segoe UI"/>
            <w:sz w:val="16"/>
            <w:szCs w:val="20"/>
          </w:rPr>
          <w:t>https://www.minedu.sk/index-dostupnosti-materskych-skol/</w:t>
        </w:r>
      </w:hyperlink>
      <w:r w:rsidRPr="000D64DD">
        <w:rPr>
          <w:rFonts w:cs="Segoe UI"/>
          <w:szCs w:val="20"/>
        </w:rPr>
        <w:t>). Nami upravený index zohľadňuje len kapacitu, dopyt a demografiu, pričom všetky tri komponenty majú rovnakú váhu</w:t>
      </w:r>
      <w:r>
        <w:rPr>
          <w:rFonts w:cs="Segoe UI"/>
          <w:szCs w:val="20"/>
        </w:rPr>
        <w:t>.</w:t>
      </w:r>
    </w:p>
    <w:p w14:paraId="2959BAEC" w14:textId="3249DC4B" w:rsidR="00747F82" w:rsidRPr="00B16203" w:rsidRDefault="00747F82" w:rsidP="00B16203">
      <w:pPr>
        <w:pStyle w:val="Nadpis3"/>
      </w:pPr>
      <w:bookmarkStart w:id="47" w:name="_Toc166658080"/>
      <w:bookmarkStart w:id="48" w:name="_Toc168567208"/>
      <w:r w:rsidRPr="00B16203">
        <w:t xml:space="preserve">5.3.2 </w:t>
      </w:r>
      <w:r w:rsidR="00E43045">
        <w:t xml:space="preserve"> </w:t>
      </w:r>
      <w:r w:rsidR="00AA58AE">
        <w:t>Neč</w:t>
      </w:r>
      <w:r w:rsidRPr="00B16203">
        <w:t xml:space="preserve">erpanie prostriedkov </w:t>
      </w:r>
      <w:r w:rsidR="00AA58AE">
        <w:t>POO</w:t>
      </w:r>
      <w:r w:rsidRPr="00B16203">
        <w:t xml:space="preserve"> na rekonštrukcie a modernizácie budov vysokých škôl</w:t>
      </w:r>
      <w:bookmarkEnd w:id="47"/>
      <w:bookmarkEnd w:id="48"/>
    </w:p>
    <w:p w14:paraId="7264BF4E" w14:textId="0E77ACAD" w:rsidR="00747F82" w:rsidRDefault="00747F82" w:rsidP="00747F82">
      <w:r>
        <w:rPr>
          <w:b/>
        </w:rPr>
        <w:t>Jednou z p</w:t>
      </w:r>
      <w:r w:rsidRPr="006216C9">
        <w:rPr>
          <w:b/>
        </w:rPr>
        <w:t>ríčin odlivu</w:t>
      </w:r>
      <w:r>
        <w:rPr>
          <w:b/>
        </w:rPr>
        <w:t xml:space="preserve"> mozgov je</w:t>
      </w:r>
      <w:r w:rsidRPr="006216C9">
        <w:rPr>
          <w:b/>
        </w:rPr>
        <w:t xml:space="preserve"> nevyhovujúci stav vysokoškolskej infraštruktúry</w:t>
      </w:r>
      <w:r>
        <w:t>.</w:t>
      </w:r>
      <w:r>
        <w:rPr>
          <w:rStyle w:val="Odkaznapoznmkupodiarou"/>
        </w:rPr>
        <w:footnoteReference w:id="76"/>
      </w:r>
      <w:r>
        <w:t xml:space="preserve"> </w:t>
      </w:r>
      <w:r w:rsidRPr="006216C9">
        <w:rPr>
          <w:b/>
        </w:rPr>
        <w:t>Problém mal aspoň čiastočne riešiť POO</w:t>
      </w:r>
      <w:r w:rsidRPr="00BA63DB">
        <w:rPr>
          <w:b/>
        </w:rPr>
        <w:t>. Na rekonštrukcie a modernizácie VŠ a ich internátov sa však v rokoch 2022 a 2023 nevyčerpalo ani euro.</w:t>
      </w:r>
      <w:r>
        <w:t xml:space="preserve"> Jedným z cieľov</w:t>
      </w:r>
      <w:r w:rsidRPr="005E54E2">
        <w:t xml:space="preserve"> </w:t>
      </w:r>
      <w:r>
        <w:t xml:space="preserve">POO je zvýšenie </w:t>
      </w:r>
      <w:r w:rsidRPr="005E54E2">
        <w:t>výkonnosti slovenských vysokých škôl</w:t>
      </w:r>
      <w:r>
        <w:t xml:space="preserve"> (VŠ).</w:t>
      </w:r>
      <w:r w:rsidRPr="005E54E2">
        <w:t xml:space="preserve"> </w:t>
      </w:r>
      <w:r>
        <w:t xml:space="preserve">Konkrétne ide o základný cieľ </w:t>
      </w:r>
      <w:r w:rsidR="00BF29B0">
        <w:t>k</w:t>
      </w:r>
      <w:r>
        <w:t xml:space="preserve">omponentu 8. V rámci Investície 1 tohto komponentu majú byť financované aj rekonštrukcie a modernizácie budov VŠ. Aktuálnym </w:t>
      </w:r>
      <w:r w:rsidRPr="006216C9">
        <w:t>cieľom je zrekonštruovať alebo zmodernizovať 133 557 m</w:t>
      </w:r>
      <w:r w:rsidRPr="006216C9">
        <w:rPr>
          <w:vertAlign w:val="superscript"/>
        </w:rPr>
        <w:t>2</w:t>
      </w:r>
      <w:r w:rsidRPr="006216C9">
        <w:t xml:space="preserve"> plochy VŠ vrátane vysokoškolských internátov. V pôvodnej verzii POO z roku 2021 s</w:t>
      </w:r>
      <w:r>
        <w:t>a uvádza vyše dvojnásobná výmera</w:t>
      </w:r>
      <w:r w:rsidRPr="006216C9">
        <w:t xml:space="preserve"> (291 647 m</w:t>
      </w:r>
      <w:r w:rsidRPr="006216C9">
        <w:rPr>
          <w:vertAlign w:val="superscript"/>
        </w:rPr>
        <w:t>2</w:t>
      </w:r>
      <w:r w:rsidRPr="006216C9">
        <w:t>). V rokoch 2022 a 2023 však nedošlo k čerpaniu prostriedkov alokovaných na rekonštrukcie a modernizácie budov VŠ. Na plnenie míľnika a cieľa týkajúcich sa rekonštrukcie a modernizácie budov VŠ sú aktuálne určené výzvy</w:t>
      </w:r>
      <w:r>
        <w:t xml:space="preserve"> č. 4 a 5.</w:t>
      </w:r>
      <w:r>
        <w:rPr>
          <w:rStyle w:val="Odkaznapoznmkupodiarou"/>
        </w:rPr>
        <w:footnoteReference w:id="77"/>
      </w:r>
      <w:r>
        <w:t xml:space="preserve"> Výzva č. 4 bola vyhlásená v júli 2023 a výzva č. 5 trvala od augusta do decembra 2023. R</w:t>
      </w:r>
      <w:r w:rsidRPr="00775BA3">
        <w:t>ozpočet na rekonštrukcie a mode</w:t>
      </w:r>
      <w:r>
        <w:t xml:space="preserve">rnizácie budov VŠ v rámci týchto dvoch výziev na roky 2022 a 2023 </w:t>
      </w:r>
      <w:r w:rsidR="00744046">
        <w:t>bol</w:t>
      </w:r>
      <w:r w:rsidR="00744046" w:rsidRPr="007C2C68">
        <w:t xml:space="preserve"> </w:t>
      </w:r>
      <w:r w:rsidRPr="00F61A41">
        <w:t>54,7 mil. eur bez DPH</w:t>
      </w:r>
      <w:r>
        <w:t>.</w:t>
      </w:r>
      <w:r>
        <w:rPr>
          <w:rStyle w:val="Odkaznapoznmkupodiarou"/>
        </w:rPr>
        <w:footnoteReference w:id="78"/>
      </w:r>
      <w:r>
        <w:t xml:space="preserve"> N</w:t>
      </w:r>
      <w:r w:rsidRPr="004E7FD6">
        <w:t>evyčerpané prostriedky z rokov 2022 a 2023 boli presunuté do roku 2024</w:t>
      </w:r>
      <w:r>
        <w:t>, avšak nie v plnej výške (38,3 mil. eur bez DPH). Výzva č. 1 (</w:t>
      </w:r>
      <w:r w:rsidRPr="0050362E">
        <w:rPr>
          <w:i/>
        </w:rPr>
        <w:t>Podpora pri strategickom rozvoji infraštruktúry vysokých škôl</w:t>
      </w:r>
      <w:r>
        <w:t>) a výzva č. 2 (</w:t>
      </w:r>
      <w:r w:rsidRPr="00BE38DC">
        <w:rPr>
          <w:i/>
        </w:rPr>
        <w:t>Projektový manažment integrácie vysokých škôl</w:t>
      </w:r>
      <w:r>
        <w:t xml:space="preserve">) boli neúspešné, keďže sa do nich </w:t>
      </w:r>
      <w:r w:rsidRPr="0050362E">
        <w:t>neprihlásil žiadny uchádzač</w:t>
      </w:r>
      <w:r>
        <w:t>.</w:t>
      </w:r>
    </w:p>
    <w:p w14:paraId="7973BFAB" w14:textId="24534322" w:rsidR="007B6FB2" w:rsidRDefault="007B6FB2" w:rsidP="007B6FB2">
      <w:r w:rsidRPr="00E948D2">
        <w:rPr>
          <w:b/>
        </w:rPr>
        <w:t>Na rekonštrukcie a modernizácie budov VŠ sú každoročne vyčleňované prostriedky aj zo ŠR</w:t>
      </w:r>
      <w:r w:rsidRPr="00E948D2">
        <w:t xml:space="preserve">. </w:t>
      </w:r>
      <w:r w:rsidRPr="00E948D2">
        <w:rPr>
          <w:b/>
        </w:rPr>
        <w:t>Ich objem je však nedostatočný</w:t>
      </w:r>
      <w:r w:rsidRPr="00BA63DB">
        <w:rPr>
          <w:b/>
        </w:rPr>
        <w:t xml:space="preserve">. </w:t>
      </w:r>
      <w:r w:rsidRPr="00E948D2">
        <w:t xml:space="preserve">Verejným VŠ bola v roku 2023 poskytnutá kapitálová dotácia vo výške 7,9 mil. eur, pričom na rekonštrukcie a prístavbu internátov išlo 0,8 mil. eur. Z investičného plánu </w:t>
      </w:r>
      <w:r w:rsidRPr="00E948D2">
        <w:lastRenderedPageBreak/>
        <w:t>ministerstva na roky 2023 – 2028</w:t>
      </w:r>
      <w:r w:rsidRPr="00E948D2">
        <w:rPr>
          <w:rStyle w:val="Odkaznapoznmkupodiarou"/>
        </w:rPr>
        <w:footnoteReference w:id="79"/>
      </w:r>
      <w:r w:rsidRPr="00E948D2">
        <w:t xml:space="preserve"> vyplýva, že požiadavky verejných VŠ na rôzne rekonštrukcie (vrátane internátov) financované zo ŠR boli na rok 2023 spolu vo výške 25,8 mil. eur, teda minimálne 3,3-krát vyššie.  V prípade modernizáci</w:t>
      </w:r>
      <w:r>
        <w:t>í</w:t>
      </w:r>
      <w:r w:rsidRPr="00E948D2">
        <w:t xml:space="preserve"> išlo o ďalších 1,7 mil. eur.</w:t>
      </w:r>
      <w:r w:rsidRPr="00E948D2">
        <w:rPr>
          <w:rStyle w:val="Odkaznapoznmkupodiarou"/>
        </w:rPr>
        <w:footnoteReference w:id="80"/>
      </w:r>
    </w:p>
    <w:p w14:paraId="4FC6AD58" w14:textId="55BAD9A7" w:rsidR="00747F82" w:rsidRDefault="00747F82" w:rsidP="00747F82">
      <w:r w:rsidRPr="00164DF6">
        <w:rPr>
          <w:b/>
        </w:rPr>
        <w:t xml:space="preserve">Na kapitálové výdavky celkovo by verejné VŠ potrebovali, resp. chceli </w:t>
      </w:r>
      <w:r w:rsidR="00BF29B0">
        <w:rPr>
          <w:b/>
        </w:rPr>
        <w:t xml:space="preserve">získať </w:t>
      </w:r>
      <w:r w:rsidRPr="00164DF6">
        <w:rPr>
          <w:b/>
        </w:rPr>
        <w:t>počas rokov 2023 – 2028 vyše 1 537,4 mil. eur</w:t>
      </w:r>
      <w:r>
        <w:t>.</w:t>
      </w:r>
      <w:r>
        <w:rPr>
          <w:rStyle w:val="Odkaznapoznmkupodiarou"/>
        </w:rPr>
        <w:footnoteReference w:id="81"/>
      </w:r>
      <w:r>
        <w:t xml:space="preserve"> </w:t>
      </w:r>
      <w:r w:rsidRPr="00A754B8">
        <w:rPr>
          <w:b/>
        </w:rPr>
        <w:t>Zdroje z</w:t>
      </w:r>
      <w:r>
        <w:rPr>
          <w:b/>
        </w:rPr>
        <w:t> </w:t>
      </w:r>
      <w:r w:rsidRPr="00A754B8">
        <w:rPr>
          <w:b/>
        </w:rPr>
        <w:t>POO</w:t>
      </w:r>
      <w:r>
        <w:rPr>
          <w:b/>
        </w:rPr>
        <w:t xml:space="preserve"> (173 mil. eur)</w:t>
      </w:r>
      <w:r w:rsidRPr="009A010B">
        <w:rPr>
          <w:rStyle w:val="Odkaznapoznmkupodiarou"/>
        </w:rPr>
        <w:footnoteReference w:id="82"/>
      </w:r>
      <w:r w:rsidRPr="00A754B8">
        <w:rPr>
          <w:b/>
        </w:rPr>
        <w:t xml:space="preserve"> a</w:t>
      </w:r>
      <w:r>
        <w:rPr>
          <w:b/>
        </w:rPr>
        <w:t> </w:t>
      </w:r>
      <w:r w:rsidRPr="00A754B8">
        <w:rPr>
          <w:b/>
        </w:rPr>
        <w:t xml:space="preserve">jednotky </w:t>
      </w:r>
      <w:r>
        <w:rPr>
          <w:b/>
        </w:rPr>
        <w:t>miliónov</w:t>
      </w:r>
      <w:r w:rsidRPr="00A754B8">
        <w:rPr>
          <w:b/>
        </w:rPr>
        <w:t xml:space="preserve"> eur ročne zo ŠR však túto sumu pokryjú le</w:t>
      </w:r>
      <w:r w:rsidRPr="00C7189B">
        <w:rPr>
          <w:b/>
        </w:rPr>
        <w:t>n minimálne</w:t>
      </w:r>
      <w:r w:rsidRPr="00BA63DB">
        <w:rPr>
          <w:b/>
        </w:rPr>
        <w:t>.</w:t>
      </w:r>
    </w:p>
    <w:p w14:paraId="115BB84A" w14:textId="77777777" w:rsidR="008A4BCF" w:rsidRDefault="008A4BCF" w:rsidP="008A4BCF">
      <w:pPr>
        <w:pStyle w:val="Nadpis3"/>
      </w:pPr>
      <w:bookmarkStart w:id="49" w:name="_Toc166658081"/>
      <w:bookmarkStart w:id="50" w:name="_Toc168567209"/>
      <w:r>
        <w:t xml:space="preserve">5.3.3  </w:t>
      </w:r>
      <w:r w:rsidRPr="006417EF">
        <w:t>Využívanie možnosti open</w:t>
      </w:r>
      <w:r>
        <w:t xml:space="preserve"> access publikovania</w:t>
      </w:r>
      <w:bookmarkEnd w:id="50"/>
    </w:p>
    <w:p w14:paraId="06B9A2D0" w14:textId="77777777" w:rsidR="008A4BCF" w:rsidRDefault="008A4BCF" w:rsidP="008A4BCF">
      <w:pPr>
        <w:rPr>
          <w:rFonts w:cs="Segoe UI"/>
          <w:szCs w:val="20"/>
        </w:rPr>
      </w:pPr>
      <w:r>
        <w:rPr>
          <w:rFonts w:cs="Segoe UI"/>
          <w:b/>
          <w:szCs w:val="20"/>
        </w:rPr>
        <w:t>Slovensko sa ako jedna z posledných európskych krajín pripojil</w:t>
      </w:r>
      <w:r w:rsidRPr="006107EB">
        <w:rPr>
          <w:rFonts w:cs="Segoe UI"/>
          <w:b/>
          <w:szCs w:val="20"/>
        </w:rPr>
        <w:t>o</w:t>
      </w:r>
      <w:r>
        <w:rPr>
          <w:rFonts w:cs="Segoe UI"/>
          <w:b/>
          <w:szCs w:val="20"/>
        </w:rPr>
        <w:t xml:space="preserve"> k podpore publikovania vedeckých článkov s otvoreným prístupom pre väčšinu verejných VŠ. </w:t>
      </w:r>
      <w:r>
        <w:rPr>
          <w:rFonts w:cs="Segoe UI"/>
          <w:szCs w:val="20"/>
        </w:rPr>
        <w:t>Centrum vedecko-technických informácií SR (</w:t>
      </w:r>
      <w:r w:rsidRPr="00793382">
        <w:rPr>
          <w:rFonts w:cs="Segoe UI"/>
          <w:szCs w:val="20"/>
        </w:rPr>
        <w:t>CVTI SR</w:t>
      </w:r>
      <w:r>
        <w:rPr>
          <w:rFonts w:cs="Segoe UI"/>
          <w:szCs w:val="20"/>
        </w:rPr>
        <w:t>)</w:t>
      </w:r>
      <w:r w:rsidRPr="00793382">
        <w:rPr>
          <w:rFonts w:cs="Segoe UI"/>
          <w:szCs w:val="20"/>
        </w:rPr>
        <w:t xml:space="preserve"> na obdobie rokov 2023 – 2026 podpísalo s vydavateľstvami </w:t>
      </w:r>
      <w:r w:rsidRPr="00034DAC">
        <w:rPr>
          <w:rFonts w:cs="Segoe UI"/>
          <w:szCs w:val="20"/>
        </w:rPr>
        <w:t>SpringerNature, Elsevier a IEEE tzv. transformačné zmluvy.</w:t>
      </w:r>
      <w:r>
        <w:rPr>
          <w:rFonts w:cs="Segoe UI"/>
          <w:szCs w:val="20"/>
        </w:rPr>
        <w:t xml:space="preserve"> Zmluvy okrem poskytovania prístupu k databázam a čítaniu umožňujú slovenským vedcom publikovanie s otvoreným prístupom (open access) bez nutnosti osobitnej platby </w:t>
      </w:r>
      <w:r w:rsidRPr="00B03D4D">
        <w:rPr>
          <w:rFonts w:cs="Segoe UI"/>
          <w:szCs w:val="20"/>
        </w:rPr>
        <w:t>poplatkov za spracovanie článkov</w:t>
      </w:r>
      <w:r>
        <w:rPr>
          <w:rFonts w:cs="Segoe UI"/>
          <w:szCs w:val="20"/>
        </w:rPr>
        <w:t xml:space="preserve">. </w:t>
      </w:r>
      <w:r w:rsidRPr="001F4966">
        <w:rPr>
          <w:rFonts w:cs="Segoe UI"/>
          <w:szCs w:val="20"/>
        </w:rPr>
        <w:t xml:space="preserve">Na základe tvrdenia CVTI </w:t>
      </w:r>
      <w:r>
        <w:rPr>
          <w:rFonts w:cs="Segoe UI"/>
          <w:szCs w:val="20"/>
        </w:rPr>
        <w:t xml:space="preserve">SR </w:t>
      </w:r>
      <w:r w:rsidRPr="001F4966">
        <w:rPr>
          <w:rFonts w:cs="Segoe UI"/>
          <w:szCs w:val="20"/>
        </w:rPr>
        <w:t>by malo ísť o predplatenie si určitého počtu open access článkov vo vybraných časopisoch týchto vydavateľstiev za zvýhodnené jednotkové ceny.</w:t>
      </w:r>
      <w:r>
        <w:rPr>
          <w:rFonts w:cs="Segoe UI"/>
          <w:szCs w:val="20"/>
        </w:rPr>
        <w:t xml:space="preserve"> Počas obdobia rokov 2023 – 2026 by na tento účel mal ísť v priemere 1 mil. eur ročne </w:t>
      </w:r>
      <w:r w:rsidRPr="00A97B00">
        <w:rPr>
          <w:rFonts w:cs="Segoe UI"/>
          <w:szCs w:val="20"/>
        </w:rPr>
        <w:t>(graf 3</w:t>
      </w:r>
      <w:r>
        <w:rPr>
          <w:rFonts w:cs="Segoe UI"/>
          <w:szCs w:val="20"/>
        </w:rPr>
        <w:t>7). Podľa informácií zo strany CVTI SR ide v zahraničí o bežnú prax, no </w:t>
      </w:r>
      <w:r w:rsidRPr="00B2139B">
        <w:rPr>
          <w:rFonts w:cs="Segoe UI"/>
          <w:b/>
          <w:szCs w:val="20"/>
        </w:rPr>
        <w:t>S</w:t>
      </w:r>
      <w:r>
        <w:rPr>
          <w:rFonts w:cs="Segoe UI"/>
          <w:b/>
          <w:szCs w:val="20"/>
        </w:rPr>
        <w:t>R</w:t>
      </w:r>
      <w:r w:rsidRPr="00B2139B">
        <w:rPr>
          <w:rFonts w:cs="Segoe UI"/>
          <w:b/>
          <w:szCs w:val="20"/>
        </w:rPr>
        <w:t xml:space="preserve"> prechádza na tento typ zmlúv oneskorene</w:t>
      </w:r>
      <w:r>
        <w:rPr>
          <w:rFonts w:cs="Segoe UI"/>
          <w:szCs w:val="20"/>
        </w:rPr>
        <w:t xml:space="preserve">. </w:t>
      </w:r>
      <w:r w:rsidRPr="00B2139B">
        <w:rPr>
          <w:rFonts w:cs="Segoe UI"/>
          <w:b/>
          <w:szCs w:val="20"/>
        </w:rPr>
        <w:t>Toto oneskorenie je spojené</w:t>
      </w:r>
      <w:r>
        <w:rPr>
          <w:rFonts w:cs="Segoe UI"/>
          <w:b/>
          <w:szCs w:val="20"/>
        </w:rPr>
        <w:t xml:space="preserve"> aj</w:t>
      </w:r>
      <w:r w:rsidRPr="00B2139B">
        <w:rPr>
          <w:rFonts w:cs="Segoe UI"/>
          <w:b/>
          <w:szCs w:val="20"/>
        </w:rPr>
        <w:t xml:space="preserve"> s nehospodárnosťou</w:t>
      </w:r>
      <w:r>
        <w:rPr>
          <w:rFonts w:cs="Segoe UI"/>
          <w:b/>
          <w:szCs w:val="20"/>
        </w:rPr>
        <w:t xml:space="preserve"> starých zmlúv</w:t>
      </w:r>
      <w:r>
        <w:rPr>
          <w:rFonts w:cs="Segoe UI"/>
          <w:szCs w:val="20"/>
        </w:rPr>
        <w:t>, keďže nové zmluvy pri približne rovnakých nákladoch zahŕňajú okrem prístupu k databázam a čítaniu práve navyše aj možnosť open access publikovania.</w:t>
      </w:r>
    </w:p>
    <w:p w14:paraId="1AA7B452" w14:textId="77777777" w:rsidR="008A4BCF" w:rsidRPr="00BC3CA3" w:rsidRDefault="008A4BCF" w:rsidP="008A4BCF">
      <w:pPr>
        <w:pStyle w:val="Popis"/>
        <w:keepNext/>
        <w:rPr>
          <w:color w:val="314364"/>
        </w:rPr>
      </w:pPr>
      <w:r w:rsidRPr="00BC3CA3">
        <w:rPr>
          <w:color w:val="314364"/>
        </w:rPr>
        <w:t>Graf</w:t>
      </w:r>
      <w:r>
        <w:rPr>
          <w:color w:val="314364"/>
        </w:rPr>
        <w:t xml:space="preserve"> 37</w:t>
      </w:r>
      <w:r w:rsidRPr="00BC3CA3">
        <w:rPr>
          <w:color w:val="314364"/>
        </w:rPr>
        <w:t>:</w:t>
      </w:r>
      <w:r>
        <w:rPr>
          <w:color w:val="314364"/>
        </w:rPr>
        <w:t xml:space="preserve"> </w:t>
      </w:r>
      <w:r w:rsidRPr="006417EF">
        <w:rPr>
          <w:color w:val="314364"/>
        </w:rPr>
        <w:t>Predplatené publikačné poplatky v rámci tzv. transformačných zmlúv</w:t>
      </w:r>
      <w:r>
        <w:rPr>
          <w:color w:val="314364"/>
        </w:rPr>
        <w:t xml:space="preserve"> (v eurách)</w:t>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9070"/>
      </w:tblGrid>
      <w:tr w:rsidR="008A4BCF" w:rsidRPr="00C75134" w14:paraId="3443289D" w14:textId="77777777" w:rsidTr="00B44AC3">
        <w:trPr>
          <w:trHeight w:val="3402"/>
        </w:trPr>
        <w:tc>
          <w:tcPr>
            <w:tcW w:w="9070" w:type="dxa"/>
            <w:tcBorders>
              <w:top w:val="single" w:sz="4" w:space="0" w:color="314364"/>
              <w:bottom w:val="single" w:sz="4" w:space="0" w:color="314364"/>
            </w:tcBorders>
            <w:vAlign w:val="center"/>
          </w:tcPr>
          <w:p w14:paraId="2EBD6E74" w14:textId="77777777" w:rsidR="008A4BCF" w:rsidRPr="00C75134" w:rsidRDefault="008A4BCF" w:rsidP="00B44AC3">
            <w:pPr>
              <w:spacing w:after="0"/>
              <w:rPr>
                <w:b/>
                <w:color w:val="576431"/>
              </w:rPr>
            </w:pPr>
            <w:r>
              <w:rPr>
                <w:noProof/>
                <w:lang w:eastAsia="sk-SK"/>
              </w:rPr>
              <w:drawing>
                <wp:inline distT="0" distB="0" distL="0" distR="0" wp14:anchorId="11D9EB81" wp14:editId="702C808D">
                  <wp:extent cx="5759450" cy="2124075"/>
                  <wp:effectExtent l="0" t="0" r="0" b="0"/>
                  <wp:docPr id="7" name="Graf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tc>
      </w:tr>
    </w:tbl>
    <w:p w14:paraId="0F79EC06" w14:textId="77777777" w:rsidR="008A4BCF" w:rsidRPr="006417EF" w:rsidRDefault="008A4BCF" w:rsidP="008A4BCF">
      <w:pPr>
        <w:pStyle w:val="Zdroj"/>
        <w:rPr>
          <w:rFonts w:cs="Segoe UI"/>
          <w:szCs w:val="20"/>
        </w:rPr>
      </w:pPr>
      <w:r w:rsidRPr="006417EF">
        <w:rPr>
          <w:rFonts w:cs="Segoe UI"/>
          <w:szCs w:val="20"/>
        </w:rPr>
        <w:t>Zdroj: Uzavreté kontrakty (https://eiz.cvtisr.sk/uzavrete-kontrakty/)</w:t>
      </w:r>
      <w:r w:rsidRPr="00824F67">
        <w:rPr>
          <w:rFonts w:cs="Segoe UI"/>
          <w:szCs w:val="20"/>
        </w:rPr>
        <w:t>; výpočty a spracovanie NKÚ SR.</w:t>
      </w:r>
    </w:p>
    <w:p w14:paraId="5360659D" w14:textId="77777777" w:rsidR="008A4BCF" w:rsidRDefault="008A4BCF" w:rsidP="008A4BCF">
      <w:r>
        <w:rPr>
          <w:b/>
        </w:rPr>
        <w:t xml:space="preserve">Hoci sú nové zmluvy výhodnejšie než tie predchádzajúce, existuje priestor na zvýšenie ich hospodárnosti. </w:t>
      </w:r>
      <w:r w:rsidRPr="00E20C01">
        <w:t>Prvým predpokladom hospodárnosti takýchto dohôd je vyčerpanie celého predplateného balíka. V roku 2023 sa však predplatené balíky vyčerpať nepodarilo (</w:t>
      </w:r>
      <w:r w:rsidRPr="00A97B00">
        <w:t>graf 3</w:t>
      </w:r>
      <w:r>
        <w:t>8</w:t>
      </w:r>
      <w:r w:rsidRPr="00E20C01">
        <w:t>). Dôvodom je začiatok možnosti predplateného open access publikovania až v priebehu roka 2023</w:t>
      </w:r>
      <w:r>
        <w:rPr>
          <w:rStyle w:val="Odkaznapoznmkupodiarou"/>
          <w:rFonts w:cs="Segoe UI"/>
          <w:szCs w:val="20"/>
        </w:rPr>
        <w:footnoteReference w:id="83"/>
      </w:r>
      <w:r>
        <w:t xml:space="preserve">, keďže </w:t>
      </w:r>
      <w:r>
        <w:lastRenderedPageBreak/>
        <w:t>k uzavretiu zmlúv došlo až v priebehu roka</w:t>
      </w:r>
      <w:r>
        <w:rPr>
          <w:rStyle w:val="Odkaznapoznmkupodiarou"/>
          <w:rFonts w:cs="Segoe UI"/>
          <w:szCs w:val="20"/>
        </w:rPr>
        <w:footnoteReference w:id="84"/>
      </w:r>
      <w:r>
        <w:t xml:space="preserve">. Na rozdiel od zmlúv so SpringerNature a IEEE pôvodná zmluva s vydavateľstvom Elsevier nedovoľovala prenos nevyužitých prostriedkov do ďalšieho roka. </w:t>
      </w:r>
      <w:r w:rsidRPr="005A2A33">
        <w:t>Pri platnosti pôvodnej zmluvy by za rok 2023 prepadlo 163-tisíc eur. NKÚ SR preto víta uzatvorenie dodatku (apríl 2024), vďaka ktorému bude možný prenos nevyužitých prostriedkov do ďalších rokov</w:t>
      </w:r>
      <w:r>
        <w:t>. V prípade všetkých troch zmlúv však platí, že bez ďalšieho dodatku nevyužité prostriedky na konci zmluvného obdobia prepadnú.</w:t>
      </w:r>
    </w:p>
    <w:tbl>
      <w:tblPr>
        <w:tblStyle w:val="Mriekatabuky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5"/>
      </w:tblGrid>
      <w:tr w:rsidR="008A4BCF" w:rsidRPr="00D40AB4" w14:paraId="71F0E311" w14:textId="77777777" w:rsidTr="00B44AC3">
        <w:trPr>
          <w:trHeight w:val="189"/>
        </w:trPr>
        <w:tc>
          <w:tcPr>
            <w:tcW w:w="2500" w:type="pct"/>
            <w:tcBorders>
              <w:bottom w:val="single" w:sz="4" w:space="0" w:color="314364"/>
            </w:tcBorders>
            <w:shd w:val="clear" w:color="auto" w:fill="auto"/>
          </w:tcPr>
          <w:p w14:paraId="34272428" w14:textId="77777777" w:rsidR="008A4BCF" w:rsidRPr="00D40AB4" w:rsidRDefault="008A4BCF" w:rsidP="00B44AC3">
            <w:pPr>
              <w:pStyle w:val="Popis"/>
              <w:keepNext/>
              <w:jc w:val="left"/>
              <w:rPr>
                <w:color w:val="314364"/>
              </w:rPr>
            </w:pPr>
            <w:r w:rsidRPr="00D40AB4">
              <w:rPr>
                <w:color w:val="314364"/>
              </w:rPr>
              <w:t>Graf</w:t>
            </w:r>
            <w:r>
              <w:rPr>
                <w:color w:val="314364"/>
              </w:rPr>
              <w:t xml:space="preserve"> 38: </w:t>
            </w:r>
            <w:r w:rsidRPr="0086076E">
              <w:rPr>
                <w:color w:val="314364"/>
              </w:rPr>
              <w:t>Čerpanie predplatených open access článkov v roku 2023</w:t>
            </w:r>
          </w:p>
        </w:tc>
        <w:tc>
          <w:tcPr>
            <w:tcW w:w="2500" w:type="pct"/>
            <w:tcBorders>
              <w:bottom w:val="single" w:sz="4" w:space="0" w:color="314364"/>
            </w:tcBorders>
            <w:shd w:val="clear" w:color="auto" w:fill="auto"/>
          </w:tcPr>
          <w:p w14:paraId="5CA2F07D" w14:textId="77777777" w:rsidR="008A4BCF" w:rsidRPr="00D40AB4" w:rsidRDefault="008A4BCF" w:rsidP="00B44AC3">
            <w:pPr>
              <w:pStyle w:val="Popis"/>
              <w:keepNext/>
              <w:ind w:left="8"/>
              <w:jc w:val="left"/>
              <w:rPr>
                <w:color w:val="314364"/>
              </w:rPr>
            </w:pPr>
            <w:r>
              <w:rPr>
                <w:color w:val="314364"/>
              </w:rPr>
              <w:t xml:space="preserve">Graf 39: </w:t>
            </w:r>
            <w:r w:rsidRPr="0086076E">
              <w:rPr>
                <w:color w:val="314364"/>
              </w:rPr>
              <w:t>Výhodnosť zazmluvnených jednotkových cien open access publikovania</w:t>
            </w:r>
          </w:p>
        </w:tc>
      </w:tr>
      <w:tr w:rsidR="008A4BCF" w:rsidRPr="00402675" w14:paraId="5E5FC68D" w14:textId="77777777" w:rsidTr="00B44AC3">
        <w:tblPrEx>
          <w:tblCellMar>
            <w:left w:w="70" w:type="dxa"/>
            <w:right w:w="70" w:type="dxa"/>
          </w:tblCellMar>
        </w:tblPrEx>
        <w:trPr>
          <w:trHeight w:val="3402"/>
        </w:trPr>
        <w:tc>
          <w:tcPr>
            <w:tcW w:w="2500" w:type="pct"/>
            <w:tcBorders>
              <w:top w:val="single" w:sz="4" w:space="0" w:color="314364"/>
              <w:bottom w:val="single" w:sz="4" w:space="0" w:color="auto"/>
            </w:tcBorders>
            <w:vAlign w:val="center"/>
          </w:tcPr>
          <w:p w14:paraId="41440673" w14:textId="77777777" w:rsidR="008A4BCF" w:rsidRPr="00402675" w:rsidRDefault="008A4BCF" w:rsidP="00B44AC3">
            <w:pPr>
              <w:spacing w:after="0"/>
              <w:jc w:val="left"/>
              <w:rPr>
                <w:rFonts w:cs="Segoe UI"/>
                <w:b/>
                <w:szCs w:val="20"/>
              </w:rPr>
            </w:pPr>
            <w:r>
              <w:rPr>
                <w:noProof/>
                <w:lang w:eastAsia="sk-SK"/>
              </w:rPr>
              <w:drawing>
                <wp:inline distT="0" distB="0" distL="0" distR="0" wp14:anchorId="764C8AC2" wp14:editId="71741B80">
                  <wp:extent cx="2879725" cy="2152650"/>
                  <wp:effectExtent l="0" t="0" r="0" b="0"/>
                  <wp:docPr id="44" name="Graf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tc>
        <w:tc>
          <w:tcPr>
            <w:tcW w:w="2500" w:type="pct"/>
            <w:tcBorders>
              <w:top w:val="single" w:sz="4" w:space="0" w:color="314364"/>
              <w:bottom w:val="single" w:sz="4" w:space="0" w:color="auto"/>
            </w:tcBorders>
            <w:vAlign w:val="center"/>
          </w:tcPr>
          <w:p w14:paraId="69B84C9B" w14:textId="77777777" w:rsidR="008A4BCF" w:rsidRPr="00402675" w:rsidRDefault="008A4BCF" w:rsidP="00B44AC3">
            <w:pPr>
              <w:spacing w:after="0"/>
              <w:jc w:val="left"/>
              <w:rPr>
                <w:rFonts w:cs="Segoe UI"/>
                <w:b/>
                <w:szCs w:val="20"/>
              </w:rPr>
            </w:pPr>
            <w:r w:rsidRPr="00871C32">
              <w:rPr>
                <w:noProof/>
                <w:color w:val="314364" w:themeColor="text2"/>
                <w:lang w:eastAsia="sk-SK"/>
              </w:rPr>
              <w:drawing>
                <wp:inline distT="0" distB="0" distL="0" distR="0" wp14:anchorId="0E4FF46A" wp14:editId="2C60442D">
                  <wp:extent cx="2879725" cy="2143125"/>
                  <wp:effectExtent l="0" t="0" r="0" b="0"/>
                  <wp:docPr id="45" name="Graf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tc>
      </w:tr>
      <w:tr w:rsidR="008A4BCF" w:rsidRPr="00402675" w14:paraId="11EDF30E" w14:textId="77777777" w:rsidTr="00B44AC3">
        <w:tblPrEx>
          <w:tblCellMar>
            <w:left w:w="70" w:type="dxa"/>
            <w:right w:w="70" w:type="dxa"/>
          </w:tblCellMar>
        </w:tblPrEx>
        <w:trPr>
          <w:trHeight w:val="283"/>
        </w:trPr>
        <w:tc>
          <w:tcPr>
            <w:tcW w:w="2500" w:type="pct"/>
            <w:tcBorders>
              <w:top w:val="single" w:sz="4" w:space="0" w:color="auto"/>
            </w:tcBorders>
          </w:tcPr>
          <w:p w14:paraId="1B50ECD0" w14:textId="77777777" w:rsidR="008A4BCF" w:rsidRDefault="008A4BCF" w:rsidP="00B44AC3">
            <w:pPr>
              <w:pStyle w:val="Zdroj"/>
              <w:spacing w:after="0"/>
            </w:pPr>
            <w:r>
              <w:t>Zdroj: CVTI SR; výpočty a spracovanie NKÚ SR.</w:t>
            </w:r>
          </w:p>
        </w:tc>
        <w:tc>
          <w:tcPr>
            <w:tcW w:w="2500" w:type="pct"/>
            <w:tcBorders>
              <w:top w:val="single" w:sz="4" w:space="0" w:color="auto"/>
            </w:tcBorders>
            <w:vAlign w:val="center"/>
          </w:tcPr>
          <w:p w14:paraId="0A999606" w14:textId="77777777" w:rsidR="008A4BCF" w:rsidRDefault="008A4BCF" w:rsidP="00B44AC3">
            <w:pPr>
              <w:pStyle w:val="Zdroj"/>
              <w:spacing w:after="0"/>
              <w:jc w:val="both"/>
            </w:pPr>
            <w:r>
              <w:t xml:space="preserve">Zdroj: </w:t>
            </w:r>
            <w:r w:rsidRPr="0086076E">
              <w:t>Uzavreté kontrakty</w:t>
            </w:r>
            <w:r>
              <w:t xml:space="preserve"> [</w:t>
            </w:r>
            <w:hyperlink r:id="rId63" w:history="1">
              <w:r w:rsidRPr="001C4048">
                <w:rPr>
                  <w:rStyle w:val="Hypertextovprepojenie"/>
                  <w:sz w:val="16"/>
                </w:rPr>
                <w:t>online</w:t>
              </w:r>
            </w:hyperlink>
            <w:r>
              <w:t>]</w:t>
            </w:r>
            <w:r w:rsidRPr="0086076E">
              <w:t xml:space="preserve"> a weby vydavateľstiev</w:t>
            </w:r>
            <w:r w:rsidRPr="00824F67">
              <w:rPr>
                <w:rFonts w:cs="Segoe UI"/>
                <w:szCs w:val="20"/>
              </w:rPr>
              <w:t>; výpočty a spracovanie NKÚ SR.</w:t>
            </w:r>
          </w:p>
          <w:p w14:paraId="411D08F8" w14:textId="77777777" w:rsidR="008A4BCF" w:rsidRDefault="008A4BCF" w:rsidP="00B44AC3">
            <w:pPr>
              <w:pStyle w:val="Zdroj"/>
              <w:jc w:val="both"/>
            </w:pPr>
            <w:r>
              <w:t xml:space="preserve">Poznámka: </w:t>
            </w:r>
            <w:r w:rsidRPr="0086076E">
              <w:t xml:space="preserve">SpringerNature – priemer a medián z cien všetkých časopisov vydavateľstva v januári 2024; Elsevier – priemer a medián z cien všetkých časopisov vydavateľstva k 23. januáru 2024; 2 605 </w:t>
            </w:r>
            <w:r>
              <w:t>eur</w:t>
            </w:r>
            <w:r w:rsidRPr="0086076E">
              <w:t xml:space="preserve"> pri SpringerNature ako priemer zmluvných jednotkových cien za roky 2023 a 2024.</w:t>
            </w:r>
          </w:p>
        </w:tc>
      </w:tr>
    </w:tbl>
    <w:p w14:paraId="70921535" w14:textId="77777777" w:rsidR="008A4BCF" w:rsidRDefault="008A4BCF" w:rsidP="008A4BCF">
      <w:pPr>
        <w:rPr>
          <w:rFonts w:cs="Segoe UI"/>
          <w:szCs w:val="20"/>
        </w:rPr>
      </w:pPr>
      <w:r w:rsidRPr="00E20C01">
        <w:rPr>
          <w:rFonts w:cs="Segoe UI"/>
          <w:szCs w:val="20"/>
        </w:rPr>
        <w:t xml:space="preserve">Druhým predpokladom hospodárnosti týchto transformačných zmlúv je výhodná jednotková cena. Tá je v prípade zmlúv so SpringerNature a Elsevier </w:t>
      </w:r>
      <w:r w:rsidRPr="00A97B00">
        <w:rPr>
          <w:rFonts w:cs="Segoe UI"/>
          <w:szCs w:val="20"/>
        </w:rPr>
        <w:t>otázna (graf 3</w:t>
      </w:r>
      <w:r>
        <w:rPr>
          <w:rFonts w:cs="Segoe UI"/>
          <w:szCs w:val="20"/>
        </w:rPr>
        <w:t>9</w:t>
      </w:r>
      <w:r w:rsidRPr="00A97B00">
        <w:rPr>
          <w:rFonts w:cs="Segoe UI"/>
          <w:szCs w:val="20"/>
        </w:rPr>
        <w:t>).</w:t>
      </w:r>
      <w:r>
        <w:rPr>
          <w:rFonts w:cs="Segoe UI"/>
          <w:szCs w:val="20"/>
        </w:rPr>
        <w:t xml:space="preserve"> Pri vydavateľstve IEEE je takéto porovnanie komplikovanejšie, avšak rozdiel by mal byť väčší ako pri SpringerNature a Elsevier. Jednotková cena v zmluve je 1 468,78 USD, pričom bez zmluvy je to približne 1 995 – 2 495 USD</w:t>
      </w:r>
      <w:r>
        <w:rPr>
          <w:rStyle w:val="Odkaznapoznmkupodiarou"/>
          <w:rFonts w:cs="Segoe UI"/>
          <w:szCs w:val="20"/>
        </w:rPr>
        <w:footnoteReference w:id="85"/>
      </w:r>
      <w:r>
        <w:rPr>
          <w:rFonts w:cs="Segoe UI"/>
          <w:szCs w:val="20"/>
        </w:rPr>
        <w:t>.</w:t>
      </w:r>
    </w:p>
    <w:p w14:paraId="2F448A24" w14:textId="77777777" w:rsidR="008A4BCF" w:rsidRDefault="008A4BCF" w:rsidP="008A4BCF">
      <w:pPr>
        <w:rPr>
          <w:rFonts w:cs="Segoe UI"/>
          <w:szCs w:val="20"/>
        </w:rPr>
      </w:pPr>
      <w:r w:rsidRPr="001307A2">
        <w:rPr>
          <w:rFonts w:cs="Segoe UI"/>
          <w:b/>
          <w:szCs w:val="20"/>
        </w:rPr>
        <w:t>NKÚ upozorňuje na skutočnosť, že nie všetky verejné VŠ majú prístup k predplatenému otvorenému publikovaniu.</w:t>
      </w:r>
      <w:r>
        <w:rPr>
          <w:rFonts w:cs="Segoe UI"/>
          <w:szCs w:val="20"/>
        </w:rPr>
        <w:t xml:space="preserve"> V prípade zmluvy s vydavateľstvom Elsevier ide o sedem verejných VŠ (z  celkového počtu 20), ktoré nemajú prístup do databázy </w:t>
      </w:r>
      <w:r w:rsidRPr="00DB1E7B">
        <w:rPr>
          <w:rFonts w:cs="Segoe UI"/>
          <w:szCs w:val="20"/>
        </w:rPr>
        <w:t>ScienceDirect</w:t>
      </w:r>
      <w:r>
        <w:rPr>
          <w:rFonts w:cs="Segoe UI"/>
          <w:szCs w:val="20"/>
        </w:rPr>
        <w:t xml:space="preserve"> ani k open access publikovaniu. Dôvodom je, že CVTI SR pri transformačných zmluvách neoslovovalo všetky VŠ nanovo, ale </w:t>
      </w:r>
      <w:r w:rsidRPr="002B1D47">
        <w:rPr>
          <w:rFonts w:cs="Segoe UI"/>
          <w:szCs w:val="20"/>
        </w:rPr>
        <w:t>použilo zoznam VŠ</w:t>
      </w:r>
      <w:r>
        <w:rPr>
          <w:rFonts w:cs="Segoe UI"/>
          <w:szCs w:val="20"/>
        </w:rPr>
        <w:t>, ktorý bol použitý v predchádzajúcich zmluvách.</w:t>
      </w:r>
    </w:p>
    <w:p w14:paraId="73745287" w14:textId="77777777" w:rsidR="008A4BCF" w:rsidRPr="00123348" w:rsidRDefault="008A4BCF" w:rsidP="008A4BCF">
      <w:r>
        <w:rPr>
          <w:rFonts w:cs="Segoe UI"/>
          <w:color w:val="0D0D0D"/>
          <w:shd w:val="clear" w:color="auto" w:fill="FFFFFF"/>
        </w:rPr>
        <w:t>Výber vydavateľstiev pre otvorené publikovanie na VŠ nie je jednoduchou úlohou. Pri oslovovaní medzinárodných vydavateľstiev sa CVTI SR stretáva s negatívnymi reakciami kvôli zložitému administratívnemu systému a komplikáciám pri verejnom obstarávaní.</w:t>
      </w:r>
      <w:r>
        <w:rPr>
          <w:rStyle w:val="Odkaznapoznmkupodiarou"/>
          <w:rFonts w:cs="Segoe UI"/>
          <w:color w:val="0D0D0D"/>
          <w:shd w:val="clear" w:color="auto" w:fill="FFFFFF"/>
        </w:rPr>
        <w:footnoteReference w:id="86"/>
      </w:r>
      <w:r>
        <w:rPr>
          <w:rFonts w:cs="Segoe UI"/>
          <w:color w:val="0D0D0D"/>
          <w:shd w:val="clear" w:color="auto" w:fill="FFFFFF"/>
        </w:rPr>
        <w:t xml:space="preserve"> Slovenské publikačné prostredie je pritom charakterizované ako malý trh s obmedzenými možnosťami publikovania a komplikovaným byrokratickým aparátom, ktorý vytvára vstupné bariéry.</w:t>
      </w:r>
      <w:r w:rsidRPr="00E77C6B">
        <w:t xml:space="preserve"> </w:t>
      </w:r>
      <w:r>
        <w:t xml:space="preserve">Okrem vydavateľstiev </w:t>
      </w:r>
      <w:r w:rsidRPr="00E77C6B">
        <w:rPr>
          <w:rFonts w:cs="Segoe UI"/>
          <w:color w:val="0D0D0D"/>
          <w:shd w:val="clear" w:color="auto" w:fill="FFFFFF"/>
        </w:rPr>
        <w:t>SpringerNature, Elsevier a IEEE</w:t>
      </w:r>
      <w:r>
        <w:rPr>
          <w:rFonts w:cs="Segoe UI"/>
          <w:color w:val="0D0D0D"/>
          <w:shd w:val="clear" w:color="auto" w:fill="FFFFFF"/>
        </w:rPr>
        <w:t xml:space="preserve"> rokovalo CVTI SR aj s vydavateľstvami Frontiers a Wiley. Ide o vydavateľstvá, v ktorých slovenskí </w:t>
      </w:r>
      <w:r>
        <w:rPr>
          <w:rFonts w:cs="Segoe UI"/>
          <w:color w:val="0D0D0D"/>
          <w:shd w:val="clear" w:color="auto" w:fill="FFFFFF"/>
        </w:rPr>
        <w:lastRenderedPageBreak/>
        <w:t>vedci publikovali viac</w:t>
      </w:r>
      <w:r>
        <w:rPr>
          <w:rStyle w:val="Odkaznapoznmkupodiarou"/>
          <w:rFonts w:cs="Segoe UI"/>
          <w:color w:val="0D0D0D"/>
          <w:shd w:val="clear" w:color="auto" w:fill="FFFFFF"/>
        </w:rPr>
        <w:footnoteReference w:id="87"/>
      </w:r>
      <w:r>
        <w:rPr>
          <w:rFonts w:cs="Segoe UI"/>
          <w:color w:val="0D0D0D"/>
          <w:shd w:val="clear" w:color="auto" w:fill="FFFFFF"/>
        </w:rPr>
        <w:t xml:space="preserve"> než v SpringerNature či IEEE, avšak zmluvu sa s nimi uzavrieť nepodarilo. K zmierneniu vstupných bariér v tejto oblasti by mohlo pomôcť prijatie výnimiek pri obstarávaní služieb od veľkých medzinárodných spoločností za konkrétnym účelom. Ak na základe obstarania príde k výberu iného vydavateľstva, neprinesie to pridanú hodnotu, keďže vedci preferujú publikovať v renomovaných medzinárodných vydavateľstvách a menej renomované by nevyužívali.</w:t>
      </w:r>
    </w:p>
    <w:p w14:paraId="508F01DF" w14:textId="77777777" w:rsidR="008A4BCF" w:rsidRDefault="008A4BCF" w:rsidP="008A4BCF">
      <w:pPr>
        <w:pStyle w:val="Nadpis1"/>
      </w:pPr>
      <w:bookmarkStart w:id="51" w:name="_Toc168567210"/>
      <w:r>
        <w:lastRenderedPageBreak/>
        <w:t>Hospodárenie územnej samosprávy</w:t>
      </w:r>
      <w:bookmarkEnd w:id="51"/>
    </w:p>
    <w:p w14:paraId="1947B988" w14:textId="77777777" w:rsidR="008A4BCF" w:rsidRPr="00D94D52" w:rsidRDefault="008A4BCF" w:rsidP="008A4BCF">
      <w:pPr>
        <w:rPr>
          <w:rFonts w:eastAsia="Times New Roman" w:cs="Times New Roman"/>
          <w:b/>
          <w:sz w:val="24"/>
          <w:szCs w:val="24"/>
          <w:lang w:eastAsia="sk-SK"/>
        </w:rPr>
      </w:pPr>
      <w:r w:rsidRPr="00DE2132">
        <w:rPr>
          <w:rFonts w:cs="Segoe UI"/>
          <w:b/>
          <w:szCs w:val="20"/>
        </w:rPr>
        <w:t xml:space="preserve">Územná </w:t>
      </w:r>
      <w:r w:rsidRPr="00D22181">
        <w:rPr>
          <w:rFonts w:cs="Segoe UI"/>
          <w:b/>
          <w:szCs w:val="20"/>
        </w:rPr>
        <w:t xml:space="preserve">samospráva dosiahla </w:t>
      </w:r>
      <w:r>
        <w:rPr>
          <w:rFonts w:cs="Segoe UI"/>
          <w:b/>
          <w:szCs w:val="20"/>
        </w:rPr>
        <w:t>v roku 2023 v metodike ESA2010</w:t>
      </w:r>
      <w:r w:rsidRPr="00D22181">
        <w:rPr>
          <w:rFonts w:cs="Segoe UI"/>
          <w:b/>
          <w:szCs w:val="20"/>
        </w:rPr>
        <w:t xml:space="preserve"> prebytok</w:t>
      </w:r>
      <w:r>
        <w:rPr>
          <w:rFonts w:cs="Segoe UI"/>
          <w:b/>
          <w:szCs w:val="20"/>
        </w:rPr>
        <w:t xml:space="preserve"> </w:t>
      </w:r>
      <w:r w:rsidRPr="00D22181">
        <w:rPr>
          <w:rFonts w:cs="Segoe UI"/>
          <w:b/>
          <w:szCs w:val="20"/>
        </w:rPr>
        <w:t>97</w:t>
      </w:r>
      <w:r>
        <w:rPr>
          <w:rFonts w:cs="Segoe UI"/>
          <w:b/>
          <w:szCs w:val="20"/>
        </w:rPr>
        <w:t>,</w:t>
      </w:r>
      <w:r w:rsidRPr="00D22181">
        <w:rPr>
          <w:rFonts w:cs="Segoe UI"/>
          <w:b/>
          <w:szCs w:val="20"/>
        </w:rPr>
        <w:t>7 </w:t>
      </w:r>
      <w:r>
        <w:rPr>
          <w:rFonts w:cs="Segoe UI"/>
          <w:b/>
          <w:szCs w:val="20"/>
        </w:rPr>
        <w:t>mil</w:t>
      </w:r>
      <w:r w:rsidRPr="00D22181">
        <w:rPr>
          <w:rFonts w:cs="Segoe UI"/>
          <w:b/>
          <w:szCs w:val="20"/>
        </w:rPr>
        <w:t>. eur, čo je oproti rozpočtu viac o</w:t>
      </w:r>
      <w:r>
        <w:rPr>
          <w:rFonts w:cs="Segoe UI"/>
          <w:b/>
          <w:szCs w:val="20"/>
        </w:rPr>
        <w:t> </w:t>
      </w:r>
      <w:r w:rsidRPr="00D22181">
        <w:rPr>
          <w:rFonts w:cs="Segoe UI"/>
          <w:b/>
          <w:szCs w:val="20"/>
        </w:rPr>
        <w:t>420</w:t>
      </w:r>
      <w:r>
        <w:rPr>
          <w:rFonts w:cs="Segoe UI"/>
          <w:b/>
          <w:szCs w:val="20"/>
        </w:rPr>
        <w:t>,</w:t>
      </w:r>
      <w:r w:rsidRPr="00D22181">
        <w:rPr>
          <w:rFonts w:cs="Segoe UI"/>
          <w:b/>
          <w:szCs w:val="20"/>
        </w:rPr>
        <w:t>3 </w:t>
      </w:r>
      <w:r>
        <w:rPr>
          <w:rFonts w:cs="Segoe UI"/>
          <w:b/>
          <w:szCs w:val="20"/>
        </w:rPr>
        <w:t>mil</w:t>
      </w:r>
      <w:r w:rsidRPr="00D22181">
        <w:rPr>
          <w:rFonts w:cs="Segoe UI"/>
          <w:b/>
          <w:szCs w:val="20"/>
        </w:rPr>
        <w:t xml:space="preserve">. eur </w:t>
      </w:r>
      <w:r w:rsidRPr="00282BE0">
        <w:rPr>
          <w:rFonts w:cs="Segoe UI"/>
          <w:szCs w:val="20"/>
        </w:rPr>
        <w:t xml:space="preserve">(plánovaný schodok </w:t>
      </w:r>
      <w:r>
        <w:rPr>
          <w:rFonts w:cs="Segoe UI"/>
          <w:szCs w:val="20"/>
        </w:rPr>
        <w:t xml:space="preserve">bol </w:t>
      </w:r>
      <w:r w:rsidRPr="00282BE0">
        <w:rPr>
          <w:rFonts w:cs="Segoe UI"/>
          <w:szCs w:val="20"/>
        </w:rPr>
        <w:t>vo výške 322,6 mil. eur)</w:t>
      </w:r>
      <w:r w:rsidRPr="0014305F">
        <w:rPr>
          <w:rFonts w:cs="Segoe UI"/>
          <w:b/>
          <w:szCs w:val="20"/>
        </w:rPr>
        <w:t xml:space="preserve">. </w:t>
      </w:r>
      <w:r w:rsidRPr="00644D8D">
        <w:rPr>
          <w:rFonts w:cs="Segoe UI"/>
          <w:b/>
          <w:szCs w:val="20"/>
        </w:rPr>
        <w:t>Z toho</w:t>
      </w:r>
      <w:r w:rsidRPr="00D22181">
        <w:rPr>
          <w:rFonts w:cs="Segoe UI"/>
          <w:szCs w:val="20"/>
        </w:rPr>
        <w:t xml:space="preserve"> </w:t>
      </w:r>
      <w:r w:rsidRPr="00D53FBC">
        <w:rPr>
          <w:rFonts w:cs="Segoe UI"/>
          <w:b/>
          <w:szCs w:val="20"/>
        </w:rPr>
        <w:t xml:space="preserve">obce </w:t>
      </w:r>
      <w:r w:rsidRPr="00D53FBC">
        <w:rPr>
          <w:rFonts w:cs="Segoe UI"/>
          <w:b/>
          <w:szCs w:val="20"/>
          <w:lang w:eastAsia="sk-SK"/>
        </w:rPr>
        <w:t>dosiahli prebytok</w:t>
      </w:r>
      <w:r w:rsidRPr="00D22181">
        <w:rPr>
          <w:rFonts w:cs="Segoe UI"/>
          <w:szCs w:val="20"/>
          <w:lang w:eastAsia="sk-SK"/>
        </w:rPr>
        <w:t xml:space="preserve"> </w:t>
      </w:r>
      <w:r w:rsidRPr="00D53FBC">
        <w:rPr>
          <w:rFonts w:cs="Segoe UI"/>
          <w:b/>
          <w:szCs w:val="20"/>
          <w:lang w:eastAsia="sk-SK"/>
        </w:rPr>
        <w:t>124</w:t>
      </w:r>
      <w:r>
        <w:rPr>
          <w:rFonts w:cs="Segoe UI"/>
          <w:b/>
          <w:szCs w:val="20"/>
          <w:lang w:eastAsia="sk-SK"/>
        </w:rPr>
        <w:t>,</w:t>
      </w:r>
      <w:r w:rsidRPr="00D53FBC">
        <w:rPr>
          <w:rFonts w:cs="Segoe UI"/>
          <w:b/>
          <w:szCs w:val="20"/>
          <w:lang w:eastAsia="sk-SK"/>
        </w:rPr>
        <w:t>8 </w:t>
      </w:r>
      <w:r>
        <w:rPr>
          <w:rFonts w:cs="Segoe UI"/>
          <w:b/>
          <w:szCs w:val="20"/>
          <w:lang w:eastAsia="sk-SK"/>
        </w:rPr>
        <w:t>mil</w:t>
      </w:r>
      <w:r w:rsidRPr="00D53FBC">
        <w:rPr>
          <w:rFonts w:cs="Segoe UI"/>
          <w:b/>
          <w:szCs w:val="20"/>
          <w:lang w:eastAsia="sk-SK"/>
        </w:rPr>
        <w:t>. eur</w:t>
      </w:r>
      <w:r w:rsidRPr="00D22181">
        <w:rPr>
          <w:rFonts w:cs="Segoe UI"/>
          <w:szCs w:val="20"/>
          <w:lang w:eastAsia="sk-SK"/>
        </w:rPr>
        <w:t xml:space="preserve"> (</w:t>
      </w:r>
      <w:r w:rsidRPr="00D22181">
        <w:rPr>
          <w:rFonts w:cs="Segoe UI"/>
          <w:szCs w:val="20"/>
        </w:rPr>
        <w:t>z dôvodu pozitívneho vplyvu časového rozlíšenia vo výške 15</w:t>
      </w:r>
      <w:r>
        <w:rPr>
          <w:rFonts w:cs="Segoe UI"/>
          <w:szCs w:val="20"/>
        </w:rPr>
        <w:t>,</w:t>
      </w:r>
      <w:r w:rsidRPr="00D22181">
        <w:rPr>
          <w:rFonts w:cs="Segoe UI"/>
          <w:szCs w:val="20"/>
        </w:rPr>
        <w:t>1</w:t>
      </w:r>
      <w:r>
        <w:rPr>
          <w:rFonts w:cs="Segoe UI"/>
          <w:szCs w:val="20"/>
        </w:rPr>
        <w:t xml:space="preserve"> mil</w:t>
      </w:r>
      <w:r w:rsidRPr="00D22181">
        <w:rPr>
          <w:rFonts w:cs="Segoe UI"/>
          <w:szCs w:val="20"/>
        </w:rPr>
        <w:t>. eur a ostatných úprav vo výške 97</w:t>
      </w:r>
      <w:r>
        <w:rPr>
          <w:rFonts w:cs="Segoe UI"/>
          <w:szCs w:val="20"/>
        </w:rPr>
        <w:t>,</w:t>
      </w:r>
      <w:r w:rsidRPr="00D22181">
        <w:rPr>
          <w:rFonts w:cs="Segoe UI"/>
          <w:szCs w:val="20"/>
        </w:rPr>
        <w:t xml:space="preserve">9 </w:t>
      </w:r>
      <w:r>
        <w:rPr>
          <w:rFonts w:cs="Segoe UI"/>
          <w:szCs w:val="20"/>
        </w:rPr>
        <w:t>mil</w:t>
      </w:r>
      <w:r w:rsidRPr="00D22181">
        <w:rPr>
          <w:rFonts w:cs="Segoe UI"/>
          <w:szCs w:val="20"/>
        </w:rPr>
        <w:t xml:space="preserve">. eur) </w:t>
      </w:r>
      <w:r w:rsidRPr="00D22181">
        <w:rPr>
          <w:rFonts w:cs="Segoe UI"/>
          <w:lang w:eastAsia="sk-SK"/>
        </w:rPr>
        <w:t>a </w:t>
      </w:r>
      <w:r w:rsidRPr="00D53FBC">
        <w:rPr>
          <w:rFonts w:cs="Segoe UI"/>
          <w:b/>
          <w:lang w:eastAsia="sk-SK"/>
        </w:rPr>
        <w:t xml:space="preserve">VÚC schodok </w:t>
      </w:r>
      <w:r>
        <w:rPr>
          <w:rFonts w:cs="Segoe UI"/>
          <w:b/>
          <w:lang w:eastAsia="sk-SK"/>
        </w:rPr>
        <w:t xml:space="preserve">takmer </w:t>
      </w:r>
      <w:r>
        <w:rPr>
          <w:rFonts w:cs="Segoe UI"/>
          <w:b/>
        </w:rPr>
        <w:t>90</w:t>
      </w:r>
      <w:r w:rsidRPr="00D53FBC">
        <w:rPr>
          <w:rFonts w:cs="Segoe UI"/>
          <w:b/>
        </w:rPr>
        <w:t xml:space="preserve"> mil. eur</w:t>
      </w:r>
      <w:r w:rsidRPr="00D22181">
        <w:rPr>
          <w:rFonts w:cs="Segoe UI"/>
        </w:rPr>
        <w:t xml:space="preserve"> </w:t>
      </w:r>
      <w:r w:rsidRPr="00D22181">
        <w:rPr>
          <w:rFonts w:cs="Segoe UI"/>
          <w:szCs w:val="20"/>
        </w:rPr>
        <w:t>(</w:t>
      </w:r>
      <w:r>
        <w:rPr>
          <w:rFonts w:cs="Segoe UI"/>
          <w:szCs w:val="20"/>
        </w:rPr>
        <w:t xml:space="preserve">najmä </w:t>
      </w:r>
      <w:r w:rsidRPr="00D22181">
        <w:rPr>
          <w:rFonts w:cs="Segoe UI"/>
          <w:szCs w:val="20"/>
        </w:rPr>
        <w:t>vplyvom rastu ostatných záväzkov</w:t>
      </w:r>
      <w:r>
        <w:rPr>
          <w:rFonts w:cs="Segoe UI"/>
          <w:szCs w:val="20"/>
        </w:rPr>
        <w:t xml:space="preserve"> o 5,1 mil. eur</w:t>
      </w:r>
      <w:r w:rsidRPr="00D22181">
        <w:rPr>
          <w:rFonts w:cs="Segoe UI"/>
          <w:szCs w:val="20"/>
        </w:rPr>
        <w:t>)</w:t>
      </w:r>
      <w:r w:rsidRPr="00D22181">
        <w:rPr>
          <w:rFonts w:cs="Segoe UI"/>
        </w:rPr>
        <w:t xml:space="preserve">. </w:t>
      </w:r>
    </w:p>
    <w:p w14:paraId="6FA550FF" w14:textId="77777777" w:rsidR="008A4BCF" w:rsidRDefault="008A4BCF" w:rsidP="008A4BCF">
      <w:pPr>
        <w:rPr>
          <w:rFonts w:cs="Segoe UI"/>
        </w:rPr>
      </w:pPr>
      <w:r w:rsidRPr="0023445E">
        <w:rPr>
          <w:rFonts w:cs="Segoe UI"/>
          <w:b/>
          <w:bCs/>
        </w:rPr>
        <w:t xml:space="preserve">Podiel dlhu samosprávy na nekonsolidovanom dlhu VS dosiahol 3,6 % a predstavuje tak malú časť v porovnaní s dlhom ŠR. </w:t>
      </w:r>
      <w:r w:rsidRPr="003308BB">
        <w:rPr>
          <w:rFonts w:cs="Segoe UI"/>
        </w:rPr>
        <w:t>Nekonsolidovaný dlh samosprávy</w:t>
      </w:r>
      <w:r w:rsidRPr="00B96A31">
        <w:rPr>
          <w:rFonts w:cs="Segoe UI"/>
        </w:rPr>
        <w:t xml:space="preserve"> sa </w:t>
      </w:r>
      <w:r>
        <w:rPr>
          <w:rFonts w:cs="Segoe UI"/>
        </w:rPr>
        <w:t>medziročne</w:t>
      </w:r>
      <w:r w:rsidRPr="00B96A31">
        <w:rPr>
          <w:rFonts w:cs="Segoe UI"/>
        </w:rPr>
        <w:t xml:space="preserve"> </w:t>
      </w:r>
      <w:r w:rsidRPr="003308BB">
        <w:rPr>
          <w:rFonts w:cs="Segoe UI"/>
        </w:rPr>
        <w:t>opäť zvýšil</w:t>
      </w:r>
      <w:r w:rsidRPr="00B96A31">
        <w:rPr>
          <w:rFonts w:cs="Segoe UI"/>
        </w:rPr>
        <w:t xml:space="preserve"> (o 218,53 mil. eur) a dosiahol </w:t>
      </w:r>
      <w:r w:rsidRPr="003308BB">
        <w:rPr>
          <w:rFonts w:cs="Segoe UI"/>
        </w:rPr>
        <w:t xml:space="preserve">2,53 mld. </w:t>
      </w:r>
      <w:r>
        <w:rPr>
          <w:rFonts w:cs="Segoe UI"/>
        </w:rPr>
        <w:t>e</w:t>
      </w:r>
      <w:r w:rsidRPr="003308BB">
        <w:rPr>
          <w:rFonts w:cs="Segoe UI"/>
        </w:rPr>
        <w:t>ur</w:t>
      </w:r>
      <w:r w:rsidRPr="00B96A31">
        <w:rPr>
          <w:rFonts w:cs="Segoe UI"/>
        </w:rPr>
        <w:t xml:space="preserve"> </w:t>
      </w:r>
      <w:r w:rsidRPr="00361D8E">
        <w:rPr>
          <w:rFonts w:cs="Segoe UI"/>
        </w:rPr>
        <w:t>(obce 1,83 mld. eur a VÚC 0,7 mld. eur).</w:t>
      </w:r>
    </w:p>
    <w:p w14:paraId="3421487D" w14:textId="77777777" w:rsidR="008A4BCF" w:rsidRDefault="008A4BCF" w:rsidP="008A4BCF">
      <w:pPr>
        <w:rPr>
          <w:rFonts w:eastAsia="Times New Roman" w:cs="Segoe UI"/>
          <w:szCs w:val="20"/>
          <w:lang w:eastAsia="sk-SK"/>
        </w:rPr>
      </w:pPr>
      <w:r w:rsidRPr="001F499B">
        <w:rPr>
          <w:rFonts w:eastAsia="Times New Roman" w:cs="Segoe UI"/>
          <w:b/>
          <w:szCs w:val="20"/>
          <w:lang w:eastAsia="sk-SK"/>
        </w:rPr>
        <w:t>NKÚ SR realizoval v roku 2023 šesť kontrol zameraných na územnú samosprávu.</w:t>
      </w:r>
      <w:r w:rsidRPr="001F499B">
        <w:rPr>
          <w:rFonts w:eastAsia="Times New Roman" w:cs="Segoe UI"/>
          <w:szCs w:val="20"/>
          <w:lang w:eastAsia="sk-SK"/>
        </w:rPr>
        <w:t xml:space="preserve"> Kontroly </w:t>
      </w:r>
      <w:r>
        <w:rPr>
          <w:rFonts w:eastAsia="Times New Roman" w:cs="Segoe UI"/>
          <w:szCs w:val="20"/>
          <w:lang w:eastAsia="sk-SK"/>
        </w:rPr>
        <w:t xml:space="preserve">sa </w:t>
      </w:r>
      <w:r w:rsidRPr="001F499B">
        <w:rPr>
          <w:rFonts w:eastAsia="Times New Roman" w:cs="Segoe UI"/>
          <w:szCs w:val="20"/>
          <w:lang w:eastAsia="sk-SK"/>
        </w:rPr>
        <w:t>podľa cieľa a účelu týkali najmä rokov 2017 – 2023 a v prípade potreby aj súvisiac</w:t>
      </w:r>
      <w:r>
        <w:rPr>
          <w:rFonts w:eastAsia="Times New Roman" w:cs="Segoe UI"/>
          <w:szCs w:val="20"/>
          <w:lang w:eastAsia="sk-SK"/>
        </w:rPr>
        <w:t>ich</w:t>
      </w:r>
      <w:r w:rsidRPr="001F499B">
        <w:rPr>
          <w:rFonts w:eastAsia="Times New Roman" w:cs="Segoe UI"/>
          <w:szCs w:val="20"/>
          <w:lang w:eastAsia="sk-SK"/>
        </w:rPr>
        <w:t xml:space="preserve"> obdob</w:t>
      </w:r>
      <w:r>
        <w:rPr>
          <w:rFonts w:eastAsia="Times New Roman" w:cs="Segoe UI"/>
          <w:szCs w:val="20"/>
          <w:lang w:eastAsia="sk-SK"/>
        </w:rPr>
        <w:t>í</w:t>
      </w:r>
      <w:r w:rsidRPr="001F499B">
        <w:rPr>
          <w:rFonts w:eastAsia="Times New Roman" w:cs="Segoe UI"/>
          <w:szCs w:val="20"/>
          <w:lang w:eastAsia="sk-SK"/>
        </w:rPr>
        <w:t xml:space="preserve">. Kontroly boli vykonané v rámci celého Slovenska v 55 obciach a mestách, </w:t>
      </w:r>
      <w:r>
        <w:rPr>
          <w:rFonts w:eastAsia="Times New Roman" w:cs="Segoe UI"/>
          <w:szCs w:val="20"/>
          <w:lang w:eastAsia="sk-SK"/>
        </w:rPr>
        <w:t>ôsmich</w:t>
      </w:r>
      <w:r w:rsidRPr="001F499B">
        <w:rPr>
          <w:rFonts w:eastAsia="Times New Roman" w:cs="Segoe UI"/>
          <w:szCs w:val="20"/>
          <w:lang w:eastAsia="sk-SK"/>
        </w:rPr>
        <w:t xml:space="preserve"> krajoch a jednom ústrednom orgáne štátnej správy. Najvýznamnejšie zistenia </w:t>
      </w:r>
      <w:r>
        <w:rPr>
          <w:rFonts w:eastAsia="Times New Roman" w:cs="Segoe UI"/>
          <w:szCs w:val="20"/>
          <w:lang w:eastAsia="sk-SK"/>
        </w:rPr>
        <w:t xml:space="preserve">týchto kontrol </w:t>
      </w:r>
      <w:r w:rsidRPr="001F499B">
        <w:rPr>
          <w:rFonts w:eastAsia="Times New Roman" w:cs="Segoe UI"/>
          <w:szCs w:val="20"/>
          <w:lang w:eastAsia="sk-SK"/>
        </w:rPr>
        <w:t xml:space="preserve">sú </w:t>
      </w:r>
      <w:r w:rsidRPr="00A97B00">
        <w:rPr>
          <w:rFonts w:eastAsia="Times New Roman" w:cs="Segoe UI"/>
          <w:szCs w:val="20"/>
          <w:lang w:eastAsia="sk-SK"/>
        </w:rPr>
        <w:t>zosumarizované v boxe 8</w:t>
      </w:r>
      <w:r w:rsidRPr="001F499B">
        <w:rPr>
          <w:rFonts w:eastAsia="Times New Roman" w:cs="Segoe UI"/>
          <w:szCs w:val="20"/>
          <w:lang w:eastAsia="sk-SK"/>
        </w:rPr>
        <w:t xml:space="preserve"> v</w:t>
      </w:r>
      <w:r>
        <w:rPr>
          <w:rFonts w:eastAsia="Times New Roman" w:cs="Segoe UI"/>
          <w:szCs w:val="20"/>
          <w:lang w:eastAsia="sk-SK"/>
        </w:rPr>
        <w:t> p</w:t>
      </w:r>
      <w:r w:rsidRPr="001F499B">
        <w:rPr>
          <w:rFonts w:eastAsia="Times New Roman" w:cs="Segoe UI"/>
          <w:szCs w:val="20"/>
          <w:lang w:eastAsia="sk-SK"/>
        </w:rPr>
        <w:t>rílohe</w:t>
      </w:r>
      <w:r>
        <w:rPr>
          <w:rFonts w:eastAsia="Times New Roman" w:cs="Segoe UI"/>
          <w:szCs w:val="20"/>
          <w:lang w:eastAsia="sk-SK"/>
        </w:rPr>
        <w:t xml:space="preserve">. </w:t>
      </w:r>
      <w:r w:rsidRPr="00C302BE">
        <w:rPr>
          <w:rFonts w:eastAsia="Times New Roman" w:cs="Segoe UI"/>
          <w:szCs w:val="20"/>
          <w:lang w:eastAsia="sk-SK"/>
        </w:rPr>
        <w:t xml:space="preserve">Podrobný opis jednotlivých </w:t>
      </w:r>
      <w:r>
        <w:rPr>
          <w:rFonts w:eastAsia="Times New Roman" w:cs="Segoe UI"/>
          <w:szCs w:val="20"/>
          <w:lang w:eastAsia="sk-SK"/>
        </w:rPr>
        <w:t>kontrol</w:t>
      </w:r>
      <w:r w:rsidRPr="00C302BE">
        <w:rPr>
          <w:rFonts w:eastAsia="Times New Roman" w:cs="Segoe UI"/>
          <w:szCs w:val="20"/>
          <w:lang w:eastAsia="sk-SK"/>
        </w:rPr>
        <w:t xml:space="preserve"> a</w:t>
      </w:r>
      <w:r>
        <w:rPr>
          <w:rFonts w:eastAsia="Times New Roman" w:cs="Segoe UI"/>
          <w:szCs w:val="20"/>
          <w:lang w:eastAsia="sk-SK"/>
        </w:rPr>
        <w:t xml:space="preserve"> ich </w:t>
      </w:r>
      <w:r w:rsidRPr="00C302BE">
        <w:rPr>
          <w:rFonts w:eastAsia="Times New Roman" w:cs="Segoe UI"/>
          <w:szCs w:val="20"/>
          <w:lang w:eastAsia="sk-SK"/>
        </w:rPr>
        <w:t>zistení je uvedený</w:t>
      </w:r>
      <w:r>
        <w:rPr>
          <w:rFonts w:eastAsia="Times New Roman" w:cs="Segoe UI"/>
          <w:szCs w:val="20"/>
          <w:lang w:eastAsia="sk-SK"/>
        </w:rPr>
        <w:t xml:space="preserve"> v správach z kontrol ako aj v aplikácii MUMAP.</w:t>
      </w:r>
      <w:r>
        <w:rPr>
          <w:rStyle w:val="Odkaznapoznmkupodiarou"/>
          <w:rFonts w:eastAsia="Times New Roman" w:cs="Segoe UI"/>
          <w:szCs w:val="20"/>
          <w:lang w:eastAsia="sk-SK"/>
        </w:rPr>
        <w:footnoteReference w:id="88"/>
      </w:r>
    </w:p>
    <w:p w14:paraId="7BE6B501" w14:textId="77777777" w:rsidR="008A4BCF" w:rsidRPr="0037680E" w:rsidRDefault="008A4BCF" w:rsidP="008A4BCF">
      <w:pPr>
        <w:rPr>
          <w:rFonts w:cs="Segoe UI"/>
        </w:rPr>
      </w:pPr>
      <w:r w:rsidRPr="00011D89">
        <w:rPr>
          <w:rFonts w:cs="Segoe UI"/>
          <w:b/>
        </w:rPr>
        <w:t>NKÚ SR opakovane apeluje</w:t>
      </w:r>
      <w:r w:rsidRPr="00644D8D">
        <w:rPr>
          <w:rStyle w:val="Odkaznapoznmkupodiarou"/>
          <w:rFonts w:cs="Segoe UI"/>
        </w:rPr>
        <w:footnoteReference w:id="89"/>
      </w:r>
      <w:r w:rsidRPr="00011D89">
        <w:rPr>
          <w:rFonts w:cs="Segoe UI"/>
          <w:b/>
        </w:rPr>
        <w:t xml:space="preserve"> na potrebu reformy miestnej samosprávy a zvýšenie jej celkovej efektívnosti.</w:t>
      </w:r>
      <w:r w:rsidRPr="00011D89">
        <w:rPr>
          <w:rFonts w:cs="Segoe UI"/>
        </w:rPr>
        <w:t xml:space="preserve"> </w:t>
      </w:r>
      <w:r w:rsidRPr="006A7016">
        <w:rPr>
          <w:rFonts w:cs="Segoe UI"/>
        </w:rPr>
        <w:t>Na rozdrobený systém miestnej samosprávy a nedostatočnú koordináciu</w:t>
      </w:r>
      <w:r w:rsidRPr="00127A20">
        <w:rPr>
          <w:rFonts w:cs="Segoe UI"/>
        </w:rPr>
        <w:t xml:space="preserve"> medzi</w:t>
      </w:r>
      <w:r w:rsidRPr="00011D89">
        <w:rPr>
          <w:rFonts w:cs="Segoe UI"/>
        </w:rPr>
        <w:t xml:space="preserve"> rôznymi úrovňami </w:t>
      </w:r>
      <w:r>
        <w:rPr>
          <w:rFonts w:cs="Segoe UI"/>
        </w:rPr>
        <w:t>VS</w:t>
      </w:r>
      <w:r w:rsidRPr="00011D89">
        <w:rPr>
          <w:rFonts w:cs="Segoe UI"/>
        </w:rPr>
        <w:t xml:space="preserve">, ktoré naďalej vytvárajú prekážky pri realizácii investičných projektov a dôležitých politík </w:t>
      </w:r>
      <w:r w:rsidRPr="003308BB">
        <w:rPr>
          <w:rFonts w:cs="Segoe UI"/>
        </w:rPr>
        <w:t>upozorňuje</w:t>
      </w:r>
      <w:r w:rsidRPr="0037680E">
        <w:rPr>
          <w:rFonts w:cs="Segoe UI"/>
        </w:rPr>
        <w:t xml:space="preserve"> aj </w:t>
      </w:r>
      <w:r w:rsidRPr="003308BB">
        <w:rPr>
          <w:rFonts w:cs="Segoe UI"/>
        </w:rPr>
        <w:t>E</w:t>
      </w:r>
      <w:r>
        <w:rPr>
          <w:rFonts w:cs="Segoe UI"/>
        </w:rPr>
        <w:t>K</w:t>
      </w:r>
      <w:r w:rsidRPr="003308BB">
        <w:rPr>
          <w:rFonts w:cs="Segoe UI"/>
        </w:rPr>
        <w:t>.</w:t>
      </w:r>
      <w:r w:rsidRPr="0037680E">
        <w:rPr>
          <w:rFonts w:cs="Segoe UI"/>
          <w:vertAlign w:val="superscript"/>
        </w:rPr>
        <w:footnoteReference w:id="90"/>
      </w:r>
      <w:r>
        <w:rPr>
          <w:rFonts w:cs="Segoe UI"/>
        </w:rPr>
        <w:t xml:space="preserve"> </w:t>
      </w:r>
      <w:r w:rsidRPr="00011D89">
        <w:rPr>
          <w:rFonts w:cs="Segoe UI"/>
        </w:rPr>
        <w:t xml:space="preserve">Z hľadiska výkonu verejných služieb štátu patria subjekty samosprávy medzi kľúčových partnerov výkonnej moci na centrálnej úrovni. </w:t>
      </w:r>
      <w:r w:rsidRPr="00A9355D">
        <w:rPr>
          <w:rFonts w:eastAsia="Times New Roman" w:cs="Segoe UI"/>
          <w:szCs w:val="20"/>
          <w:lang w:eastAsia="sk-SK"/>
        </w:rPr>
        <w:t>NKÚ SR vo svojich výstupoch pravidelne upozorňuje, že mnohé kompetencie nie sú vymedzené dostatočne, niektoré ani legislatíva neupravuje, ale samosprávy musia reagovať na vzniknuté problémy. Významné riziko predstavuje prijímanie legislatívnych zmien, ktoré majú z hľadiska rozpočtových dopadov negatívny vplyv na strategické plánovanie zámerov</w:t>
      </w:r>
      <w:r>
        <w:rPr>
          <w:rFonts w:eastAsia="Times New Roman" w:cs="Segoe UI"/>
          <w:szCs w:val="20"/>
          <w:lang w:eastAsia="sk-SK"/>
        </w:rPr>
        <w:t xml:space="preserve"> samosprávy</w:t>
      </w:r>
      <w:r w:rsidRPr="00A9355D">
        <w:rPr>
          <w:rFonts w:eastAsia="Times New Roman" w:cs="Segoe UI"/>
          <w:szCs w:val="20"/>
          <w:lang w:eastAsia="sk-SK"/>
        </w:rPr>
        <w:t xml:space="preserve"> a ich financovanie. </w:t>
      </w:r>
    </w:p>
    <w:p w14:paraId="5CBAE025" w14:textId="77777777" w:rsidR="008A4BCF" w:rsidRPr="003A70D3" w:rsidRDefault="008A4BCF" w:rsidP="008A4BCF">
      <w:pPr>
        <w:pStyle w:val="Nadpis2"/>
        <w:rPr>
          <w:rFonts w:eastAsia="Times New Roman"/>
          <w:lang w:eastAsia="sk-SK"/>
        </w:rPr>
      </w:pPr>
      <w:bookmarkStart w:id="52" w:name="_Toc168567211"/>
      <w:r w:rsidRPr="003A70D3">
        <w:rPr>
          <w:rFonts w:eastAsia="Times New Roman"/>
          <w:lang w:eastAsia="sk-SK"/>
        </w:rPr>
        <w:t xml:space="preserve">6.1 </w:t>
      </w:r>
      <w:r>
        <w:rPr>
          <w:rFonts w:eastAsia="Times New Roman"/>
          <w:lang w:eastAsia="sk-SK"/>
        </w:rPr>
        <w:t xml:space="preserve"> </w:t>
      </w:r>
      <w:r w:rsidRPr="003308BB">
        <w:t>Hospodárenie</w:t>
      </w:r>
      <w:r w:rsidRPr="003A70D3">
        <w:rPr>
          <w:rFonts w:eastAsia="Times New Roman"/>
          <w:lang w:eastAsia="sk-SK"/>
        </w:rPr>
        <w:t xml:space="preserve"> obcí</w:t>
      </w:r>
      <w:bookmarkEnd w:id="52"/>
    </w:p>
    <w:p w14:paraId="0835E428" w14:textId="77777777" w:rsidR="008A4BCF" w:rsidRPr="008D5255" w:rsidRDefault="008A4BCF" w:rsidP="008A4BCF">
      <w:pPr>
        <w:rPr>
          <w:rFonts w:cs="Segoe UI"/>
          <w:szCs w:val="20"/>
        </w:rPr>
      </w:pPr>
      <w:r w:rsidRPr="00AB4705">
        <w:rPr>
          <w:rFonts w:eastAsia="Times New Roman" w:cs="Segoe UI"/>
          <w:b/>
          <w:szCs w:val="20"/>
          <w:lang w:eastAsia="sk-SK"/>
        </w:rPr>
        <w:t xml:space="preserve">Príjmy </w:t>
      </w:r>
      <w:r>
        <w:rPr>
          <w:rFonts w:eastAsia="Times New Roman" w:cs="Segoe UI"/>
          <w:b/>
          <w:szCs w:val="20"/>
          <w:lang w:eastAsia="sk-SK"/>
        </w:rPr>
        <w:t xml:space="preserve">obcí v strednodobom horizonte vykazujú rast </w:t>
      </w:r>
      <w:r w:rsidRPr="006E2A64">
        <w:rPr>
          <w:rFonts w:eastAsia="Times New Roman" w:cs="Segoe UI"/>
          <w:szCs w:val="20"/>
          <w:lang w:eastAsia="sk-SK"/>
        </w:rPr>
        <w:t xml:space="preserve">(oproti roku 2022 o cca </w:t>
      </w:r>
      <w:r>
        <w:rPr>
          <w:rFonts w:eastAsia="Times New Roman" w:cs="Segoe UI"/>
          <w:szCs w:val="20"/>
          <w:lang w:eastAsia="sk-SK"/>
        </w:rPr>
        <w:t>2</w:t>
      </w:r>
      <w:r w:rsidRPr="006E2A64">
        <w:rPr>
          <w:rFonts w:eastAsia="Times New Roman" w:cs="Segoe UI"/>
          <w:szCs w:val="20"/>
          <w:lang w:eastAsia="sk-SK"/>
        </w:rPr>
        <w:t>0 %)</w:t>
      </w:r>
      <w:r w:rsidRPr="0014305F">
        <w:rPr>
          <w:rFonts w:eastAsia="Times New Roman" w:cs="Segoe UI"/>
          <w:b/>
          <w:szCs w:val="20"/>
          <w:lang w:eastAsia="sk-SK"/>
        </w:rPr>
        <w:t>.</w:t>
      </w:r>
      <w:r>
        <w:rPr>
          <w:rFonts w:eastAsia="Times New Roman" w:cs="Segoe UI"/>
          <w:szCs w:val="20"/>
          <w:lang w:eastAsia="sk-SK"/>
        </w:rPr>
        <w:t xml:space="preserve"> D</w:t>
      </w:r>
      <w:r w:rsidRPr="00C42A3F">
        <w:rPr>
          <w:rFonts w:eastAsia="Times New Roman" w:cs="Segoe UI"/>
          <w:szCs w:val="20"/>
          <w:lang w:eastAsia="sk-SK"/>
        </w:rPr>
        <w:t>aňové príjmy, granty a transfery</w:t>
      </w:r>
      <w:r>
        <w:rPr>
          <w:rFonts w:eastAsia="Times New Roman" w:cs="Segoe UI"/>
          <w:b/>
          <w:szCs w:val="20"/>
          <w:lang w:eastAsia="sk-SK"/>
        </w:rPr>
        <w:t xml:space="preserve"> </w:t>
      </w:r>
      <w:r>
        <w:rPr>
          <w:rFonts w:eastAsia="Times New Roman" w:cs="Segoe UI"/>
          <w:szCs w:val="20"/>
          <w:lang w:eastAsia="sk-SK"/>
        </w:rPr>
        <w:t xml:space="preserve">tvoria 80 % príjmu </w:t>
      </w:r>
      <w:r w:rsidRPr="009036A7">
        <w:rPr>
          <w:rFonts w:eastAsia="Times New Roman" w:cs="Segoe UI"/>
          <w:szCs w:val="20"/>
          <w:lang w:eastAsia="sk-SK"/>
        </w:rPr>
        <w:t>(</w:t>
      </w:r>
      <w:r>
        <w:rPr>
          <w:rFonts w:eastAsia="Times New Roman" w:cs="Segoe UI"/>
          <w:szCs w:val="20"/>
          <w:lang w:eastAsia="sk-SK"/>
        </w:rPr>
        <w:t xml:space="preserve">tabuľka 17). </w:t>
      </w:r>
      <w:r w:rsidRPr="002578C5">
        <w:rPr>
          <w:rFonts w:cs="Segoe UI"/>
          <w:szCs w:val="20"/>
        </w:rPr>
        <w:t xml:space="preserve">Skutočný (hotovostný) </w:t>
      </w:r>
      <w:r w:rsidRPr="003308BB">
        <w:rPr>
          <w:rFonts w:cs="Segoe UI"/>
          <w:szCs w:val="20"/>
        </w:rPr>
        <w:t xml:space="preserve">prevod </w:t>
      </w:r>
      <w:r>
        <w:rPr>
          <w:rFonts w:cs="Segoe UI"/>
          <w:szCs w:val="20"/>
        </w:rPr>
        <w:t>DPFO d</w:t>
      </w:r>
      <w:r w:rsidRPr="0037680E">
        <w:rPr>
          <w:rFonts w:cs="Segoe UI"/>
          <w:szCs w:val="20"/>
        </w:rPr>
        <w:t xml:space="preserve">o rozpočtov obcí bol vykonaný vo výške </w:t>
      </w:r>
      <w:r w:rsidRPr="003308BB">
        <w:rPr>
          <w:rFonts w:cs="Segoe UI"/>
          <w:szCs w:val="20"/>
        </w:rPr>
        <w:t>2,7 mld. eur</w:t>
      </w:r>
      <w:r>
        <w:rPr>
          <w:rFonts w:cs="Segoe UI"/>
          <w:szCs w:val="20"/>
        </w:rPr>
        <w:t>,</w:t>
      </w:r>
      <w:r w:rsidRPr="0037680E">
        <w:rPr>
          <w:rFonts w:cs="Segoe UI"/>
          <w:szCs w:val="20"/>
        </w:rPr>
        <w:t xml:space="preserve"> </w:t>
      </w:r>
      <w:r w:rsidRPr="002578C5">
        <w:rPr>
          <w:rFonts w:cs="Segoe UI"/>
          <w:szCs w:val="20"/>
        </w:rPr>
        <w:t>vrátane zúčtovania za predchádzajúci rok (</w:t>
      </w:r>
      <w:r>
        <w:rPr>
          <w:rFonts w:cs="Segoe UI"/>
          <w:szCs w:val="20"/>
        </w:rPr>
        <w:t>v roku 2</w:t>
      </w:r>
      <w:r w:rsidRPr="002578C5">
        <w:rPr>
          <w:rFonts w:cs="Segoe UI"/>
          <w:szCs w:val="20"/>
        </w:rPr>
        <w:t>022: 2</w:t>
      </w:r>
      <w:r>
        <w:rPr>
          <w:rFonts w:cs="Segoe UI"/>
          <w:szCs w:val="20"/>
        </w:rPr>
        <w:t>,</w:t>
      </w:r>
      <w:r w:rsidRPr="002578C5">
        <w:rPr>
          <w:rFonts w:cs="Segoe UI"/>
          <w:szCs w:val="20"/>
        </w:rPr>
        <w:t>5</w:t>
      </w:r>
      <w:r>
        <w:rPr>
          <w:rFonts w:cs="Segoe UI"/>
          <w:szCs w:val="20"/>
        </w:rPr>
        <w:t xml:space="preserve"> mld.</w:t>
      </w:r>
      <w:r w:rsidRPr="002578C5">
        <w:rPr>
          <w:rFonts w:cs="Segoe UI"/>
          <w:szCs w:val="20"/>
        </w:rPr>
        <w:t> eur</w:t>
      </w:r>
      <w:r w:rsidRPr="002578C5">
        <w:rPr>
          <w:rFonts w:cs="Segoe UI"/>
          <w:szCs w:val="20"/>
          <w:lang w:val="en-US"/>
        </w:rPr>
        <w:t xml:space="preserve">; 2021: 2,3 </w:t>
      </w:r>
      <w:r w:rsidRPr="003308BB">
        <w:rPr>
          <w:rFonts w:cs="Segoe UI"/>
          <w:szCs w:val="20"/>
        </w:rPr>
        <w:t>mld. eur</w:t>
      </w:r>
      <w:r w:rsidRPr="002578C5">
        <w:rPr>
          <w:rFonts w:cs="Segoe UI"/>
          <w:szCs w:val="20"/>
        </w:rPr>
        <w:t>).</w:t>
      </w:r>
      <w:r>
        <w:rPr>
          <w:rFonts w:cs="Segoe UI"/>
          <w:szCs w:val="20"/>
        </w:rPr>
        <w:t xml:space="preserve"> </w:t>
      </w:r>
      <w:r w:rsidRPr="008D5255">
        <w:rPr>
          <w:rFonts w:cs="Segoe UI"/>
          <w:szCs w:val="20"/>
        </w:rPr>
        <w:t>K zlepšeniu hospodáreni</w:t>
      </w:r>
      <w:r>
        <w:rPr>
          <w:rFonts w:cs="Segoe UI"/>
          <w:szCs w:val="20"/>
        </w:rPr>
        <w:t>a okrem DPFO</w:t>
      </w:r>
      <w:r w:rsidRPr="008D5255">
        <w:rPr>
          <w:rFonts w:cs="Segoe UI"/>
          <w:szCs w:val="20"/>
        </w:rPr>
        <w:t xml:space="preserve"> prispel aj nárast príjmov z dane zo stavieb, bytov a nebytových priestorov </w:t>
      </w:r>
      <w:r>
        <w:rPr>
          <w:rFonts w:cs="Segoe UI"/>
          <w:szCs w:val="20"/>
        </w:rPr>
        <w:t xml:space="preserve">a </w:t>
      </w:r>
      <w:r w:rsidRPr="008D5255">
        <w:rPr>
          <w:rFonts w:cs="Segoe UI"/>
          <w:szCs w:val="20"/>
        </w:rPr>
        <w:t>príjmov z dane za rozvoj, ubytovanie.</w:t>
      </w:r>
    </w:p>
    <w:p w14:paraId="167E778C" w14:textId="77777777" w:rsidR="008A4BCF" w:rsidRPr="002578C5" w:rsidRDefault="008A4BCF" w:rsidP="008A4BCF">
      <w:pPr>
        <w:rPr>
          <w:rFonts w:eastAsia="Times New Roman" w:cs="Segoe UI"/>
          <w:szCs w:val="20"/>
          <w:lang w:eastAsia="sk-SK"/>
        </w:rPr>
      </w:pPr>
      <w:r w:rsidRPr="0014305F">
        <w:rPr>
          <w:rFonts w:eastAsia="Times New Roman" w:cs="Segoe UI"/>
          <w:b/>
          <w:szCs w:val="20"/>
          <w:lang w:eastAsia="sk-SK"/>
        </w:rPr>
        <w:t>Významným príjmom obcí sú aj transfery z kapitol ŠR, ktoré slúžia predovšetkým na financovanie preneseného výkonu štátnej správy. 12 kapitol presunulo zo svojich rozpočtov 2,6 mld. eur, čo za posledné štyri roky predstavovalo najvyššiu sumu</w:t>
      </w:r>
      <w:r>
        <w:rPr>
          <w:rFonts w:eastAsia="Times New Roman" w:cs="Segoe UI"/>
          <w:b/>
          <w:szCs w:val="20"/>
          <w:lang w:eastAsia="sk-SK"/>
        </w:rPr>
        <w:t xml:space="preserve"> </w:t>
      </w:r>
      <w:r w:rsidRPr="00875CF1">
        <w:rPr>
          <w:rFonts w:eastAsia="Times New Roman" w:cs="Segoe UI"/>
          <w:szCs w:val="20"/>
          <w:lang w:eastAsia="sk-SK"/>
        </w:rPr>
        <w:t xml:space="preserve">(oproti roku 2022 </w:t>
      </w:r>
      <w:r>
        <w:rPr>
          <w:rFonts w:eastAsia="Times New Roman" w:cs="Segoe UI"/>
          <w:szCs w:val="20"/>
          <w:lang w:eastAsia="sk-SK"/>
        </w:rPr>
        <w:t>viac</w:t>
      </w:r>
      <w:r w:rsidRPr="00875CF1">
        <w:rPr>
          <w:rFonts w:eastAsia="Times New Roman" w:cs="Segoe UI"/>
          <w:szCs w:val="20"/>
          <w:lang w:eastAsia="sk-SK"/>
        </w:rPr>
        <w:t xml:space="preserve"> o </w:t>
      </w:r>
      <w:r>
        <w:rPr>
          <w:rFonts w:eastAsia="Times New Roman" w:cs="Segoe UI"/>
          <w:szCs w:val="20"/>
          <w:lang w:eastAsia="sk-SK"/>
        </w:rPr>
        <w:t>54</w:t>
      </w:r>
      <w:r w:rsidRPr="00875CF1">
        <w:rPr>
          <w:rFonts w:eastAsia="Times New Roman" w:cs="Segoe UI"/>
          <w:szCs w:val="20"/>
          <w:lang w:eastAsia="sk-SK"/>
        </w:rPr>
        <w:t xml:space="preserve"> %)</w:t>
      </w:r>
      <w:r w:rsidRPr="0014305F">
        <w:rPr>
          <w:rFonts w:eastAsia="Times New Roman" w:cs="Segoe UI"/>
          <w:b/>
          <w:szCs w:val="20"/>
          <w:lang w:eastAsia="sk-SK"/>
        </w:rPr>
        <w:t>.</w:t>
      </w:r>
      <w:r w:rsidRPr="002578C5">
        <w:rPr>
          <w:rFonts w:eastAsia="Times New Roman" w:cs="Segoe UI"/>
          <w:szCs w:val="20"/>
          <w:lang w:eastAsia="sk-SK"/>
        </w:rPr>
        <w:t xml:space="preserve"> V roku 2023 najvyššie transfery smerovali do oblasti vzdelávania (transfer z</w:t>
      </w:r>
      <w:r>
        <w:rPr>
          <w:rFonts w:eastAsia="Times New Roman" w:cs="Segoe UI"/>
          <w:szCs w:val="20"/>
          <w:lang w:eastAsia="sk-SK"/>
        </w:rPr>
        <w:t> </w:t>
      </w:r>
      <w:r w:rsidRPr="002578C5">
        <w:rPr>
          <w:rFonts w:eastAsia="Times New Roman" w:cs="Segoe UI"/>
          <w:szCs w:val="20"/>
          <w:lang w:eastAsia="sk-SK"/>
        </w:rPr>
        <w:t>MŠVVa</w:t>
      </w:r>
      <w:r>
        <w:rPr>
          <w:rFonts w:eastAsia="Times New Roman" w:cs="Segoe UI"/>
          <w:szCs w:val="20"/>
          <w:lang w:eastAsia="sk-SK"/>
        </w:rPr>
        <w:t>Š</w:t>
      </w:r>
      <w:r w:rsidRPr="002578C5">
        <w:rPr>
          <w:rFonts w:eastAsia="Times New Roman" w:cs="Segoe UI"/>
          <w:szCs w:val="20"/>
          <w:lang w:eastAsia="sk-SK"/>
        </w:rPr>
        <w:t xml:space="preserve"> SR v objeme 1</w:t>
      </w:r>
      <w:r>
        <w:rPr>
          <w:rFonts w:eastAsia="Times New Roman" w:cs="Segoe UI"/>
          <w:szCs w:val="20"/>
          <w:lang w:eastAsia="sk-SK"/>
        </w:rPr>
        <w:t>,</w:t>
      </w:r>
      <w:r w:rsidRPr="002578C5">
        <w:rPr>
          <w:rFonts w:eastAsia="Times New Roman" w:cs="Segoe UI"/>
          <w:szCs w:val="20"/>
          <w:lang w:eastAsia="sk-SK"/>
        </w:rPr>
        <w:t>4</w:t>
      </w:r>
      <w:r>
        <w:rPr>
          <w:rFonts w:eastAsia="Times New Roman" w:cs="Segoe UI"/>
          <w:szCs w:val="20"/>
          <w:lang w:eastAsia="sk-SK"/>
        </w:rPr>
        <w:t xml:space="preserve"> mld.</w:t>
      </w:r>
      <w:r w:rsidRPr="002578C5">
        <w:rPr>
          <w:rFonts w:eastAsia="Times New Roman" w:cs="Segoe UI"/>
          <w:szCs w:val="20"/>
          <w:lang w:eastAsia="sk-SK"/>
        </w:rPr>
        <w:t xml:space="preserve"> eur)</w:t>
      </w:r>
      <w:r>
        <w:rPr>
          <w:rFonts w:eastAsia="Times New Roman" w:cs="Segoe UI"/>
          <w:szCs w:val="20"/>
          <w:lang w:eastAsia="sk-SK"/>
        </w:rPr>
        <w:t>.</w:t>
      </w:r>
      <w:r>
        <w:rPr>
          <w:rStyle w:val="Odkaznapoznmkupodiarou"/>
          <w:rFonts w:eastAsia="Times New Roman" w:cs="Segoe UI"/>
          <w:szCs w:val="20"/>
          <w:lang w:eastAsia="sk-SK"/>
        </w:rPr>
        <w:footnoteReference w:id="91"/>
      </w:r>
      <w:r>
        <w:rPr>
          <w:rFonts w:eastAsia="Times New Roman" w:cs="Segoe UI"/>
          <w:szCs w:val="20"/>
          <w:lang w:eastAsia="sk-SK"/>
        </w:rPr>
        <w:t xml:space="preserve"> </w:t>
      </w:r>
    </w:p>
    <w:p w14:paraId="0CBD055D" w14:textId="77777777" w:rsidR="008A4BCF" w:rsidRPr="007C1F09" w:rsidRDefault="008A4BCF" w:rsidP="008A4BCF">
      <w:pPr>
        <w:pStyle w:val="Popis"/>
        <w:keepNext/>
        <w:rPr>
          <w:color w:val="314364"/>
        </w:rPr>
      </w:pPr>
      <w:r w:rsidRPr="007C1F09">
        <w:rPr>
          <w:color w:val="314364"/>
        </w:rPr>
        <w:lastRenderedPageBreak/>
        <w:t>Tabuľka 17: Vybrané finanč</w:t>
      </w:r>
      <w:r>
        <w:rPr>
          <w:color w:val="314364"/>
        </w:rPr>
        <w:t>né ukazovatele obcí za roky 2021</w:t>
      </w:r>
      <w:r w:rsidRPr="007C1F09">
        <w:rPr>
          <w:color w:val="314364"/>
        </w:rPr>
        <w:t xml:space="preserve"> až 2023 (v tis. eur)</w:t>
      </w:r>
    </w:p>
    <w:tbl>
      <w:tblPr>
        <w:tblW w:w="5000" w:type="pct"/>
        <w:tblBorders>
          <w:bottom w:val="single" w:sz="4" w:space="0" w:color="314364" w:themeColor="text2"/>
        </w:tblBorders>
        <w:tblLook w:val="01E0" w:firstRow="1" w:lastRow="1" w:firstColumn="1" w:lastColumn="1" w:noHBand="0" w:noVBand="0"/>
      </w:tblPr>
      <w:tblGrid>
        <w:gridCol w:w="2752"/>
        <w:gridCol w:w="1297"/>
        <w:gridCol w:w="1297"/>
        <w:gridCol w:w="1297"/>
        <w:gridCol w:w="1458"/>
        <w:gridCol w:w="969"/>
      </w:tblGrid>
      <w:tr w:rsidR="008A4BCF" w:rsidRPr="002F45E5" w14:paraId="4B577CB3" w14:textId="77777777" w:rsidTr="00B44AC3">
        <w:trPr>
          <w:trHeight w:val="283"/>
          <w:tblHeader/>
        </w:trPr>
        <w:tc>
          <w:tcPr>
            <w:tcW w:w="1517" w:type="pct"/>
            <w:shd w:val="clear" w:color="auto" w:fill="24324A" w:themeFill="text2" w:themeFillShade="BF"/>
            <w:vAlign w:val="center"/>
            <w:hideMark/>
          </w:tcPr>
          <w:p w14:paraId="4A83698C" w14:textId="77777777" w:rsidR="008A4BCF" w:rsidRPr="002F45E5" w:rsidRDefault="008A4BCF" w:rsidP="00B44AC3">
            <w:pPr>
              <w:spacing w:after="0" w:line="240" w:lineRule="auto"/>
              <w:jc w:val="left"/>
              <w:rPr>
                <w:rFonts w:eastAsia="Times New Roman" w:cs="Segoe UI"/>
                <w:b/>
                <w:sz w:val="18"/>
                <w:szCs w:val="18"/>
                <w:lang w:eastAsia="sk-SK"/>
              </w:rPr>
            </w:pPr>
            <w:r w:rsidRPr="002F45E5">
              <w:rPr>
                <w:rFonts w:eastAsia="Times New Roman" w:cs="Segoe UI"/>
                <w:b/>
                <w:sz w:val="18"/>
                <w:szCs w:val="18"/>
                <w:lang w:eastAsia="sk-SK"/>
              </w:rPr>
              <w:t>Názov ukazovateľa</w:t>
            </w:r>
          </w:p>
        </w:tc>
        <w:tc>
          <w:tcPr>
            <w:tcW w:w="715" w:type="pct"/>
            <w:shd w:val="clear" w:color="auto" w:fill="24324A" w:themeFill="text2" w:themeFillShade="BF"/>
            <w:vAlign w:val="center"/>
          </w:tcPr>
          <w:p w14:paraId="2E74F282" w14:textId="77777777" w:rsidR="008A4BCF" w:rsidRPr="002F45E5" w:rsidRDefault="008A4BCF" w:rsidP="00B44AC3">
            <w:pPr>
              <w:spacing w:after="0" w:line="240" w:lineRule="auto"/>
              <w:jc w:val="right"/>
              <w:rPr>
                <w:rFonts w:eastAsia="Times New Roman" w:cs="Segoe UI"/>
                <w:b/>
                <w:sz w:val="18"/>
                <w:szCs w:val="18"/>
                <w:lang w:eastAsia="sk-SK"/>
              </w:rPr>
            </w:pPr>
            <w:r w:rsidRPr="002F45E5">
              <w:rPr>
                <w:rFonts w:eastAsia="Times New Roman" w:cs="Segoe UI"/>
                <w:b/>
                <w:sz w:val="18"/>
                <w:szCs w:val="18"/>
                <w:lang w:eastAsia="sk-SK"/>
              </w:rPr>
              <w:t>2021</w:t>
            </w:r>
          </w:p>
        </w:tc>
        <w:tc>
          <w:tcPr>
            <w:tcW w:w="715" w:type="pct"/>
            <w:shd w:val="clear" w:color="auto" w:fill="24324A" w:themeFill="text2" w:themeFillShade="BF"/>
            <w:vAlign w:val="center"/>
          </w:tcPr>
          <w:p w14:paraId="5788261D" w14:textId="77777777" w:rsidR="008A4BCF" w:rsidRPr="002F45E5" w:rsidRDefault="008A4BCF" w:rsidP="00B44AC3">
            <w:pPr>
              <w:spacing w:after="0" w:line="240" w:lineRule="auto"/>
              <w:jc w:val="right"/>
              <w:rPr>
                <w:rFonts w:eastAsia="Times New Roman" w:cs="Segoe UI"/>
                <w:b/>
                <w:sz w:val="18"/>
                <w:szCs w:val="18"/>
                <w:lang w:eastAsia="sk-SK"/>
              </w:rPr>
            </w:pPr>
            <w:r w:rsidRPr="002F45E5">
              <w:rPr>
                <w:rFonts w:eastAsia="Times New Roman" w:cs="Segoe UI"/>
                <w:b/>
                <w:sz w:val="18"/>
                <w:szCs w:val="18"/>
                <w:lang w:eastAsia="sk-SK"/>
              </w:rPr>
              <w:t>2022</w:t>
            </w:r>
          </w:p>
        </w:tc>
        <w:tc>
          <w:tcPr>
            <w:tcW w:w="715" w:type="pct"/>
            <w:shd w:val="clear" w:color="auto" w:fill="24324A" w:themeFill="text2" w:themeFillShade="BF"/>
            <w:vAlign w:val="center"/>
          </w:tcPr>
          <w:p w14:paraId="1D2B0BEA" w14:textId="77777777" w:rsidR="008A4BCF" w:rsidRPr="002F45E5" w:rsidRDefault="008A4BCF" w:rsidP="00B44AC3">
            <w:pPr>
              <w:spacing w:after="0" w:line="240" w:lineRule="auto"/>
              <w:jc w:val="right"/>
              <w:rPr>
                <w:rFonts w:eastAsia="Times New Roman" w:cs="Segoe UI"/>
                <w:b/>
                <w:sz w:val="18"/>
                <w:szCs w:val="18"/>
                <w:lang w:eastAsia="sk-SK"/>
              </w:rPr>
            </w:pPr>
            <w:r w:rsidRPr="002F45E5">
              <w:rPr>
                <w:rFonts w:eastAsia="Times New Roman" w:cs="Segoe UI"/>
                <w:b/>
                <w:sz w:val="18"/>
                <w:szCs w:val="18"/>
                <w:lang w:eastAsia="sk-SK"/>
              </w:rPr>
              <w:t xml:space="preserve">2023 </w:t>
            </w:r>
          </w:p>
        </w:tc>
        <w:tc>
          <w:tcPr>
            <w:tcW w:w="804" w:type="pct"/>
            <w:shd w:val="clear" w:color="auto" w:fill="24324A" w:themeFill="text2" w:themeFillShade="BF"/>
            <w:vAlign w:val="center"/>
          </w:tcPr>
          <w:p w14:paraId="1774E0A2" w14:textId="77777777" w:rsidR="008A4BCF" w:rsidRPr="002F45E5" w:rsidRDefault="008A4BCF" w:rsidP="00B44AC3">
            <w:pPr>
              <w:widowControl w:val="0"/>
              <w:spacing w:after="0" w:line="240" w:lineRule="auto"/>
              <w:jc w:val="right"/>
              <w:rPr>
                <w:rFonts w:eastAsia="Times New Roman" w:cs="Segoe UI"/>
                <w:b/>
                <w:sz w:val="18"/>
                <w:szCs w:val="18"/>
                <w:lang w:eastAsia="sk-SK"/>
              </w:rPr>
            </w:pPr>
            <w:r w:rsidRPr="002F45E5">
              <w:rPr>
                <w:rFonts w:eastAsia="Times New Roman" w:cs="Segoe UI"/>
                <w:b/>
                <w:sz w:val="18"/>
                <w:szCs w:val="18"/>
                <w:lang w:eastAsia="sk-SK"/>
              </w:rPr>
              <w:t>2023 - 2022</w:t>
            </w:r>
          </w:p>
        </w:tc>
        <w:tc>
          <w:tcPr>
            <w:tcW w:w="536" w:type="pct"/>
            <w:shd w:val="clear" w:color="auto" w:fill="24324A" w:themeFill="text2" w:themeFillShade="BF"/>
            <w:vAlign w:val="center"/>
          </w:tcPr>
          <w:p w14:paraId="79DA6B68" w14:textId="77777777" w:rsidR="008A4BCF" w:rsidRPr="002F45E5" w:rsidRDefault="008A4BCF" w:rsidP="00B44AC3">
            <w:pPr>
              <w:widowControl w:val="0"/>
              <w:spacing w:after="0" w:line="240" w:lineRule="auto"/>
              <w:jc w:val="right"/>
              <w:rPr>
                <w:rFonts w:eastAsia="Times New Roman" w:cs="Segoe UI"/>
                <w:b/>
                <w:sz w:val="18"/>
                <w:szCs w:val="18"/>
                <w:lang w:eastAsia="sk-SK"/>
              </w:rPr>
            </w:pPr>
            <w:r w:rsidRPr="002F45E5">
              <w:rPr>
                <w:rFonts w:eastAsia="Times New Roman" w:cs="Segoe UI"/>
                <w:b/>
                <w:sz w:val="18"/>
                <w:szCs w:val="18"/>
                <w:lang w:eastAsia="sk-SK"/>
              </w:rPr>
              <w:t>YoY/%</w:t>
            </w:r>
          </w:p>
        </w:tc>
      </w:tr>
      <w:tr w:rsidR="008A4BCF" w:rsidRPr="002F45E5" w14:paraId="15F04C35" w14:textId="77777777" w:rsidTr="00B44AC3">
        <w:trPr>
          <w:trHeight w:val="283"/>
        </w:trPr>
        <w:tc>
          <w:tcPr>
            <w:tcW w:w="1517" w:type="pct"/>
            <w:vAlign w:val="center"/>
          </w:tcPr>
          <w:p w14:paraId="7657CC0C" w14:textId="77777777" w:rsidR="008A4BCF" w:rsidRPr="002F45E5" w:rsidRDefault="008A4BCF" w:rsidP="00B44AC3">
            <w:pPr>
              <w:spacing w:after="0" w:line="240" w:lineRule="auto"/>
              <w:contextualSpacing/>
              <w:jc w:val="left"/>
              <w:rPr>
                <w:rFonts w:eastAsia="Times New Roman" w:cs="Segoe UI"/>
                <w:b/>
                <w:bCs/>
                <w:sz w:val="18"/>
                <w:szCs w:val="18"/>
                <w:lang w:eastAsia="sk-SK"/>
              </w:rPr>
            </w:pPr>
            <w:r w:rsidRPr="002F45E5">
              <w:rPr>
                <w:rFonts w:eastAsia="Times New Roman" w:cs="Segoe UI"/>
                <w:b/>
                <w:bCs/>
                <w:sz w:val="18"/>
                <w:szCs w:val="18"/>
                <w:lang w:eastAsia="sk-SK"/>
              </w:rPr>
              <w:t>Príjmy celkom</w:t>
            </w:r>
          </w:p>
        </w:tc>
        <w:tc>
          <w:tcPr>
            <w:tcW w:w="715" w:type="pct"/>
            <w:vAlign w:val="center"/>
          </w:tcPr>
          <w:p w14:paraId="213BCD37" w14:textId="77777777" w:rsidR="008A4BCF" w:rsidRPr="002F45E5" w:rsidRDefault="008A4BCF" w:rsidP="00B44AC3">
            <w:pPr>
              <w:spacing w:after="0" w:line="240" w:lineRule="auto"/>
              <w:contextualSpacing/>
              <w:jc w:val="right"/>
              <w:rPr>
                <w:rFonts w:eastAsia="Times New Roman" w:cs="Segoe UI"/>
                <w:b/>
                <w:bCs/>
                <w:sz w:val="18"/>
                <w:szCs w:val="18"/>
                <w:lang w:eastAsia="sk-SK"/>
              </w:rPr>
            </w:pPr>
            <w:r w:rsidRPr="002F45E5">
              <w:rPr>
                <w:rFonts w:eastAsia="Times New Roman" w:cs="Segoe UI"/>
                <w:b/>
                <w:bCs/>
                <w:sz w:val="18"/>
                <w:szCs w:val="18"/>
                <w:lang w:eastAsia="sk-SK"/>
              </w:rPr>
              <w:t>6 228 608</w:t>
            </w:r>
          </w:p>
        </w:tc>
        <w:tc>
          <w:tcPr>
            <w:tcW w:w="715" w:type="pct"/>
            <w:vAlign w:val="center"/>
          </w:tcPr>
          <w:p w14:paraId="0E3C7D57" w14:textId="77777777" w:rsidR="008A4BCF" w:rsidRPr="002F45E5" w:rsidRDefault="008A4BCF" w:rsidP="00B44AC3">
            <w:pPr>
              <w:spacing w:after="0" w:line="240" w:lineRule="auto"/>
              <w:contextualSpacing/>
              <w:jc w:val="right"/>
              <w:rPr>
                <w:rFonts w:eastAsia="Times New Roman" w:cs="Segoe UI"/>
                <w:b/>
                <w:bCs/>
                <w:sz w:val="18"/>
                <w:szCs w:val="18"/>
                <w:lang w:eastAsia="sk-SK"/>
              </w:rPr>
            </w:pPr>
            <w:r w:rsidRPr="002F45E5">
              <w:rPr>
                <w:rFonts w:eastAsia="Times New Roman" w:cs="Segoe UI"/>
                <w:b/>
                <w:bCs/>
                <w:sz w:val="18"/>
                <w:szCs w:val="18"/>
                <w:lang w:eastAsia="sk-SK"/>
              </w:rPr>
              <w:t>6 827 865</w:t>
            </w:r>
          </w:p>
        </w:tc>
        <w:tc>
          <w:tcPr>
            <w:tcW w:w="715" w:type="pct"/>
            <w:vAlign w:val="center"/>
          </w:tcPr>
          <w:p w14:paraId="41A13B96" w14:textId="77777777" w:rsidR="008A4BCF" w:rsidRPr="002F45E5" w:rsidRDefault="008A4BCF" w:rsidP="00B44AC3">
            <w:pPr>
              <w:spacing w:after="0" w:line="240" w:lineRule="auto"/>
              <w:contextualSpacing/>
              <w:jc w:val="right"/>
              <w:rPr>
                <w:rFonts w:eastAsia="Times New Roman" w:cs="Segoe UI"/>
                <w:b/>
                <w:bCs/>
                <w:sz w:val="18"/>
                <w:szCs w:val="18"/>
                <w:lang w:eastAsia="sk-SK"/>
              </w:rPr>
            </w:pPr>
            <w:r w:rsidRPr="002F45E5">
              <w:rPr>
                <w:rFonts w:eastAsia="Times New Roman" w:cs="Segoe UI"/>
                <w:b/>
                <w:bCs/>
                <w:sz w:val="18"/>
                <w:szCs w:val="18"/>
                <w:lang w:eastAsia="sk-SK"/>
              </w:rPr>
              <w:t>8 206 526</w:t>
            </w:r>
          </w:p>
        </w:tc>
        <w:tc>
          <w:tcPr>
            <w:tcW w:w="804" w:type="pct"/>
            <w:vAlign w:val="center"/>
          </w:tcPr>
          <w:p w14:paraId="6177C02F" w14:textId="77777777" w:rsidR="008A4BCF" w:rsidRPr="002F45E5" w:rsidRDefault="008A4BCF" w:rsidP="00B44AC3">
            <w:pPr>
              <w:spacing w:after="0" w:line="240" w:lineRule="auto"/>
              <w:contextualSpacing/>
              <w:jc w:val="right"/>
              <w:rPr>
                <w:rFonts w:eastAsia="Times New Roman" w:cs="Segoe UI"/>
                <w:b/>
                <w:bCs/>
                <w:sz w:val="18"/>
                <w:szCs w:val="18"/>
                <w:lang w:eastAsia="sk-SK"/>
              </w:rPr>
            </w:pPr>
            <w:r w:rsidRPr="002F45E5">
              <w:rPr>
                <w:rFonts w:eastAsia="Times New Roman" w:cs="Segoe UI"/>
                <w:b/>
                <w:bCs/>
                <w:sz w:val="18"/>
                <w:szCs w:val="18"/>
                <w:lang w:eastAsia="sk-SK"/>
              </w:rPr>
              <w:t>1 378 661</w:t>
            </w:r>
          </w:p>
        </w:tc>
        <w:tc>
          <w:tcPr>
            <w:tcW w:w="536" w:type="pct"/>
            <w:vAlign w:val="center"/>
          </w:tcPr>
          <w:p w14:paraId="4A14AAFB" w14:textId="77777777" w:rsidR="008A4BCF" w:rsidRPr="002F45E5" w:rsidRDefault="008A4BCF" w:rsidP="00B44AC3">
            <w:pPr>
              <w:spacing w:after="0" w:line="240" w:lineRule="auto"/>
              <w:contextualSpacing/>
              <w:jc w:val="right"/>
              <w:rPr>
                <w:rFonts w:eastAsia="Times New Roman" w:cs="Segoe UI"/>
                <w:b/>
                <w:bCs/>
                <w:sz w:val="18"/>
                <w:szCs w:val="18"/>
                <w:lang w:eastAsia="sk-SK"/>
              </w:rPr>
            </w:pPr>
            <w:r w:rsidRPr="002F45E5">
              <w:rPr>
                <w:rFonts w:eastAsia="Times New Roman" w:cs="Segoe UI"/>
                <w:b/>
                <w:bCs/>
                <w:sz w:val="18"/>
                <w:szCs w:val="18"/>
                <w:lang w:eastAsia="sk-SK"/>
              </w:rPr>
              <w:t>120,19</w:t>
            </w:r>
          </w:p>
        </w:tc>
      </w:tr>
      <w:tr w:rsidR="008A4BCF" w:rsidRPr="002F45E5" w14:paraId="50EAA136" w14:textId="77777777" w:rsidTr="00B44AC3">
        <w:trPr>
          <w:trHeight w:val="283"/>
        </w:trPr>
        <w:tc>
          <w:tcPr>
            <w:tcW w:w="1517" w:type="pct"/>
            <w:vAlign w:val="center"/>
          </w:tcPr>
          <w:p w14:paraId="3EA84BBF" w14:textId="77777777" w:rsidR="008A4BCF" w:rsidRPr="002F45E5" w:rsidRDefault="008A4BCF" w:rsidP="00B44AC3">
            <w:pPr>
              <w:spacing w:after="0" w:line="240" w:lineRule="auto"/>
              <w:contextualSpacing/>
              <w:jc w:val="left"/>
              <w:rPr>
                <w:rFonts w:eastAsia="Times New Roman" w:cs="Segoe UI"/>
                <w:bCs/>
                <w:sz w:val="18"/>
                <w:szCs w:val="18"/>
                <w:lang w:eastAsia="sk-SK"/>
              </w:rPr>
            </w:pPr>
            <w:r w:rsidRPr="002F45E5">
              <w:rPr>
                <w:rFonts w:eastAsia="Times New Roman" w:cs="Segoe UI"/>
                <w:bCs/>
                <w:sz w:val="18"/>
                <w:szCs w:val="18"/>
                <w:lang w:eastAsia="sk-SK"/>
              </w:rPr>
              <w:t>Transfer na prenesený výkon</w:t>
            </w:r>
          </w:p>
        </w:tc>
        <w:tc>
          <w:tcPr>
            <w:tcW w:w="715" w:type="pct"/>
            <w:vAlign w:val="center"/>
          </w:tcPr>
          <w:p w14:paraId="596EA498" w14:textId="77777777" w:rsidR="008A4BCF" w:rsidRPr="002F45E5" w:rsidRDefault="008A4BCF" w:rsidP="00B44AC3">
            <w:pPr>
              <w:spacing w:after="0" w:line="240" w:lineRule="auto"/>
              <w:jc w:val="right"/>
              <w:rPr>
                <w:rFonts w:eastAsia="Times New Roman" w:cs="Segoe UI"/>
                <w:bCs/>
                <w:sz w:val="18"/>
                <w:szCs w:val="18"/>
                <w:lang w:eastAsia="sk-SK"/>
              </w:rPr>
            </w:pPr>
            <w:r w:rsidRPr="002F45E5">
              <w:rPr>
                <w:rFonts w:eastAsia="Times New Roman" w:cs="Segoe UI"/>
                <w:bCs/>
                <w:sz w:val="18"/>
                <w:szCs w:val="18"/>
                <w:lang w:eastAsia="sk-SK"/>
              </w:rPr>
              <w:t>1 763 395</w:t>
            </w:r>
          </w:p>
        </w:tc>
        <w:tc>
          <w:tcPr>
            <w:tcW w:w="715" w:type="pct"/>
            <w:vAlign w:val="center"/>
          </w:tcPr>
          <w:p w14:paraId="04AD3CA1" w14:textId="77777777" w:rsidR="008A4BCF" w:rsidRPr="002F45E5" w:rsidRDefault="008A4BCF" w:rsidP="00B44AC3">
            <w:pPr>
              <w:spacing w:after="0" w:line="240" w:lineRule="auto"/>
              <w:jc w:val="right"/>
              <w:rPr>
                <w:rFonts w:eastAsia="Times New Roman" w:cs="Segoe UI"/>
                <w:bCs/>
                <w:sz w:val="18"/>
                <w:szCs w:val="18"/>
                <w:lang w:eastAsia="sk-SK"/>
              </w:rPr>
            </w:pPr>
            <w:r w:rsidRPr="002F45E5">
              <w:rPr>
                <w:rFonts w:eastAsia="Times New Roman" w:cs="Segoe UI"/>
                <w:bCs/>
                <w:sz w:val="18"/>
                <w:szCs w:val="18"/>
                <w:lang w:eastAsia="sk-SK"/>
              </w:rPr>
              <w:t>1 701 892</w:t>
            </w:r>
          </w:p>
        </w:tc>
        <w:tc>
          <w:tcPr>
            <w:tcW w:w="715" w:type="pct"/>
            <w:vAlign w:val="center"/>
          </w:tcPr>
          <w:p w14:paraId="04FBA510" w14:textId="77777777" w:rsidR="008A4BCF" w:rsidRPr="002F45E5" w:rsidRDefault="008A4BCF" w:rsidP="00B44AC3">
            <w:pPr>
              <w:spacing w:after="0" w:line="240" w:lineRule="auto"/>
              <w:jc w:val="right"/>
              <w:rPr>
                <w:rFonts w:eastAsia="Times New Roman" w:cs="Segoe UI"/>
                <w:bCs/>
                <w:sz w:val="18"/>
                <w:szCs w:val="18"/>
                <w:lang w:eastAsia="sk-SK"/>
              </w:rPr>
            </w:pPr>
            <w:r w:rsidRPr="002F45E5">
              <w:rPr>
                <w:rFonts w:eastAsia="Times New Roman" w:cs="Segoe UI"/>
                <w:bCs/>
                <w:sz w:val="18"/>
                <w:szCs w:val="18"/>
                <w:lang w:eastAsia="sk-SK"/>
              </w:rPr>
              <w:t>2 619 868</w:t>
            </w:r>
          </w:p>
        </w:tc>
        <w:tc>
          <w:tcPr>
            <w:tcW w:w="804" w:type="pct"/>
            <w:vAlign w:val="center"/>
          </w:tcPr>
          <w:p w14:paraId="44F80F9C" w14:textId="77777777" w:rsidR="008A4BCF" w:rsidRPr="002F45E5" w:rsidRDefault="008A4BCF" w:rsidP="00B44AC3">
            <w:pPr>
              <w:spacing w:after="0" w:line="240" w:lineRule="auto"/>
              <w:jc w:val="right"/>
              <w:rPr>
                <w:rFonts w:eastAsia="Times New Roman" w:cs="Segoe UI"/>
                <w:bCs/>
                <w:sz w:val="18"/>
                <w:szCs w:val="18"/>
                <w:lang w:eastAsia="sk-SK"/>
              </w:rPr>
            </w:pPr>
            <w:r w:rsidRPr="002F45E5">
              <w:rPr>
                <w:rFonts w:eastAsia="Times New Roman" w:cs="Segoe UI"/>
                <w:bCs/>
                <w:sz w:val="18"/>
                <w:szCs w:val="18"/>
                <w:lang w:eastAsia="sk-SK"/>
              </w:rPr>
              <w:t>917 976</w:t>
            </w:r>
          </w:p>
        </w:tc>
        <w:tc>
          <w:tcPr>
            <w:tcW w:w="536" w:type="pct"/>
            <w:vAlign w:val="center"/>
          </w:tcPr>
          <w:p w14:paraId="7B7BA15F" w14:textId="77777777" w:rsidR="008A4BCF" w:rsidRPr="002F45E5" w:rsidRDefault="008A4BCF" w:rsidP="00B44AC3">
            <w:pPr>
              <w:spacing w:after="0" w:line="240" w:lineRule="auto"/>
              <w:jc w:val="right"/>
              <w:rPr>
                <w:rFonts w:eastAsia="Times New Roman" w:cs="Segoe UI"/>
                <w:bCs/>
                <w:sz w:val="18"/>
                <w:szCs w:val="18"/>
                <w:lang w:eastAsia="sk-SK"/>
              </w:rPr>
            </w:pPr>
            <w:r w:rsidRPr="002F45E5">
              <w:rPr>
                <w:rFonts w:eastAsia="Times New Roman" w:cs="Segoe UI"/>
                <w:bCs/>
                <w:sz w:val="18"/>
                <w:szCs w:val="18"/>
                <w:lang w:eastAsia="sk-SK"/>
              </w:rPr>
              <w:t>153,94</w:t>
            </w:r>
          </w:p>
        </w:tc>
      </w:tr>
      <w:tr w:rsidR="008A4BCF" w:rsidRPr="002F45E5" w14:paraId="394750C4" w14:textId="77777777" w:rsidTr="00B44AC3">
        <w:trPr>
          <w:trHeight w:val="283"/>
        </w:trPr>
        <w:tc>
          <w:tcPr>
            <w:tcW w:w="1517" w:type="pct"/>
            <w:vAlign w:val="center"/>
          </w:tcPr>
          <w:p w14:paraId="54377D71" w14:textId="77777777" w:rsidR="008A4BCF" w:rsidRPr="002F45E5" w:rsidRDefault="008A4BCF" w:rsidP="00B44AC3">
            <w:pPr>
              <w:spacing w:after="0" w:line="240" w:lineRule="auto"/>
              <w:contextualSpacing/>
              <w:jc w:val="left"/>
              <w:rPr>
                <w:rFonts w:eastAsia="Times New Roman" w:cs="Segoe UI"/>
                <w:b/>
                <w:bCs/>
                <w:sz w:val="18"/>
                <w:szCs w:val="18"/>
                <w:lang w:eastAsia="sk-SK"/>
              </w:rPr>
            </w:pPr>
            <w:r w:rsidRPr="002F45E5">
              <w:rPr>
                <w:rFonts w:eastAsia="Times New Roman" w:cs="Segoe UI"/>
                <w:b/>
                <w:bCs/>
                <w:sz w:val="18"/>
                <w:szCs w:val="18"/>
                <w:lang w:eastAsia="sk-SK"/>
              </w:rPr>
              <w:t>Výdavky celkom</w:t>
            </w:r>
          </w:p>
        </w:tc>
        <w:tc>
          <w:tcPr>
            <w:tcW w:w="715" w:type="pct"/>
            <w:vAlign w:val="center"/>
          </w:tcPr>
          <w:p w14:paraId="6FD4364F" w14:textId="77777777" w:rsidR="008A4BCF" w:rsidRPr="002F45E5" w:rsidRDefault="008A4BCF" w:rsidP="00B44AC3">
            <w:pPr>
              <w:spacing w:after="0" w:line="240" w:lineRule="auto"/>
              <w:jc w:val="right"/>
              <w:rPr>
                <w:rFonts w:eastAsia="Times New Roman" w:cs="Segoe UI"/>
                <w:b/>
                <w:bCs/>
                <w:sz w:val="18"/>
                <w:szCs w:val="18"/>
                <w:lang w:eastAsia="sk-SK"/>
              </w:rPr>
            </w:pPr>
            <w:r w:rsidRPr="002F45E5">
              <w:rPr>
                <w:rFonts w:eastAsia="Times New Roman" w:cs="Segoe UI"/>
                <w:b/>
                <w:bCs/>
                <w:sz w:val="18"/>
                <w:szCs w:val="18"/>
                <w:lang w:eastAsia="sk-SK"/>
              </w:rPr>
              <w:t>5 675 086</w:t>
            </w:r>
          </w:p>
        </w:tc>
        <w:tc>
          <w:tcPr>
            <w:tcW w:w="715" w:type="pct"/>
            <w:vAlign w:val="center"/>
          </w:tcPr>
          <w:p w14:paraId="3B3461DF" w14:textId="77777777" w:rsidR="008A4BCF" w:rsidRPr="002F45E5" w:rsidRDefault="008A4BCF" w:rsidP="00B44AC3">
            <w:pPr>
              <w:spacing w:after="0" w:line="240" w:lineRule="auto"/>
              <w:jc w:val="right"/>
              <w:rPr>
                <w:rFonts w:eastAsia="Times New Roman" w:cs="Segoe UI"/>
                <w:b/>
                <w:bCs/>
                <w:sz w:val="18"/>
                <w:szCs w:val="18"/>
                <w:lang w:eastAsia="sk-SK"/>
              </w:rPr>
            </w:pPr>
            <w:r w:rsidRPr="002F45E5">
              <w:rPr>
                <w:rFonts w:eastAsia="Times New Roman" w:cs="Segoe UI"/>
                <w:b/>
                <w:bCs/>
                <w:sz w:val="18"/>
                <w:szCs w:val="18"/>
                <w:lang w:eastAsia="sk-SK"/>
              </w:rPr>
              <w:t>6 368 734</w:t>
            </w:r>
          </w:p>
        </w:tc>
        <w:tc>
          <w:tcPr>
            <w:tcW w:w="715" w:type="pct"/>
            <w:vAlign w:val="center"/>
          </w:tcPr>
          <w:p w14:paraId="639B7483" w14:textId="77777777" w:rsidR="008A4BCF" w:rsidRPr="002F45E5" w:rsidRDefault="008A4BCF" w:rsidP="00B44AC3">
            <w:pPr>
              <w:spacing w:after="0" w:line="240" w:lineRule="auto"/>
              <w:jc w:val="right"/>
              <w:rPr>
                <w:rFonts w:eastAsia="Times New Roman" w:cs="Segoe UI"/>
                <w:b/>
                <w:bCs/>
                <w:sz w:val="18"/>
                <w:szCs w:val="18"/>
                <w:lang w:eastAsia="sk-SK"/>
              </w:rPr>
            </w:pPr>
            <w:r w:rsidRPr="002F45E5">
              <w:rPr>
                <w:rFonts w:eastAsia="Times New Roman" w:cs="Segoe UI"/>
                <w:b/>
                <w:bCs/>
                <w:sz w:val="18"/>
                <w:szCs w:val="18"/>
                <w:lang w:eastAsia="sk-SK"/>
              </w:rPr>
              <w:t>7 580 396</w:t>
            </w:r>
          </w:p>
        </w:tc>
        <w:tc>
          <w:tcPr>
            <w:tcW w:w="804" w:type="pct"/>
            <w:vAlign w:val="center"/>
          </w:tcPr>
          <w:p w14:paraId="5DD1B0E3" w14:textId="77777777" w:rsidR="008A4BCF" w:rsidRPr="002F45E5" w:rsidRDefault="008A4BCF" w:rsidP="00B44AC3">
            <w:pPr>
              <w:spacing w:after="0" w:line="240" w:lineRule="auto"/>
              <w:jc w:val="right"/>
              <w:rPr>
                <w:rFonts w:eastAsia="Times New Roman" w:cs="Segoe UI"/>
                <w:b/>
                <w:bCs/>
                <w:sz w:val="18"/>
                <w:szCs w:val="18"/>
                <w:lang w:eastAsia="sk-SK"/>
              </w:rPr>
            </w:pPr>
            <w:r w:rsidRPr="002F45E5">
              <w:rPr>
                <w:rFonts w:eastAsia="Times New Roman" w:cs="Segoe UI"/>
                <w:b/>
                <w:bCs/>
                <w:sz w:val="18"/>
                <w:szCs w:val="18"/>
                <w:lang w:eastAsia="sk-SK"/>
              </w:rPr>
              <w:t>1 211 662</w:t>
            </w:r>
          </w:p>
        </w:tc>
        <w:tc>
          <w:tcPr>
            <w:tcW w:w="536" w:type="pct"/>
            <w:vAlign w:val="center"/>
          </w:tcPr>
          <w:p w14:paraId="507BD280" w14:textId="77777777" w:rsidR="008A4BCF" w:rsidRPr="002F45E5" w:rsidRDefault="008A4BCF" w:rsidP="00B44AC3">
            <w:pPr>
              <w:spacing w:after="0" w:line="240" w:lineRule="auto"/>
              <w:jc w:val="right"/>
              <w:rPr>
                <w:rFonts w:eastAsia="Times New Roman" w:cs="Segoe UI"/>
                <w:b/>
                <w:bCs/>
                <w:sz w:val="18"/>
                <w:szCs w:val="18"/>
                <w:lang w:eastAsia="sk-SK"/>
              </w:rPr>
            </w:pPr>
            <w:r w:rsidRPr="002F45E5">
              <w:rPr>
                <w:rFonts w:eastAsia="Times New Roman" w:cs="Segoe UI"/>
                <w:b/>
                <w:bCs/>
                <w:sz w:val="18"/>
                <w:szCs w:val="18"/>
                <w:lang w:eastAsia="sk-SK"/>
              </w:rPr>
              <w:t>119,03</w:t>
            </w:r>
          </w:p>
        </w:tc>
      </w:tr>
      <w:tr w:rsidR="008A4BCF" w:rsidRPr="002F45E5" w14:paraId="01699829" w14:textId="77777777" w:rsidTr="00B44AC3">
        <w:trPr>
          <w:trHeight w:val="283"/>
        </w:trPr>
        <w:tc>
          <w:tcPr>
            <w:tcW w:w="1517" w:type="pct"/>
            <w:vAlign w:val="center"/>
          </w:tcPr>
          <w:p w14:paraId="7FF247FD" w14:textId="77777777" w:rsidR="008A4BCF" w:rsidRPr="002F45E5" w:rsidRDefault="008A4BCF" w:rsidP="00B44AC3">
            <w:pPr>
              <w:spacing w:after="0" w:line="240" w:lineRule="auto"/>
              <w:contextualSpacing/>
              <w:jc w:val="left"/>
              <w:rPr>
                <w:rFonts w:eastAsia="Times New Roman" w:cs="Segoe UI"/>
                <w:bCs/>
                <w:sz w:val="18"/>
                <w:szCs w:val="18"/>
                <w:lang w:eastAsia="sk-SK"/>
              </w:rPr>
            </w:pPr>
            <w:r w:rsidRPr="002F45E5">
              <w:rPr>
                <w:rFonts w:eastAsia="Times New Roman" w:cs="Segoe UI"/>
                <w:bCs/>
                <w:sz w:val="18"/>
                <w:szCs w:val="18"/>
                <w:lang w:eastAsia="sk-SK"/>
              </w:rPr>
              <w:t>Mzdy a odvody</w:t>
            </w:r>
          </w:p>
        </w:tc>
        <w:tc>
          <w:tcPr>
            <w:tcW w:w="715" w:type="pct"/>
            <w:vAlign w:val="center"/>
          </w:tcPr>
          <w:p w14:paraId="0CC0BE7B" w14:textId="77777777" w:rsidR="008A4BCF" w:rsidRPr="002F45E5" w:rsidRDefault="008A4BCF" w:rsidP="00B44AC3">
            <w:pPr>
              <w:spacing w:after="0" w:line="240" w:lineRule="auto"/>
              <w:jc w:val="right"/>
              <w:rPr>
                <w:rFonts w:eastAsia="Times New Roman" w:cs="Segoe UI"/>
                <w:bCs/>
                <w:sz w:val="18"/>
                <w:szCs w:val="18"/>
                <w:lang w:eastAsia="sk-SK"/>
              </w:rPr>
            </w:pPr>
            <w:r w:rsidRPr="002F45E5">
              <w:rPr>
                <w:rFonts w:eastAsia="Times New Roman" w:cs="Segoe UI"/>
                <w:bCs/>
                <w:sz w:val="18"/>
                <w:szCs w:val="18"/>
                <w:lang w:eastAsia="sk-SK"/>
              </w:rPr>
              <w:t>2 605 081</w:t>
            </w:r>
          </w:p>
        </w:tc>
        <w:tc>
          <w:tcPr>
            <w:tcW w:w="715" w:type="pct"/>
            <w:vAlign w:val="center"/>
          </w:tcPr>
          <w:p w14:paraId="59583B0A" w14:textId="77777777" w:rsidR="008A4BCF" w:rsidRPr="002F45E5" w:rsidRDefault="008A4BCF" w:rsidP="00B44AC3">
            <w:pPr>
              <w:spacing w:after="0" w:line="240" w:lineRule="auto"/>
              <w:jc w:val="right"/>
              <w:rPr>
                <w:rFonts w:eastAsia="Times New Roman" w:cs="Segoe UI"/>
                <w:bCs/>
                <w:sz w:val="18"/>
                <w:szCs w:val="18"/>
                <w:lang w:eastAsia="sk-SK"/>
              </w:rPr>
            </w:pPr>
            <w:r w:rsidRPr="002F45E5">
              <w:rPr>
                <w:rFonts w:eastAsia="Times New Roman" w:cs="Segoe UI"/>
                <w:bCs/>
                <w:sz w:val="18"/>
                <w:szCs w:val="18"/>
                <w:lang w:eastAsia="sk-SK"/>
              </w:rPr>
              <w:t>2 783 354</w:t>
            </w:r>
          </w:p>
        </w:tc>
        <w:tc>
          <w:tcPr>
            <w:tcW w:w="715" w:type="pct"/>
            <w:vAlign w:val="center"/>
          </w:tcPr>
          <w:p w14:paraId="28DDDDFA" w14:textId="77777777" w:rsidR="008A4BCF" w:rsidRPr="002F45E5" w:rsidRDefault="008A4BCF" w:rsidP="00B44AC3">
            <w:pPr>
              <w:spacing w:after="0" w:line="240" w:lineRule="auto"/>
              <w:jc w:val="right"/>
              <w:rPr>
                <w:rFonts w:eastAsia="Times New Roman" w:cs="Segoe UI"/>
                <w:bCs/>
                <w:sz w:val="18"/>
                <w:szCs w:val="18"/>
                <w:lang w:eastAsia="sk-SK"/>
              </w:rPr>
            </w:pPr>
            <w:r w:rsidRPr="002F45E5">
              <w:rPr>
                <w:rFonts w:eastAsia="Times New Roman" w:cs="Segoe UI"/>
                <w:bCs/>
                <w:sz w:val="18"/>
                <w:szCs w:val="18"/>
                <w:lang w:eastAsia="sk-SK"/>
              </w:rPr>
              <w:t>3 081 717</w:t>
            </w:r>
          </w:p>
        </w:tc>
        <w:tc>
          <w:tcPr>
            <w:tcW w:w="804" w:type="pct"/>
            <w:vAlign w:val="center"/>
          </w:tcPr>
          <w:p w14:paraId="62999683" w14:textId="77777777" w:rsidR="008A4BCF" w:rsidRPr="002F45E5" w:rsidRDefault="008A4BCF" w:rsidP="00B44AC3">
            <w:pPr>
              <w:spacing w:after="0" w:line="240" w:lineRule="auto"/>
              <w:jc w:val="right"/>
              <w:rPr>
                <w:rFonts w:eastAsia="Times New Roman" w:cs="Segoe UI"/>
                <w:bCs/>
                <w:sz w:val="18"/>
                <w:szCs w:val="18"/>
                <w:lang w:eastAsia="sk-SK"/>
              </w:rPr>
            </w:pPr>
            <w:r w:rsidRPr="002F45E5">
              <w:rPr>
                <w:rFonts w:eastAsia="Times New Roman" w:cs="Segoe UI"/>
                <w:bCs/>
                <w:sz w:val="18"/>
                <w:szCs w:val="18"/>
                <w:lang w:eastAsia="sk-SK"/>
              </w:rPr>
              <w:t>298 363</w:t>
            </w:r>
          </w:p>
        </w:tc>
        <w:tc>
          <w:tcPr>
            <w:tcW w:w="536" w:type="pct"/>
            <w:vAlign w:val="center"/>
          </w:tcPr>
          <w:p w14:paraId="392FFF80" w14:textId="77777777" w:rsidR="008A4BCF" w:rsidRPr="002F45E5" w:rsidRDefault="008A4BCF" w:rsidP="00B44AC3">
            <w:pPr>
              <w:spacing w:after="0" w:line="240" w:lineRule="auto"/>
              <w:jc w:val="right"/>
              <w:rPr>
                <w:rFonts w:eastAsia="Times New Roman" w:cs="Segoe UI"/>
                <w:bCs/>
                <w:sz w:val="18"/>
                <w:szCs w:val="18"/>
                <w:lang w:eastAsia="sk-SK"/>
              </w:rPr>
            </w:pPr>
            <w:r w:rsidRPr="002F45E5">
              <w:rPr>
                <w:rFonts w:eastAsia="Times New Roman" w:cs="Segoe UI"/>
                <w:bCs/>
                <w:sz w:val="18"/>
                <w:szCs w:val="18"/>
                <w:lang w:eastAsia="sk-SK"/>
              </w:rPr>
              <w:t>110,72</w:t>
            </w:r>
          </w:p>
        </w:tc>
      </w:tr>
      <w:tr w:rsidR="008A4BCF" w:rsidRPr="002F45E5" w14:paraId="1471BF8F" w14:textId="77777777" w:rsidTr="00B44AC3">
        <w:trPr>
          <w:trHeight w:val="283"/>
        </w:trPr>
        <w:tc>
          <w:tcPr>
            <w:tcW w:w="1517" w:type="pct"/>
            <w:vAlign w:val="center"/>
          </w:tcPr>
          <w:p w14:paraId="4AFF1B62" w14:textId="77777777" w:rsidR="008A4BCF" w:rsidRPr="002F45E5" w:rsidRDefault="008A4BCF" w:rsidP="00B44AC3">
            <w:pPr>
              <w:spacing w:after="0" w:line="240" w:lineRule="auto"/>
              <w:contextualSpacing/>
              <w:jc w:val="left"/>
              <w:rPr>
                <w:rFonts w:eastAsia="Times New Roman" w:cs="Segoe UI"/>
                <w:bCs/>
                <w:sz w:val="18"/>
                <w:szCs w:val="18"/>
                <w:lang w:eastAsia="sk-SK"/>
              </w:rPr>
            </w:pPr>
            <w:r w:rsidRPr="002F45E5">
              <w:rPr>
                <w:rFonts w:eastAsia="Times New Roman" w:cs="Segoe UI"/>
                <w:bCs/>
                <w:sz w:val="18"/>
                <w:szCs w:val="18"/>
                <w:lang w:eastAsia="sk-SK"/>
              </w:rPr>
              <w:t>Tovar a služby</w:t>
            </w:r>
          </w:p>
        </w:tc>
        <w:tc>
          <w:tcPr>
            <w:tcW w:w="715" w:type="pct"/>
            <w:vAlign w:val="center"/>
          </w:tcPr>
          <w:p w14:paraId="37CA6B2D" w14:textId="77777777" w:rsidR="008A4BCF" w:rsidRPr="002F45E5" w:rsidRDefault="008A4BCF" w:rsidP="00B44AC3">
            <w:pPr>
              <w:spacing w:after="0" w:line="240" w:lineRule="auto"/>
              <w:jc w:val="right"/>
              <w:rPr>
                <w:rFonts w:eastAsia="Times New Roman" w:cs="Segoe UI"/>
                <w:bCs/>
                <w:sz w:val="18"/>
                <w:szCs w:val="18"/>
                <w:lang w:eastAsia="sk-SK"/>
              </w:rPr>
            </w:pPr>
            <w:r w:rsidRPr="002F45E5">
              <w:rPr>
                <w:rFonts w:eastAsia="Times New Roman" w:cs="Segoe UI"/>
                <w:bCs/>
                <w:sz w:val="18"/>
                <w:szCs w:val="18"/>
                <w:lang w:eastAsia="sk-SK"/>
              </w:rPr>
              <w:t>1 444 596</w:t>
            </w:r>
          </w:p>
        </w:tc>
        <w:tc>
          <w:tcPr>
            <w:tcW w:w="715" w:type="pct"/>
            <w:vAlign w:val="center"/>
          </w:tcPr>
          <w:p w14:paraId="6B7E63DA" w14:textId="77777777" w:rsidR="008A4BCF" w:rsidRPr="002F45E5" w:rsidRDefault="008A4BCF" w:rsidP="00B44AC3">
            <w:pPr>
              <w:spacing w:after="0" w:line="240" w:lineRule="auto"/>
              <w:jc w:val="right"/>
              <w:rPr>
                <w:rFonts w:eastAsia="Times New Roman" w:cs="Segoe UI"/>
                <w:bCs/>
                <w:sz w:val="18"/>
                <w:szCs w:val="18"/>
                <w:lang w:eastAsia="sk-SK"/>
              </w:rPr>
            </w:pPr>
            <w:r w:rsidRPr="002F45E5">
              <w:rPr>
                <w:rFonts w:eastAsia="Times New Roman" w:cs="Segoe UI"/>
                <w:bCs/>
                <w:sz w:val="18"/>
                <w:szCs w:val="18"/>
                <w:lang w:eastAsia="sk-SK"/>
              </w:rPr>
              <w:t>1 590 710</w:t>
            </w:r>
          </w:p>
        </w:tc>
        <w:tc>
          <w:tcPr>
            <w:tcW w:w="715" w:type="pct"/>
            <w:vAlign w:val="center"/>
          </w:tcPr>
          <w:p w14:paraId="6AC99F79" w14:textId="77777777" w:rsidR="008A4BCF" w:rsidRPr="002F45E5" w:rsidRDefault="008A4BCF" w:rsidP="00B44AC3">
            <w:pPr>
              <w:spacing w:after="0" w:line="240" w:lineRule="auto"/>
              <w:jc w:val="right"/>
              <w:rPr>
                <w:rFonts w:eastAsia="Times New Roman" w:cs="Segoe UI"/>
                <w:bCs/>
                <w:sz w:val="18"/>
                <w:szCs w:val="18"/>
                <w:lang w:eastAsia="sk-SK"/>
              </w:rPr>
            </w:pPr>
            <w:r w:rsidRPr="002F45E5">
              <w:rPr>
                <w:rFonts w:eastAsia="Times New Roman" w:cs="Segoe UI"/>
                <w:bCs/>
                <w:sz w:val="18"/>
                <w:szCs w:val="18"/>
                <w:lang w:eastAsia="sk-SK"/>
              </w:rPr>
              <w:t>1 849 482</w:t>
            </w:r>
          </w:p>
        </w:tc>
        <w:tc>
          <w:tcPr>
            <w:tcW w:w="804" w:type="pct"/>
            <w:vAlign w:val="center"/>
          </w:tcPr>
          <w:p w14:paraId="53F7D9C5" w14:textId="77777777" w:rsidR="008A4BCF" w:rsidRPr="002F45E5" w:rsidRDefault="008A4BCF" w:rsidP="00B44AC3">
            <w:pPr>
              <w:spacing w:after="0" w:line="240" w:lineRule="auto"/>
              <w:jc w:val="right"/>
              <w:rPr>
                <w:rFonts w:eastAsia="Times New Roman" w:cs="Segoe UI"/>
                <w:bCs/>
                <w:sz w:val="18"/>
                <w:szCs w:val="18"/>
                <w:lang w:eastAsia="sk-SK"/>
              </w:rPr>
            </w:pPr>
            <w:r w:rsidRPr="002F45E5">
              <w:rPr>
                <w:rFonts w:eastAsia="Times New Roman" w:cs="Segoe UI"/>
                <w:bCs/>
                <w:sz w:val="18"/>
                <w:szCs w:val="18"/>
                <w:lang w:eastAsia="sk-SK"/>
              </w:rPr>
              <w:t>258 772</w:t>
            </w:r>
          </w:p>
        </w:tc>
        <w:tc>
          <w:tcPr>
            <w:tcW w:w="536" w:type="pct"/>
            <w:vAlign w:val="center"/>
          </w:tcPr>
          <w:p w14:paraId="666A3B4C" w14:textId="77777777" w:rsidR="008A4BCF" w:rsidRPr="002F45E5" w:rsidRDefault="008A4BCF" w:rsidP="00B44AC3">
            <w:pPr>
              <w:spacing w:after="0" w:line="240" w:lineRule="auto"/>
              <w:jc w:val="right"/>
              <w:rPr>
                <w:rFonts w:eastAsia="Times New Roman" w:cs="Segoe UI"/>
                <w:bCs/>
                <w:sz w:val="18"/>
                <w:szCs w:val="18"/>
                <w:lang w:eastAsia="sk-SK"/>
              </w:rPr>
            </w:pPr>
            <w:r w:rsidRPr="002F45E5">
              <w:rPr>
                <w:rFonts w:eastAsia="Times New Roman" w:cs="Segoe UI"/>
                <w:bCs/>
                <w:sz w:val="18"/>
                <w:szCs w:val="18"/>
                <w:lang w:eastAsia="sk-SK"/>
              </w:rPr>
              <w:t>116,27</w:t>
            </w:r>
          </w:p>
        </w:tc>
      </w:tr>
      <w:tr w:rsidR="008A4BCF" w:rsidRPr="002F45E5" w14:paraId="04980F3C" w14:textId="77777777" w:rsidTr="00B44AC3">
        <w:trPr>
          <w:trHeight w:val="283"/>
        </w:trPr>
        <w:tc>
          <w:tcPr>
            <w:tcW w:w="1517" w:type="pct"/>
            <w:vAlign w:val="center"/>
          </w:tcPr>
          <w:p w14:paraId="6ACE8878" w14:textId="77777777" w:rsidR="008A4BCF" w:rsidRPr="002F45E5" w:rsidRDefault="008A4BCF" w:rsidP="00B44AC3">
            <w:pPr>
              <w:spacing w:after="0" w:line="240" w:lineRule="auto"/>
              <w:contextualSpacing/>
              <w:jc w:val="left"/>
              <w:rPr>
                <w:rFonts w:eastAsia="Times New Roman" w:cs="Segoe UI"/>
                <w:bCs/>
                <w:sz w:val="18"/>
                <w:szCs w:val="18"/>
                <w:lang w:eastAsia="sk-SK"/>
              </w:rPr>
            </w:pPr>
            <w:r w:rsidRPr="002F45E5">
              <w:rPr>
                <w:rFonts w:eastAsia="Times New Roman" w:cs="Segoe UI"/>
                <w:bCs/>
                <w:sz w:val="18"/>
                <w:szCs w:val="18"/>
                <w:lang w:eastAsia="sk-SK"/>
              </w:rPr>
              <w:t>Hotovostné saldo</w:t>
            </w:r>
          </w:p>
        </w:tc>
        <w:tc>
          <w:tcPr>
            <w:tcW w:w="715" w:type="pct"/>
            <w:vAlign w:val="center"/>
          </w:tcPr>
          <w:p w14:paraId="1056544A" w14:textId="77777777" w:rsidR="008A4BCF" w:rsidRPr="002F45E5" w:rsidRDefault="008A4BCF" w:rsidP="00B44AC3">
            <w:pPr>
              <w:spacing w:after="0" w:line="240" w:lineRule="auto"/>
              <w:jc w:val="right"/>
              <w:rPr>
                <w:rFonts w:eastAsia="Times New Roman" w:cs="Segoe UI"/>
                <w:bCs/>
                <w:sz w:val="18"/>
                <w:szCs w:val="18"/>
                <w:lang w:eastAsia="sk-SK"/>
              </w:rPr>
            </w:pPr>
            <w:r w:rsidRPr="002F45E5">
              <w:rPr>
                <w:rFonts w:eastAsia="Times New Roman" w:cs="Segoe UI"/>
                <w:bCs/>
                <w:sz w:val="18"/>
                <w:szCs w:val="18"/>
                <w:lang w:eastAsia="sk-SK"/>
              </w:rPr>
              <w:t>553 522</w:t>
            </w:r>
          </w:p>
        </w:tc>
        <w:tc>
          <w:tcPr>
            <w:tcW w:w="715" w:type="pct"/>
            <w:vAlign w:val="center"/>
          </w:tcPr>
          <w:p w14:paraId="5AEC558D" w14:textId="77777777" w:rsidR="008A4BCF" w:rsidRPr="002F45E5" w:rsidRDefault="008A4BCF" w:rsidP="00B44AC3">
            <w:pPr>
              <w:spacing w:after="0" w:line="240" w:lineRule="auto"/>
              <w:jc w:val="right"/>
              <w:rPr>
                <w:rFonts w:eastAsia="Times New Roman" w:cs="Segoe UI"/>
                <w:bCs/>
                <w:sz w:val="18"/>
                <w:szCs w:val="18"/>
                <w:lang w:eastAsia="sk-SK"/>
              </w:rPr>
            </w:pPr>
            <w:r w:rsidRPr="002F45E5">
              <w:rPr>
                <w:rFonts w:eastAsia="Times New Roman" w:cs="Segoe UI"/>
                <w:bCs/>
                <w:sz w:val="18"/>
                <w:szCs w:val="18"/>
                <w:lang w:eastAsia="sk-SK"/>
              </w:rPr>
              <w:t>459 131</w:t>
            </w:r>
          </w:p>
        </w:tc>
        <w:tc>
          <w:tcPr>
            <w:tcW w:w="715" w:type="pct"/>
            <w:vAlign w:val="center"/>
          </w:tcPr>
          <w:p w14:paraId="379AE4AE" w14:textId="77777777" w:rsidR="008A4BCF" w:rsidRPr="002F45E5" w:rsidRDefault="008A4BCF" w:rsidP="00B44AC3">
            <w:pPr>
              <w:spacing w:after="0" w:line="240" w:lineRule="auto"/>
              <w:jc w:val="right"/>
              <w:rPr>
                <w:rFonts w:eastAsia="Times New Roman" w:cs="Segoe UI"/>
                <w:bCs/>
                <w:sz w:val="18"/>
                <w:szCs w:val="18"/>
                <w:lang w:eastAsia="sk-SK"/>
              </w:rPr>
            </w:pPr>
            <w:r w:rsidRPr="002F45E5">
              <w:rPr>
                <w:rFonts w:eastAsia="Times New Roman" w:cs="Segoe UI"/>
                <w:bCs/>
                <w:sz w:val="18"/>
                <w:szCs w:val="18"/>
                <w:lang w:eastAsia="sk-SK"/>
              </w:rPr>
              <w:t>626 130</w:t>
            </w:r>
          </w:p>
        </w:tc>
        <w:tc>
          <w:tcPr>
            <w:tcW w:w="804" w:type="pct"/>
            <w:vAlign w:val="center"/>
          </w:tcPr>
          <w:p w14:paraId="4C43B49D" w14:textId="77777777" w:rsidR="008A4BCF" w:rsidRPr="002F45E5" w:rsidRDefault="008A4BCF" w:rsidP="00B44AC3">
            <w:pPr>
              <w:spacing w:after="0" w:line="240" w:lineRule="auto"/>
              <w:jc w:val="right"/>
              <w:rPr>
                <w:rFonts w:eastAsia="Times New Roman" w:cs="Segoe UI"/>
                <w:bCs/>
                <w:sz w:val="18"/>
                <w:szCs w:val="18"/>
                <w:lang w:eastAsia="sk-SK"/>
              </w:rPr>
            </w:pPr>
            <w:r w:rsidRPr="002F45E5">
              <w:rPr>
                <w:rFonts w:eastAsia="Times New Roman" w:cs="Segoe UI"/>
                <w:bCs/>
                <w:sz w:val="18"/>
                <w:szCs w:val="18"/>
                <w:lang w:eastAsia="sk-SK"/>
              </w:rPr>
              <w:t>166 999</w:t>
            </w:r>
          </w:p>
        </w:tc>
        <w:tc>
          <w:tcPr>
            <w:tcW w:w="536" w:type="pct"/>
            <w:vAlign w:val="center"/>
          </w:tcPr>
          <w:p w14:paraId="5C74B6DC" w14:textId="77777777" w:rsidR="008A4BCF" w:rsidRPr="002F45E5" w:rsidRDefault="008A4BCF" w:rsidP="00B44AC3">
            <w:pPr>
              <w:spacing w:after="0" w:line="240" w:lineRule="auto"/>
              <w:jc w:val="right"/>
              <w:rPr>
                <w:rFonts w:eastAsia="Times New Roman" w:cs="Segoe UI"/>
                <w:bCs/>
                <w:sz w:val="18"/>
                <w:szCs w:val="18"/>
                <w:lang w:eastAsia="sk-SK"/>
              </w:rPr>
            </w:pPr>
            <w:r w:rsidRPr="002F45E5">
              <w:rPr>
                <w:rFonts w:eastAsia="Times New Roman" w:cs="Segoe UI"/>
                <w:bCs/>
                <w:sz w:val="18"/>
                <w:szCs w:val="18"/>
                <w:lang w:eastAsia="sk-SK"/>
              </w:rPr>
              <w:t>136,37</w:t>
            </w:r>
          </w:p>
        </w:tc>
      </w:tr>
      <w:tr w:rsidR="008A4BCF" w:rsidRPr="002F45E5" w14:paraId="5F9BB92E" w14:textId="77777777" w:rsidTr="00B44AC3">
        <w:trPr>
          <w:trHeight w:val="283"/>
        </w:trPr>
        <w:tc>
          <w:tcPr>
            <w:tcW w:w="1517" w:type="pct"/>
            <w:vAlign w:val="center"/>
          </w:tcPr>
          <w:p w14:paraId="588D2732" w14:textId="77777777" w:rsidR="008A4BCF" w:rsidRPr="002F45E5" w:rsidRDefault="008A4BCF" w:rsidP="00B44AC3">
            <w:pPr>
              <w:spacing w:after="0" w:line="240" w:lineRule="auto"/>
              <w:contextualSpacing/>
              <w:jc w:val="left"/>
              <w:rPr>
                <w:rFonts w:eastAsia="Times New Roman" w:cs="Segoe UI"/>
                <w:b/>
                <w:bCs/>
                <w:sz w:val="18"/>
                <w:szCs w:val="18"/>
                <w:lang w:eastAsia="sk-SK"/>
              </w:rPr>
            </w:pPr>
            <w:r w:rsidRPr="002F45E5">
              <w:rPr>
                <w:rFonts w:eastAsia="Times New Roman" w:cs="Segoe UI"/>
                <w:b/>
                <w:bCs/>
                <w:sz w:val="18"/>
                <w:szCs w:val="18"/>
                <w:lang w:eastAsia="sk-SK"/>
              </w:rPr>
              <w:t xml:space="preserve">Nekonsolidovaný dlh </w:t>
            </w:r>
          </w:p>
        </w:tc>
        <w:tc>
          <w:tcPr>
            <w:tcW w:w="715" w:type="pct"/>
            <w:vAlign w:val="center"/>
          </w:tcPr>
          <w:p w14:paraId="3A257E0F" w14:textId="77777777" w:rsidR="008A4BCF" w:rsidRPr="002F45E5" w:rsidRDefault="008A4BCF" w:rsidP="00B44AC3">
            <w:pPr>
              <w:spacing w:after="0" w:line="240" w:lineRule="auto"/>
              <w:jc w:val="right"/>
              <w:rPr>
                <w:rFonts w:eastAsia="Times New Roman" w:cs="Segoe UI"/>
                <w:b/>
                <w:bCs/>
                <w:sz w:val="18"/>
                <w:szCs w:val="18"/>
                <w:lang w:eastAsia="sk-SK"/>
              </w:rPr>
            </w:pPr>
            <w:r w:rsidRPr="002F45E5">
              <w:rPr>
                <w:rFonts w:eastAsia="Times New Roman" w:cs="Segoe UI"/>
                <w:b/>
                <w:bCs/>
                <w:sz w:val="18"/>
                <w:szCs w:val="18"/>
                <w:lang w:eastAsia="sk-SK"/>
              </w:rPr>
              <w:t>1 644 707</w:t>
            </w:r>
          </w:p>
        </w:tc>
        <w:tc>
          <w:tcPr>
            <w:tcW w:w="715" w:type="pct"/>
            <w:vAlign w:val="center"/>
          </w:tcPr>
          <w:p w14:paraId="4B61D792" w14:textId="77777777" w:rsidR="008A4BCF" w:rsidRPr="002F45E5" w:rsidRDefault="008A4BCF" w:rsidP="00B44AC3">
            <w:pPr>
              <w:spacing w:after="0" w:line="240" w:lineRule="auto"/>
              <w:jc w:val="right"/>
              <w:rPr>
                <w:rFonts w:eastAsia="Times New Roman" w:cs="Segoe UI"/>
                <w:b/>
                <w:bCs/>
                <w:sz w:val="18"/>
                <w:szCs w:val="18"/>
                <w:lang w:eastAsia="sk-SK"/>
              </w:rPr>
            </w:pPr>
            <w:r w:rsidRPr="002F45E5">
              <w:rPr>
                <w:rFonts w:eastAsia="Times New Roman" w:cs="Segoe UI"/>
                <w:b/>
                <w:bCs/>
                <w:sz w:val="18"/>
                <w:szCs w:val="18"/>
                <w:lang w:eastAsia="sk-SK"/>
              </w:rPr>
              <w:t>1 751 497</w:t>
            </w:r>
          </w:p>
        </w:tc>
        <w:tc>
          <w:tcPr>
            <w:tcW w:w="715" w:type="pct"/>
            <w:vAlign w:val="center"/>
          </w:tcPr>
          <w:p w14:paraId="0397D8E1" w14:textId="77777777" w:rsidR="008A4BCF" w:rsidRPr="002F45E5" w:rsidRDefault="008A4BCF" w:rsidP="00B44AC3">
            <w:pPr>
              <w:spacing w:after="0" w:line="240" w:lineRule="auto"/>
              <w:jc w:val="right"/>
              <w:rPr>
                <w:rFonts w:eastAsia="Times New Roman" w:cs="Segoe UI"/>
                <w:b/>
                <w:bCs/>
                <w:sz w:val="18"/>
                <w:szCs w:val="18"/>
                <w:lang w:eastAsia="sk-SK"/>
              </w:rPr>
            </w:pPr>
            <w:r w:rsidRPr="002F45E5">
              <w:rPr>
                <w:rFonts w:eastAsia="Times New Roman" w:cs="Segoe UI"/>
                <w:b/>
                <w:bCs/>
                <w:sz w:val="18"/>
                <w:szCs w:val="18"/>
                <w:lang w:eastAsia="sk-SK"/>
              </w:rPr>
              <w:t>1 833 794</w:t>
            </w:r>
          </w:p>
        </w:tc>
        <w:tc>
          <w:tcPr>
            <w:tcW w:w="804" w:type="pct"/>
            <w:vAlign w:val="center"/>
          </w:tcPr>
          <w:p w14:paraId="7367E53C" w14:textId="77777777" w:rsidR="008A4BCF" w:rsidRPr="002F45E5" w:rsidRDefault="008A4BCF" w:rsidP="00B44AC3">
            <w:pPr>
              <w:spacing w:after="0" w:line="240" w:lineRule="auto"/>
              <w:jc w:val="right"/>
              <w:rPr>
                <w:rFonts w:eastAsia="Times New Roman" w:cs="Segoe UI"/>
                <w:b/>
                <w:bCs/>
                <w:sz w:val="18"/>
                <w:szCs w:val="18"/>
                <w:lang w:eastAsia="sk-SK"/>
              </w:rPr>
            </w:pPr>
            <w:r w:rsidRPr="002F45E5">
              <w:rPr>
                <w:rFonts w:eastAsia="Times New Roman" w:cs="Segoe UI"/>
                <w:b/>
                <w:bCs/>
                <w:sz w:val="18"/>
                <w:szCs w:val="18"/>
                <w:lang w:eastAsia="sk-SK"/>
              </w:rPr>
              <w:t>82 297</w:t>
            </w:r>
          </w:p>
        </w:tc>
        <w:tc>
          <w:tcPr>
            <w:tcW w:w="536" w:type="pct"/>
            <w:vAlign w:val="center"/>
          </w:tcPr>
          <w:p w14:paraId="73D22328" w14:textId="77777777" w:rsidR="008A4BCF" w:rsidRPr="002F45E5" w:rsidRDefault="008A4BCF" w:rsidP="00B44AC3">
            <w:pPr>
              <w:spacing w:after="0" w:line="240" w:lineRule="auto"/>
              <w:jc w:val="right"/>
              <w:rPr>
                <w:rFonts w:eastAsia="Times New Roman" w:cs="Segoe UI"/>
                <w:b/>
                <w:bCs/>
                <w:sz w:val="18"/>
                <w:szCs w:val="18"/>
                <w:lang w:eastAsia="sk-SK"/>
              </w:rPr>
            </w:pPr>
            <w:r w:rsidRPr="002F45E5">
              <w:rPr>
                <w:rFonts w:eastAsia="Times New Roman" w:cs="Segoe UI"/>
                <w:b/>
                <w:bCs/>
                <w:sz w:val="18"/>
                <w:szCs w:val="18"/>
                <w:lang w:eastAsia="sk-SK"/>
              </w:rPr>
              <w:t>104,70</w:t>
            </w:r>
          </w:p>
        </w:tc>
      </w:tr>
      <w:tr w:rsidR="008A4BCF" w:rsidRPr="002F45E5" w14:paraId="2243A68A" w14:textId="77777777" w:rsidTr="00B44AC3">
        <w:trPr>
          <w:trHeight w:val="283"/>
        </w:trPr>
        <w:tc>
          <w:tcPr>
            <w:tcW w:w="1517" w:type="pct"/>
            <w:vAlign w:val="center"/>
          </w:tcPr>
          <w:p w14:paraId="741BF918" w14:textId="77777777" w:rsidR="008A4BCF" w:rsidRPr="002F45E5" w:rsidRDefault="008A4BCF" w:rsidP="00B44AC3">
            <w:pPr>
              <w:spacing w:after="0" w:line="240" w:lineRule="auto"/>
              <w:contextualSpacing/>
              <w:jc w:val="left"/>
              <w:rPr>
                <w:rFonts w:eastAsia="Times New Roman" w:cs="Segoe UI"/>
                <w:bCs/>
                <w:sz w:val="18"/>
                <w:szCs w:val="18"/>
                <w:lang w:eastAsia="sk-SK"/>
              </w:rPr>
            </w:pPr>
            <w:r w:rsidRPr="002F45E5">
              <w:rPr>
                <w:rFonts w:eastAsia="Times New Roman" w:cs="Segoe UI"/>
                <w:bCs/>
                <w:sz w:val="18"/>
                <w:szCs w:val="18"/>
                <w:lang w:eastAsia="sk-SK"/>
              </w:rPr>
              <w:t>Kapitálové výdavky</w:t>
            </w:r>
          </w:p>
        </w:tc>
        <w:tc>
          <w:tcPr>
            <w:tcW w:w="715" w:type="pct"/>
            <w:vAlign w:val="center"/>
          </w:tcPr>
          <w:p w14:paraId="702FF052" w14:textId="77777777" w:rsidR="008A4BCF" w:rsidRPr="002F45E5" w:rsidRDefault="008A4BCF" w:rsidP="00B44AC3">
            <w:pPr>
              <w:spacing w:after="0" w:line="240" w:lineRule="auto"/>
              <w:jc w:val="right"/>
              <w:rPr>
                <w:rFonts w:eastAsia="Times New Roman" w:cs="Segoe UI"/>
                <w:bCs/>
                <w:sz w:val="18"/>
                <w:szCs w:val="18"/>
                <w:lang w:eastAsia="sk-SK"/>
              </w:rPr>
            </w:pPr>
            <w:r w:rsidRPr="002F45E5">
              <w:rPr>
                <w:rFonts w:eastAsia="Times New Roman" w:cs="Segoe UI"/>
                <w:bCs/>
                <w:sz w:val="18"/>
                <w:szCs w:val="18"/>
                <w:lang w:eastAsia="sk-SK"/>
              </w:rPr>
              <w:t>717 036</w:t>
            </w:r>
          </w:p>
        </w:tc>
        <w:tc>
          <w:tcPr>
            <w:tcW w:w="715" w:type="pct"/>
            <w:vAlign w:val="center"/>
          </w:tcPr>
          <w:p w14:paraId="7A237B7D" w14:textId="77777777" w:rsidR="008A4BCF" w:rsidRPr="002F45E5" w:rsidRDefault="008A4BCF" w:rsidP="00B44AC3">
            <w:pPr>
              <w:spacing w:after="0" w:line="240" w:lineRule="auto"/>
              <w:jc w:val="right"/>
              <w:rPr>
                <w:rFonts w:eastAsia="Times New Roman" w:cs="Segoe UI"/>
                <w:bCs/>
                <w:sz w:val="18"/>
                <w:szCs w:val="18"/>
                <w:lang w:eastAsia="sk-SK"/>
              </w:rPr>
            </w:pPr>
            <w:r w:rsidRPr="002F45E5">
              <w:rPr>
                <w:rFonts w:eastAsia="Times New Roman" w:cs="Segoe UI"/>
                <w:bCs/>
                <w:sz w:val="18"/>
                <w:szCs w:val="18"/>
                <w:lang w:eastAsia="sk-SK"/>
              </w:rPr>
              <w:t>974 795</w:t>
            </w:r>
          </w:p>
        </w:tc>
        <w:tc>
          <w:tcPr>
            <w:tcW w:w="715" w:type="pct"/>
            <w:vAlign w:val="center"/>
          </w:tcPr>
          <w:p w14:paraId="3E45546F" w14:textId="77777777" w:rsidR="008A4BCF" w:rsidRPr="002F45E5" w:rsidRDefault="008A4BCF" w:rsidP="00B44AC3">
            <w:pPr>
              <w:spacing w:after="0" w:line="240" w:lineRule="auto"/>
              <w:jc w:val="right"/>
              <w:rPr>
                <w:rFonts w:eastAsia="Times New Roman" w:cs="Segoe UI"/>
                <w:bCs/>
                <w:sz w:val="18"/>
                <w:szCs w:val="18"/>
                <w:lang w:eastAsia="sk-SK"/>
              </w:rPr>
            </w:pPr>
            <w:r w:rsidRPr="002F45E5">
              <w:rPr>
                <w:rFonts w:eastAsia="Times New Roman" w:cs="Segoe UI"/>
                <w:bCs/>
                <w:sz w:val="18"/>
                <w:szCs w:val="18"/>
                <w:lang w:eastAsia="sk-SK"/>
              </w:rPr>
              <w:t>1 372 586</w:t>
            </w:r>
          </w:p>
        </w:tc>
        <w:tc>
          <w:tcPr>
            <w:tcW w:w="804" w:type="pct"/>
            <w:vAlign w:val="center"/>
          </w:tcPr>
          <w:p w14:paraId="04C50111" w14:textId="77777777" w:rsidR="008A4BCF" w:rsidRPr="002F45E5" w:rsidRDefault="008A4BCF" w:rsidP="00B44AC3">
            <w:pPr>
              <w:spacing w:after="0" w:line="240" w:lineRule="auto"/>
              <w:jc w:val="right"/>
              <w:rPr>
                <w:rFonts w:eastAsia="Times New Roman" w:cs="Segoe UI"/>
                <w:bCs/>
                <w:sz w:val="18"/>
                <w:szCs w:val="18"/>
                <w:lang w:eastAsia="sk-SK"/>
              </w:rPr>
            </w:pPr>
            <w:r w:rsidRPr="002F45E5">
              <w:rPr>
                <w:rFonts w:eastAsia="Times New Roman" w:cs="Segoe UI"/>
                <w:bCs/>
                <w:sz w:val="18"/>
                <w:szCs w:val="18"/>
                <w:lang w:eastAsia="sk-SK"/>
              </w:rPr>
              <w:t>397 791</w:t>
            </w:r>
          </w:p>
        </w:tc>
        <w:tc>
          <w:tcPr>
            <w:tcW w:w="536" w:type="pct"/>
            <w:vAlign w:val="center"/>
          </w:tcPr>
          <w:p w14:paraId="14C69B61" w14:textId="77777777" w:rsidR="008A4BCF" w:rsidRPr="002F45E5" w:rsidRDefault="008A4BCF" w:rsidP="00B44AC3">
            <w:pPr>
              <w:spacing w:after="0" w:line="240" w:lineRule="auto"/>
              <w:jc w:val="right"/>
              <w:rPr>
                <w:rFonts w:eastAsia="Times New Roman" w:cs="Segoe UI"/>
                <w:bCs/>
                <w:sz w:val="18"/>
                <w:szCs w:val="18"/>
                <w:lang w:eastAsia="sk-SK"/>
              </w:rPr>
            </w:pPr>
            <w:r w:rsidRPr="002F45E5">
              <w:rPr>
                <w:rFonts w:eastAsia="Times New Roman" w:cs="Segoe UI"/>
                <w:bCs/>
                <w:sz w:val="18"/>
                <w:szCs w:val="18"/>
                <w:lang w:eastAsia="sk-SK"/>
              </w:rPr>
              <w:t>140,81</w:t>
            </w:r>
          </w:p>
        </w:tc>
      </w:tr>
      <w:tr w:rsidR="008A4BCF" w:rsidRPr="002F45E5" w14:paraId="2403EEE4" w14:textId="77777777" w:rsidTr="00B44AC3">
        <w:trPr>
          <w:trHeight w:val="283"/>
        </w:trPr>
        <w:tc>
          <w:tcPr>
            <w:tcW w:w="1517" w:type="pct"/>
            <w:vAlign w:val="center"/>
          </w:tcPr>
          <w:p w14:paraId="1858CEDB" w14:textId="77777777" w:rsidR="008A4BCF" w:rsidRPr="002F45E5" w:rsidRDefault="008A4BCF" w:rsidP="00B44AC3">
            <w:pPr>
              <w:spacing w:after="0" w:line="240" w:lineRule="auto"/>
              <w:contextualSpacing/>
              <w:jc w:val="left"/>
              <w:rPr>
                <w:rFonts w:eastAsia="Times New Roman" w:cs="Segoe UI"/>
                <w:bCs/>
                <w:sz w:val="18"/>
                <w:szCs w:val="18"/>
                <w:lang w:eastAsia="sk-SK"/>
              </w:rPr>
            </w:pPr>
            <w:r w:rsidRPr="002F45E5">
              <w:rPr>
                <w:rFonts w:eastAsia="Times New Roman" w:cs="Segoe UI"/>
                <w:bCs/>
                <w:sz w:val="18"/>
                <w:szCs w:val="18"/>
                <w:lang w:eastAsia="sk-SK"/>
              </w:rPr>
              <w:t>Príjmové finančné operácie</w:t>
            </w:r>
          </w:p>
        </w:tc>
        <w:tc>
          <w:tcPr>
            <w:tcW w:w="715" w:type="pct"/>
            <w:vAlign w:val="center"/>
          </w:tcPr>
          <w:p w14:paraId="22046F6B" w14:textId="77777777" w:rsidR="008A4BCF" w:rsidRPr="002F45E5" w:rsidRDefault="008A4BCF" w:rsidP="00B44AC3">
            <w:pPr>
              <w:spacing w:after="0" w:line="240" w:lineRule="auto"/>
              <w:jc w:val="right"/>
              <w:rPr>
                <w:rFonts w:eastAsia="Times New Roman" w:cs="Segoe UI"/>
                <w:bCs/>
                <w:sz w:val="18"/>
                <w:szCs w:val="18"/>
                <w:lang w:eastAsia="sk-SK"/>
              </w:rPr>
            </w:pPr>
            <w:r w:rsidRPr="002F45E5">
              <w:rPr>
                <w:rFonts w:eastAsia="Times New Roman" w:cs="Segoe UI"/>
                <w:bCs/>
                <w:sz w:val="18"/>
                <w:szCs w:val="18"/>
                <w:lang w:eastAsia="sk-SK"/>
              </w:rPr>
              <w:t>723 929</w:t>
            </w:r>
          </w:p>
        </w:tc>
        <w:tc>
          <w:tcPr>
            <w:tcW w:w="715" w:type="pct"/>
            <w:vAlign w:val="center"/>
          </w:tcPr>
          <w:p w14:paraId="1F3316C4" w14:textId="77777777" w:rsidR="008A4BCF" w:rsidRPr="002F45E5" w:rsidRDefault="008A4BCF" w:rsidP="00B44AC3">
            <w:pPr>
              <w:spacing w:after="0" w:line="240" w:lineRule="auto"/>
              <w:jc w:val="right"/>
              <w:rPr>
                <w:rFonts w:eastAsia="Times New Roman" w:cs="Segoe UI"/>
                <w:bCs/>
                <w:sz w:val="18"/>
                <w:szCs w:val="18"/>
                <w:lang w:eastAsia="sk-SK"/>
              </w:rPr>
            </w:pPr>
            <w:r w:rsidRPr="002F45E5">
              <w:rPr>
                <w:rFonts w:eastAsia="Times New Roman" w:cs="Segoe UI"/>
                <w:bCs/>
                <w:sz w:val="18"/>
                <w:szCs w:val="18"/>
                <w:lang w:eastAsia="sk-SK"/>
              </w:rPr>
              <w:t>912 375</w:t>
            </w:r>
          </w:p>
        </w:tc>
        <w:tc>
          <w:tcPr>
            <w:tcW w:w="715" w:type="pct"/>
            <w:vAlign w:val="center"/>
          </w:tcPr>
          <w:p w14:paraId="05FD2E34" w14:textId="77777777" w:rsidR="008A4BCF" w:rsidRPr="002F45E5" w:rsidRDefault="008A4BCF" w:rsidP="00B44AC3">
            <w:pPr>
              <w:spacing w:after="0" w:line="240" w:lineRule="auto"/>
              <w:jc w:val="right"/>
              <w:rPr>
                <w:rFonts w:eastAsia="Times New Roman" w:cs="Segoe UI"/>
                <w:bCs/>
                <w:sz w:val="18"/>
                <w:szCs w:val="18"/>
                <w:lang w:eastAsia="sk-SK"/>
              </w:rPr>
            </w:pPr>
            <w:r w:rsidRPr="002F45E5">
              <w:rPr>
                <w:rFonts w:eastAsia="Times New Roman" w:cs="Segoe UI"/>
                <w:bCs/>
                <w:sz w:val="18"/>
                <w:szCs w:val="18"/>
                <w:lang w:eastAsia="sk-SK"/>
              </w:rPr>
              <w:t>877 211</w:t>
            </w:r>
          </w:p>
        </w:tc>
        <w:tc>
          <w:tcPr>
            <w:tcW w:w="804" w:type="pct"/>
            <w:vAlign w:val="center"/>
          </w:tcPr>
          <w:p w14:paraId="5CE241ED" w14:textId="77777777" w:rsidR="008A4BCF" w:rsidRPr="002F45E5" w:rsidRDefault="008A4BCF" w:rsidP="00B44AC3">
            <w:pPr>
              <w:spacing w:after="0" w:line="240" w:lineRule="auto"/>
              <w:jc w:val="right"/>
              <w:rPr>
                <w:rFonts w:eastAsia="Times New Roman" w:cs="Segoe UI"/>
                <w:bCs/>
                <w:sz w:val="18"/>
                <w:szCs w:val="18"/>
                <w:lang w:eastAsia="sk-SK"/>
              </w:rPr>
            </w:pPr>
            <w:r w:rsidRPr="002F45E5">
              <w:rPr>
                <w:rFonts w:eastAsia="Times New Roman" w:cs="Segoe UI"/>
                <w:bCs/>
                <w:sz w:val="18"/>
                <w:szCs w:val="18"/>
                <w:lang w:eastAsia="sk-SK"/>
              </w:rPr>
              <w:t>-35161</w:t>
            </w:r>
          </w:p>
        </w:tc>
        <w:tc>
          <w:tcPr>
            <w:tcW w:w="536" w:type="pct"/>
            <w:vAlign w:val="center"/>
          </w:tcPr>
          <w:p w14:paraId="6F081469" w14:textId="77777777" w:rsidR="008A4BCF" w:rsidRPr="002F45E5" w:rsidRDefault="008A4BCF" w:rsidP="00B44AC3">
            <w:pPr>
              <w:spacing w:after="0" w:line="240" w:lineRule="auto"/>
              <w:jc w:val="right"/>
              <w:rPr>
                <w:rFonts w:eastAsia="Times New Roman" w:cs="Segoe UI"/>
                <w:bCs/>
                <w:sz w:val="18"/>
                <w:szCs w:val="18"/>
                <w:lang w:eastAsia="sk-SK"/>
              </w:rPr>
            </w:pPr>
            <w:r w:rsidRPr="002F45E5">
              <w:rPr>
                <w:rFonts w:eastAsia="Times New Roman" w:cs="Segoe UI"/>
                <w:bCs/>
                <w:sz w:val="18"/>
                <w:szCs w:val="18"/>
                <w:lang w:eastAsia="sk-SK"/>
              </w:rPr>
              <w:t>96,15</w:t>
            </w:r>
          </w:p>
        </w:tc>
      </w:tr>
      <w:tr w:rsidR="008A4BCF" w:rsidRPr="002F45E5" w14:paraId="1CC4C8EF" w14:textId="77777777" w:rsidTr="00B44AC3">
        <w:trPr>
          <w:trHeight w:val="283"/>
        </w:trPr>
        <w:tc>
          <w:tcPr>
            <w:tcW w:w="1517" w:type="pct"/>
            <w:vAlign w:val="center"/>
          </w:tcPr>
          <w:p w14:paraId="45F06649" w14:textId="77777777" w:rsidR="008A4BCF" w:rsidRPr="002F45E5" w:rsidRDefault="008A4BCF" w:rsidP="00B44AC3">
            <w:pPr>
              <w:spacing w:after="0" w:line="240" w:lineRule="auto"/>
              <w:contextualSpacing/>
              <w:jc w:val="left"/>
              <w:rPr>
                <w:rFonts w:eastAsia="Times New Roman" w:cs="Segoe UI"/>
                <w:bCs/>
                <w:sz w:val="18"/>
                <w:szCs w:val="18"/>
                <w:lang w:eastAsia="sk-SK"/>
              </w:rPr>
            </w:pPr>
            <w:r w:rsidRPr="002F45E5">
              <w:rPr>
                <w:rFonts w:eastAsia="Times New Roman" w:cs="Segoe UI"/>
                <w:bCs/>
                <w:sz w:val="18"/>
                <w:szCs w:val="18"/>
                <w:lang w:eastAsia="sk-SK"/>
              </w:rPr>
              <w:t>Výdavkové finančné operácie</w:t>
            </w:r>
          </w:p>
        </w:tc>
        <w:tc>
          <w:tcPr>
            <w:tcW w:w="715" w:type="pct"/>
            <w:vAlign w:val="center"/>
          </w:tcPr>
          <w:p w14:paraId="3290E6F9" w14:textId="77777777" w:rsidR="008A4BCF" w:rsidRPr="002F45E5" w:rsidRDefault="008A4BCF" w:rsidP="00B44AC3">
            <w:pPr>
              <w:spacing w:after="0" w:line="240" w:lineRule="auto"/>
              <w:jc w:val="right"/>
              <w:rPr>
                <w:rFonts w:eastAsia="Times New Roman" w:cs="Segoe UI"/>
                <w:bCs/>
                <w:sz w:val="18"/>
                <w:szCs w:val="18"/>
                <w:lang w:eastAsia="sk-SK"/>
              </w:rPr>
            </w:pPr>
            <w:r w:rsidRPr="002F45E5">
              <w:rPr>
                <w:rFonts w:eastAsia="Times New Roman" w:cs="Segoe UI"/>
                <w:bCs/>
                <w:sz w:val="18"/>
                <w:szCs w:val="18"/>
                <w:lang w:eastAsia="sk-SK"/>
              </w:rPr>
              <w:t>212 102</w:t>
            </w:r>
          </w:p>
        </w:tc>
        <w:tc>
          <w:tcPr>
            <w:tcW w:w="715" w:type="pct"/>
            <w:vAlign w:val="center"/>
          </w:tcPr>
          <w:p w14:paraId="7BF999DF" w14:textId="77777777" w:rsidR="008A4BCF" w:rsidRPr="002F45E5" w:rsidRDefault="008A4BCF" w:rsidP="00B44AC3">
            <w:pPr>
              <w:spacing w:after="0" w:line="240" w:lineRule="auto"/>
              <w:jc w:val="right"/>
              <w:rPr>
                <w:rFonts w:eastAsia="Times New Roman" w:cs="Segoe UI"/>
                <w:bCs/>
                <w:sz w:val="18"/>
                <w:szCs w:val="18"/>
                <w:lang w:eastAsia="sk-SK"/>
              </w:rPr>
            </w:pPr>
            <w:r w:rsidRPr="002F45E5">
              <w:rPr>
                <w:rFonts w:eastAsia="Times New Roman" w:cs="Segoe UI"/>
                <w:bCs/>
                <w:sz w:val="18"/>
                <w:szCs w:val="18"/>
                <w:lang w:eastAsia="sk-SK"/>
              </w:rPr>
              <w:t>204 035</w:t>
            </w:r>
          </w:p>
        </w:tc>
        <w:tc>
          <w:tcPr>
            <w:tcW w:w="715" w:type="pct"/>
            <w:vAlign w:val="center"/>
          </w:tcPr>
          <w:p w14:paraId="319101CA" w14:textId="77777777" w:rsidR="008A4BCF" w:rsidRPr="002F45E5" w:rsidRDefault="008A4BCF" w:rsidP="00B44AC3">
            <w:pPr>
              <w:spacing w:after="0" w:line="240" w:lineRule="auto"/>
              <w:jc w:val="right"/>
              <w:rPr>
                <w:rFonts w:eastAsia="Times New Roman" w:cs="Segoe UI"/>
                <w:bCs/>
                <w:sz w:val="18"/>
                <w:szCs w:val="18"/>
                <w:lang w:eastAsia="sk-SK"/>
              </w:rPr>
            </w:pPr>
            <w:r w:rsidRPr="002F45E5">
              <w:rPr>
                <w:rFonts w:eastAsia="Times New Roman" w:cs="Segoe UI"/>
                <w:bCs/>
                <w:sz w:val="18"/>
                <w:szCs w:val="18"/>
                <w:lang w:eastAsia="sk-SK"/>
              </w:rPr>
              <w:t>262 789</w:t>
            </w:r>
          </w:p>
        </w:tc>
        <w:tc>
          <w:tcPr>
            <w:tcW w:w="804" w:type="pct"/>
            <w:vAlign w:val="center"/>
          </w:tcPr>
          <w:p w14:paraId="22FE6CF0" w14:textId="77777777" w:rsidR="008A4BCF" w:rsidRPr="002F45E5" w:rsidRDefault="008A4BCF" w:rsidP="00B44AC3">
            <w:pPr>
              <w:spacing w:after="0" w:line="240" w:lineRule="auto"/>
              <w:jc w:val="right"/>
              <w:rPr>
                <w:rFonts w:eastAsia="Times New Roman" w:cs="Segoe UI"/>
                <w:bCs/>
                <w:sz w:val="18"/>
                <w:szCs w:val="18"/>
                <w:lang w:eastAsia="sk-SK"/>
              </w:rPr>
            </w:pPr>
            <w:r w:rsidRPr="002F45E5">
              <w:rPr>
                <w:rFonts w:eastAsia="Times New Roman" w:cs="Segoe UI"/>
                <w:bCs/>
                <w:sz w:val="18"/>
                <w:szCs w:val="18"/>
                <w:lang w:eastAsia="sk-SK"/>
              </w:rPr>
              <w:t>58 754</w:t>
            </w:r>
          </w:p>
        </w:tc>
        <w:tc>
          <w:tcPr>
            <w:tcW w:w="536" w:type="pct"/>
            <w:vAlign w:val="center"/>
          </w:tcPr>
          <w:p w14:paraId="15A602C4" w14:textId="77777777" w:rsidR="008A4BCF" w:rsidRPr="002F45E5" w:rsidRDefault="008A4BCF" w:rsidP="00B44AC3">
            <w:pPr>
              <w:spacing w:after="0" w:line="240" w:lineRule="auto"/>
              <w:jc w:val="right"/>
              <w:rPr>
                <w:rFonts w:eastAsia="Times New Roman" w:cs="Segoe UI"/>
                <w:bCs/>
                <w:sz w:val="18"/>
                <w:szCs w:val="18"/>
                <w:lang w:eastAsia="sk-SK"/>
              </w:rPr>
            </w:pPr>
            <w:r w:rsidRPr="002F45E5">
              <w:rPr>
                <w:rFonts w:eastAsia="Times New Roman" w:cs="Segoe UI"/>
                <w:bCs/>
                <w:sz w:val="18"/>
                <w:szCs w:val="18"/>
                <w:lang w:eastAsia="sk-SK"/>
              </w:rPr>
              <w:t>128,80</w:t>
            </w:r>
          </w:p>
        </w:tc>
      </w:tr>
      <w:tr w:rsidR="008A4BCF" w:rsidRPr="002F45E5" w14:paraId="7D2EE385" w14:textId="77777777" w:rsidTr="00B44AC3">
        <w:trPr>
          <w:trHeight w:val="283"/>
        </w:trPr>
        <w:tc>
          <w:tcPr>
            <w:tcW w:w="1517" w:type="pct"/>
            <w:vAlign w:val="center"/>
          </w:tcPr>
          <w:p w14:paraId="445D4759" w14:textId="77777777" w:rsidR="008A4BCF" w:rsidRPr="002F45E5" w:rsidRDefault="008A4BCF" w:rsidP="00B44AC3">
            <w:pPr>
              <w:spacing w:after="0" w:line="240" w:lineRule="auto"/>
              <w:contextualSpacing/>
              <w:jc w:val="left"/>
              <w:rPr>
                <w:rFonts w:eastAsia="Times New Roman" w:cs="Segoe UI"/>
                <w:b/>
                <w:bCs/>
                <w:sz w:val="18"/>
                <w:szCs w:val="18"/>
                <w:lang w:eastAsia="sk-SK"/>
              </w:rPr>
            </w:pPr>
            <w:r w:rsidRPr="002F45E5">
              <w:rPr>
                <w:rFonts w:eastAsia="Times New Roman" w:cs="Segoe UI"/>
                <w:b/>
                <w:bCs/>
                <w:sz w:val="18"/>
                <w:szCs w:val="18"/>
                <w:lang w:eastAsia="sk-SK"/>
              </w:rPr>
              <w:t>ESA 2010 prebytok/schodok</w:t>
            </w:r>
          </w:p>
        </w:tc>
        <w:tc>
          <w:tcPr>
            <w:tcW w:w="715" w:type="pct"/>
            <w:vAlign w:val="center"/>
          </w:tcPr>
          <w:p w14:paraId="498708F5" w14:textId="77777777" w:rsidR="008A4BCF" w:rsidRPr="002F45E5" w:rsidRDefault="008A4BCF" w:rsidP="00B44AC3">
            <w:pPr>
              <w:spacing w:after="0" w:line="240" w:lineRule="auto"/>
              <w:jc w:val="right"/>
              <w:rPr>
                <w:rFonts w:eastAsia="Times New Roman" w:cs="Segoe UI"/>
                <w:b/>
                <w:bCs/>
                <w:sz w:val="18"/>
                <w:szCs w:val="18"/>
                <w:lang w:eastAsia="sk-SK"/>
              </w:rPr>
            </w:pPr>
            <w:r w:rsidRPr="002F45E5">
              <w:rPr>
                <w:rFonts w:eastAsia="Times New Roman" w:cs="Segoe UI"/>
                <w:b/>
                <w:bCs/>
                <w:sz w:val="18"/>
                <w:szCs w:val="18"/>
                <w:lang w:eastAsia="sk-SK"/>
              </w:rPr>
              <w:t>2 371</w:t>
            </w:r>
          </w:p>
        </w:tc>
        <w:tc>
          <w:tcPr>
            <w:tcW w:w="715" w:type="pct"/>
            <w:vAlign w:val="center"/>
          </w:tcPr>
          <w:p w14:paraId="5C6F80DC" w14:textId="77777777" w:rsidR="008A4BCF" w:rsidRPr="002F45E5" w:rsidRDefault="008A4BCF" w:rsidP="00B44AC3">
            <w:pPr>
              <w:spacing w:after="0" w:line="240" w:lineRule="auto"/>
              <w:jc w:val="right"/>
              <w:rPr>
                <w:rFonts w:eastAsia="Times New Roman" w:cs="Segoe UI"/>
                <w:b/>
                <w:bCs/>
                <w:sz w:val="18"/>
                <w:szCs w:val="18"/>
                <w:lang w:eastAsia="sk-SK"/>
              </w:rPr>
            </w:pPr>
            <w:r w:rsidRPr="002F45E5">
              <w:rPr>
                <w:rFonts w:eastAsia="Times New Roman" w:cs="Segoe UI"/>
                <w:b/>
                <w:bCs/>
                <w:sz w:val="18"/>
                <w:szCs w:val="18"/>
                <w:lang w:eastAsia="sk-SK"/>
              </w:rPr>
              <w:t xml:space="preserve">-287 784 </w:t>
            </w:r>
          </w:p>
        </w:tc>
        <w:tc>
          <w:tcPr>
            <w:tcW w:w="715" w:type="pct"/>
            <w:vAlign w:val="center"/>
          </w:tcPr>
          <w:p w14:paraId="3CAF5A4E" w14:textId="77777777" w:rsidR="008A4BCF" w:rsidRPr="002F45E5" w:rsidRDefault="008A4BCF" w:rsidP="00B44AC3">
            <w:pPr>
              <w:spacing w:after="0" w:line="240" w:lineRule="auto"/>
              <w:jc w:val="right"/>
              <w:rPr>
                <w:rFonts w:eastAsia="Times New Roman" w:cs="Segoe UI"/>
                <w:b/>
                <w:bCs/>
                <w:sz w:val="18"/>
                <w:szCs w:val="18"/>
                <w:lang w:eastAsia="sk-SK"/>
              </w:rPr>
            </w:pPr>
            <w:r w:rsidRPr="002F45E5">
              <w:rPr>
                <w:rFonts w:eastAsia="Times New Roman" w:cs="Segoe UI"/>
                <w:b/>
                <w:bCs/>
                <w:sz w:val="18"/>
                <w:szCs w:val="18"/>
                <w:lang w:eastAsia="sk-SK"/>
              </w:rPr>
              <w:t>124 779</w:t>
            </w:r>
          </w:p>
        </w:tc>
        <w:tc>
          <w:tcPr>
            <w:tcW w:w="804" w:type="pct"/>
            <w:vAlign w:val="center"/>
          </w:tcPr>
          <w:p w14:paraId="2E2828C5" w14:textId="77777777" w:rsidR="008A4BCF" w:rsidRPr="002F45E5" w:rsidRDefault="008A4BCF" w:rsidP="00B44AC3">
            <w:pPr>
              <w:spacing w:after="0" w:line="240" w:lineRule="auto"/>
              <w:jc w:val="right"/>
              <w:rPr>
                <w:rFonts w:eastAsia="Times New Roman" w:cs="Segoe UI"/>
                <w:b/>
                <w:bCs/>
                <w:sz w:val="18"/>
                <w:szCs w:val="18"/>
                <w:lang w:eastAsia="sk-SK"/>
              </w:rPr>
            </w:pPr>
            <w:r w:rsidRPr="002F45E5">
              <w:rPr>
                <w:rFonts w:eastAsia="Times New Roman" w:cs="Segoe UI"/>
                <w:b/>
                <w:bCs/>
                <w:sz w:val="18"/>
                <w:szCs w:val="18"/>
                <w:lang w:eastAsia="sk-SK"/>
              </w:rPr>
              <w:t>412 563</w:t>
            </w:r>
          </w:p>
        </w:tc>
        <w:tc>
          <w:tcPr>
            <w:tcW w:w="536" w:type="pct"/>
            <w:vAlign w:val="center"/>
          </w:tcPr>
          <w:p w14:paraId="55B0DD84" w14:textId="77777777" w:rsidR="008A4BCF" w:rsidRPr="002F45E5" w:rsidRDefault="008A4BCF" w:rsidP="00B44AC3">
            <w:pPr>
              <w:spacing w:after="0" w:line="240" w:lineRule="auto"/>
              <w:jc w:val="right"/>
              <w:rPr>
                <w:rFonts w:eastAsia="Times New Roman" w:cs="Segoe UI"/>
                <w:b/>
                <w:bCs/>
                <w:sz w:val="18"/>
                <w:szCs w:val="18"/>
                <w:lang w:eastAsia="sk-SK"/>
              </w:rPr>
            </w:pPr>
            <w:r w:rsidRPr="002F45E5">
              <w:rPr>
                <w:rFonts w:eastAsia="Times New Roman" w:cs="Segoe UI"/>
                <w:b/>
                <w:bCs/>
                <w:sz w:val="18"/>
                <w:szCs w:val="18"/>
                <w:lang w:eastAsia="sk-SK"/>
              </w:rPr>
              <w:t>43,36</w:t>
            </w:r>
          </w:p>
        </w:tc>
      </w:tr>
    </w:tbl>
    <w:p w14:paraId="0ADB6BF7" w14:textId="77777777" w:rsidR="008A4BCF" w:rsidRPr="000F0FA5" w:rsidRDefault="008A4BCF" w:rsidP="008A4BCF">
      <w:pPr>
        <w:pStyle w:val="Zdroj"/>
        <w:rPr>
          <w:lang w:eastAsia="sk-SK"/>
        </w:rPr>
      </w:pPr>
      <w:r w:rsidRPr="000F0FA5">
        <w:rPr>
          <w:lang w:eastAsia="sk-SK"/>
        </w:rPr>
        <w:t xml:space="preserve">Zdroj: Datacentrum, Štátna </w:t>
      </w:r>
      <w:r w:rsidRPr="007C1F09">
        <w:t>pokladnica</w:t>
      </w:r>
      <w:r w:rsidRPr="000F0FA5">
        <w:rPr>
          <w:lang w:eastAsia="sk-SK"/>
        </w:rPr>
        <w:t xml:space="preserve">, </w:t>
      </w:r>
      <w:r>
        <w:rPr>
          <w:lang w:eastAsia="sk-SK"/>
        </w:rPr>
        <w:t>rozpoc</w:t>
      </w:r>
      <w:r w:rsidRPr="000F0FA5">
        <w:rPr>
          <w:lang w:eastAsia="sk-SK"/>
        </w:rPr>
        <w:t xml:space="preserve">et.sk, </w:t>
      </w:r>
      <w:r>
        <w:rPr>
          <w:lang w:eastAsia="sk-SK"/>
        </w:rPr>
        <w:t>Návrh</w:t>
      </w:r>
      <w:r w:rsidRPr="000F0FA5">
        <w:rPr>
          <w:lang w:eastAsia="sk-SK"/>
        </w:rPr>
        <w:t xml:space="preserve"> ŠZÚ 202</w:t>
      </w:r>
      <w:r>
        <w:rPr>
          <w:lang w:eastAsia="sk-SK"/>
        </w:rPr>
        <w:t>3.</w:t>
      </w:r>
    </w:p>
    <w:p w14:paraId="1EC9A5F2" w14:textId="77777777" w:rsidR="008A4BCF" w:rsidRPr="00E47D73" w:rsidRDefault="008A4BCF" w:rsidP="008A4BCF">
      <w:pPr>
        <w:rPr>
          <w:rFonts w:eastAsia="Times New Roman" w:cs="Segoe UI"/>
          <w:szCs w:val="20"/>
          <w:lang w:eastAsia="sk-SK"/>
        </w:rPr>
      </w:pPr>
      <w:r w:rsidRPr="0037680E">
        <w:rPr>
          <w:rFonts w:eastAsia="Times New Roman" w:cs="Segoe UI"/>
          <w:b/>
          <w:szCs w:val="20"/>
          <w:lang w:eastAsia="sk-SK"/>
        </w:rPr>
        <w:t xml:space="preserve">Výdavky </w:t>
      </w:r>
      <w:r w:rsidRPr="003308BB">
        <w:rPr>
          <w:rFonts w:eastAsia="Times New Roman" w:cs="Segoe UI"/>
          <w:b/>
          <w:szCs w:val="20"/>
          <w:lang w:eastAsia="sk-SK"/>
        </w:rPr>
        <w:t>obcí sa</w:t>
      </w:r>
      <w:r w:rsidRPr="0037680E">
        <w:rPr>
          <w:rFonts w:eastAsia="Times New Roman" w:cs="Segoe UI"/>
          <w:b/>
          <w:szCs w:val="20"/>
          <w:lang w:eastAsia="sk-SK"/>
        </w:rPr>
        <w:t xml:space="preserve"> </w:t>
      </w:r>
      <w:r>
        <w:rPr>
          <w:rFonts w:eastAsia="Times New Roman" w:cs="Segoe UI"/>
          <w:b/>
          <w:szCs w:val="20"/>
          <w:lang w:eastAsia="sk-SK"/>
        </w:rPr>
        <w:t>oproti roku 2022 zvýšili o 19 % a podobne rástli aj príjmy</w:t>
      </w:r>
      <w:r w:rsidRPr="003308BB">
        <w:rPr>
          <w:rFonts w:eastAsia="Times New Roman" w:cs="Segoe UI"/>
          <w:b/>
          <w:szCs w:val="20"/>
          <w:lang w:eastAsia="sk-SK"/>
        </w:rPr>
        <w:t>.</w:t>
      </w:r>
      <w:r w:rsidRPr="00635295">
        <w:rPr>
          <w:rFonts w:eastAsia="Times New Roman" w:cs="Segoe UI"/>
          <w:szCs w:val="20"/>
          <w:lang w:eastAsia="sk-SK"/>
        </w:rPr>
        <w:t xml:space="preserve"> </w:t>
      </w:r>
      <w:r w:rsidRPr="0037680E">
        <w:rPr>
          <w:rFonts w:eastAsia="Times New Roman" w:cs="Segoe UI"/>
          <w:szCs w:val="20"/>
          <w:lang w:eastAsia="sk-SK"/>
        </w:rPr>
        <w:t xml:space="preserve">Z </w:t>
      </w:r>
      <w:r w:rsidRPr="003308BB">
        <w:rPr>
          <w:rFonts w:eastAsia="Times New Roman" w:cs="Segoe UI"/>
          <w:szCs w:val="20"/>
          <w:lang w:eastAsia="sk-SK"/>
        </w:rPr>
        <w:t xml:space="preserve">výdavkov </w:t>
      </w:r>
      <w:r w:rsidRPr="0037680E">
        <w:rPr>
          <w:rFonts w:eastAsia="Times New Roman" w:cs="Segoe UI"/>
          <w:szCs w:val="20"/>
          <w:lang w:eastAsia="sk-SK"/>
        </w:rPr>
        <w:t xml:space="preserve">bolo </w:t>
      </w:r>
      <w:r w:rsidRPr="003308BB">
        <w:rPr>
          <w:rFonts w:eastAsia="Times New Roman" w:cs="Segoe UI"/>
          <w:szCs w:val="20"/>
          <w:lang w:eastAsia="sk-SK"/>
        </w:rPr>
        <w:t xml:space="preserve">41 % </w:t>
      </w:r>
      <w:r w:rsidRPr="0037680E">
        <w:rPr>
          <w:rFonts w:eastAsia="Times New Roman" w:cs="Segoe UI"/>
          <w:szCs w:val="20"/>
          <w:lang w:eastAsia="sk-SK"/>
        </w:rPr>
        <w:t xml:space="preserve">alokovaných na </w:t>
      </w:r>
      <w:r w:rsidRPr="003308BB">
        <w:rPr>
          <w:rFonts w:eastAsia="Times New Roman" w:cs="Segoe UI"/>
          <w:szCs w:val="20"/>
          <w:lang w:eastAsia="sk-SK"/>
        </w:rPr>
        <w:t>mzdy a odvody</w:t>
      </w:r>
      <w:r w:rsidRPr="0037680E">
        <w:rPr>
          <w:rFonts w:eastAsia="Times New Roman" w:cs="Segoe UI"/>
          <w:szCs w:val="20"/>
          <w:lang w:eastAsia="sk-SK"/>
        </w:rPr>
        <w:t xml:space="preserve"> (v nadväznosti na legislatívne zmeny a prijaté opatrenia v odmeňovaní zamestnancov </w:t>
      </w:r>
      <w:r>
        <w:rPr>
          <w:rFonts w:eastAsia="Times New Roman" w:cs="Segoe UI"/>
          <w:szCs w:val="20"/>
          <w:lang w:eastAsia="sk-SK"/>
        </w:rPr>
        <w:t>VS</w:t>
      </w:r>
      <w:r w:rsidRPr="0037680E">
        <w:rPr>
          <w:rFonts w:eastAsia="Times New Roman" w:cs="Segoe UI"/>
          <w:szCs w:val="20"/>
          <w:lang w:eastAsia="sk-SK"/>
        </w:rPr>
        <w:t xml:space="preserve"> a v zmysle uzatvorenej kolektívnej zmluvy vyššieho stupňa), </w:t>
      </w:r>
      <w:r w:rsidRPr="003308BB">
        <w:rPr>
          <w:rFonts w:eastAsia="Times New Roman" w:cs="Segoe UI"/>
          <w:szCs w:val="20"/>
          <w:lang w:eastAsia="sk-SK"/>
        </w:rPr>
        <w:t>24 % na tovary a služby</w:t>
      </w:r>
      <w:r w:rsidRPr="0037680E">
        <w:rPr>
          <w:rFonts w:eastAsia="Times New Roman" w:cs="Segoe UI"/>
          <w:szCs w:val="20"/>
          <w:lang w:eastAsia="sk-SK"/>
        </w:rPr>
        <w:t xml:space="preserve"> </w:t>
      </w:r>
      <w:r>
        <w:rPr>
          <w:rFonts w:eastAsia="Times New Roman" w:cs="Segoe UI"/>
          <w:szCs w:val="20"/>
          <w:lang w:eastAsia="sk-SK"/>
        </w:rPr>
        <w:t>(</w:t>
      </w:r>
      <w:r w:rsidRPr="00E47D73">
        <w:rPr>
          <w:rFonts w:eastAsia="Times New Roman" w:cs="Segoe UI"/>
          <w:szCs w:val="20"/>
          <w:lang w:eastAsia="sk-SK"/>
        </w:rPr>
        <w:t>výdavky na energie, všeobecný materiál, učebnice, na potraviny do školských jedální, na rutinnú údržbu budov a objektov, na všeobecn</w:t>
      </w:r>
      <w:r>
        <w:rPr>
          <w:rFonts w:eastAsia="Times New Roman" w:cs="Segoe UI"/>
          <w:szCs w:val="20"/>
          <w:lang w:eastAsia="sk-SK"/>
        </w:rPr>
        <w:t>é</w:t>
      </w:r>
      <w:r w:rsidRPr="00E47D73">
        <w:rPr>
          <w:rFonts w:eastAsia="Times New Roman" w:cs="Segoe UI"/>
          <w:szCs w:val="20"/>
          <w:lang w:eastAsia="sk-SK"/>
        </w:rPr>
        <w:t xml:space="preserve"> a špeciáln</w:t>
      </w:r>
      <w:r>
        <w:rPr>
          <w:rFonts w:eastAsia="Times New Roman" w:cs="Segoe UI"/>
          <w:szCs w:val="20"/>
          <w:lang w:eastAsia="sk-SK"/>
        </w:rPr>
        <w:t>e</w:t>
      </w:r>
      <w:r w:rsidRPr="00E47D73">
        <w:rPr>
          <w:rFonts w:eastAsia="Times New Roman" w:cs="Segoe UI"/>
          <w:szCs w:val="20"/>
          <w:lang w:eastAsia="sk-SK"/>
        </w:rPr>
        <w:t xml:space="preserve"> služb</w:t>
      </w:r>
      <w:r>
        <w:rPr>
          <w:rFonts w:eastAsia="Times New Roman" w:cs="Segoe UI"/>
          <w:szCs w:val="20"/>
          <w:lang w:eastAsia="sk-SK"/>
        </w:rPr>
        <w:t>y</w:t>
      </w:r>
      <w:r w:rsidRPr="00E47D73">
        <w:rPr>
          <w:rFonts w:eastAsia="Times New Roman" w:cs="Segoe UI"/>
          <w:szCs w:val="20"/>
          <w:lang w:eastAsia="sk-SK"/>
        </w:rPr>
        <w:t>, na vyplate</w:t>
      </w:r>
      <w:r>
        <w:rPr>
          <w:rFonts w:eastAsia="Times New Roman" w:cs="Segoe UI"/>
          <w:szCs w:val="20"/>
          <w:lang w:eastAsia="sk-SK"/>
        </w:rPr>
        <w:t>nie</w:t>
      </w:r>
      <w:r w:rsidRPr="00E47D73">
        <w:rPr>
          <w:rFonts w:eastAsia="Times New Roman" w:cs="Segoe UI"/>
          <w:szCs w:val="20"/>
          <w:lang w:eastAsia="sk-SK"/>
        </w:rPr>
        <w:t xml:space="preserve"> odm</w:t>
      </w:r>
      <w:r>
        <w:rPr>
          <w:rFonts w:eastAsia="Times New Roman" w:cs="Segoe UI"/>
          <w:szCs w:val="20"/>
          <w:lang w:eastAsia="sk-SK"/>
        </w:rPr>
        <w:t>ien</w:t>
      </w:r>
      <w:r w:rsidRPr="00E47D73">
        <w:rPr>
          <w:rFonts w:eastAsia="Times New Roman" w:cs="Segoe UI"/>
          <w:szCs w:val="20"/>
          <w:lang w:eastAsia="sk-SK"/>
        </w:rPr>
        <w:t xml:space="preserve"> poslanco</w:t>
      </w:r>
      <w:r>
        <w:rPr>
          <w:rFonts w:eastAsia="Times New Roman" w:cs="Segoe UI"/>
          <w:szCs w:val="20"/>
          <w:lang w:eastAsia="sk-SK"/>
        </w:rPr>
        <w:t>m</w:t>
      </w:r>
      <w:r w:rsidRPr="00E47D73">
        <w:rPr>
          <w:rFonts w:eastAsia="Times New Roman" w:cs="Segoe UI"/>
          <w:szCs w:val="20"/>
          <w:lang w:eastAsia="sk-SK"/>
        </w:rPr>
        <w:t xml:space="preserve"> a členom komisií a na vratk</w:t>
      </w:r>
      <w:r>
        <w:rPr>
          <w:rFonts w:eastAsia="Times New Roman" w:cs="Segoe UI"/>
          <w:szCs w:val="20"/>
          <w:lang w:eastAsia="sk-SK"/>
        </w:rPr>
        <w:t>y)</w:t>
      </w:r>
      <w:r w:rsidRPr="00E47D73">
        <w:rPr>
          <w:rFonts w:eastAsia="Times New Roman" w:cs="Segoe UI"/>
          <w:szCs w:val="20"/>
          <w:lang w:eastAsia="sk-SK"/>
        </w:rPr>
        <w:t>. Nárast cien energií štát výrazne kompenzoval uvoľnením finančných prostriedkov pre regionálne školstvo. Úspora sa prejavila v čerpaní prostriedkov na palivá, komunikačnú infraštruktúru, na opravy výpočtovej techniky, nájme budov a objektov a nezrovnalostiach za prostriedky EÚ</w:t>
      </w:r>
      <w:r>
        <w:rPr>
          <w:rFonts w:eastAsia="Times New Roman" w:cs="Segoe UI"/>
          <w:szCs w:val="20"/>
          <w:lang w:eastAsia="sk-SK"/>
        </w:rPr>
        <w:t xml:space="preserve">. </w:t>
      </w:r>
    </w:p>
    <w:p w14:paraId="38EFE5C5" w14:textId="77777777" w:rsidR="008A4BCF" w:rsidRDefault="008A4BCF" w:rsidP="008A4BCF">
      <w:pPr>
        <w:rPr>
          <w:rFonts w:cs="Segoe UI"/>
          <w:szCs w:val="20"/>
        </w:rPr>
      </w:pPr>
      <w:r w:rsidRPr="0037680E">
        <w:rPr>
          <w:rFonts w:eastAsia="Times New Roman" w:cs="Segoe UI"/>
          <w:b/>
          <w:szCs w:val="20"/>
          <w:lang w:eastAsia="sk-SK"/>
        </w:rPr>
        <w:t xml:space="preserve">Hotovostné saldo hospodárenia bolo za </w:t>
      </w:r>
      <w:r>
        <w:rPr>
          <w:rFonts w:eastAsia="Times New Roman" w:cs="Segoe UI"/>
          <w:b/>
          <w:szCs w:val="20"/>
          <w:lang w:eastAsia="sk-SK"/>
        </w:rPr>
        <w:t xml:space="preserve">predchádzajúce </w:t>
      </w:r>
      <w:r w:rsidRPr="0037680E">
        <w:rPr>
          <w:rFonts w:eastAsia="Times New Roman" w:cs="Segoe UI"/>
          <w:b/>
          <w:szCs w:val="20"/>
          <w:lang w:eastAsia="sk-SK"/>
        </w:rPr>
        <w:t xml:space="preserve">roky najvyššie </w:t>
      </w:r>
      <w:r w:rsidRPr="0037680E">
        <w:rPr>
          <w:rFonts w:eastAsia="Times New Roman" w:cs="Segoe UI"/>
          <w:szCs w:val="20"/>
          <w:lang w:eastAsia="sk-SK"/>
        </w:rPr>
        <w:t>(oproti roku 2022 nárast o 36 %)</w:t>
      </w:r>
      <w:r w:rsidRPr="00F17698">
        <w:rPr>
          <w:rFonts w:eastAsia="Times New Roman" w:cs="Segoe UI"/>
          <w:b/>
          <w:szCs w:val="20"/>
          <w:lang w:eastAsia="sk-SK"/>
        </w:rPr>
        <w:t xml:space="preserve"> </w:t>
      </w:r>
      <w:r w:rsidRPr="00F17698">
        <w:rPr>
          <w:rFonts w:eastAsia="Times New Roman" w:cs="Segoe UI"/>
          <w:szCs w:val="20"/>
          <w:lang w:eastAsia="sk-SK"/>
        </w:rPr>
        <w:t xml:space="preserve">(tabuľka </w:t>
      </w:r>
      <w:r>
        <w:rPr>
          <w:rFonts w:eastAsia="Times New Roman" w:cs="Segoe UI"/>
          <w:szCs w:val="20"/>
          <w:lang w:eastAsia="sk-SK"/>
        </w:rPr>
        <w:t>17</w:t>
      </w:r>
      <w:r w:rsidRPr="00F17698">
        <w:rPr>
          <w:rFonts w:eastAsia="Times New Roman" w:cs="Segoe UI"/>
          <w:szCs w:val="20"/>
          <w:lang w:eastAsia="sk-SK"/>
        </w:rPr>
        <w:t xml:space="preserve">). </w:t>
      </w:r>
      <w:r>
        <w:rPr>
          <w:rFonts w:eastAsia="Times New Roman" w:cs="Segoe UI"/>
          <w:szCs w:val="20"/>
          <w:lang w:eastAsia="sk-SK"/>
        </w:rPr>
        <w:t>D</w:t>
      </w:r>
      <w:r w:rsidRPr="0037680E">
        <w:rPr>
          <w:rFonts w:eastAsia="Times New Roman" w:cs="Segoe UI"/>
          <w:szCs w:val="20"/>
          <w:lang w:eastAsia="sk-SK"/>
        </w:rPr>
        <w:t>lhodobo</w:t>
      </w:r>
      <w:r>
        <w:rPr>
          <w:rFonts w:eastAsia="Times New Roman" w:cs="Segoe UI"/>
          <w:szCs w:val="20"/>
          <w:lang w:eastAsia="sk-SK"/>
        </w:rPr>
        <w:t xml:space="preserve"> stúpa</w:t>
      </w:r>
      <w:r w:rsidRPr="0037680E">
        <w:rPr>
          <w:rFonts w:eastAsia="Times New Roman" w:cs="Segoe UI"/>
          <w:szCs w:val="20"/>
          <w:lang w:eastAsia="sk-SK"/>
        </w:rPr>
        <w:t xml:space="preserve"> aj </w:t>
      </w:r>
      <w:r w:rsidRPr="003308BB">
        <w:rPr>
          <w:rFonts w:eastAsia="Times New Roman" w:cs="Segoe UI"/>
          <w:szCs w:val="20"/>
          <w:lang w:eastAsia="sk-SK"/>
        </w:rPr>
        <w:t>n</w:t>
      </w:r>
      <w:r w:rsidRPr="003308BB">
        <w:rPr>
          <w:rFonts w:cs="Segoe UI"/>
          <w:szCs w:val="20"/>
        </w:rPr>
        <w:t>ekonsolidovaný dlh</w:t>
      </w:r>
      <w:r w:rsidRPr="0037680E">
        <w:rPr>
          <w:rStyle w:val="Odkaznapoznmkupodiarou"/>
          <w:rFonts w:cs="Segoe UI"/>
          <w:szCs w:val="20"/>
        </w:rPr>
        <w:footnoteReference w:id="92"/>
      </w:r>
      <w:r w:rsidRPr="0037680E">
        <w:rPr>
          <w:rFonts w:cs="Segoe UI"/>
          <w:szCs w:val="20"/>
        </w:rPr>
        <w:t xml:space="preserve"> a v</w:t>
      </w:r>
      <w:r w:rsidRPr="003308BB">
        <w:rPr>
          <w:rFonts w:cs="Segoe UI"/>
          <w:szCs w:val="20"/>
        </w:rPr>
        <w:t xml:space="preserve"> </w:t>
      </w:r>
      <w:r w:rsidRPr="0037680E">
        <w:rPr>
          <w:rFonts w:cs="Segoe UI"/>
          <w:szCs w:val="20"/>
        </w:rPr>
        <w:t xml:space="preserve">roku 2023 dosiahol </w:t>
      </w:r>
      <w:r w:rsidRPr="003308BB">
        <w:rPr>
          <w:rFonts w:cs="Segoe UI"/>
          <w:szCs w:val="20"/>
        </w:rPr>
        <w:t>1,8 mld. eur</w:t>
      </w:r>
      <w:r w:rsidRPr="0037680E">
        <w:rPr>
          <w:rFonts w:cs="Segoe UI"/>
          <w:szCs w:val="20"/>
        </w:rPr>
        <w:t xml:space="preserve">. </w:t>
      </w:r>
      <w:r w:rsidRPr="006A7016">
        <w:rPr>
          <w:rFonts w:eastAsia="Times New Roman" w:cs="Segoe UI"/>
          <w:szCs w:val="20"/>
          <w:lang w:eastAsia="sk-SK"/>
        </w:rPr>
        <w:t>Kapitálové výdavky vzrástli medziročne o 41 %</w:t>
      </w:r>
      <w:r w:rsidRPr="00FE1FA1">
        <w:rPr>
          <w:rFonts w:eastAsia="Times New Roman" w:cs="Segoe UI"/>
          <w:szCs w:val="20"/>
          <w:lang w:eastAsia="sk-SK"/>
        </w:rPr>
        <w:t>.</w:t>
      </w:r>
      <w:r w:rsidRPr="0034786C">
        <w:rPr>
          <w:rFonts w:eastAsia="Times New Roman" w:cs="Segoe UI"/>
          <w:szCs w:val="20"/>
          <w:lang w:eastAsia="sk-SK"/>
        </w:rPr>
        <w:t xml:space="preserve"> </w:t>
      </w:r>
      <w:r>
        <w:rPr>
          <w:rFonts w:eastAsia="Times New Roman" w:cs="Segoe UI"/>
          <w:szCs w:val="20"/>
          <w:lang w:eastAsia="sk-SK"/>
        </w:rPr>
        <w:t>R</w:t>
      </w:r>
      <w:r w:rsidRPr="002E2636">
        <w:rPr>
          <w:rFonts w:eastAsia="Times New Roman" w:cs="Segoe UI"/>
          <w:szCs w:val="20"/>
          <w:lang w:eastAsia="sk-SK"/>
        </w:rPr>
        <w:t xml:space="preserve">ast súvisel s </w:t>
      </w:r>
      <w:r w:rsidRPr="002E2636">
        <w:rPr>
          <w:rFonts w:cs="Segoe UI"/>
          <w:szCs w:val="20"/>
        </w:rPr>
        <w:t>časovým posunom realizácie plánovaných investičných akcií z predchádzajúceho roka</w:t>
      </w:r>
      <w:r>
        <w:rPr>
          <w:rFonts w:cs="Segoe UI"/>
          <w:szCs w:val="20"/>
        </w:rPr>
        <w:t xml:space="preserve">, so </w:t>
      </w:r>
      <w:r w:rsidRPr="0034786C">
        <w:rPr>
          <w:rFonts w:cs="Segoe UI"/>
          <w:szCs w:val="20"/>
        </w:rPr>
        <w:t>zdĺhavými procesmi verejného obstarávania</w:t>
      </w:r>
      <w:r w:rsidRPr="002E2636">
        <w:rPr>
          <w:rFonts w:cs="Segoe UI"/>
          <w:szCs w:val="20"/>
        </w:rPr>
        <w:t xml:space="preserve"> a</w:t>
      </w:r>
      <w:r>
        <w:rPr>
          <w:rFonts w:cs="Segoe UI"/>
          <w:szCs w:val="20"/>
        </w:rPr>
        <w:t> </w:t>
      </w:r>
      <w:r w:rsidRPr="002E2636">
        <w:rPr>
          <w:rFonts w:eastAsia="Times New Roman" w:cs="Segoe UI"/>
          <w:szCs w:val="20"/>
          <w:lang w:eastAsia="sk-SK"/>
        </w:rPr>
        <w:t xml:space="preserve">s dočerpávaním zdrojov EÚ </w:t>
      </w:r>
      <w:r>
        <w:rPr>
          <w:rFonts w:eastAsia="Times New Roman" w:cs="Segoe UI"/>
          <w:szCs w:val="20"/>
          <w:lang w:eastAsia="sk-SK"/>
        </w:rPr>
        <w:t xml:space="preserve">(pravidlo n+3) </w:t>
      </w:r>
      <w:r w:rsidRPr="002E2636">
        <w:rPr>
          <w:rFonts w:eastAsia="Times New Roman" w:cs="Segoe UI"/>
          <w:szCs w:val="20"/>
          <w:lang w:eastAsia="sk-SK"/>
        </w:rPr>
        <w:t xml:space="preserve">na naplánované </w:t>
      </w:r>
      <w:r w:rsidRPr="003308BB">
        <w:rPr>
          <w:rFonts w:eastAsia="Times New Roman" w:cs="Segoe UI"/>
          <w:szCs w:val="20"/>
          <w:lang w:eastAsia="sk-SK"/>
        </w:rPr>
        <w:t>projekty do roku 2023.</w:t>
      </w:r>
      <w:r w:rsidRPr="003308BB">
        <w:rPr>
          <w:rStyle w:val="Odkaznapoznmkupodiarou"/>
          <w:rFonts w:eastAsia="Times New Roman" w:cs="Segoe UI"/>
          <w:szCs w:val="20"/>
          <w:lang w:eastAsia="sk-SK"/>
        </w:rPr>
        <w:footnoteReference w:id="93"/>
      </w:r>
    </w:p>
    <w:p w14:paraId="664E7A86" w14:textId="77777777" w:rsidR="008A4BCF" w:rsidRPr="003A70D3" w:rsidRDefault="008A4BCF" w:rsidP="008A4BCF">
      <w:pPr>
        <w:pStyle w:val="Nadpis2"/>
        <w:rPr>
          <w:rFonts w:eastAsia="Times New Roman"/>
          <w:lang w:eastAsia="sk-SK"/>
        </w:rPr>
      </w:pPr>
      <w:bookmarkStart w:id="53" w:name="_Toc168567212"/>
      <w:r w:rsidRPr="003A70D3">
        <w:rPr>
          <w:rFonts w:eastAsia="Times New Roman"/>
          <w:lang w:eastAsia="sk-SK"/>
        </w:rPr>
        <w:t xml:space="preserve">6.2 </w:t>
      </w:r>
      <w:r>
        <w:rPr>
          <w:rFonts w:eastAsia="Times New Roman"/>
          <w:lang w:eastAsia="sk-SK"/>
        </w:rPr>
        <w:t xml:space="preserve"> </w:t>
      </w:r>
      <w:r w:rsidRPr="003308BB">
        <w:t>Hospodárenie</w:t>
      </w:r>
      <w:r w:rsidRPr="003A70D3">
        <w:rPr>
          <w:rFonts w:eastAsia="Times New Roman"/>
          <w:lang w:eastAsia="sk-SK"/>
        </w:rPr>
        <w:t xml:space="preserve"> VÚC</w:t>
      </w:r>
      <w:bookmarkEnd w:id="53"/>
    </w:p>
    <w:p w14:paraId="6BBF5D37" w14:textId="77777777" w:rsidR="008A4BCF" w:rsidRDefault="008A4BCF" w:rsidP="008A4BCF">
      <w:pPr>
        <w:rPr>
          <w:rFonts w:cs="Segoe UI"/>
          <w:szCs w:val="20"/>
        </w:rPr>
      </w:pPr>
      <w:r w:rsidRPr="00AB4705">
        <w:rPr>
          <w:rFonts w:eastAsia="Times New Roman" w:cs="Segoe UI"/>
          <w:b/>
          <w:szCs w:val="20"/>
          <w:lang w:eastAsia="sk-SK"/>
        </w:rPr>
        <w:t xml:space="preserve">Príjmy </w:t>
      </w:r>
      <w:r>
        <w:rPr>
          <w:rFonts w:eastAsia="Times New Roman" w:cs="Segoe UI"/>
          <w:b/>
          <w:szCs w:val="20"/>
          <w:lang w:eastAsia="sk-SK"/>
        </w:rPr>
        <w:t>VÚC v strednodobom horizonte rástli</w:t>
      </w:r>
      <w:r w:rsidRPr="00AB4705">
        <w:rPr>
          <w:rFonts w:eastAsia="Times New Roman" w:cs="Segoe UI"/>
          <w:szCs w:val="20"/>
          <w:lang w:eastAsia="sk-SK"/>
        </w:rPr>
        <w:t xml:space="preserve"> </w:t>
      </w:r>
      <w:r w:rsidRPr="006E2A64">
        <w:rPr>
          <w:rFonts w:eastAsia="Times New Roman" w:cs="Segoe UI"/>
          <w:szCs w:val="20"/>
          <w:lang w:eastAsia="sk-SK"/>
        </w:rPr>
        <w:t>(oproti roku 2022 o cca 30 %)</w:t>
      </w:r>
      <w:r w:rsidRPr="00AB4705">
        <w:rPr>
          <w:rFonts w:eastAsia="Times New Roman" w:cs="Segoe UI"/>
          <w:szCs w:val="20"/>
          <w:lang w:eastAsia="sk-SK"/>
        </w:rPr>
        <w:t xml:space="preserve">. </w:t>
      </w:r>
      <w:r>
        <w:rPr>
          <w:rFonts w:eastAsia="Times New Roman" w:cs="Segoe UI"/>
          <w:szCs w:val="20"/>
          <w:lang w:eastAsia="sk-SK"/>
        </w:rPr>
        <w:t xml:space="preserve">Pričom 78 % príjmu tvoria </w:t>
      </w:r>
      <w:r w:rsidRPr="0037680E">
        <w:rPr>
          <w:rFonts w:eastAsia="Times New Roman" w:cs="Segoe UI"/>
          <w:szCs w:val="20"/>
          <w:lang w:eastAsia="sk-SK"/>
        </w:rPr>
        <w:t xml:space="preserve">daňové </w:t>
      </w:r>
      <w:r w:rsidRPr="003308BB">
        <w:rPr>
          <w:rFonts w:eastAsia="Times New Roman" w:cs="Segoe UI"/>
          <w:szCs w:val="20"/>
          <w:lang w:eastAsia="sk-SK"/>
        </w:rPr>
        <w:t>príjmy,</w:t>
      </w:r>
      <w:r w:rsidRPr="0037680E">
        <w:rPr>
          <w:rFonts w:eastAsia="Times New Roman" w:cs="Segoe UI"/>
          <w:szCs w:val="20"/>
          <w:lang w:eastAsia="sk-SK"/>
        </w:rPr>
        <w:t xml:space="preserve"> granty a </w:t>
      </w:r>
      <w:r w:rsidRPr="003308BB">
        <w:rPr>
          <w:rFonts w:eastAsia="Times New Roman" w:cs="Segoe UI"/>
          <w:szCs w:val="20"/>
          <w:lang w:eastAsia="sk-SK"/>
        </w:rPr>
        <w:t xml:space="preserve">transfery </w:t>
      </w:r>
      <w:r w:rsidRPr="0037680E">
        <w:rPr>
          <w:rFonts w:eastAsia="Times New Roman" w:cs="Segoe UI"/>
          <w:szCs w:val="20"/>
          <w:lang w:eastAsia="sk-SK"/>
        </w:rPr>
        <w:t>(tabuľka 18).</w:t>
      </w:r>
      <w:r>
        <w:rPr>
          <w:rFonts w:eastAsia="Times New Roman" w:cs="Segoe UI"/>
          <w:szCs w:val="20"/>
          <w:lang w:eastAsia="sk-SK"/>
        </w:rPr>
        <w:t xml:space="preserve"> </w:t>
      </w:r>
      <w:r w:rsidRPr="006A7016">
        <w:rPr>
          <w:rFonts w:cs="Segoe UI"/>
          <w:szCs w:val="20"/>
        </w:rPr>
        <w:t xml:space="preserve">Skutočný (hotovostný) prevod </w:t>
      </w:r>
      <w:r>
        <w:rPr>
          <w:rFonts w:cs="Segoe UI"/>
          <w:szCs w:val="20"/>
        </w:rPr>
        <w:t>výnosu DPFO</w:t>
      </w:r>
      <w:r w:rsidRPr="006A7016">
        <w:rPr>
          <w:rFonts w:cs="Segoe UI"/>
          <w:szCs w:val="20"/>
        </w:rPr>
        <w:t xml:space="preserve"> do rozpočtov VÚC bol </w:t>
      </w:r>
      <w:r>
        <w:rPr>
          <w:rFonts w:cs="Segoe UI"/>
          <w:szCs w:val="20"/>
        </w:rPr>
        <w:t>realizovaný</w:t>
      </w:r>
      <w:r w:rsidRPr="006A7016">
        <w:rPr>
          <w:rFonts w:cs="Segoe UI"/>
          <w:szCs w:val="20"/>
        </w:rPr>
        <w:t xml:space="preserve"> vo výške 1,2 mld. eur</w:t>
      </w:r>
      <w:r>
        <w:rPr>
          <w:rFonts w:cs="Segoe UI"/>
          <w:szCs w:val="20"/>
        </w:rPr>
        <w:t>,</w:t>
      </w:r>
      <w:r w:rsidRPr="006A7016">
        <w:rPr>
          <w:rFonts w:cs="Segoe UI"/>
          <w:szCs w:val="20"/>
        </w:rPr>
        <w:t xml:space="preserve"> vrátane zúčtovania za predchádzajúci rok</w:t>
      </w:r>
      <w:r w:rsidRPr="00FE1FA1">
        <w:rPr>
          <w:rFonts w:cs="Segoe UI"/>
          <w:szCs w:val="20"/>
        </w:rPr>
        <w:t xml:space="preserve"> </w:t>
      </w:r>
      <w:r w:rsidRPr="00501710">
        <w:rPr>
          <w:rFonts w:cs="Segoe UI"/>
          <w:szCs w:val="20"/>
        </w:rPr>
        <w:t>(</w:t>
      </w:r>
      <w:r>
        <w:rPr>
          <w:rFonts w:cs="Segoe UI"/>
          <w:szCs w:val="20"/>
        </w:rPr>
        <w:t xml:space="preserve">v roku </w:t>
      </w:r>
      <w:r w:rsidRPr="00501710">
        <w:rPr>
          <w:rFonts w:cs="Segoe UI"/>
          <w:szCs w:val="20"/>
        </w:rPr>
        <w:t>2022</w:t>
      </w:r>
      <w:r>
        <w:rPr>
          <w:rFonts w:cs="Segoe UI"/>
          <w:szCs w:val="20"/>
        </w:rPr>
        <w:t xml:space="preserve"> –</w:t>
      </w:r>
      <w:r w:rsidRPr="00501710">
        <w:rPr>
          <w:rFonts w:cs="Segoe UI"/>
          <w:szCs w:val="20"/>
        </w:rPr>
        <w:t xml:space="preserve"> 1</w:t>
      </w:r>
      <w:r>
        <w:rPr>
          <w:rFonts w:cs="Segoe UI"/>
          <w:szCs w:val="20"/>
        </w:rPr>
        <w:t xml:space="preserve">,1 mld. </w:t>
      </w:r>
      <w:r w:rsidRPr="00501710">
        <w:rPr>
          <w:rFonts w:cs="Segoe UI"/>
          <w:szCs w:val="20"/>
        </w:rPr>
        <w:t xml:space="preserve">eur, </w:t>
      </w:r>
      <w:r>
        <w:rPr>
          <w:rFonts w:cs="Segoe UI"/>
          <w:szCs w:val="20"/>
        </w:rPr>
        <w:t xml:space="preserve">v roku </w:t>
      </w:r>
      <w:r w:rsidRPr="00501710">
        <w:rPr>
          <w:rFonts w:cs="Segoe UI"/>
          <w:szCs w:val="20"/>
        </w:rPr>
        <w:t>2021</w:t>
      </w:r>
      <w:r>
        <w:rPr>
          <w:rFonts w:cs="Segoe UI"/>
          <w:szCs w:val="20"/>
        </w:rPr>
        <w:t xml:space="preserve"> – 983,4 mil. eur).</w:t>
      </w:r>
    </w:p>
    <w:p w14:paraId="2767EE75" w14:textId="77777777" w:rsidR="008A4BCF" w:rsidRDefault="008A4BCF" w:rsidP="008A4BCF">
      <w:pPr>
        <w:rPr>
          <w:rFonts w:eastAsia="Times New Roman" w:cs="Segoe UI"/>
          <w:szCs w:val="20"/>
          <w:lang w:eastAsia="sk-SK"/>
        </w:rPr>
      </w:pPr>
      <w:r w:rsidRPr="003308BB">
        <w:rPr>
          <w:rFonts w:eastAsia="Times New Roman" w:cs="Segoe UI"/>
          <w:b/>
          <w:szCs w:val="20"/>
          <w:lang w:eastAsia="sk-SK"/>
        </w:rPr>
        <w:t xml:space="preserve">Významným príjmom VÚC sú aj </w:t>
      </w:r>
      <w:r w:rsidRPr="0037680E">
        <w:rPr>
          <w:rFonts w:eastAsia="Times New Roman" w:cs="Segoe UI"/>
          <w:b/>
          <w:szCs w:val="20"/>
          <w:lang w:eastAsia="sk-SK"/>
        </w:rPr>
        <w:t xml:space="preserve">transfery </w:t>
      </w:r>
      <w:r w:rsidRPr="003308BB">
        <w:rPr>
          <w:rFonts w:eastAsia="Times New Roman" w:cs="Segoe UI"/>
          <w:b/>
          <w:szCs w:val="20"/>
          <w:lang w:eastAsia="sk-SK"/>
        </w:rPr>
        <w:t xml:space="preserve">z kapitol ŠR, ktoré slúžia predovšetkým na </w:t>
      </w:r>
      <w:r w:rsidRPr="0037680E">
        <w:rPr>
          <w:rFonts w:eastAsia="Times New Roman" w:cs="Segoe UI"/>
          <w:b/>
          <w:szCs w:val="20"/>
          <w:lang w:eastAsia="sk-SK"/>
        </w:rPr>
        <w:t>financovanie</w:t>
      </w:r>
      <w:r w:rsidRPr="00054061">
        <w:rPr>
          <w:rFonts w:eastAsia="Times New Roman" w:cs="Segoe UI"/>
          <w:b/>
          <w:szCs w:val="20"/>
          <w:lang w:eastAsia="sk-SK"/>
        </w:rPr>
        <w:t xml:space="preserve"> preneseného výkonu štátnej správy</w:t>
      </w:r>
      <w:r w:rsidRPr="0014305F">
        <w:rPr>
          <w:rFonts w:eastAsia="Times New Roman" w:cs="Segoe UI"/>
          <w:b/>
          <w:szCs w:val="20"/>
          <w:lang w:eastAsia="sk-SK"/>
        </w:rPr>
        <w:t xml:space="preserve">. </w:t>
      </w:r>
      <w:r>
        <w:rPr>
          <w:rFonts w:eastAsia="Times New Roman" w:cs="Segoe UI"/>
          <w:szCs w:val="20"/>
          <w:lang w:eastAsia="sk-SK"/>
        </w:rPr>
        <w:t>Desať</w:t>
      </w:r>
      <w:r w:rsidRPr="00054061">
        <w:rPr>
          <w:rFonts w:eastAsia="Times New Roman" w:cs="Segoe UI"/>
          <w:szCs w:val="20"/>
          <w:lang w:eastAsia="sk-SK"/>
        </w:rPr>
        <w:t xml:space="preserve"> kapitol presunulo zo svojich rozpočtov</w:t>
      </w:r>
      <w:r>
        <w:rPr>
          <w:rFonts w:eastAsia="Times New Roman" w:cs="Segoe UI"/>
          <w:szCs w:val="20"/>
          <w:lang w:eastAsia="sk-SK"/>
        </w:rPr>
        <w:t xml:space="preserve"> viac ako</w:t>
      </w:r>
      <w:r w:rsidRPr="00054061">
        <w:rPr>
          <w:rFonts w:eastAsia="Times New Roman" w:cs="Segoe UI"/>
          <w:szCs w:val="20"/>
          <w:lang w:eastAsia="sk-SK"/>
        </w:rPr>
        <w:t xml:space="preserve"> </w:t>
      </w:r>
      <w:r w:rsidRPr="003308BB">
        <w:rPr>
          <w:rFonts w:eastAsia="Times New Roman" w:cs="Segoe UI"/>
          <w:szCs w:val="20"/>
          <w:lang w:eastAsia="sk-SK"/>
        </w:rPr>
        <w:t xml:space="preserve">1 mld. eur, </w:t>
      </w:r>
      <w:r w:rsidRPr="003308BB">
        <w:rPr>
          <w:rFonts w:eastAsia="Times New Roman" w:cs="Segoe UI"/>
          <w:szCs w:val="20"/>
          <w:lang w:eastAsia="sk-SK"/>
        </w:rPr>
        <w:lastRenderedPageBreak/>
        <w:t xml:space="preserve">čo za </w:t>
      </w:r>
      <w:r>
        <w:rPr>
          <w:rFonts w:eastAsia="Times New Roman" w:cs="Segoe UI"/>
          <w:szCs w:val="20"/>
          <w:lang w:eastAsia="sk-SK"/>
        </w:rPr>
        <w:t>posledné</w:t>
      </w:r>
      <w:r w:rsidRPr="003308BB">
        <w:rPr>
          <w:rFonts w:eastAsia="Times New Roman" w:cs="Segoe UI"/>
          <w:szCs w:val="20"/>
          <w:lang w:eastAsia="sk-SK"/>
        </w:rPr>
        <w:t xml:space="preserve"> štyri roky predstavovalo najvyššiu sumu </w:t>
      </w:r>
      <w:r w:rsidRPr="00875CF1">
        <w:rPr>
          <w:rFonts w:eastAsia="Times New Roman" w:cs="Segoe UI"/>
          <w:szCs w:val="20"/>
          <w:lang w:eastAsia="sk-SK"/>
        </w:rPr>
        <w:t>(oproti roku 2022 nárast o 65 %).</w:t>
      </w:r>
      <w:r w:rsidRPr="002578C5">
        <w:rPr>
          <w:rFonts w:eastAsia="Times New Roman" w:cs="Segoe UI"/>
          <w:szCs w:val="20"/>
          <w:lang w:eastAsia="sk-SK"/>
        </w:rPr>
        <w:t xml:space="preserve"> V roku 2023 najvyššie transfery smerovali do oblasti vzdelávania </w:t>
      </w:r>
      <w:r>
        <w:rPr>
          <w:rFonts w:eastAsia="Times New Roman" w:cs="Segoe UI"/>
          <w:szCs w:val="20"/>
          <w:lang w:eastAsia="sk-SK"/>
        </w:rPr>
        <w:t>(transfer z MŠVVaŠ SR v objeme 644,8 mil.</w:t>
      </w:r>
      <w:r w:rsidRPr="002578C5">
        <w:rPr>
          <w:rFonts w:eastAsia="Times New Roman" w:cs="Segoe UI"/>
          <w:szCs w:val="20"/>
          <w:lang w:eastAsia="sk-SK"/>
        </w:rPr>
        <w:t xml:space="preserve"> eur).</w:t>
      </w:r>
      <w:r>
        <w:rPr>
          <w:rStyle w:val="Odkaznapoznmkupodiarou"/>
          <w:rFonts w:eastAsia="Times New Roman" w:cs="Segoe UI"/>
          <w:szCs w:val="20"/>
          <w:lang w:eastAsia="sk-SK"/>
        </w:rPr>
        <w:footnoteReference w:id="94"/>
      </w:r>
    </w:p>
    <w:p w14:paraId="5933D27F" w14:textId="77777777" w:rsidR="008A4BCF" w:rsidRPr="007C1F09" w:rsidRDefault="008A4BCF" w:rsidP="008A4BCF">
      <w:pPr>
        <w:pStyle w:val="Popis"/>
        <w:keepNext/>
        <w:rPr>
          <w:color w:val="314364"/>
        </w:rPr>
      </w:pPr>
      <w:r w:rsidRPr="007C1F09">
        <w:rPr>
          <w:color w:val="314364"/>
        </w:rPr>
        <w:t>Tabuľka 18: Vybrané finan</w:t>
      </w:r>
      <w:r>
        <w:rPr>
          <w:color w:val="314364"/>
        </w:rPr>
        <w:t>čné ukazovatele VÚC za roky 2021</w:t>
      </w:r>
      <w:r w:rsidRPr="007C1F09">
        <w:rPr>
          <w:color w:val="314364"/>
        </w:rPr>
        <w:t xml:space="preserve"> až 2023 (v tis. eur)</w:t>
      </w:r>
    </w:p>
    <w:tbl>
      <w:tblPr>
        <w:tblW w:w="5000" w:type="pct"/>
        <w:tblBorders>
          <w:bottom w:val="single" w:sz="4" w:space="0" w:color="314364" w:themeColor="text2"/>
        </w:tblBorders>
        <w:tblLook w:val="01E0" w:firstRow="1" w:lastRow="1" w:firstColumn="1" w:lastColumn="1" w:noHBand="0" w:noVBand="0"/>
      </w:tblPr>
      <w:tblGrid>
        <w:gridCol w:w="2752"/>
        <w:gridCol w:w="1297"/>
        <w:gridCol w:w="1297"/>
        <w:gridCol w:w="1297"/>
        <w:gridCol w:w="1457"/>
        <w:gridCol w:w="970"/>
      </w:tblGrid>
      <w:tr w:rsidR="008A4BCF" w:rsidRPr="002F45E5" w14:paraId="102D64A0" w14:textId="77777777" w:rsidTr="00B44AC3">
        <w:trPr>
          <w:trHeight w:val="283"/>
          <w:tblHeader/>
        </w:trPr>
        <w:tc>
          <w:tcPr>
            <w:tcW w:w="1517" w:type="pct"/>
            <w:shd w:val="clear" w:color="auto" w:fill="24324A" w:themeFill="text2" w:themeFillShade="BF"/>
            <w:vAlign w:val="center"/>
            <w:hideMark/>
          </w:tcPr>
          <w:p w14:paraId="341F43BB" w14:textId="77777777" w:rsidR="008A4BCF" w:rsidRPr="002F45E5" w:rsidRDefault="008A4BCF" w:rsidP="00B44AC3">
            <w:pPr>
              <w:spacing w:after="0" w:line="240" w:lineRule="auto"/>
              <w:jc w:val="left"/>
              <w:rPr>
                <w:rFonts w:eastAsia="Times New Roman" w:cs="Segoe UI"/>
                <w:b/>
                <w:sz w:val="18"/>
                <w:szCs w:val="18"/>
                <w:lang w:eastAsia="sk-SK"/>
              </w:rPr>
            </w:pPr>
            <w:r w:rsidRPr="002F45E5">
              <w:rPr>
                <w:rFonts w:eastAsia="Times New Roman" w:cs="Segoe UI"/>
                <w:b/>
                <w:sz w:val="18"/>
                <w:szCs w:val="18"/>
                <w:lang w:eastAsia="sk-SK"/>
              </w:rPr>
              <w:t>Názov ukazovateľa</w:t>
            </w:r>
          </w:p>
        </w:tc>
        <w:tc>
          <w:tcPr>
            <w:tcW w:w="715" w:type="pct"/>
            <w:shd w:val="clear" w:color="auto" w:fill="24324A" w:themeFill="text2" w:themeFillShade="BF"/>
            <w:vAlign w:val="center"/>
          </w:tcPr>
          <w:p w14:paraId="2E761E7F" w14:textId="77777777" w:rsidR="008A4BCF" w:rsidRPr="002F45E5" w:rsidRDefault="008A4BCF" w:rsidP="00B44AC3">
            <w:pPr>
              <w:spacing w:after="0" w:line="240" w:lineRule="auto"/>
              <w:jc w:val="right"/>
              <w:rPr>
                <w:rFonts w:eastAsia="Times New Roman" w:cs="Segoe UI"/>
                <w:b/>
                <w:sz w:val="18"/>
                <w:szCs w:val="18"/>
                <w:lang w:eastAsia="sk-SK"/>
              </w:rPr>
            </w:pPr>
            <w:r w:rsidRPr="002F45E5">
              <w:rPr>
                <w:rFonts w:eastAsia="Times New Roman" w:cs="Segoe UI"/>
                <w:b/>
                <w:sz w:val="18"/>
                <w:szCs w:val="18"/>
                <w:lang w:eastAsia="sk-SK"/>
              </w:rPr>
              <w:t>2021</w:t>
            </w:r>
          </w:p>
        </w:tc>
        <w:tc>
          <w:tcPr>
            <w:tcW w:w="715" w:type="pct"/>
            <w:shd w:val="clear" w:color="auto" w:fill="24324A" w:themeFill="text2" w:themeFillShade="BF"/>
            <w:vAlign w:val="center"/>
          </w:tcPr>
          <w:p w14:paraId="047CC582" w14:textId="77777777" w:rsidR="008A4BCF" w:rsidRPr="002F45E5" w:rsidRDefault="008A4BCF" w:rsidP="00B44AC3">
            <w:pPr>
              <w:spacing w:after="0" w:line="240" w:lineRule="auto"/>
              <w:jc w:val="right"/>
              <w:rPr>
                <w:rFonts w:eastAsia="Times New Roman" w:cs="Segoe UI"/>
                <w:b/>
                <w:sz w:val="18"/>
                <w:szCs w:val="18"/>
                <w:lang w:eastAsia="sk-SK"/>
              </w:rPr>
            </w:pPr>
            <w:r w:rsidRPr="002F45E5">
              <w:rPr>
                <w:rFonts w:eastAsia="Times New Roman" w:cs="Segoe UI"/>
                <w:b/>
                <w:sz w:val="18"/>
                <w:szCs w:val="18"/>
                <w:lang w:eastAsia="sk-SK"/>
              </w:rPr>
              <w:t>2022</w:t>
            </w:r>
          </w:p>
        </w:tc>
        <w:tc>
          <w:tcPr>
            <w:tcW w:w="715" w:type="pct"/>
            <w:shd w:val="clear" w:color="auto" w:fill="24324A" w:themeFill="text2" w:themeFillShade="BF"/>
            <w:vAlign w:val="center"/>
          </w:tcPr>
          <w:p w14:paraId="41B1B7C3" w14:textId="77777777" w:rsidR="008A4BCF" w:rsidRPr="002F45E5" w:rsidRDefault="008A4BCF" w:rsidP="00B44AC3">
            <w:pPr>
              <w:spacing w:after="0" w:line="240" w:lineRule="auto"/>
              <w:ind w:hanging="106"/>
              <w:jc w:val="right"/>
              <w:rPr>
                <w:rFonts w:eastAsia="Times New Roman" w:cs="Segoe UI"/>
                <w:b/>
                <w:sz w:val="18"/>
                <w:szCs w:val="18"/>
                <w:lang w:eastAsia="sk-SK"/>
              </w:rPr>
            </w:pPr>
            <w:r w:rsidRPr="002F45E5">
              <w:rPr>
                <w:rFonts w:eastAsia="Times New Roman" w:cs="Segoe UI"/>
                <w:b/>
                <w:sz w:val="18"/>
                <w:szCs w:val="18"/>
                <w:lang w:eastAsia="sk-SK"/>
              </w:rPr>
              <w:t>2023</w:t>
            </w:r>
          </w:p>
        </w:tc>
        <w:tc>
          <w:tcPr>
            <w:tcW w:w="803" w:type="pct"/>
            <w:shd w:val="clear" w:color="auto" w:fill="24324A" w:themeFill="text2" w:themeFillShade="BF"/>
            <w:vAlign w:val="center"/>
          </w:tcPr>
          <w:p w14:paraId="59E37BC5" w14:textId="77777777" w:rsidR="008A4BCF" w:rsidRPr="002F45E5" w:rsidRDefault="008A4BCF" w:rsidP="00B44AC3">
            <w:pPr>
              <w:widowControl w:val="0"/>
              <w:spacing w:after="0" w:line="240" w:lineRule="auto"/>
              <w:ind w:left="-253" w:firstLine="253"/>
              <w:jc w:val="right"/>
              <w:rPr>
                <w:rFonts w:eastAsia="Times New Roman" w:cs="Segoe UI"/>
                <w:b/>
                <w:sz w:val="18"/>
                <w:szCs w:val="18"/>
                <w:lang w:eastAsia="sk-SK"/>
              </w:rPr>
            </w:pPr>
            <w:r w:rsidRPr="002F45E5">
              <w:rPr>
                <w:rFonts w:eastAsia="Times New Roman" w:cs="Segoe UI"/>
                <w:b/>
                <w:sz w:val="18"/>
                <w:szCs w:val="18"/>
                <w:lang w:eastAsia="sk-SK"/>
              </w:rPr>
              <w:t>2023 - 2022</w:t>
            </w:r>
          </w:p>
        </w:tc>
        <w:tc>
          <w:tcPr>
            <w:tcW w:w="535" w:type="pct"/>
            <w:shd w:val="clear" w:color="auto" w:fill="24324A" w:themeFill="text2" w:themeFillShade="BF"/>
            <w:vAlign w:val="center"/>
          </w:tcPr>
          <w:p w14:paraId="07101CCC" w14:textId="77777777" w:rsidR="008A4BCF" w:rsidRPr="002F45E5" w:rsidRDefault="008A4BCF" w:rsidP="00B44AC3">
            <w:pPr>
              <w:widowControl w:val="0"/>
              <w:spacing w:after="0" w:line="240" w:lineRule="auto"/>
              <w:jc w:val="right"/>
              <w:rPr>
                <w:rFonts w:eastAsia="Times New Roman" w:cs="Segoe UI"/>
                <w:b/>
                <w:sz w:val="18"/>
                <w:szCs w:val="18"/>
                <w:lang w:eastAsia="sk-SK"/>
              </w:rPr>
            </w:pPr>
            <w:r w:rsidRPr="002F45E5">
              <w:rPr>
                <w:rFonts w:eastAsia="Times New Roman" w:cs="Segoe UI"/>
                <w:b/>
                <w:sz w:val="18"/>
                <w:szCs w:val="18"/>
                <w:lang w:eastAsia="sk-SK"/>
              </w:rPr>
              <w:t>YoY/%</w:t>
            </w:r>
          </w:p>
        </w:tc>
      </w:tr>
      <w:tr w:rsidR="008A4BCF" w:rsidRPr="002F45E5" w14:paraId="4B1FED03" w14:textId="77777777" w:rsidTr="00B44AC3">
        <w:trPr>
          <w:trHeight w:val="283"/>
        </w:trPr>
        <w:tc>
          <w:tcPr>
            <w:tcW w:w="1517" w:type="pct"/>
            <w:vAlign w:val="center"/>
          </w:tcPr>
          <w:p w14:paraId="387A0F8A" w14:textId="77777777" w:rsidR="008A4BCF" w:rsidRPr="002F45E5" w:rsidRDefault="008A4BCF" w:rsidP="00B44AC3">
            <w:pPr>
              <w:spacing w:after="0" w:line="240" w:lineRule="auto"/>
              <w:contextualSpacing/>
              <w:jc w:val="left"/>
              <w:rPr>
                <w:rFonts w:eastAsia="Times New Roman" w:cs="Segoe UI"/>
                <w:b/>
                <w:bCs/>
                <w:sz w:val="18"/>
                <w:szCs w:val="18"/>
                <w:lang w:eastAsia="sk-SK"/>
              </w:rPr>
            </w:pPr>
            <w:r w:rsidRPr="002F45E5">
              <w:rPr>
                <w:rFonts w:eastAsia="Times New Roman" w:cs="Segoe UI"/>
                <w:b/>
                <w:bCs/>
                <w:sz w:val="18"/>
                <w:szCs w:val="18"/>
                <w:lang w:eastAsia="sk-SK"/>
              </w:rPr>
              <w:t>Príjmy celkom</w:t>
            </w:r>
          </w:p>
        </w:tc>
        <w:tc>
          <w:tcPr>
            <w:tcW w:w="715" w:type="pct"/>
            <w:vAlign w:val="center"/>
          </w:tcPr>
          <w:p w14:paraId="3DB2EA90" w14:textId="77777777" w:rsidR="008A4BCF" w:rsidRPr="002F45E5" w:rsidRDefault="008A4BCF" w:rsidP="00B44AC3">
            <w:pPr>
              <w:spacing w:after="0" w:line="240" w:lineRule="auto"/>
              <w:jc w:val="right"/>
              <w:rPr>
                <w:rFonts w:eastAsia="Times New Roman" w:cs="Segoe UI"/>
                <w:b/>
                <w:sz w:val="18"/>
                <w:szCs w:val="18"/>
              </w:rPr>
            </w:pPr>
            <w:r w:rsidRPr="002F45E5">
              <w:rPr>
                <w:rFonts w:eastAsia="Times New Roman" w:cs="Segoe UI"/>
                <w:b/>
                <w:sz w:val="18"/>
                <w:szCs w:val="18"/>
              </w:rPr>
              <w:t>2 065 480</w:t>
            </w:r>
          </w:p>
        </w:tc>
        <w:tc>
          <w:tcPr>
            <w:tcW w:w="715" w:type="pct"/>
            <w:vAlign w:val="center"/>
          </w:tcPr>
          <w:p w14:paraId="13DD7074" w14:textId="77777777" w:rsidR="008A4BCF" w:rsidRPr="002F45E5" w:rsidRDefault="008A4BCF" w:rsidP="00B44AC3">
            <w:pPr>
              <w:spacing w:after="0" w:line="240" w:lineRule="auto"/>
              <w:jc w:val="right"/>
              <w:rPr>
                <w:rFonts w:eastAsia="Times New Roman" w:cs="Segoe UI"/>
                <w:b/>
                <w:sz w:val="18"/>
                <w:szCs w:val="18"/>
              </w:rPr>
            </w:pPr>
            <w:r w:rsidRPr="002F45E5">
              <w:rPr>
                <w:rFonts w:eastAsia="Times New Roman" w:cs="Segoe UI"/>
                <w:b/>
                <w:sz w:val="18"/>
                <w:szCs w:val="18"/>
              </w:rPr>
              <w:t>2 214 068</w:t>
            </w:r>
          </w:p>
        </w:tc>
        <w:tc>
          <w:tcPr>
            <w:tcW w:w="715" w:type="pct"/>
            <w:vAlign w:val="center"/>
          </w:tcPr>
          <w:p w14:paraId="312FD953" w14:textId="77777777" w:rsidR="008A4BCF" w:rsidRPr="002F45E5" w:rsidRDefault="008A4BCF" w:rsidP="00B44AC3">
            <w:pPr>
              <w:spacing w:after="0" w:line="240" w:lineRule="auto"/>
              <w:jc w:val="right"/>
              <w:rPr>
                <w:rFonts w:eastAsia="Times New Roman" w:cs="Segoe UI"/>
                <w:b/>
                <w:sz w:val="18"/>
                <w:szCs w:val="18"/>
              </w:rPr>
            </w:pPr>
            <w:r w:rsidRPr="002F45E5">
              <w:rPr>
                <w:rFonts w:eastAsia="Times New Roman" w:cs="Segoe UI"/>
                <w:b/>
                <w:sz w:val="18"/>
                <w:szCs w:val="18"/>
              </w:rPr>
              <w:t>2 858 958</w:t>
            </w:r>
          </w:p>
        </w:tc>
        <w:tc>
          <w:tcPr>
            <w:tcW w:w="803" w:type="pct"/>
            <w:vAlign w:val="center"/>
          </w:tcPr>
          <w:p w14:paraId="13B10E10" w14:textId="77777777" w:rsidR="008A4BCF" w:rsidRPr="002F45E5" w:rsidRDefault="008A4BCF" w:rsidP="00B44AC3">
            <w:pPr>
              <w:spacing w:after="0" w:line="240" w:lineRule="auto"/>
              <w:jc w:val="right"/>
              <w:rPr>
                <w:rFonts w:eastAsia="Times New Roman" w:cs="Segoe UI"/>
                <w:b/>
                <w:sz w:val="18"/>
                <w:szCs w:val="18"/>
              </w:rPr>
            </w:pPr>
            <w:r w:rsidRPr="002F45E5">
              <w:rPr>
                <w:rFonts w:eastAsia="Times New Roman" w:cs="Segoe UI"/>
                <w:b/>
                <w:sz w:val="18"/>
                <w:szCs w:val="18"/>
              </w:rPr>
              <w:t>644 890</w:t>
            </w:r>
          </w:p>
        </w:tc>
        <w:tc>
          <w:tcPr>
            <w:tcW w:w="535" w:type="pct"/>
            <w:vAlign w:val="center"/>
          </w:tcPr>
          <w:p w14:paraId="0A75252D" w14:textId="77777777" w:rsidR="008A4BCF" w:rsidRPr="002F45E5" w:rsidRDefault="008A4BCF" w:rsidP="00B44AC3">
            <w:pPr>
              <w:spacing w:after="0" w:line="240" w:lineRule="auto"/>
              <w:jc w:val="right"/>
              <w:rPr>
                <w:rFonts w:eastAsia="Times New Roman" w:cs="Segoe UI"/>
                <w:b/>
                <w:sz w:val="18"/>
                <w:szCs w:val="18"/>
              </w:rPr>
            </w:pPr>
            <w:r w:rsidRPr="002F45E5">
              <w:rPr>
                <w:rFonts w:eastAsia="Times New Roman" w:cs="Segoe UI"/>
                <w:b/>
                <w:sz w:val="18"/>
                <w:szCs w:val="18"/>
              </w:rPr>
              <w:t>129,13</w:t>
            </w:r>
          </w:p>
        </w:tc>
      </w:tr>
      <w:tr w:rsidR="008A4BCF" w:rsidRPr="002F45E5" w14:paraId="6F60C341" w14:textId="77777777" w:rsidTr="00B44AC3">
        <w:trPr>
          <w:trHeight w:val="283"/>
        </w:trPr>
        <w:tc>
          <w:tcPr>
            <w:tcW w:w="1517" w:type="pct"/>
            <w:vAlign w:val="center"/>
          </w:tcPr>
          <w:p w14:paraId="22D478BD" w14:textId="77777777" w:rsidR="008A4BCF" w:rsidRPr="002F45E5" w:rsidRDefault="008A4BCF" w:rsidP="00B44AC3">
            <w:pPr>
              <w:spacing w:after="0" w:line="240" w:lineRule="auto"/>
              <w:contextualSpacing/>
              <w:jc w:val="left"/>
              <w:rPr>
                <w:rFonts w:eastAsia="Times New Roman" w:cs="Segoe UI"/>
                <w:bCs/>
                <w:sz w:val="18"/>
                <w:szCs w:val="18"/>
                <w:lang w:eastAsia="sk-SK"/>
              </w:rPr>
            </w:pPr>
            <w:r w:rsidRPr="002F45E5">
              <w:rPr>
                <w:rFonts w:eastAsia="Times New Roman" w:cs="Segoe UI"/>
                <w:bCs/>
                <w:sz w:val="18"/>
                <w:szCs w:val="18"/>
                <w:lang w:eastAsia="sk-SK"/>
              </w:rPr>
              <w:t>Transfer na prenesený výkon</w:t>
            </w:r>
          </w:p>
        </w:tc>
        <w:tc>
          <w:tcPr>
            <w:tcW w:w="715" w:type="pct"/>
            <w:vAlign w:val="center"/>
          </w:tcPr>
          <w:p w14:paraId="4C28ACAC" w14:textId="77777777" w:rsidR="008A4BCF" w:rsidRPr="002F45E5" w:rsidRDefault="008A4BCF" w:rsidP="00B44AC3">
            <w:pPr>
              <w:spacing w:after="0" w:line="240" w:lineRule="auto"/>
              <w:jc w:val="right"/>
              <w:rPr>
                <w:rFonts w:eastAsia="Times New Roman" w:cs="Segoe UI"/>
                <w:sz w:val="18"/>
                <w:szCs w:val="18"/>
              </w:rPr>
            </w:pPr>
            <w:r w:rsidRPr="002F45E5">
              <w:rPr>
                <w:rFonts w:eastAsia="Times New Roman" w:cs="Segoe UI"/>
                <w:sz w:val="18"/>
                <w:szCs w:val="18"/>
              </w:rPr>
              <w:t>591 313</w:t>
            </w:r>
          </w:p>
        </w:tc>
        <w:tc>
          <w:tcPr>
            <w:tcW w:w="715" w:type="pct"/>
            <w:vAlign w:val="center"/>
          </w:tcPr>
          <w:p w14:paraId="4F751D4C" w14:textId="77777777" w:rsidR="008A4BCF" w:rsidRPr="002F45E5" w:rsidRDefault="008A4BCF" w:rsidP="00B44AC3">
            <w:pPr>
              <w:spacing w:after="0" w:line="240" w:lineRule="auto"/>
              <w:jc w:val="right"/>
              <w:rPr>
                <w:rFonts w:eastAsia="Times New Roman" w:cs="Segoe UI"/>
                <w:sz w:val="18"/>
                <w:szCs w:val="18"/>
              </w:rPr>
            </w:pPr>
            <w:r>
              <w:rPr>
                <w:rFonts w:eastAsia="Times New Roman" w:cs="Segoe UI"/>
                <w:sz w:val="18"/>
                <w:szCs w:val="18"/>
              </w:rPr>
              <w:t>615 120</w:t>
            </w:r>
          </w:p>
        </w:tc>
        <w:tc>
          <w:tcPr>
            <w:tcW w:w="715" w:type="pct"/>
            <w:vAlign w:val="center"/>
          </w:tcPr>
          <w:p w14:paraId="5AF1CC24" w14:textId="77777777" w:rsidR="008A4BCF" w:rsidRPr="002F45E5" w:rsidRDefault="008A4BCF" w:rsidP="00B44AC3">
            <w:pPr>
              <w:spacing w:after="0" w:line="240" w:lineRule="auto"/>
              <w:jc w:val="right"/>
              <w:rPr>
                <w:rFonts w:eastAsia="Times New Roman" w:cs="Segoe UI"/>
                <w:sz w:val="18"/>
                <w:szCs w:val="18"/>
              </w:rPr>
            </w:pPr>
            <w:r>
              <w:rPr>
                <w:rFonts w:eastAsia="Times New Roman" w:cs="Segoe UI"/>
                <w:sz w:val="18"/>
                <w:szCs w:val="18"/>
              </w:rPr>
              <w:t>1 012 359</w:t>
            </w:r>
          </w:p>
        </w:tc>
        <w:tc>
          <w:tcPr>
            <w:tcW w:w="803" w:type="pct"/>
            <w:vAlign w:val="center"/>
          </w:tcPr>
          <w:p w14:paraId="093171A0" w14:textId="77777777" w:rsidR="008A4BCF" w:rsidRPr="002F45E5" w:rsidRDefault="008A4BCF" w:rsidP="00B44AC3">
            <w:pPr>
              <w:spacing w:after="0" w:line="240" w:lineRule="auto"/>
              <w:jc w:val="right"/>
              <w:rPr>
                <w:rFonts w:eastAsia="Times New Roman" w:cs="Segoe UI"/>
                <w:sz w:val="18"/>
                <w:szCs w:val="18"/>
              </w:rPr>
            </w:pPr>
            <w:r>
              <w:rPr>
                <w:rFonts w:eastAsia="Times New Roman" w:cs="Segoe UI"/>
                <w:sz w:val="18"/>
                <w:szCs w:val="18"/>
              </w:rPr>
              <w:t>397 239</w:t>
            </w:r>
          </w:p>
        </w:tc>
        <w:tc>
          <w:tcPr>
            <w:tcW w:w="535" w:type="pct"/>
            <w:vAlign w:val="center"/>
          </w:tcPr>
          <w:p w14:paraId="48E0B3DB" w14:textId="77777777" w:rsidR="008A4BCF" w:rsidRPr="002F45E5" w:rsidRDefault="008A4BCF" w:rsidP="00B44AC3">
            <w:pPr>
              <w:spacing w:after="0" w:line="240" w:lineRule="auto"/>
              <w:jc w:val="right"/>
              <w:rPr>
                <w:rFonts w:eastAsia="Times New Roman" w:cs="Segoe UI"/>
                <w:sz w:val="18"/>
                <w:szCs w:val="18"/>
              </w:rPr>
            </w:pPr>
            <w:r>
              <w:rPr>
                <w:rFonts w:eastAsia="Times New Roman" w:cs="Segoe UI"/>
                <w:sz w:val="18"/>
                <w:szCs w:val="18"/>
              </w:rPr>
              <w:t>164,58</w:t>
            </w:r>
          </w:p>
        </w:tc>
      </w:tr>
      <w:tr w:rsidR="008A4BCF" w:rsidRPr="002F45E5" w14:paraId="24BA5FC0" w14:textId="77777777" w:rsidTr="00B44AC3">
        <w:trPr>
          <w:trHeight w:val="283"/>
        </w:trPr>
        <w:tc>
          <w:tcPr>
            <w:tcW w:w="1517" w:type="pct"/>
            <w:vAlign w:val="center"/>
          </w:tcPr>
          <w:p w14:paraId="6E2F87A0" w14:textId="77777777" w:rsidR="008A4BCF" w:rsidRPr="003308BB" w:rsidRDefault="008A4BCF" w:rsidP="00B44AC3">
            <w:pPr>
              <w:spacing w:after="0" w:line="240" w:lineRule="auto"/>
              <w:contextualSpacing/>
              <w:jc w:val="left"/>
              <w:rPr>
                <w:rFonts w:eastAsia="Times New Roman" w:cs="Segoe UI"/>
                <w:b/>
                <w:bCs/>
                <w:sz w:val="18"/>
                <w:szCs w:val="18"/>
                <w:lang w:eastAsia="sk-SK"/>
              </w:rPr>
            </w:pPr>
            <w:r w:rsidRPr="003308BB">
              <w:rPr>
                <w:rFonts w:eastAsia="Times New Roman" w:cs="Segoe UI"/>
                <w:b/>
                <w:bCs/>
                <w:sz w:val="18"/>
                <w:szCs w:val="18"/>
                <w:lang w:eastAsia="sk-SK"/>
              </w:rPr>
              <w:t>Výdavky celkom</w:t>
            </w:r>
          </w:p>
        </w:tc>
        <w:tc>
          <w:tcPr>
            <w:tcW w:w="715" w:type="pct"/>
            <w:vAlign w:val="center"/>
          </w:tcPr>
          <w:p w14:paraId="3072FE6F" w14:textId="77777777" w:rsidR="008A4BCF" w:rsidRPr="003308BB" w:rsidRDefault="008A4BCF" w:rsidP="00B44AC3">
            <w:pPr>
              <w:spacing w:after="0" w:line="240" w:lineRule="auto"/>
              <w:jc w:val="right"/>
              <w:rPr>
                <w:rFonts w:eastAsia="Times New Roman" w:cs="Segoe UI"/>
                <w:b/>
                <w:sz w:val="18"/>
                <w:szCs w:val="18"/>
              </w:rPr>
            </w:pPr>
            <w:r w:rsidRPr="003308BB">
              <w:rPr>
                <w:rFonts w:eastAsia="Times New Roman" w:cs="Segoe UI"/>
                <w:b/>
                <w:sz w:val="18"/>
                <w:szCs w:val="18"/>
              </w:rPr>
              <w:t>1 813 870</w:t>
            </w:r>
          </w:p>
        </w:tc>
        <w:tc>
          <w:tcPr>
            <w:tcW w:w="715" w:type="pct"/>
            <w:vAlign w:val="center"/>
          </w:tcPr>
          <w:p w14:paraId="4697C529" w14:textId="77777777" w:rsidR="008A4BCF" w:rsidRPr="003308BB" w:rsidRDefault="008A4BCF" w:rsidP="00B44AC3">
            <w:pPr>
              <w:spacing w:after="0" w:line="240" w:lineRule="auto"/>
              <w:jc w:val="right"/>
              <w:rPr>
                <w:rFonts w:eastAsia="Times New Roman" w:cs="Segoe UI"/>
                <w:b/>
                <w:sz w:val="18"/>
                <w:szCs w:val="18"/>
              </w:rPr>
            </w:pPr>
            <w:r w:rsidRPr="003308BB">
              <w:rPr>
                <w:rFonts w:eastAsia="Times New Roman" w:cs="Segoe UI"/>
                <w:b/>
                <w:sz w:val="18"/>
                <w:szCs w:val="18"/>
              </w:rPr>
              <w:t>2 036 801</w:t>
            </w:r>
          </w:p>
        </w:tc>
        <w:tc>
          <w:tcPr>
            <w:tcW w:w="715" w:type="pct"/>
            <w:vAlign w:val="center"/>
          </w:tcPr>
          <w:p w14:paraId="477391C2" w14:textId="77777777" w:rsidR="008A4BCF" w:rsidRPr="003308BB" w:rsidRDefault="008A4BCF" w:rsidP="00B44AC3">
            <w:pPr>
              <w:spacing w:after="0" w:line="240" w:lineRule="auto"/>
              <w:jc w:val="right"/>
              <w:rPr>
                <w:rFonts w:eastAsia="Times New Roman" w:cs="Segoe UI"/>
                <w:b/>
                <w:sz w:val="18"/>
                <w:szCs w:val="18"/>
              </w:rPr>
            </w:pPr>
            <w:r w:rsidRPr="003308BB">
              <w:rPr>
                <w:rFonts w:eastAsia="Times New Roman" w:cs="Segoe UI"/>
                <w:b/>
                <w:sz w:val="18"/>
                <w:szCs w:val="18"/>
              </w:rPr>
              <w:t>2 600 288</w:t>
            </w:r>
          </w:p>
        </w:tc>
        <w:tc>
          <w:tcPr>
            <w:tcW w:w="803" w:type="pct"/>
            <w:vAlign w:val="center"/>
          </w:tcPr>
          <w:p w14:paraId="37AB8D7A" w14:textId="77777777" w:rsidR="008A4BCF" w:rsidRPr="003308BB" w:rsidRDefault="008A4BCF" w:rsidP="00B44AC3">
            <w:pPr>
              <w:spacing w:after="0" w:line="240" w:lineRule="auto"/>
              <w:jc w:val="right"/>
              <w:rPr>
                <w:rFonts w:eastAsia="Times New Roman" w:cs="Segoe UI"/>
                <w:b/>
                <w:sz w:val="18"/>
                <w:szCs w:val="18"/>
              </w:rPr>
            </w:pPr>
            <w:r w:rsidRPr="003308BB">
              <w:rPr>
                <w:rFonts w:eastAsia="Times New Roman" w:cs="Segoe UI"/>
                <w:b/>
                <w:sz w:val="18"/>
                <w:szCs w:val="18"/>
              </w:rPr>
              <w:t>563 487</w:t>
            </w:r>
          </w:p>
        </w:tc>
        <w:tc>
          <w:tcPr>
            <w:tcW w:w="535" w:type="pct"/>
            <w:vAlign w:val="center"/>
          </w:tcPr>
          <w:p w14:paraId="4B5F5E88" w14:textId="77777777" w:rsidR="008A4BCF" w:rsidRPr="003308BB" w:rsidRDefault="008A4BCF" w:rsidP="00B44AC3">
            <w:pPr>
              <w:spacing w:after="0" w:line="240" w:lineRule="auto"/>
              <w:jc w:val="right"/>
              <w:rPr>
                <w:rFonts w:eastAsia="Times New Roman" w:cs="Segoe UI"/>
                <w:b/>
                <w:sz w:val="18"/>
                <w:szCs w:val="18"/>
              </w:rPr>
            </w:pPr>
            <w:r w:rsidRPr="003308BB">
              <w:rPr>
                <w:rFonts w:eastAsia="Times New Roman" w:cs="Segoe UI"/>
                <w:b/>
                <w:sz w:val="18"/>
                <w:szCs w:val="18"/>
              </w:rPr>
              <w:t>127,67</w:t>
            </w:r>
          </w:p>
        </w:tc>
      </w:tr>
      <w:tr w:rsidR="008A4BCF" w:rsidRPr="002F45E5" w14:paraId="3DF58E69" w14:textId="77777777" w:rsidTr="00B44AC3">
        <w:trPr>
          <w:trHeight w:val="283"/>
        </w:trPr>
        <w:tc>
          <w:tcPr>
            <w:tcW w:w="1517" w:type="pct"/>
            <w:vAlign w:val="center"/>
          </w:tcPr>
          <w:p w14:paraId="1CF80226" w14:textId="77777777" w:rsidR="008A4BCF" w:rsidRPr="002F45E5" w:rsidRDefault="008A4BCF" w:rsidP="00B44AC3">
            <w:pPr>
              <w:spacing w:after="0" w:line="240" w:lineRule="auto"/>
              <w:contextualSpacing/>
              <w:jc w:val="left"/>
              <w:rPr>
                <w:rFonts w:eastAsia="Times New Roman" w:cs="Segoe UI"/>
                <w:bCs/>
                <w:sz w:val="18"/>
                <w:szCs w:val="18"/>
                <w:lang w:eastAsia="sk-SK"/>
              </w:rPr>
            </w:pPr>
            <w:r w:rsidRPr="002F45E5">
              <w:rPr>
                <w:rFonts w:eastAsia="Times New Roman" w:cs="Segoe UI"/>
                <w:bCs/>
                <w:sz w:val="18"/>
                <w:szCs w:val="18"/>
                <w:lang w:eastAsia="sk-SK"/>
              </w:rPr>
              <w:t>Mzdy a odvody</w:t>
            </w:r>
          </w:p>
        </w:tc>
        <w:tc>
          <w:tcPr>
            <w:tcW w:w="715" w:type="pct"/>
            <w:vAlign w:val="center"/>
          </w:tcPr>
          <w:p w14:paraId="71772486" w14:textId="77777777" w:rsidR="008A4BCF" w:rsidRPr="002F45E5" w:rsidRDefault="008A4BCF" w:rsidP="00B44AC3">
            <w:pPr>
              <w:spacing w:after="0" w:line="240" w:lineRule="auto"/>
              <w:jc w:val="right"/>
              <w:rPr>
                <w:rFonts w:eastAsia="Times New Roman" w:cs="Segoe UI"/>
                <w:sz w:val="18"/>
                <w:szCs w:val="18"/>
              </w:rPr>
            </w:pPr>
            <w:r w:rsidRPr="002F45E5">
              <w:rPr>
                <w:rFonts w:eastAsia="Times New Roman" w:cs="Segoe UI"/>
                <w:sz w:val="18"/>
                <w:szCs w:val="18"/>
              </w:rPr>
              <w:t>546 498</w:t>
            </w:r>
          </w:p>
        </w:tc>
        <w:tc>
          <w:tcPr>
            <w:tcW w:w="715" w:type="pct"/>
            <w:vAlign w:val="center"/>
          </w:tcPr>
          <w:p w14:paraId="02C115C8" w14:textId="77777777" w:rsidR="008A4BCF" w:rsidRPr="002F45E5" w:rsidRDefault="008A4BCF" w:rsidP="00B44AC3">
            <w:pPr>
              <w:spacing w:after="0" w:line="240" w:lineRule="auto"/>
              <w:jc w:val="right"/>
              <w:rPr>
                <w:rFonts w:eastAsia="Times New Roman" w:cs="Segoe UI"/>
                <w:sz w:val="18"/>
                <w:szCs w:val="18"/>
              </w:rPr>
            </w:pPr>
            <w:r w:rsidRPr="002F45E5">
              <w:rPr>
                <w:rFonts w:eastAsia="Times New Roman" w:cs="Segoe UI"/>
                <w:sz w:val="18"/>
                <w:szCs w:val="18"/>
              </w:rPr>
              <w:t>570 787</w:t>
            </w:r>
          </w:p>
        </w:tc>
        <w:tc>
          <w:tcPr>
            <w:tcW w:w="715" w:type="pct"/>
            <w:vAlign w:val="center"/>
          </w:tcPr>
          <w:p w14:paraId="446D38C0" w14:textId="77777777" w:rsidR="008A4BCF" w:rsidRPr="002F45E5" w:rsidRDefault="008A4BCF" w:rsidP="00B44AC3">
            <w:pPr>
              <w:spacing w:after="0" w:line="240" w:lineRule="auto"/>
              <w:jc w:val="right"/>
              <w:rPr>
                <w:rFonts w:eastAsia="Times New Roman" w:cs="Segoe UI"/>
                <w:sz w:val="18"/>
                <w:szCs w:val="18"/>
              </w:rPr>
            </w:pPr>
            <w:r w:rsidRPr="002F45E5">
              <w:rPr>
                <w:rFonts w:eastAsia="Times New Roman" w:cs="Segoe UI"/>
                <w:sz w:val="18"/>
                <w:szCs w:val="18"/>
              </w:rPr>
              <w:t>625 192</w:t>
            </w:r>
          </w:p>
        </w:tc>
        <w:tc>
          <w:tcPr>
            <w:tcW w:w="803" w:type="pct"/>
            <w:vAlign w:val="center"/>
          </w:tcPr>
          <w:p w14:paraId="2D270634" w14:textId="77777777" w:rsidR="008A4BCF" w:rsidRPr="002F45E5" w:rsidRDefault="008A4BCF" w:rsidP="00B44AC3">
            <w:pPr>
              <w:spacing w:after="0" w:line="240" w:lineRule="auto"/>
              <w:ind w:left="360"/>
              <w:jc w:val="right"/>
              <w:rPr>
                <w:rFonts w:eastAsia="Times New Roman" w:cs="Segoe UI"/>
                <w:sz w:val="18"/>
                <w:szCs w:val="18"/>
              </w:rPr>
            </w:pPr>
            <w:r w:rsidRPr="002F45E5">
              <w:rPr>
                <w:rFonts w:eastAsia="Times New Roman" w:cs="Segoe UI"/>
                <w:sz w:val="18"/>
                <w:szCs w:val="18"/>
              </w:rPr>
              <w:t>54 405</w:t>
            </w:r>
          </w:p>
        </w:tc>
        <w:tc>
          <w:tcPr>
            <w:tcW w:w="535" w:type="pct"/>
            <w:vAlign w:val="center"/>
          </w:tcPr>
          <w:p w14:paraId="4D25CB50" w14:textId="77777777" w:rsidR="008A4BCF" w:rsidRPr="002F45E5" w:rsidRDefault="008A4BCF" w:rsidP="00B44AC3">
            <w:pPr>
              <w:spacing w:after="0" w:line="240" w:lineRule="auto"/>
              <w:jc w:val="right"/>
              <w:rPr>
                <w:rFonts w:eastAsia="Times New Roman" w:cs="Segoe UI"/>
                <w:sz w:val="18"/>
                <w:szCs w:val="18"/>
              </w:rPr>
            </w:pPr>
            <w:r w:rsidRPr="002F45E5">
              <w:rPr>
                <w:rFonts w:eastAsia="Times New Roman" w:cs="Segoe UI"/>
                <w:sz w:val="18"/>
                <w:szCs w:val="18"/>
              </w:rPr>
              <w:t>109,53</w:t>
            </w:r>
          </w:p>
        </w:tc>
      </w:tr>
      <w:tr w:rsidR="008A4BCF" w:rsidRPr="002F45E5" w14:paraId="5A700242" w14:textId="77777777" w:rsidTr="00B44AC3">
        <w:trPr>
          <w:trHeight w:val="283"/>
        </w:trPr>
        <w:tc>
          <w:tcPr>
            <w:tcW w:w="1517" w:type="pct"/>
            <w:vAlign w:val="center"/>
          </w:tcPr>
          <w:p w14:paraId="10651D87" w14:textId="77777777" w:rsidR="008A4BCF" w:rsidRPr="002F45E5" w:rsidRDefault="008A4BCF" w:rsidP="00B44AC3">
            <w:pPr>
              <w:spacing w:after="0" w:line="240" w:lineRule="auto"/>
              <w:contextualSpacing/>
              <w:jc w:val="left"/>
              <w:rPr>
                <w:rFonts w:eastAsia="Times New Roman" w:cs="Segoe UI"/>
                <w:bCs/>
                <w:sz w:val="18"/>
                <w:szCs w:val="18"/>
                <w:lang w:eastAsia="sk-SK"/>
              </w:rPr>
            </w:pPr>
            <w:r w:rsidRPr="002F45E5">
              <w:rPr>
                <w:rFonts w:eastAsia="Times New Roman" w:cs="Segoe UI"/>
                <w:bCs/>
                <w:sz w:val="18"/>
                <w:szCs w:val="18"/>
                <w:lang w:eastAsia="sk-SK"/>
              </w:rPr>
              <w:t>Tovar a služby</w:t>
            </w:r>
          </w:p>
        </w:tc>
        <w:tc>
          <w:tcPr>
            <w:tcW w:w="715" w:type="pct"/>
            <w:vAlign w:val="center"/>
          </w:tcPr>
          <w:p w14:paraId="122A6D2F" w14:textId="77777777" w:rsidR="008A4BCF" w:rsidRPr="002F45E5" w:rsidRDefault="008A4BCF" w:rsidP="00B44AC3">
            <w:pPr>
              <w:spacing w:after="0" w:line="240" w:lineRule="auto"/>
              <w:jc w:val="right"/>
              <w:rPr>
                <w:rFonts w:eastAsia="Times New Roman" w:cs="Segoe UI"/>
                <w:sz w:val="18"/>
                <w:szCs w:val="18"/>
              </w:rPr>
            </w:pPr>
            <w:r w:rsidRPr="002F45E5">
              <w:rPr>
                <w:rFonts w:eastAsia="Times New Roman" w:cs="Segoe UI"/>
                <w:sz w:val="18"/>
                <w:szCs w:val="18"/>
              </w:rPr>
              <w:t>241 923</w:t>
            </w:r>
          </w:p>
        </w:tc>
        <w:tc>
          <w:tcPr>
            <w:tcW w:w="715" w:type="pct"/>
            <w:vAlign w:val="center"/>
          </w:tcPr>
          <w:p w14:paraId="00AB4CD7" w14:textId="77777777" w:rsidR="008A4BCF" w:rsidRPr="002F45E5" w:rsidRDefault="008A4BCF" w:rsidP="00B44AC3">
            <w:pPr>
              <w:spacing w:after="0" w:line="240" w:lineRule="auto"/>
              <w:jc w:val="right"/>
              <w:rPr>
                <w:rFonts w:eastAsia="Times New Roman" w:cs="Segoe UI"/>
                <w:sz w:val="18"/>
                <w:szCs w:val="18"/>
              </w:rPr>
            </w:pPr>
            <w:r w:rsidRPr="002F45E5">
              <w:rPr>
                <w:rFonts w:eastAsia="Times New Roman" w:cs="Segoe UI"/>
                <w:sz w:val="18"/>
                <w:szCs w:val="18"/>
              </w:rPr>
              <w:t>271 517</w:t>
            </w:r>
          </w:p>
        </w:tc>
        <w:tc>
          <w:tcPr>
            <w:tcW w:w="715" w:type="pct"/>
            <w:vAlign w:val="center"/>
          </w:tcPr>
          <w:p w14:paraId="46AF8063" w14:textId="77777777" w:rsidR="008A4BCF" w:rsidRPr="002F45E5" w:rsidRDefault="008A4BCF" w:rsidP="00B44AC3">
            <w:pPr>
              <w:spacing w:after="0" w:line="240" w:lineRule="auto"/>
              <w:jc w:val="right"/>
              <w:rPr>
                <w:rFonts w:eastAsia="Times New Roman" w:cs="Segoe UI"/>
                <w:sz w:val="18"/>
                <w:szCs w:val="18"/>
              </w:rPr>
            </w:pPr>
            <w:r w:rsidRPr="002F45E5">
              <w:rPr>
                <w:rFonts w:eastAsia="Times New Roman" w:cs="Segoe UI"/>
                <w:sz w:val="18"/>
                <w:szCs w:val="18"/>
              </w:rPr>
              <w:t>308 255</w:t>
            </w:r>
          </w:p>
        </w:tc>
        <w:tc>
          <w:tcPr>
            <w:tcW w:w="803" w:type="pct"/>
            <w:vAlign w:val="center"/>
          </w:tcPr>
          <w:p w14:paraId="55DD3D37" w14:textId="77777777" w:rsidR="008A4BCF" w:rsidRPr="002F45E5" w:rsidRDefault="008A4BCF" w:rsidP="00B44AC3">
            <w:pPr>
              <w:spacing w:after="0" w:line="240" w:lineRule="auto"/>
              <w:ind w:left="360"/>
              <w:jc w:val="right"/>
              <w:rPr>
                <w:rFonts w:eastAsia="Times New Roman" w:cs="Segoe UI"/>
                <w:sz w:val="18"/>
                <w:szCs w:val="18"/>
              </w:rPr>
            </w:pPr>
            <w:r w:rsidRPr="002F45E5">
              <w:rPr>
                <w:rFonts w:eastAsia="Times New Roman" w:cs="Segoe UI"/>
                <w:sz w:val="18"/>
                <w:szCs w:val="18"/>
              </w:rPr>
              <w:t>36 738</w:t>
            </w:r>
          </w:p>
        </w:tc>
        <w:tc>
          <w:tcPr>
            <w:tcW w:w="535" w:type="pct"/>
            <w:vAlign w:val="center"/>
          </w:tcPr>
          <w:p w14:paraId="238257D3" w14:textId="77777777" w:rsidR="008A4BCF" w:rsidRPr="002F45E5" w:rsidRDefault="008A4BCF" w:rsidP="00B44AC3">
            <w:pPr>
              <w:spacing w:after="0" w:line="240" w:lineRule="auto"/>
              <w:jc w:val="right"/>
              <w:rPr>
                <w:rFonts w:eastAsia="Times New Roman" w:cs="Segoe UI"/>
                <w:sz w:val="18"/>
                <w:szCs w:val="18"/>
              </w:rPr>
            </w:pPr>
            <w:r w:rsidRPr="002F45E5">
              <w:rPr>
                <w:rFonts w:eastAsia="Times New Roman" w:cs="Segoe UI"/>
                <w:sz w:val="18"/>
                <w:szCs w:val="18"/>
              </w:rPr>
              <w:t>113,53</w:t>
            </w:r>
          </w:p>
        </w:tc>
      </w:tr>
      <w:tr w:rsidR="008A4BCF" w:rsidRPr="002F45E5" w14:paraId="58104C6D" w14:textId="77777777" w:rsidTr="00B44AC3">
        <w:trPr>
          <w:trHeight w:val="283"/>
        </w:trPr>
        <w:tc>
          <w:tcPr>
            <w:tcW w:w="1517" w:type="pct"/>
            <w:vAlign w:val="center"/>
          </w:tcPr>
          <w:p w14:paraId="16137831" w14:textId="77777777" w:rsidR="008A4BCF" w:rsidRPr="002F45E5" w:rsidRDefault="008A4BCF" w:rsidP="00B44AC3">
            <w:pPr>
              <w:spacing w:after="0" w:line="240" w:lineRule="auto"/>
              <w:contextualSpacing/>
              <w:jc w:val="left"/>
              <w:rPr>
                <w:rFonts w:eastAsia="Times New Roman" w:cs="Segoe UI"/>
                <w:bCs/>
                <w:sz w:val="18"/>
                <w:szCs w:val="18"/>
                <w:highlight w:val="yellow"/>
                <w:lang w:eastAsia="sk-SK"/>
              </w:rPr>
            </w:pPr>
            <w:r w:rsidRPr="002F45E5">
              <w:rPr>
                <w:rFonts w:eastAsia="Times New Roman" w:cs="Segoe UI"/>
                <w:bCs/>
                <w:sz w:val="18"/>
                <w:szCs w:val="18"/>
                <w:lang w:eastAsia="sk-SK"/>
              </w:rPr>
              <w:t>Hotovostné saldo</w:t>
            </w:r>
          </w:p>
        </w:tc>
        <w:tc>
          <w:tcPr>
            <w:tcW w:w="715" w:type="pct"/>
            <w:vAlign w:val="center"/>
          </w:tcPr>
          <w:p w14:paraId="03F6BDF4" w14:textId="77777777" w:rsidR="008A4BCF" w:rsidRPr="002F45E5" w:rsidRDefault="008A4BCF" w:rsidP="00B44AC3">
            <w:pPr>
              <w:spacing w:after="0" w:line="240" w:lineRule="auto"/>
              <w:jc w:val="right"/>
              <w:rPr>
                <w:rFonts w:eastAsia="Times New Roman" w:cs="Segoe UI"/>
                <w:sz w:val="18"/>
                <w:szCs w:val="18"/>
              </w:rPr>
            </w:pPr>
            <w:r w:rsidRPr="002F45E5">
              <w:rPr>
                <w:rFonts w:eastAsia="Times New Roman" w:cs="Segoe UI"/>
                <w:sz w:val="18"/>
                <w:szCs w:val="18"/>
              </w:rPr>
              <w:t>251 610</w:t>
            </w:r>
          </w:p>
        </w:tc>
        <w:tc>
          <w:tcPr>
            <w:tcW w:w="715" w:type="pct"/>
            <w:vAlign w:val="center"/>
          </w:tcPr>
          <w:p w14:paraId="2BE1FE6D" w14:textId="77777777" w:rsidR="008A4BCF" w:rsidRPr="002F45E5" w:rsidRDefault="008A4BCF" w:rsidP="00B44AC3">
            <w:pPr>
              <w:spacing w:after="0" w:line="240" w:lineRule="auto"/>
              <w:jc w:val="right"/>
              <w:rPr>
                <w:rFonts w:eastAsia="Times New Roman" w:cs="Segoe UI"/>
                <w:sz w:val="18"/>
                <w:szCs w:val="18"/>
              </w:rPr>
            </w:pPr>
            <w:r w:rsidRPr="002F45E5">
              <w:rPr>
                <w:rFonts w:eastAsia="Times New Roman" w:cs="Segoe UI"/>
                <w:sz w:val="18"/>
                <w:szCs w:val="18"/>
              </w:rPr>
              <w:t>177 267</w:t>
            </w:r>
          </w:p>
        </w:tc>
        <w:tc>
          <w:tcPr>
            <w:tcW w:w="715" w:type="pct"/>
            <w:vAlign w:val="center"/>
          </w:tcPr>
          <w:p w14:paraId="17EA6BB3" w14:textId="77777777" w:rsidR="008A4BCF" w:rsidRPr="002F45E5" w:rsidRDefault="008A4BCF" w:rsidP="00B44AC3">
            <w:pPr>
              <w:spacing w:after="0" w:line="240" w:lineRule="auto"/>
              <w:jc w:val="right"/>
              <w:rPr>
                <w:rFonts w:eastAsia="Times New Roman" w:cs="Segoe UI"/>
                <w:sz w:val="18"/>
                <w:szCs w:val="18"/>
              </w:rPr>
            </w:pPr>
            <w:r w:rsidRPr="002F45E5">
              <w:rPr>
                <w:rFonts w:eastAsia="Times New Roman" w:cs="Segoe UI"/>
                <w:sz w:val="18"/>
                <w:szCs w:val="18"/>
              </w:rPr>
              <w:t>258 670</w:t>
            </w:r>
          </w:p>
        </w:tc>
        <w:tc>
          <w:tcPr>
            <w:tcW w:w="803" w:type="pct"/>
            <w:vAlign w:val="center"/>
          </w:tcPr>
          <w:p w14:paraId="17326C2D" w14:textId="77777777" w:rsidR="008A4BCF" w:rsidRPr="002F45E5" w:rsidRDefault="008A4BCF" w:rsidP="00B44AC3">
            <w:pPr>
              <w:spacing w:after="0" w:line="240" w:lineRule="auto"/>
              <w:ind w:left="360"/>
              <w:jc w:val="right"/>
              <w:rPr>
                <w:rFonts w:eastAsia="Times New Roman" w:cs="Segoe UI"/>
                <w:sz w:val="18"/>
                <w:szCs w:val="18"/>
              </w:rPr>
            </w:pPr>
            <w:r w:rsidRPr="002F45E5">
              <w:rPr>
                <w:rFonts w:eastAsia="Times New Roman" w:cs="Segoe UI"/>
                <w:sz w:val="18"/>
                <w:szCs w:val="18"/>
              </w:rPr>
              <w:t>81 403</w:t>
            </w:r>
          </w:p>
        </w:tc>
        <w:tc>
          <w:tcPr>
            <w:tcW w:w="535" w:type="pct"/>
            <w:vAlign w:val="center"/>
          </w:tcPr>
          <w:p w14:paraId="046CAC07" w14:textId="77777777" w:rsidR="008A4BCF" w:rsidRPr="002F45E5" w:rsidRDefault="008A4BCF" w:rsidP="00B44AC3">
            <w:pPr>
              <w:spacing w:after="0" w:line="240" w:lineRule="auto"/>
              <w:jc w:val="right"/>
              <w:rPr>
                <w:rFonts w:eastAsia="Times New Roman" w:cs="Segoe UI"/>
                <w:sz w:val="18"/>
                <w:szCs w:val="18"/>
              </w:rPr>
            </w:pPr>
            <w:r w:rsidRPr="002F45E5">
              <w:rPr>
                <w:rFonts w:eastAsia="Times New Roman" w:cs="Segoe UI"/>
                <w:sz w:val="18"/>
                <w:szCs w:val="18"/>
              </w:rPr>
              <w:t>145,92</w:t>
            </w:r>
          </w:p>
        </w:tc>
      </w:tr>
      <w:tr w:rsidR="008A4BCF" w:rsidRPr="002F45E5" w14:paraId="1BB392FA" w14:textId="77777777" w:rsidTr="00B44AC3">
        <w:trPr>
          <w:trHeight w:val="283"/>
        </w:trPr>
        <w:tc>
          <w:tcPr>
            <w:tcW w:w="1517" w:type="pct"/>
            <w:vAlign w:val="center"/>
          </w:tcPr>
          <w:p w14:paraId="0450E12B" w14:textId="77777777" w:rsidR="008A4BCF" w:rsidRPr="002F45E5" w:rsidRDefault="008A4BCF" w:rsidP="00B44AC3">
            <w:pPr>
              <w:spacing w:after="0" w:line="240" w:lineRule="auto"/>
              <w:contextualSpacing/>
              <w:jc w:val="left"/>
              <w:rPr>
                <w:rFonts w:eastAsia="Times New Roman" w:cs="Segoe UI"/>
                <w:b/>
                <w:bCs/>
                <w:sz w:val="18"/>
                <w:szCs w:val="18"/>
                <w:lang w:eastAsia="sk-SK"/>
              </w:rPr>
            </w:pPr>
            <w:r w:rsidRPr="002F45E5">
              <w:rPr>
                <w:rFonts w:eastAsia="Times New Roman" w:cs="Segoe UI"/>
                <w:b/>
                <w:bCs/>
                <w:sz w:val="18"/>
                <w:szCs w:val="18"/>
                <w:lang w:eastAsia="sk-SK"/>
              </w:rPr>
              <w:t>Nekonsolidovaný  dlh</w:t>
            </w:r>
          </w:p>
        </w:tc>
        <w:tc>
          <w:tcPr>
            <w:tcW w:w="715" w:type="pct"/>
            <w:vAlign w:val="center"/>
          </w:tcPr>
          <w:p w14:paraId="2DDAF3DB" w14:textId="77777777" w:rsidR="008A4BCF" w:rsidRPr="002F45E5" w:rsidRDefault="008A4BCF" w:rsidP="00B44AC3">
            <w:pPr>
              <w:spacing w:after="0" w:line="240" w:lineRule="auto"/>
              <w:jc w:val="right"/>
              <w:rPr>
                <w:rFonts w:eastAsia="Calibri" w:cs="Segoe UI"/>
                <w:b/>
                <w:sz w:val="18"/>
                <w:szCs w:val="18"/>
              </w:rPr>
            </w:pPr>
            <w:r w:rsidRPr="002F45E5">
              <w:rPr>
                <w:rFonts w:eastAsia="Times New Roman" w:cs="Segoe UI"/>
                <w:b/>
                <w:sz w:val="18"/>
                <w:szCs w:val="18"/>
              </w:rPr>
              <w:t>507 705</w:t>
            </w:r>
          </w:p>
        </w:tc>
        <w:tc>
          <w:tcPr>
            <w:tcW w:w="715" w:type="pct"/>
            <w:vAlign w:val="center"/>
          </w:tcPr>
          <w:p w14:paraId="43C9EC1B" w14:textId="77777777" w:rsidR="008A4BCF" w:rsidRPr="002F45E5" w:rsidRDefault="008A4BCF" w:rsidP="00B44AC3">
            <w:pPr>
              <w:tabs>
                <w:tab w:val="left" w:pos="883"/>
              </w:tabs>
              <w:spacing w:after="0" w:line="240" w:lineRule="auto"/>
              <w:ind w:right="31"/>
              <w:jc w:val="right"/>
              <w:rPr>
                <w:rFonts w:eastAsia="Calibri" w:cs="Segoe UI"/>
                <w:b/>
                <w:sz w:val="18"/>
                <w:szCs w:val="18"/>
              </w:rPr>
            </w:pPr>
            <w:r w:rsidRPr="002F45E5">
              <w:rPr>
                <w:rFonts w:eastAsia="Times New Roman" w:cs="Segoe UI"/>
                <w:b/>
                <w:sz w:val="18"/>
                <w:szCs w:val="18"/>
              </w:rPr>
              <w:t>565 287</w:t>
            </w:r>
          </w:p>
        </w:tc>
        <w:tc>
          <w:tcPr>
            <w:tcW w:w="715" w:type="pct"/>
            <w:vAlign w:val="center"/>
          </w:tcPr>
          <w:p w14:paraId="34738F97" w14:textId="77777777" w:rsidR="008A4BCF" w:rsidRPr="002F45E5" w:rsidRDefault="008A4BCF" w:rsidP="00B44AC3">
            <w:pPr>
              <w:tabs>
                <w:tab w:val="left" w:pos="883"/>
              </w:tabs>
              <w:spacing w:after="0" w:line="240" w:lineRule="auto"/>
              <w:ind w:right="31"/>
              <w:jc w:val="right"/>
              <w:rPr>
                <w:rFonts w:eastAsia="Calibri" w:cs="Segoe UI"/>
                <w:b/>
                <w:sz w:val="18"/>
                <w:szCs w:val="18"/>
              </w:rPr>
            </w:pPr>
            <w:r w:rsidRPr="002F45E5">
              <w:rPr>
                <w:rFonts w:eastAsia="Calibri" w:cs="Segoe UI"/>
                <w:b/>
                <w:sz w:val="18"/>
                <w:szCs w:val="18"/>
              </w:rPr>
              <w:t>701 518</w:t>
            </w:r>
          </w:p>
        </w:tc>
        <w:tc>
          <w:tcPr>
            <w:tcW w:w="803" w:type="pct"/>
            <w:vAlign w:val="center"/>
          </w:tcPr>
          <w:p w14:paraId="50586E25" w14:textId="77777777" w:rsidR="008A4BCF" w:rsidRPr="002F45E5" w:rsidRDefault="008A4BCF" w:rsidP="00B44AC3">
            <w:pPr>
              <w:spacing w:after="0" w:line="240" w:lineRule="auto"/>
              <w:jc w:val="right"/>
              <w:rPr>
                <w:rFonts w:eastAsia="Calibri" w:cs="Segoe UI"/>
                <w:b/>
                <w:sz w:val="18"/>
                <w:szCs w:val="18"/>
              </w:rPr>
            </w:pPr>
            <w:r w:rsidRPr="002F45E5">
              <w:rPr>
                <w:rFonts w:eastAsia="Calibri" w:cs="Segoe UI"/>
                <w:b/>
                <w:sz w:val="18"/>
                <w:szCs w:val="18"/>
              </w:rPr>
              <w:t>136 231</w:t>
            </w:r>
          </w:p>
        </w:tc>
        <w:tc>
          <w:tcPr>
            <w:tcW w:w="535" w:type="pct"/>
            <w:vAlign w:val="center"/>
          </w:tcPr>
          <w:p w14:paraId="6B86568F" w14:textId="77777777" w:rsidR="008A4BCF" w:rsidRPr="002F45E5" w:rsidRDefault="008A4BCF" w:rsidP="00B44AC3">
            <w:pPr>
              <w:spacing w:after="0" w:line="240" w:lineRule="auto"/>
              <w:jc w:val="right"/>
              <w:rPr>
                <w:rFonts w:eastAsia="Calibri" w:cs="Segoe UI"/>
                <w:b/>
                <w:sz w:val="18"/>
                <w:szCs w:val="18"/>
              </w:rPr>
            </w:pPr>
            <w:r w:rsidRPr="002F45E5">
              <w:rPr>
                <w:rFonts w:eastAsia="Calibri" w:cs="Segoe UI"/>
                <w:b/>
                <w:sz w:val="18"/>
                <w:szCs w:val="18"/>
              </w:rPr>
              <w:t>124,10</w:t>
            </w:r>
          </w:p>
        </w:tc>
      </w:tr>
      <w:tr w:rsidR="008A4BCF" w:rsidRPr="002F45E5" w14:paraId="5ACF1F98" w14:textId="77777777" w:rsidTr="00B44AC3">
        <w:trPr>
          <w:trHeight w:val="283"/>
        </w:trPr>
        <w:tc>
          <w:tcPr>
            <w:tcW w:w="1517" w:type="pct"/>
            <w:vAlign w:val="center"/>
          </w:tcPr>
          <w:p w14:paraId="531A515E" w14:textId="77777777" w:rsidR="008A4BCF" w:rsidRPr="002F45E5" w:rsidRDefault="008A4BCF" w:rsidP="00B44AC3">
            <w:pPr>
              <w:spacing w:after="0" w:line="240" w:lineRule="auto"/>
              <w:contextualSpacing/>
              <w:jc w:val="left"/>
              <w:rPr>
                <w:rFonts w:eastAsia="Times New Roman" w:cs="Segoe UI"/>
                <w:bCs/>
                <w:sz w:val="18"/>
                <w:szCs w:val="18"/>
                <w:lang w:eastAsia="sk-SK"/>
              </w:rPr>
            </w:pPr>
            <w:r w:rsidRPr="002F45E5">
              <w:rPr>
                <w:rFonts w:eastAsia="Times New Roman" w:cs="Segoe UI"/>
                <w:bCs/>
                <w:sz w:val="18"/>
                <w:szCs w:val="18"/>
                <w:lang w:eastAsia="sk-SK"/>
              </w:rPr>
              <w:t>Kapitálové výdavky</w:t>
            </w:r>
          </w:p>
        </w:tc>
        <w:tc>
          <w:tcPr>
            <w:tcW w:w="715" w:type="pct"/>
            <w:vAlign w:val="center"/>
          </w:tcPr>
          <w:p w14:paraId="33B0671B" w14:textId="77777777" w:rsidR="008A4BCF" w:rsidRPr="002F45E5" w:rsidRDefault="008A4BCF" w:rsidP="00B44AC3">
            <w:pPr>
              <w:spacing w:after="0" w:line="240" w:lineRule="auto"/>
              <w:jc w:val="right"/>
              <w:rPr>
                <w:rFonts w:eastAsia="Calibri" w:cs="Segoe UI"/>
                <w:sz w:val="18"/>
                <w:szCs w:val="18"/>
              </w:rPr>
            </w:pPr>
            <w:r w:rsidRPr="002F45E5">
              <w:rPr>
                <w:rFonts w:eastAsia="Calibri" w:cs="Segoe UI"/>
                <w:sz w:val="18"/>
                <w:szCs w:val="18"/>
              </w:rPr>
              <w:t>217 346</w:t>
            </w:r>
          </w:p>
        </w:tc>
        <w:tc>
          <w:tcPr>
            <w:tcW w:w="715" w:type="pct"/>
            <w:vAlign w:val="center"/>
          </w:tcPr>
          <w:p w14:paraId="11703620" w14:textId="77777777" w:rsidR="008A4BCF" w:rsidRPr="002F45E5" w:rsidRDefault="008A4BCF" w:rsidP="00B44AC3">
            <w:pPr>
              <w:tabs>
                <w:tab w:val="left" w:pos="883"/>
              </w:tabs>
              <w:spacing w:after="0" w:line="240" w:lineRule="auto"/>
              <w:ind w:right="31"/>
              <w:jc w:val="right"/>
              <w:rPr>
                <w:rFonts w:eastAsia="Calibri" w:cs="Segoe UI"/>
                <w:sz w:val="18"/>
                <w:szCs w:val="18"/>
              </w:rPr>
            </w:pPr>
            <w:r w:rsidRPr="002F45E5">
              <w:rPr>
                <w:rFonts w:eastAsia="Calibri" w:cs="Segoe UI"/>
                <w:sz w:val="18"/>
                <w:szCs w:val="18"/>
              </w:rPr>
              <w:t>320 806</w:t>
            </w:r>
          </w:p>
        </w:tc>
        <w:tc>
          <w:tcPr>
            <w:tcW w:w="715" w:type="pct"/>
            <w:vAlign w:val="center"/>
          </w:tcPr>
          <w:p w14:paraId="18D92FC3" w14:textId="77777777" w:rsidR="008A4BCF" w:rsidRPr="002F45E5" w:rsidRDefault="008A4BCF" w:rsidP="00B44AC3">
            <w:pPr>
              <w:tabs>
                <w:tab w:val="left" w:pos="883"/>
              </w:tabs>
              <w:spacing w:after="0" w:line="240" w:lineRule="auto"/>
              <w:ind w:right="31"/>
              <w:jc w:val="right"/>
              <w:rPr>
                <w:rFonts w:eastAsia="Calibri" w:cs="Segoe UI"/>
                <w:sz w:val="18"/>
                <w:szCs w:val="18"/>
              </w:rPr>
            </w:pPr>
            <w:r w:rsidRPr="002F45E5">
              <w:rPr>
                <w:rFonts w:eastAsia="Calibri" w:cs="Segoe UI"/>
                <w:sz w:val="18"/>
                <w:szCs w:val="18"/>
              </w:rPr>
              <w:t>707 069</w:t>
            </w:r>
          </w:p>
        </w:tc>
        <w:tc>
          <w:tcPr>
            <w:tcW w:w="803" w:type="pct"/>
            <w:vAlign w:val="center"/>
          </w:tcPr>
          <w:p w14:paraId="5F09FFEA" w14:textId="77777777" w:rsidR="008A4BCF" w:rsidRPr="002F45E5" w:rsidRDefault="008A4BCF" w:rsidP="00B44AC3">
            <w:pPr>
              <w:spacing w:after="0" w:line="240" w:lineRule="auto"/>
              <w:jc w:val="right"/>
              <w:rPr>
                <w:rFonts w:eastAsia="Calibri" w:cs="Segoe UI"/>
                <w:sz w:val="18"/>
                <w:szCs w:val="18"/>
              </w:rPr>
            </w:pPr>
            <w:r w:rsidRPr="002F45E5">
              <w:rPr>
                <w:rFonts w:eastAsia="Calibri" w:cs="Segoe UI"/>
                <w:sz w:val="18"/>
                <w:szCs w:val="18"/>
              </w:rPr>
              <w:t>386 263</w:t>
            </w:r>
          </w:p>
        </w:tc>
        <w:tc>
          <w:tcPr>
            <w:tcW w:w="535" w:type="pct"/>
            <w:vAlign w:val="center"/>
          </w:tcPr>
          <w:p w14:paraId="1DAB9711" w14:textId="77777777" w:rsidR="008A4BCF" w:rsidRPr="002F45E5" w:rsidRDefault="008A4BCF" w:rsidP="00B44AC3">
            <w:pPr>
              <w:spacing w:after="0" w:line="240" w:lineRule="auto"/>
              <w:jc w:val="right"/>
              <w:rPr>
                <w:rFonts w:eastAsia="Calibri" w:cs="Segoe UI"/>
                <w:sz w:val="18"/>
                <w:szCs w:val="18"/>
              </w:rPr>
            </w:pPr>
            <w:r w:rsidRPr="002F45E5">
              <w:rPr>
                <w:rFonts w:eastAsia="Calibri" w:cs="Segoe UI"/>
                <w:sz w:val="18"/>
                <w:szCs w:val="18"/>
              </w:rPr>
              <w:t>220,40</w:t>
            </w:r>
          </w:p>
        </w:tc>
      </w:tr>
      <w:tr w:rsidR="008A4BCF" w:rsidRPr="002F45E5" w14:paraId="22B17B08" w14:textId="77777777" w:rsidTr="00B44AC3">
        <w:trPr>
          <w:trHeight w:val="283"/>
        </w:trPr>
        <w:tc>
          <w:tcPr>
            <w:tcW w:w="1517" w:type="pct"/>
            <w:vAlign w:val="center"/>
          </w:tcPr>
          <w:p w14:paraId="56FC01CE" w14:textId="77777777" w:rsidR="008A4BCF" w:rsidRPr="002F45E5" w:rsidRDefault="008A4BCF" w:rsidP="00B44AC3">
            <w:pPr>
              <w:spacing w:after="0" w:line="240" w:lineRule="auto"/>
              <w:contextualSpacing/>
              <w:jc w:val="left"/>
              <w:rPr>
                <w:rFonts w:eastAsia="Times New Roman" w:cs="Segoe UI"/>
                <w:bCs/>
                <w:sz w:val="18"/>
                <w:szCs w:val="18"/>
                <w:lang w:eastAsia="sk-SK"/>
              </w:rPr>
            </w:pPr>
            <w:r w:rsidRPr="002F45E5">
              <w:rPr>
                <w:rFonts w:eastAsia="Times New Roman" w:cs="Segoe UI"/>
                <w:bCs/>
                <w:sz w:val="18"/>
                <w:szCs w:val="18"/>
                <w:lang w:eastAsia="sk-SK"/>
              </w:rPr>
              <w:t>Príjmové finančné operácie</w:t>
            </w:r>
          </w:p>
        </w:tc>
        <w:tc>
          <w:tcPr>
            <w:tcW w:w="715" w:type="pct"/>
            <w:vAlign w:val="center"/>
          </w:tcPr>
          <w:p w14:paraId="1CDE11C8" w14:textId="77777777" w:rsidR="008A4BCF" w:rsidRPr="002F45E5" w:rsidRDefault="008A4BCF" w:rsidP="00B44AC3">
            <w:pPr>
              <w:spacing w:after="0" w:line="240" w:lineRule="auto"/>
              <w:jc w:val="right"/>
              <w:rPr>
                <w:rFonts w:eastAsia="Times New Roman" w:cs="Segoe UI"/>
                <w:sz w:val="18"/>
                <w:szCs w:val="18"/>
              </w:rPr>
            </w:pPr>
            <w:r w:rsidRPr="002F45E5">
              <w:rPr>
                <w:rFonts w:eastAsia="Calibri" w:cs="Segoe UI"/>
                <w:sz w:val="18"/>
                <w:szCs w:val="18"/>
              </w:rPr>
              <w:t>349 356</w:t>
            </w:r>
          </w:p>
        </w:tc>
        <w:tc>
          <w:tcPr>
            <w:tcW w:w="715" w:type="pct"/>
            <w:vAlign w:val="center"/>
          </w:tcPr>
          <w:p w14:paraId="0E5CE63F" w14:textId="77777777" w:rsidR="008A4BCF" w:rsidRPr="002F45E5" w:rsidRDefault="008A4BCF" w:rsidP="00B44AC3">
            <w:pPr>
              <w:tabs>
                <w:tab w:val="left" w:pos="883"/>
              </w:tabs>
              <w:spacing w:after="0" w:line="240" w:lineRule="auto"/>
              <w:ind w:right="31"/>
              <w:jc w:val="right"/>
              <w:rPr>
                <w:rFonts w:eastAsia="Times New Roman" w:cs="Segoe UI"/>
                <w:sz w:val="18"/>
                <w:szCs w:val="18"/>
              </w:rPr>
            </w:pPr>
            <w:r w:rsidRPr="002F45E5">
              <w:rPr>
                <w:rFonts w:eastAsia="Calibri" w:cs="Segoe UI"/>
                <w:sz w:val="18"/>
                <w:szCs w:val="18"/>
              </w:rPr>
              <w:t>361 764</w:t>
            </w:r>
          </w:p>
        </w:tc>
        <w:tc>
          <w:tcPr>
            <w:tcW w:w="715" w:type="pct"/>
            <w:vAlign w:val="center"/>
          </w:tcPr>
          <w:p w14:paraId="1CF9C865" w14:textId="77777777" w:rsidR="008A4BCF" w:rsidRPr="002F45E5" w:rsidRDefault="008A4BCF" w:rsidP="00B44AC3">
            <w:pPr>
              <w:tabs>
                <w:tab w:val="left" w:pos="883"/>
              </w:tabs>
              <w:spacing w:after="0" w:line="240" w:lineRule="auto"/>
              <w:ind w:right="31"/>
              <w:jc w:val="right"/>
              <w:rPr>
                <w:rFonts w:eastAsia="Calibri" w:cs="Segoe UI"/>
                <w:sz w:val="18"/>
                <w:szCs w:val="18"/>
              </w:rPr>
            </w:pPr>
            <w:r w:rsidRPr="002F45E5">
              <w:rPr>
                <w:rFonts w:eastAsia="Calibri" w:cs="Segoe UI"/>
                <w:sz w:val="18"/>
                <w:szCs w:val="18"/>
              </w:rPr>
              <w:t>489 708</w:t>
            </w:r>
          </w:p>
        </w:tc>
        <w:tc>
          <w:tcPr>
            <w:tcW w:w="803" w:type="pct"/>
            <w:vAlign w:val="center"/>
          </w:tcPr>
          <w:p w14:paraId="35898570" w14:textId="77777777" w:rsidR="008A4BCF" w:rsidRPr="002F45E5" w:rsidRDefault="008A4BCF" w:rsidP="00B44AC3">
            <w:pPr>
              <w:spacing w:after="0" w:line="240" w:lineRule="auto"/>
              <w:jc w:val="right"/>
              <w:rPr>
                <w:rFonts w:eastAsia="Calibri" w:cs="Segoe UI"/>
                <w:sz w:val="18"/>
                <w:szCs w:val="18"/>
              </w:rPr>
            </w:pPr>
            <w:r w:rsidRPr="002F45E5">
              <w:rPr>
                <w:rFonts w:eastAsia="Calibri" w:cs="Segoe UI"/>
                <w:sz w:val="18"/>
                <w:szCs w:val="18"/>
              </w:rPr>
              <w:t>127 944</w:t>
            </w:r>
          </w:p>
        </w:tc>
        <w:tc>
          <w:tcPr>
            <w:tcW w:w="535" w:type="pct"/>
            <w:vAlign w:val="center"/>
          </w:tcPr>
          <w:p w14:paraId="77D0DCBF" w14:textId="77777777" w:rsidR="008A4BCF" w:rsidRPr="002F45E5" w:rsidRDefault="008A4BCF" w:rsidP="00B44AC3">
            <w:pPr>
              <w:spacing w:after="0" w:line="240" w:lineRule="auto"/>
              <w:jc w:val="right"/>
              <w:rPr>
                <w:rFonts w:eastAsia="Calibri" w:cs="Segoe UI"/>
                <w:sz w:val="18"/>
                <w:szCs w:val="18"/>
              </w:rPr>
            </w:pPr>
            <w:r w:rsidRPr="002F45E5">
              <w:rPr>
                <w:rFonts w:eastAsia="Calibri" w:cs="Segoe UI"/>
                <w:sz w:val="18"/>
                <w:szCs w:val="18"/>
              </w:rPr>
              <w:t>135,37</w:t>
            </w:r>
          </w:p>
        </w:tc>
      </w:tr>
      <w:tr w:rsidR="008A4BCF" w:rsidRPr="002F45E5" w14:paraId="20B57219" w14:textId="77777777" w:rsidTr="00B44AC3">
        <w:trPr>
          <w:trHeight w:val="283"/>
        </w:trPr>
        <w:tc>
          <w:tcPr>
            <w:tcW w:w="1517" w:type="pct"/>
            <w:vAlign w:val="center"/>
          </w:tcPr>
          <w:p w14:paraId="0DC9AE43" w14:textId="77777777" w:rsidR="008A4BCF" w:rsidRPr="002F45E5" w:rsidRDefault="008A4BCF" w:rsidP="00B44AC3">
            <w:pPr>
              <w:spacing w:after="0" w:line="240" w:lineRule="auto"/>
              <w:contextualSpacing/>
              <w:jc w:val="left"/>
              <w:rPr>
                <w:rFonts w:eastAsia="Times New Roman" w:cs="Segoe UI"/>
                <w:bCs/>
                <w:sz w:val="18"/>
                <w:szCs w:val="18"/>
                <w:lang w:eastAsia="sk-SK"/>
              </w:rPr>
            </w:pPr>
            <w:r w:rsidRPr="002F45E5">
              <w:rPr>
                <w:rFonts w:eastAsia="Times New Roman" w:cs="Segoe UI"/>
                <w:bCs/>
                <w:sz w:val="18"/>
                <w:szCs w:val="18"/>
                <w:lang w:eastAsia="sk-SK"/>
              </w:rPr>
              <w:t>Výdavkové finančné operácie</w:t>
            </w:r>
          </w:p>
        </w:tc>
        <w:tc>
          <w:tcPr>
            <w:tcW w:w="715" w:type="pct"/>
            <w:vAlign w:val="center"/>
          </w:tcPr>
          <w:p w14:paraId="0D2EF757" w14:textId="77777777" w:rsidR="008A4BCF" w:rsidRPr="002F45E5" w:rsidRDefault="008A4BCF" w:rsidP="00B44AC3">
            <w:pPr>
              <w:spacing w:after="0" w:line="240" w:lineRule="auto"/>
              <w:jc w:val="right"/>
              <w:rPr>
                <w:rFonts w:eastAsia="Times New Roman" w:cs="Segoe UI"/>
                <w:sz w:val="18"/>
                <w:szCs w:val="18"/>
              </w:rPr>
            </w:pPr>
            <w:r w:rsidRPr="002F45E5">
              <w:rPr>
                <w:rFonts w:eastAsia="Calibri" w:cs="Segoe UI"/>
                <w:sz w:val="18"/>
                <w:szCs w:val="18"/>
              </w:rPr>
              <w:t>78 609</w:t>
            </w:r>
          </w:p>
        </w:tc>
        <w:tc>
          <w:tcPr>
            <w:tcW w:w="715" w:type="pct"/>
            <w:vAlign w:val="center"/>
          </w:tcPr>
          <w:p w14:paraId="5DD38485" w14:textId="77777777" w:rsidR="008A4BCF" w:rsidRPr="002F45E5" w:rsidRDefault="008A4BCF" w:rsidP="00B44AC3">
            <w:pPr>
              <w:tabs>
                <w:tab w:val="left" w:pos="883"/>
              </w:tabs>
              <w:spacing w:after="0" w:line="240" w:lineRule="auto"/>
              <w:ind w:right="31"/>
              <w:jc w:val="right"/>
              <w:rPr>
                <w:rFonts w:eastAsia="Times New Roman" w:cs="Segoe UI"/>
                <w:sz w:val="18"/>
                <w:szCs w:val="18"/>
              </w:rPr>
            </w:pPr>
            <w:r w:rsidRPr="002F45E5">
              <w:rPr>
                <w:rFonts w:eastAsia="Calibri" w:cs="Segoe UI"/>
                <w:sz w:val="18"/>
                <w:szCs w:val="18"/>
              </w:rPr>
              <w:t>64 625</w:t>
            </w:r>
          </w:p>
        </w:tc>
        <w:tc>
          <w:tcPr>
            <w:tcW w:w="715" w:type="pct"/>
            <w:vAlign w:val="center"/>
          </w:tcPr>
          <w:p w14:paraId="168FB9D6" w14:textId="77777777" w:rsidR="008A4BCF" w:rsidRPr="002F45E5" w:rsidRDefault="008A4BCF" w:rsidP="00B44AC3">
            <w:pPr>
              <w:tabs>
                <w:tab w:val="left" w:pos="883"/>
              </w:tabs>
              <w:spacing w:after="0" w:line="240" w:lineRule="auto"/>
              <w:ind w:right="31"/>
              <w:jc w:val="right"/>
              <w:rPr>
                <w:rFonts w:eastAsia="Calibri" w:cs="Segoe UI"/>
                <w:sz w:val="18"/>
                <w:szCs w:val="18"/>
              </w:rPr>
            </w:pPr>
            <w:r w:rsidRPr="002F45E5">
              <w:rPr>
                <w:rFonts w:eastAsia="Calibri" w:cs="Segoe UI"/>
                <w:sz w:val="18"/>
                <w:szCs w:val="18"/>
              </w:rPr>
              <w:t>76 090</w:t>
            </w:r>
          </w:p>
        </w:tc>
        <w:tc>
          <w:tcPr>
            <w:tcW w:w="803" w:type="pct"/>
            <w:vAlign w:val="center"/>
          </w:tcPr>
          <w:p w14:paraId="22D90037" w14:textId="77777777" w:rsidR="008A4BCF" w:rsidRPr="002F45E5" w:rsidRDefault="008A4BCF" w:rsidP="00B44AC3">
            <w:pPr>
              <w:spacing w:after="0" w:line="240" w:lineRule="auto"/>
              <w:jc w:val="right"/>
              <w:rPr>
                <w:rFonts w:eastAsia="Calibri" w:cs="Segoe UI"/>
                <w:sz w:val="18"/>
                <w:szCs w:val="18"/>
              </w:rPr>
            </w:pPr>
            <w:r w:rsidRPr="002F45E5">
              <w:rPr>
                <w:rFonts w:eastAsia="Calibri" w:cs="Segoe UI"/>
                <w:sz w:val="18"/>
                <w:szCs w:val="18"/>
              </w:rPr>
              <w:t>11 465</w:t>
            </w:r>
          </w:p>
        </w:tc>
        <w:tc>
          <w:tcPr>
            <w:tcW w:w="535" w:type="pct"/>
            <w:vAlign w:val="center"/>
          </w:tcPr>
          <w:p w14:paraId="79E9FDAB" w14:textId="77777777" w:rsidR="008A4BCF" w:rsidRPr="002F45E5" w:rsidRDefault="008A4BCF" w:rsidP="00B44AC3">
            <w:pPr>
              <w:spacing w:after="0" w:line="240" w:lineRule="auto"/>
              <w:jc w:val="right"/>
              <w:rPr>
                <w:rFonts w:eastAsia="Calibri" w:cs="Segoe UI"/>
                <w:sz w:val="18"/>
                <w:szCs w:val="18"/>
              </w:rPr>
            </w:pPr>
            <w:r w:rsidRPr="002F45E5">
              <w:rPr>
                <w:rFonts w:eastAsia="Calibri" w:cs="Segoe UI"/>
                <w:sz w:val="18"/>
                <w:szCs w:val="18"/>
              </w:rPr>
              <w:t>117,74</w:t>
            </w:r>
          </w:p>
        </w:tc>
      </w:tr>
      <w:tr w:rsidR="008A4BCF" w:rsidRPr="002F45E5" w14:paraId="18D14815" w14:textId="77777777" w:rsidTr="00B44AC3">
        <w:trPr>
          <w:trHeight w:val="283"/>
        </w:trPr>
        <w:tc>
          <w:tcPr>
            <w:tcW w:w="1517" w:type="pct"/>
            <w:vAlign w:val="center"/>
          </w:tcPr>
          <w:p w14:paraId="6BE6EEFD" w14:textId="77777777" w:rsidR="008A4BCF" w:rsidRPr="002F45E5" w:rsidRDefault="008A4BCF" w:rsidP="00B44AC3">
            <w:pPr>
              <w:spacing w:after="0" w:line="240" w:lineRule="auto"/>
              <w:contextualSpacing/>
              <w:jc w:val="left"/>
              <w:rPr>
                <w:rFonts w:eastAsia="Times New Roman" w:cs="Segoe UI"/>
                <w:b/>
                <w:bCs/>
                <w:sz w:val="18"/>
                <w:szCs w:val="18"/>
                <w:lang w:eastAsia="sk-SK"/>
              </w:rPr>
            </w:pPr>
            <w:r w:rsidRPr="002F45E5">
              <w:rPr>
                <w:rFonts w:eastAsia="Times New Roman" w:cs="Segoe UI"/>
                <w:b/>
                <w:bCs/>
                <w:sz w:val="18"/>
                <w:szCs w:val="18"/>
                <w:lang w:eastAsia="sk-SK"/>
              </w:rPr>
              <w:t>ESA 2010 prebytok/schodok</w:t>
            </w:r>
          </w:p>
        </w:tc>
        <w:tc>
          <w:tcPr>
            <w:tcW w:w="715" w:type="pct"/>
            <w:vAlign w:val="center"/>
          </w:tcPr>
          <w:p w14:paraId="156B4BCF" w14:textId="77777777" w:rsidR="008A4BCF" w:rsidRPr="002F45E5" w:rsidRDefault="008A4BCF" w:rsidP="00B44AC3">
            <w:pPr>
              <w:spacing w:after="0" w:line="240" w:lineRule="auto"/>
              <w:jc w:val="right"/>
              <w:rPr>
                <w:rFonts w:eastAsia="Calibri" w:cs="Segoe UI"/>
                <w:b/>
                <w:sz w:val="18"/>
                <w:szCs w:val="18"/>
              </w:rPr>
            </w:pPr>
            <w:r w:rsidRPr="002F45E5">
              <w:rPr>
                <w:rFonts w:eastAsia="Times New Roman" w:cs="Segoe UI"/>
                <w:b/>
                <w:bCs/>
                <w:sz w:val="18"/>
                <w:szCs w:val="18"/>
                <w:lang w:eastAsia="sk-SK"/>
              </w:rPr>
              <w:t>-26 748</w:t>
            </w:r>
          </w:p>
        </w:tc>
        <w:tc>
          <w:tcPr>
            <w:tcW w:w="715" w:type="pct"/>
            <w:vAlign w:val="center"/>
          </w:tcPr>
          <w:p w14:paraId="50480D41" w14:textId="77777777" w:rsidR="008A4BCF" w:rsidRPr="002F45E5" w:rsidRDefault="008A4BCF" w:rsidP="00B44AC3">
            <w:pPr>
              <w:tabs>
                <w:tab w:val="left" w:pos="883"/>
              </w:tabs>
              <w:spacing w:after="0" w:line="240" w:lineRule="auto"/>
              <w:ind w:right="31"/>
              <w:jc w:val="right"/>
              <w:rPr>
                <w:rFonts w:eastAsia="Calibri" w:cs="Segoe UI"/>
                <w:b/>
                <w:sz w:val="18"/>
                <w:szCs w:val="18"/>
              </w:rPr>
            </w:pPr>
            <w:r w:rsidRPr="002F45E5">
              <w:rPr>
                <w:rFonts w:eastAsia="Times New Roman" w:cs="Segoe UI"/>
                <w:b/>
                <w:bCs/>
                <w:sz w:val="18"/>
                <w:szCs w:val="18"/>
                <w:lang w:eastAsia="sk-SK"/>
              </w:rPr>
              <w:t>-141 839</w:t>
            </w:r>
          </w:p>
        </w:tc>
        <w:tc>
          <w:tcPr>
            <w:tcW w:w="715" w:type="pct"/>
            <w:vAlign w:val="center"/>
          </w:tcPr>
          <w:p w14:paraId="77315445" w14:textId="77777777" w:rsidR="008A4BCF" w:rsidRPr="002F45E5" w:rsidRDefault="008A4BCF" w:rsidP="00B44AC3">
            <w:pPr>
              <w:tabs>
                <w:tab w:val="left" w:pos="883"/>
              </w:tabs>
              <w:spacing w:after="0" w:line="240" w:lineRule="auto"/>
              <w:ind w:right="31"/>
              <w:jc w:val="right"/>
              <w:rPr>
                <w:rFonts w:eastAsia="Calibri" w:cs="Segoe UI"/>
                <w:b/>
                <w:sz w:val="18"/>
                <w:szCs w:val="18"/>
              </w:rPr>
            </w:pPr>
            <w:r w:rsidRPr="002F45E5">
              <w:rPr>
                <w:rFonts w:eastAsia="Calibri" w:cs="Segoe UI"/>
                <w:b/>
                <w:sz w:val="18"/>
                <w:szCs w:val="18"/>
              </w:rPr>
              <w:t>-89 995</w:t>
            </w:r>
          </w:p>
        </w:tc>
        <w:tc>
          <w:tcPr>
            <w:tcW w:w="803" w:type="pct"/>
            <w:vAlign w:val="center"/>
          </w:tcPr>
          <w:p w14:paraId="3A7ADD38" w14:textId="77777777" w:rsidR="008A4BCF" w:rsidRPr="002F45E5" w:rsidRDefault="008A4BCF" w:rsidP="00B44AC3">
            <w:pPr>
              <w:spacing w:after="0" w:line="240" w:lineRule="auto"/>
              <w:jc w:val="right"/>
              <w:rPr>
                <w:rFonts w:eastAsia="Calibri" w:cs="Segoe UI"/>
                <w:b/>
                <w:sz w:val="18"/>
                <w:szCs w:val="18"/>
              </w:rPr>
            </w:pPr>
            <w:r w:rsidRPr="002F45E5">
              <w:rPr>
                <w:rFonts w:eastAsia="Calibri" w:cs="Segoe UI"/>
                <w:b/>
                <w:sz w:val="18"/>
                <w:szCs w:val="18"/>
              </w:rPr>
              <w:t>51 844</w:t>
            </w:r>
          </w:p>
        </w:tc>
        <w:tc>
          <w:tcPr>
            <w:tcW w:w="535" w:type="pct"/>
            <w:vAlign w:val="center"/>
          </w:tcPr>
          <w:p w14:paraId="16857474" w14:textId="77777777" w:rsidR="008A4BCF" w:rsidRPr="002F45E5" w:rsidRDefault="008A4BCF" w:rsidP="00B44AC3">
            <w:pPr>
              <w:spacing w:after="0" w:line="240" w:lineRule="auto"/>
              <w:jc w:val="right"/>
              <w:rPr>
                <w:rFonts w:eastAsia="Calibri" w:cs="Segoe UI"/>
                <w:b/>
                <w:sz w:val="18"/>
                <w:szCs w:val="18"/>
              </w:rPr>
            </w:pPr>
            <w:r w:rsidRPr="002F45E5">
              <w:rPr>
                <w:rFonts w:eastAsia="Calibri" w:cs="Segoe UI"/>
                <w:b/>
                <w:sz w:val="18"/>
                <w:szCs w:val="18"/>
              </w:rPr>
              <w:t>63,45</w:t>
            </w:r>
          </w:p>
        </w:tc>
      </w:tr>
    </w:tbl>
    <w:p w14:paraId="2FC6FB1D" w14:textId="77777777" w:rsidR="008A4BCF" w:rsidRPr="009525ED" w:rsidRDefault="008A4BCF" w:rsidP="008A4BCF">
      <w:pPr>
        <w:pStyle w:val="Zdroj"/>
        <w:rPr>
          <w:lang w:eastAsia="sk-SK"/>
        </w:rPr>
      </w:pPr>
      <w:r w:rsidRPr="009525ED">
        <w:rPr>
          <w:lang w:eastAsia="sk-SK"/>
        </w:rPr>
        <w:t xml:space="preserve">Zdroj: Štátna pokladnica, </w:t>
      </w:r>
      <w:r>
        <w:rPr>
          <w:lang w:eastAsia="sk-SK"/>
        </w:rPr>
        <w:t>r</w:t>
      </w:r>
      <w:r w:rsidRPr="009525ED">
        <w:rPr>
          <w:lang w:eastAsia="sk-SK"/>
        </w:rPr>
        <w:t>ozpo</w:t>
      </w:r>
      <w:r>
        <w:rPr>
          <w:lang w:eastAsia="sk-SK"/>
        </w:rPr>
        <w:t>c</w:t>
      </w:r>
      <w:r w:rsidRPr="009525ED">
        <w:rPr>
          <w:lang w:eastAsia="sk-SK"/>
        </w:rPr>
        <w:t xml:space="preserve">et.sk, </w:t>
      </w:r>
      <w:r>
        <w:rPr>
          <w:lang w:eastAsia="sk-SK"/>
        </w:rPr>
        <w:t>Návrh</w:t>
      </w:r>
      <w:r w:rsidRPr="009525ED">
        <w:rPr>
          <w:lang w:eastAsia="sk-SK"/>
        </w:rPr>
        <w:t xml:space="preserve"> ŠZÚ 202</w:t>
      </w:r>
      <w:r>
        <w:rPr>
          <w:lang w:eastAsia="sk-SK"/>
        </w:rPr>
        <w:t>3.</w:t>
      </w:r>
    </w:p>
    <w:p w14:paraId="7F9C44D3" w14:textId="77777777" w:rsidR="008A4BCF" w:rsidRPr="00DC267F" w:rsidRDefault="008A4BCF" w:rsidP="008A4BCF">
      <w:pPr>
        <w:rPr>
          <w:rFonts w:cs="Segoe UI"/>
          <w:szCs w:val="20"/>
        </w:rPr>
      </w:pPr>
      <w:r w:rsidRPr="00ED786F">
        <w:rPr>
          <w:rFonts w:eastAsia="Times New Roman" w:cs="Segoe UI"/>
          <w:b/>
          <w:szCs w:val="20"/>
          <w:lang w:eastAsia="sk-SK"/>
        </w:rPr>
        <w:t xml:space="preserve">Výdavky </w:t>
      </w:r>
      <w:r w:rsidRPr="003308BB">
        <w:rPr>
          <w:rFonts w:eastAsia="Times New Roman" w:cs="Segoe UI"/>
          <w:b/>
          <w:szCs w:val="20"/>
          <w:lang w:eastAsia="sk-SK"/>
        </w:rPr>
        <w:t>VÚC</w:t>
      </w:r>
      <w:r w:rsidRPr="0037680E">
        <w:rPr>
          <w:rFonts w:eastAsia="Times New Roman" w:cs="Segoe UI"/>
          <w:b/>
          <w:szCs w:val="20"/>
          <w:lang w:eastAsia="sk-SK"/>
        </w:rPr>
        <w:t xml:space="preserve"> </w:t>
      </w:r>
      <w:r w:rsidRPr="003308BB">
        <w:rPr>
          <w:rFonts w:eastAsia="Times New Roman" w:cs="Segoe UI"/>
          <w:b/>
          <w:szCs w:val="20"/>
          <w:lang w:eastAsia="sk-SK"/>
        </w:rPr>
        <w:t xml:space="preserve">sa </w:t>
      </w:r>
      <w:r>
        <w:rPr>
          <w:rFonts w:eastAsia="Times New Roman" w:cs="Segoe UI"/>
          <w:b/>
          <w:szCs w:val="20"/>
          <w:lang w:eastAsia="sk-SK"/>
        </w:rPr>
        <w:t>v roku 2023 medziročne</w:t>
      </w:r>
      <w:r w:rsidRPr="003308BB">
        <w:rPr>
          <w:rFonts w:eastAsia="Times New Roman" w:cs="Segoe UI"/>
          <w:b/>
          <w:szCs w:val="20"/>
          <w:lang w:eastAsia="sk-SK"/>
        </w:rPr>
        <w:t xml:space="preserve"> zvýšili o 28 %</w:t>
      </w:r>
      <w:r>
        <w:rPr>
          <w:rFonts w:eastAsia="Times New Roman" w:cs="Segoe UI"/>
          <w:b/>
          <w:szCs w:val="20"/>
          <w:lang w:eastAsia="sk-SK"/>
        </w:rPr>
        <w:t>, pričom rástli pomalšie než príjmy</w:t>
      </w:r>
      <w:r w:rsidRPr="003B0FED">
        <w:rPr>
          <w:rFonts w:eastAsia="Times New Roman" w:cs="Segoe UI"/>
          <w:b/>
          <w:szCs w:val="20"/>
          <w:lang w:eastAsia="sk-SK"/>
        </w:rPr>
        <w:t>.</w:t>
      </w:r>
      <w:r w:rsidRPr="00635295">
        <w:rPr>
          <w:rFonts w:eastAsia="Times New Roman" w:cs="Segoe UI"/>
          <w:szCs w:val="20"/>
          <w:lang w:eastAsia="sk-SK"/>
        </w:rPr>
        <w:t xml:space="preserve"> </w:t>
      </w:r>
      <w:r>
        <w:rPr>
          <w:rFonts w:eastAsia="Times New Roman" w:cs="Segoe UI"/>
          <w:szCs w:val="20"/>
          <w:lang w:eastAsia="sk-SK"/>
        </w:rPr>
        <w:t>Z  </w:t>
      </w:r>
      <w:r w:rsidRPr="003308BB">
        <w:rPr>
          <w:rFonts w:eastAsia="Times New Roman" w:cs="Segoe UI"/>
          <w:szCs w:val="20"/>
          <w:lang w:eastAsia="sk-SK"/>
        </w:rPr>
        <w:t>výdavkov</w:t>
      </w:r>
      <w:r w:rsidRPr="0037680E">
        <w:rPr>
          <w:rFonts w:eastAsia="Times New Roman" w:cs="Segoe UI"/>
          <w:szCs w:val="20"/>
          <w:lang w:eastAsia="sk-SK"/>
        </w:rPr>
        <w:t xml:space="preserve"> bolo </w:t>
      </w:r>
      <w:r w:rsidRPr="003308BB">
        <w:rPr>
          <w:rFonts w:eastAsia="Times New Roman" w:cs="Segoe UI"/>
          <w:szCs w:val="20"/>
          <w:lang w:eastAsia="sk-SK"/>
        </w:rPr>
        <w:t>24 %</w:t>
      </w:r>
      <w:r w:rsidRPr="0037680E">
        <w:rPr>
          <w:rFonts w:eastAsia="Times New Roman" w:cs="Segoe UI"/>
          <w:szCs w:val="20"/>
          <w:lang w:eastAsia="sk-SK"/>
        </w:rPr>
        <w:t xml:space="preserve"> alokovaných na </w:t>
      </w:r>
      <w:r w:rsidRPr="003308BB">
        <w:rPr>
          <w:rFonts w:eastAsia="Times New Roman" w:cs="Segoe UI"/>
          <w:szCs w:val="20"/>
          <w:lang w:eastAsia="sk-SK"/>
        </w:rPr>
        <w:t>mzdy a odvody</w:t>
      </w:r>
      <w:r>
        <w:rPr>
          <w:rFonts w:eastAsia="Times New Roman" w:cs="Segoe UI"/>
          <w:szCs w:val="20"/>
          <w:lang w:eastAsia="sk-SK"/>
        </w:rPr>
        <w:t xml:space="preserve"> (</w:t>
      </w:r>
      <w:r w:rsidRPr="00E47D73">
        <w:rPr>
          <w:rFonts w:eastAsia="Times New Roman" w:cs="Segoe UI"/>
          <w:szCs w:val="20"/>
          <w:lang w:eastAsia="sk-SK"/>
        </w:rPr>
        <w:t xml:space="preserve">v nadväznosti na legislatívne zmeny a prijaté opatrenia v odmeňovaní zamestnancov </w:t>
      </w:r>
      <w:r>
        <w:rPr>
          <w:rFonts w:eastAsia="Times New Roman" w:cs="Segoe UI"/>
          <w:szCs w:val="20"/>
          <w:lang w:eastAsia="sk-SK"/>
        </w:rPr>
        <w:t>VS</w:t>
      </w:r>
      <w:r w:rsidRPr="00E47D73">
        <w:rPr>
          <w:rFonts w:eastAsia="Times New Roman" w:cs="Segoe UI"/>
          <w:szCs w:val="20"/>
          <w:lang w:eastAsia="sk-SK"/>
        </w:rPr>
        <w:t xml:space="preserve"> a v zmysle uzatvorenej kolektívnej zmluvy vyššieho stupňa</w:t>
      </w:r>
      <w:r>
        <w:rPr>
          <w:rFonts w:eastAsia="Times New Roman" w:cs="Segoe UI"/>
          <w:szCs w:val="20"/>
          <w:lang w:eastAsia="sk-SK"/>
        </w:rPr>
        <w:t>), 12 % na tovary a služby.</w:t>
      </w:r>
    </w:p>
    <w:p w14:paraId="290942D2" w14:textId="77777777" w:rsidR="008A4BCF" w:rsidRPr="00B72759" w:rsidRDefault="008A4BCF" w:rsidP="008A4BCF">
      <w:pPr>
        <w:rPr>
          <w:rFonts w:eastAsia="Times New Roman" w:cs="Segoe UI"/>
          <w:b/>
          <w:color w:val="FF0000"/>
          <w:szCs w:val="20"/>
          <w:lang w:eastAsia="sk-SK"/>
        </w:rPr>
      </w:pPr>
      <w:r w:rsidRPr="00F17698">
        <w:rPr>
          <w:rFonts w:eastAsia="Times New Roman" w:cs="Segoe UI"/>
          <w:b/>
          <w:szCs w:val="20"/>
          <w:lang w:eastAsia="sk-SK"/>
        </w:rPr>
        <w:t>Hotovostn</w:t>
      </w:r>
      <w:r>
        <w:rPr>
          <w:rFonts w:eastAsia="Times New Roman" w:cs="Segoe UI"/>
          <w:b/>
          <w:szCs w:val="20"/>
          <w:lang w:eastAsia="sk-SK"/>
        </w:rPr>
        <w:t>é</w:t>
      </w:r>
      <w:r w:rsidRPr="00F17698">
        <w:rPr>
          <w:rFonts w:eastAsia="Times New Roman" w:cs="Segoe UI"/>
          <w:b/>
          <w:szCs w:val="20"/>
          <w:lang w:eastAsia="sk-SK"/>
        </w:rPr>
        <w:t xml:space="preserve"> </w:t>
      </w:r>
      <w:r>
        <w:rPr>
          <w:rFonts w:eastAsia="Times New Roman" w:cs="Segoe UI"/>
          <w:b/>
          <w:szCs w:val="20"/>
          <w:lang w:eastAsia="sk-SK"/>
        </w:rPr>
        <w:t>saldo</w:t>
      </w:r>
      <w:r w:rsidRPr="00F17698">
        <w:rPr>
          <w:rFonts w:eastAsia="Times New Roman" w:cs="Segoe UI"/>
          <w:b/>
          <w:szCs w:val="20"/>
          <w:lang w:eastAsia="sk-SK"/>
        </w:rPr>
        <w:t xml:space="preserve"> hospodárenia narástl</w:t>
      </w:r>
      <w:r>
        <w:rPr>
          <w:rFonts w:eastAsia="Times New Roman" w:cs="Segoe UI"/>
          <w:b/>
          <w:szCs w:val="20"/>
          <w:lang w:eastAsia="sk-SK"/>
        </w:rPr>
        <w:t>o medziročne</w:t>
      </w:r>
      <w:r w:rsidRPr="003308BB">
        <w:rPr>
          <w:rFonts w:eastAsia="Times New Roman" w:cs="Segoe UI"/>
          <w:b/>
          <w:szCs w:val="20"/>
          <w:lang w:eastAsia="sk-SK"/>
        </w:rPr>
        <w:t xml:space="preserve"> o cca 46 %</w:t>
      </w:r>
      <w:r w:rsidRPr="00F17698">
        <w:rPr>
          <w:rFonts w:eastAsia="Times New Roman" w:cs="Segoe UI"/>
          <w:b/>
          <w:szCs w:val="20"/>
          <w:lang w:eastAsia="sk-SK"/>
        </w:rPr>
        <w:t xml:space="preserve"> </w:t>
      </w:r>
      <w:r w:rsidRPr="00F17698">
        <w:rPr>
          <w:rFonts w:eastAsia="Times New Roman" w:cs="Segoe UI"/>
          <w:szCs w:val="20"/>
          <w:lang w:eastAsia="sk-SK"/>
        </w:rPr>
        <w:t xml:space="preserve">(tabuľka </w:t>
      </w:r>
      <w:r>
        <w:rPr>
          <w:rFonts w:eastAsia="Times New Roman" w:cs="Segoe UI"/>
          <w:szCs w:val="20"/>
          <w:lang w:eastAsia="sk-SK"/>
        </w:rPr>
        <w:t>18</w:t>
      </w:r>
      <w:r w:rsidRPr="00F17698">
        <w:rPr>
          <w:rFonts w:eastAsia="Times New Roman" w:cs="Segoe UI"/>
          <w:szCs w:val="20"/>
          <w:lang w:eastAsia="sk-SK"/>
        </w:rPr>
        <w:t xml:space="preserve">). </w:t>
      </w:r>
      <w:r w:rsidRPr="003308BB">
        <w:rPr>
          <w:rFonts w:eastAsia="Times New Roman" w:cs="Segoe UI"/>
          <w:b/>
          <w:szCs w:val="20"/>
          <w:lang w:eastAsia="sk-SK"/>
        </w:rPr>
        <w:t>D</w:t>
      </w:r>
      <w:r w:rsidRPr="00921058">
        <w:rPr>
          <w:rFonts w:eastAsia="Times New Roman" w:cs="Segoe UI"/>
          <w:b/>
          <w:szCs w:val="20"/>
          <w:lang w:eastAsia="sk-SK"/>
        </w:rPr>
        <w:t xml:space="preserve">lhodobo </w:t>
      </w:r>
      <w:r>
        <w:rPr>
          <w:rFonts w:eastAsia="Times New Roman" w:cs="Segoe UI"/>
          <w:b/>
          <w:szCs w:val="20"/>
          <w:lang w:eastAsia="sk-SK"/>
        </w:rPr>
        <w:t>však n</w:t>
      </w:r>
      <w:r w:rsidRPr="0037680E">
        <w:rPr>
          <w:rFonts w:eastAsia="Times New Roman" w:cs="Segoe UI"/>
          <w:b/>
          <w:szCs w:val="20"/>
          <w:lang w:eastAsia="sk-SK"/>
        </w:rPr>
        <w:t>arastá</w:t>
      </w:r>
      <w:r w:rsidRPr="003308BB">
        <w:rPr>
          <w:rFonts w:eastAsia="Times New Roman" w:cs="Segoe UI"/>
          <w:b/>
          <w:szCs w:val="20"/>
          <w:lang w:eastAsia="sk-SK"/>
        </w:rPr>
        <w:t xml:space="preserve"> </w:t>
      </w:r>
      <w:r>
        <w:rPr>
          <w:rFonts w:eastAsia="Times New Roman" w:cs="Segoe UI"/>
          <w:b/>
          <w:szCs w:val="20"/>
          <w:lang w:eastAsia="sk-SK"/>
        </w:rPr>
        <w:t>a</w:t>
      </w:r>
      <w:r w:rsidRPr="003308BB">
        <w:rPr>
          <w:rFonts w:eastAsia="Times New Roman" w:cs="Segoe UI"/>
          <w:b/>
          <w:szCs w:val="20"/>
          <w:lang w:eastAsia="sk-SK"/>
        </w:rPr>
        <w:t xml:space="preserve">j </w:t>
      </w:r>
      <w:r w:rsidRPr="0037680E">
        <w:rPr>
          <w:rFonts w:eastAsia="Times New Roman" w:cs="Segoe UI"/>
          <w:b/>
          <w:szCs w:val="20"/>
          <w:lang w:eastAsia="sk-SK"/>
        </w:rPr>
        <w:t>n</w:t>
      </w:r>
      <w:r w:rsidRPr="0037680E">
        <w:rPr>
          <w:rFonts w:cs="Segoe UI"/>
          <w:b/>
          <w:szCs w:val="20"/>
        </w:rPr>
        <w:t>ekonsolidovaný dlh</w:t>
      </w:r>
      <w:r w:rsidRPr="000B79B0">
        <w:rPr>
          <w:rStyle w:val="Odkaznapoznmkupodiarou"/>
          <w:rFonts w:cs="Segoe UI"/>
          <w:szCs w:val="20"/>
        </w:rPr>
        <w:footnoteReference w:id="95"/>
      </w:r>
      <w:r>
        <w:rPr>
          <w:rFonts w:cs="Segoe UI"/>
          <w:b/>
          <w:szCs w:val="20"/>
        </w:rPr>
        <w:t>, ktorý</w:t>
      </w:r>
      <w:r w:rsidRPr="003308BB">
        <w:rPr>
          <w:rFonts w:cs="Segoe UI"/>
          <w:b/>
          <w:szCs w:val="20"/>
        </w:rPr>
        <w:t> v</w:t>
      </w:r>
      <w:r w:rsidRPr="0037680E">
        <w:rPr>
          <w:rFonts w:cs="Segoe UI"/>
          <w:b/>
          <w:szCs w:val="20"/>
        </w:rPr>
        <w:t xml:space="preserve"> </w:t>
      </w:r>
      <w:r w:rsidRPr="003308BB">
        <w:rPr>
          <w:rFonts w:cs="Segoe UI"/>
          <w:b/>
          <w:szCs w:val="20"/>
        </w:rPr>
        <w:t xml:space="preserve">roku 2023 dosiahol </w:t>
      </w:r>
      <w:r w:rsidRPr="0037680E">
        <w:rPr>
          <w:rFonts w:cs="Segoe UI"/>
          <w:b/>
          <w:szCs w:val="20"/>
        </w:rPr>
        <w:t>701,52 mil. eur</w:t>
      </w:r>
      <w:r w:rsidRPr="003308BB">
        <w:rPr>
          <w:rFonts w:cs="Segoe UI"/>
          <w:b/>
          <w:szCs w:val="20"/>
        </w:rPr>
        <w:t xml:space="preserve"> </w:t>
      </w:r>
      <w:r w:rsidRPr="00B72759">
        <w:rPr>
          <w:rFonts w:cs="Segoe UI"/>
          <w:szCs w:val="20"/>
        </w:rPr>
        <w:t>(nárast bol spôsobený poskytnutím pôžičiek od spoločnosti National Development Fund II.</w:t>
      </w:r>
      <w:r>
        <w:rPr>
          <w:rStyle w:val="Odkaznapoznmkupodiarou"/>
          <w:rFonts w:cs="Segoe UI"/>
          <w:szCs w:val="20"/>
        </w:rPr>
        <w:footnoteReference w:id="96"/>
      </w:r>
      <w:r w:rsidRPr="00B72759">
        <w:rPr>
          <w:rFonts w:cs="Segoe UI"/>
          <w:szCs w:val="20"/>
        </w:rPr>
        <w:t xml:space="preserve"> v súhrnnej výške 106 290 tis. eur)</w:t>
      </w:r>
      <w:r w:rsidRPr="003B0FED">
        <w:rPr>
          <w:rFonts w:cs="Segoe UI"/>
          <w:b/>
          <w:szCs w:val="20"/>
        </w:rPr>
        <w:t>.</w:t>
      </w:r>
      <w:r w:rsidRPr="00B72759">
        <w:rPr>
          <w:rFonts w:cs="Segoe UI"/>
          <w:szCs w:val="20"/>
        </w:rPr>
        <w:t xml:space="preserve"> </w:t>
      </w:r>
      <w:r w:rsidRPr="008D5255">
        <w:rPr>
          <w:rFonts w:cs="Segoe UI"/>
          <w:szCs w:val="20"/>
        </w:rPr>
        <w:t xml:space="preserve">VÚC čerpajú úvery najmä </w:t>
      </w:r>
      <w:r>
        <w:rPr>
          <w:rFonts w:cs="Segoe UI"/>
          <w:szCs w:val="20"/>
        </w:rPr>
        <w:t>n</w:t>
      </w:r>
      <w:r w:rsidRPr="008D5255">
        <w:rPr>
          <w:rFonts w:cs="Segoe UI"/>
          <w:szCs w:val="20"/>
        </w:rPr>
        <w:t>a účel</w:t>
      </w:r>
      <w:r>
        <w:rPr>
          <w:rFonts w:cs="Segoe UI"/>
          <w:szCs w:val="20"/>
        </w:rPr>
        <w:t>y</w:t>
      </w:r>
      <w:r w:rsidRPr="008D5255">
        <w:rPr>
          <w:rFonts w:cs="Segoe UI"/>
          <w:szCs w:val="20"/>
        </w:rPr>
        <w:t xml:space="preserve"> predfinancovania investičných projektov financovaných z </w:t>
      </w:r>
      <w:r>
        <w:rPr>
          <w:rFonts w:cs="Segoe UI"/>
          <w:szCs w:val="20"/>
        </w:rPr>
        <w:t>EŠIF</w:t>
      </w:r>
      <w:r w:rsidRPr="008D5255">
        <w:rPr>
          <w:rFonts w:cs="Segoe UI"/>
          <w:szCs w:val="20"/>
        </w:rPr>
        <w:t>, napríklad na obnovu budov samosprávnych krajov (hlavne školských zariadení) s cieľom zníženia ich energetickej náročnosti a</w:t>
      </w:r>
      <w:r>
        <w:rPr>
          <w:rFonts w:cs="Segoe UI"/>
          <w:szCs w:val="20"/>
        </w:rPr>
        <w:t> </w:t>
      </w:r>
      <w:r w:rsidRPr="008D5255">
        <w:rPr>
          <w:rFonts w:cs="Segoe UI"/>
          <w:szCs w:val="20"/>
        </w:rPr>
        <w:t>celkovej modernizácie, na obnovu cestnej infraštruktúry a na refundáciu už vynaložených investičných výdavkov</w:t>
      </w:r>
      <w:r>
        <w:rPr>
          <w:rFonts w:cs="Segoe UI"/>
          <w:szCs w:val="20"/>
        </w:rPr>
        <w:t>.</w:t>
      </w:r>
    </w:p>
    <w:p w14:paraId="635548FB" w14:textId="77777777" w:rsidR="008A4BCF" w:rsidRPr="00324A0D" w:rsidRDefault="008A4BCF" w:rsidP="008A4BCF">
      <w:pPr>
        <w:rPr>
          <w:rFonts w:cs="Segoe UI"/>
          <w:szCs w:val="20"/>
        </w:rPr>
      </w:pPr>
      <w:r w:rsidRPr="002E2636">
        <w:rPr>
          <w:rFonts w:eastAsia="Times New Roman" w:cs="Segoe UI"/>
          <w:b/>
          <w:szCs w:val="20"/>
          <w:lang w:eastAsia="sk-SK"/>
        </w:rPr>
        <w:t xml:space="preserve">Kapitálové výdavky vzrástli medziročne </w:t>
      </w:r>
      <w:r>
        <w:rPr>
          <w:rFonts w:eastAsia="Times New Roman" w:cs="Segoe UI"/>
          <w:b/>
          <w:szCs w:val="20"/>
          <w:lang w:eastAsia="sk-SK"/>
        </w:rPr>
        <w:t>viac než dvojnásobne</w:t>
      </w:r>
      <w:r w:rsidRPr="002E2636">
        <w:rPr>
          <w:rFonts w:eastAsia="Times New Roman" w:cs="Segoe UI"/>
          <w:b/>
          <w:szCs w:val="20"/>
          <w:lang w:eastAsia="sk-SK"/>
        </w:rPr>
        <w:t>.</w:t>
      </w:r>
      <w:r w:rsidRPr="002E2636">
        <w:rPr>
          <w:rFonts w:eastAsia="Times New Roman" w:cs="Segoe UI"/>
          <w:szCs w:val="20"/>
          <w:lang w:eastAsia="sk-SK"/>
        </w:rPr>
        <w:t xml:space="preserve"> </w:t>
      </w:r>
      <w:r w:rsidRPr="003308BB">
        <w:rPr>
          <w:rFonts w:eastAsia="Times New Roman" w:cs="Segoe UI"/>
          <w:b/>
          <w:szCs w:val="20"/>
          <w:lang w:eastAsia="sk-SK"/>
        </w:rPr>
        <w:t xml:space="preserve">Rast súvisel s </w:t>
      </w:r>
      <w:r w:rsidRPr="003308BB">
        <w:rPr>
          <w:rFonts w:cs="Segoe UI"/>
          <w:b/>
          <w:szCs w:val="20"/>
        </w:rPr>
        <w:t>časovým posunom realizácie plánovaných investičných akcií z</w:t>
      </w:r>
      <w:r>
        <w:rPr>
          <w:rFonts w:cs="Segoe UI"/>
          <w:b/>
          <w:szCs w:val="20"/>
        </w:rPr>
        <w:t> </w:t>
      </w:r>
      <w:r w:rsidRPr="003308BB">
        <w:rPr>
          <w:rFonts w:cs="Segoe UI"/>
          <w:b/>
          <w:szCs w:val="20"/>
        </w:rPr>
        <w:t>rok</w:t>
      </w:r>
      <w:r>
        <w:rPr>
          <w:rFonts w:cs="Segoe UI"/>
          <w:b/>
          <w:szCs w:val="20"/>
        </w:rPr>
        <w:t>u 2022</w:t>
      </w:r>
      <w:r w:rsidRPr="003308BB">
        <w:rPr>
          <w:rFonts w:cs="Segoe UI"/>
          <w:b/>
          <w:szCs w:val="20"/>
        </w:rPr>
        <w:t xml:space="preserve"> a </w:t>
      </w:r>
      <w:r w:rsidRPr="003308BB">
        <w:rPr>
          <w:rFonts w:eastAsia="Times New Roman" w:cs="Segoe UI"/>
          <w:b/>
          <w:szCs w:val="20"/>
          <w:lang w:eastAsia="sk-SK"/>
        </w:rPr>
        <w:t xml:space="preserve">s dočerpávaním zdrojov EÚ </w:t>
      </w:r>
      <w:r w:rsidRPr="000B79B0">
        <w:rPr>
          <w:rFonts w:eastAsia="Times New Roman" w:cs="Segoe UI"/>
          <w:szCs w:val="20"/>
          <w:lang w:eastAsia="sk-SK"/>
        </w:rPr>
        <w:t>(pravidlo n+3)</w:t>
      </w:r>
      <w:r w:rsidRPr="003308BB">
        <w:rPr>
          <w:rFonts w:eastAsia="Times New Roman" w:cs="Segoe UI"/>
          <w:b/>
          <w:szCs w:val="20"/>
          <w:lang w:eastAsia="sk-SK"/>
        </w:rPr>
        <w:t xml:space="preserve"> na naplánované </w:t>
      </w:r>
      <w:r w:rsidRPr="0037680E">
        <w:rPr>
          <w:rFonts w:eastAsia="Times New Roman" w:cs="Segoe UI"/>
          <w:b/>
          <w:szCs w:val="20"/>
          <w:lang w:eastAsia="sk-SK"/>
        </w:rPr>
        <w:t>projekty do roku 2023</w:t>
      </w:r>
      <w:r w:rsidRPr="003308BB">
        <w:rPr>
          <w:rFonts w:eastAsia="Times New Roman" w:cs="Segoe UI"/>
          <w:b/>
          <w:szCs w:val="20"/>
          <w:lang w:eastAsia="sk-SK"/>
        </w:rPr>
        <w:t>.</w:t>
      </w:r>
      <w:r w:rsidRPr="002E2636">
        <w:rPr>
          <w:rFonts w:eastAsia="Times New Roman" w:cs="Segoe UI"/>
          <w:szCs w:val="20"/>
          <w:lang w:eastAsia="sk-SK"/>
        </w:rPr>
        <w:t xml:space="preserve"> </w:t>
      </w:r>
      <w:r w:rsidRPr="002E2636">
        <w:rPr>
          <w:rFonts w:cs="Segoe UI"/>
          <w:szCs w:val="20"/>
        </w:rPr>
        <w:t xml:space="preserve">Výdavky boli alokované na implementáciu projektov modernizácie stredných škôl, v oblasti zlepšovania bezpečnosti </w:t>
      </w:r>
      <w:r w:rsidRPr="00CB4616">
        <w:rPr>
          <w:rFonts w:cs="Segoe UI"/>
          <w:szCs w:val="20"/>
        </w:rPr>
        <w:t>a ekológie dopravy v</w:t>
      </w:r>
      <w:r>
        <w:rPr>
          <w:rFonts w:cs="Segoe UI"/>
          <w:szCs w:val="20"/>
        </w:rPr>
        <w:t> </w:t>
      </w:r>
      <w:r w:rsidRPr="00CB4616">
        <w:rPr>
          <w:rFonts w:cs="Segoe UI"/>
          <w:szCs w:val="20"/>
        </w:rPr>
        <w:t>regiónoch</w:t>
      </w:r>
      <w:r>
        <w:rPr>
          <w:rFonts w:cs="Segoe UI"/>
          <w:szCs w:val="20"/>
        </w:rPr>
        <w:t>,</w:t>
      </w:r>
      <w:r w:rsidRPr="00CB4616">
        <w:rPr>
          <w:rFonts w:cs="Segoe UI"/>
          <w:szCs w:val="20"/>
        </w:rPr>
        <w:t xml:space="preserve"> vrátane rekonštrukcie ciest 1. a 2. triedy, obnovy mostných objektov a dopravných prostriedkov verejnej osobnej dopravy</w:t>
      </w:r>
      <w:r>
        <w:rPr>
          <w:rFonts w:cs="Segoe UI"/>
          <w:szCs w:val="20"/>
        </w:rPr>
        <w:t>, ochranu prírodného a kultúrneho dedičstva a podporu udržateľných dopravných riešení.</w:t>
      </w:r>
    </w:p>
    <w:p w14:paraId="59DDA517" w14:textId="77777777" w:rsidR="008A4BCF" w:rsidRDefault="008A4BCF" w:rsidP="008A4BCF">
      <w:pPr>
        <w:pStyle w:val="vodZverZhrnutie"/>
      </w:pPr>
      <w:bookmarkStart w:id="54" w:name="_Toc168567213"/>
      <w:r>
        <w:lastRenderedPageBreak/>
        <w:t>Tabuľková príloha</w:t>
      </w:r>
      <w:bookmarkEnd w:id="54"/>
    </w:p>
    <w:p w14:paraId="27135061" w14:textId="77777777" w:rsidR="008A4BCF" w:rsidRDefault="008A4BCF" w:rsidP="008A4BCF">
      <w:pPr>
        <w:pStyle w:val="Popis"/>
        <w:keepNext/>
        <w:spacing w:after="120"/>
      </w:pPr>
      <w:r>
        <w:t>Tabuľka 1: Porovnanie m</w:t>
      </w:r>
      <w:r w:rsidRPr="004F4CD7">
        <w:t>akroekonomick</w:t>
      </w:r>
      <w:r>
        <w:t>ej</w:t>
      </w:r>
      <w:r w:rsidRPr="004F4CD7">
        <w:t xml:space="preserve"> pr</w:t>
      </w:r>
      <w:r>
        <w:t>ognózy rozpočtu VS na rok 2023 so skutočnosťou</w:t>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70"/>
        <w:gridCol w:w="1114"/>
        <w:gridCol w:w="1114"/>
        <w:gridCol w:w="1272"/>
      </w:tblGrid>
      <w:tr w:rsidR="008A4BCF" w:rsidRPr="00950EDF" w14:paraId="5B5B3C57" w14:textId="77777777" w:rsidTr="00B44AC3">
        <w:trPr>
          <w:trHeight w:val="255"/>
          <w:tblHeader/>
        </w:trPr>
        <w:tc>
          <w:tcPr>
            <w:tcW w:w="3071" w:type="pct"/>
            <w:shd w:val="clear" w:color="auto" w:fill="314364" w:themeFill="text2"/>
            <w:vAlign w:val="center"/>
          </w:tcPr>
          <w:p w14:paraId="2AFF57BB" w14:textId="77777777" w:rsidR="008A4BCF" w:rsidRPr="00950EDF" w:rsidRDefault="008A4BCF" w:rsidP="00B44AC3">
            <w:pPr>
              <w:pStyle w:val="Bezriadkovania"/>
              <w:rPr>
                <w:rFonts w:ascii="Segoe UI" w:hAnsi="Segoe UI" w:cs="Segoe UI"/>
                <w:b/>
                <w:color w:val="FFFFFF" w:themeColor="background1"/>
                <w:sz w:val="18"/>
                <w:szCs w:val="18"/>
              </w:rPr>
            </w:pPr>
            <w:r w:rsidRPr="00950EDF">
              <w:rPr>
                <w:rFonts w:ascii="Segoe UI" w:hAnsi="Segoe UI" w:cs="Segoe UI"/>
                <w:b/>
                <w:color w:val="FFFFFF" w:themeColor="background1"/>
                <w:sz w:val="18"/>
                <w:szCs w:val="18"/>
              </w:rPr>
              <w:t>Ukazovateľ (rast v %, ak nie je uvedené inak)</w:t>
            </w:r>
          </w:p>
        </w:tc>
        <w:tc>
          <w:tcPr>
            <w:tcW w:w="614" w:type="pct"/>
            <w:shd w:val="clear" w:color="auto" w:fill="314364" w:themeFill="text2"/>
            <w:vAlign w:val="center"/>
          </w:tcPr>
          <w:p w14:paraId="20D56725" w14:textId="77777777" w:rsidR="008A4BCF" w:rsidRPr="00950EDF" w:rsidRDefault="008A4BCF" w:rsidP="00B44AC3">
            <w:pPr>
              <w:pStyle w:val="Bezriadkovania"/>
              <w:jc w:val="right"/>
              <w:rPr>
                <w:rFonts w:ascii="Segoe UI" w:hAnsi="Segoe UI" w:cs="Segoe UI"/>
                <w:b/>
                <w:color w:val="FFFFFF" w:themeColor="background1"/>
                <w:sz w:val="18"/>
                <w:szCs w:val="18"/>
              </w:rPr>
            </w:pPr>
            <w:r w:rsidRPr="00950EDF">
              <w:rPr>
                <w:rFonts w:ascii="Segoe UI" w:hAnsi="Segoe UI" w:cs="Segoe UI"/>
                <w:b/>
                <w:color w:val="FFFFFF" w:themeColor="background1"/>
                <w:sz w:val="18"/>
                <w:szCs w:val="18"/>
              </w:rPr>
              <w:t>20</w:t>
            </w:r>
            <w:r>
              <w:rPr>
                <w:rFonts w:ascii="Segoe UI" w:hAnsi="Segoe UI" w:cs="Segoe UI"/>
                <w:b/>
                <w:color w:val="FFFFFF" w:themeColor="background1"/>
                <w:sz w:val="18"/>
                <w:szCs w:val="18"/>
              </w:rPr>
              <w:t>23 R</w:t>
            </w:r>
          </w:p>
        </w:tc>
        <w:tc>
          <w:tcPr>
            <w:tcW w:w="614" w:type="pct"/>
            <w:shd w:val="clear" w:color="auto" w:fill="314364" w:themeFill="text2"/>
            <w:vAlign w:val="center"/>
          </w:tcPr>
          <w:p w14:paraId="35E2B17C" w14:textId="77777777" w:rsidR="008A4BCF" w:rsidRPr="00950EDF" w:rsidRDefault="008A4BCF" w:rsidP="00B44AC3">
            <w:pPr>
              <w:pStyle w:val="Bezriadkovania"/>
              <w:jc w:val="right"/>
              <w:rPr>
                <w:rFonts w:ascii="Segoe UI" w:hAnsi="Segoe UI" w:cs="Segoe UI"/>
                <w:b/>
                <w:color w:val="FFFFFF" w:themeColor="background1"/>
                <w:sz w:val="18"/>
                <w:szCs w:val="18"/>
              </w:rPr>
            </w:pPr>
            <w:r>
              <w:rPr>
                <w:rFonts w:ascii="Segoe UI" w:hAnsi="Segoe UI" w:cs="Segoe UI"/>
                <w:b/>
                <w:color w:val="FFFFFF" w:themeColor="background1"/>
                <w:sz w:val="18"/>
                <w:szCs w:val="18"/>
              </w:rPr>
              <w:t>2023 S</w:t>
            </w:r>
          </w:p>
        </w:tc>
        <w:tc>
          <w:tcPr>
            <w:tcW w:w="701" w:type="pct"/>
            <w:shd w:val="clear" w:color="auto" w:fill="314364" w:themeFill="text2"/>
            <w:vAlign w:val="center"/>
          </w:tcPr>
          <w:p w14:paraId="54BFC0FB" w14:textId="77777777" w:rsidR="008A4BCF" w:rsidRPr="00950EDF" w:rsidRDefault="008A4BCF" w:rsidP="00B44AC3">
            <w:pPr>
              <w:pStyle w:val="Bezriadkovania"/>
              <w:jc w:val="right"/>
              <w:rPr>
                <w:rFonts w:ascii="Segoe UI" w:hAnsi="Segoe UI" w:cs="Segoe UI"/>
                <w:b/>
                <w:color w:val="FFFFFF" w:themeColor="background1"/>
                <w:sz w:val="18"/>
                <w:szCs w:val="18"/>
              </w:rPr>
            </w:pPr>
            <w:r>
              <w:rPr>
                <w:rFonts w:ascii="Segoe UI" w:hAnsi="Segoe UI" w:cs="Segoe UI"/>
                <w:b/>
                <w:color w:val="FFFFFF" w:themeColor="background1"/>
                <w:sz w:val="18"/>
                <w:szCs w:val="18"/>
              </w:rPr>
              <w:t>23S - 23R</w:t>
            </w:r>
          </w:p>
        </w:tc>
      </w:tr>
      <w:tr w:rsidR="008A4BCF" w:rsidRPr="00950EDF" w14:paraId="6DA6DC10" w14:textId="77777777" w:rsidTr="00B44AC3">
        <w:trPr>
          <w:trHeight w:val="255"/>
        </w:trPr>
        <w:tc>
          <w:tcPr>
            <w:tcW w:w="3071" w:type="pct"/>
            <w:vAlign w:val="center"/>
          </w:tcPr>
          <w:p w14:paraId="5626C9AB" w14:textId="77777777" w:rsidR="008A4BCF" w:rsidRPr="00950EDF" w:rsidRDefault="008A4BCF" w:rsidP="00B44AC3">
            <w:pPr>
              <w:pStyle w:val="Bezriadkovania"/>
              <w:rPr>
                <w:rFonts w:ascii="Segoe UI" w:hAnsi="Segoe UI" w:cs="Segoe UI"/>
                <w:b/>
                <w:sz w:val="18"/>
                <w:szCs w:val="18"/>
              </w:rPr>
            </w:pPr>
            <w:r w:rsidRPr="00950EDF">
              <w:rPr>
                <w:rFonts w:ascii="Segoe UI" w:hAnsi="Segoe UI" w:cs="Segoe UI"/>
                <w:b/>
                <w:sz w:val="18"/>
                <w:szCs w:val="18"/>
              </w:rPr>
              <w:t>Hrubý domáci produkt</w:t>
            </w:r>
          </w:p>
        </w:tc>
        <w:tc>
          <w:tcPr>
            <w:tcW w:w="614" w:type="pct"/>
            <w:vAlign w:val="center"/>
          </w:tcPr>
          <w:p w14:paraId="29138CD3" w14:textId="77777777" w:rsidR="008A4BCF" w:rsidRPr="00950EDF" w:rsidRDefault="008A4BCF" w:rsidP="00B44AC3">
            <w:pPr>
              <w:pStyle w:val="Bezriadkovania"/>
              <w:jc w:val="right"/>
              <w:rPr>
                <w:rFonts w:ascii="Segoe UI" w:hAnsi="Segoe UI" w:cs="Segoe UI"/>
                <w:sz w:val="18"/>
                <w:szCs w:val="18"/>
              </w:rPr>
            </w:pPr>
          </w:p>
        </w:tc>
        <w:tc>
          <w:tcPr>
            <w:tcW w:w="614" w:type="pct"/>
            <w:vAlign w:val="center"/>
          </w:tcPr>
          <w:p w14:paraId="6E0E3D1C" w14:textId="77777777" w:rsidR="008A4BCF" w:rsidRPr="00950EDF" w:rsidRDefault="008A4BCF" w:rsidP="00B44AC3">
            <w:pPr>
              <w:pStyle w:val="Bezriadkovania"/>
              <w:jc w:val="right"/>
              <w:rPr>
                <w:rFonts w:ascii="Segoe UI" w:hAnsi="Segoe UI" w:cs="Segoe UI"/>
                <w:sz w:val="18"/>
                <w:szCs w:val="18"/>
              </w:rPr>
            </w:pPr>
          </w:p>
        </w:tc>
        <w:tc>
          <w:tcPr>
            <w:tcW w:w="701" w:type="pct"/>
            <w:vAlign w:val="center"/>
          </w:tcPr>
          <w:p w14:paraId="334B5FCC" w14:textId="77777777" w:rsidR="008A4BCF" w:rsidRPr="00950EDF" w:rsidRDefault="008A4BCF" w:rsidP="00B44AC3">
            <w:pPr>
              <w:pStyle w:val="Bezriadkovania"/>
              <w:jc w:val="right"/>
              <w:rPr>
                <w:rFonts w:ascii="Segoe UI" w:hAnsi="Segoe UI" w:cs="Segoe UI"/>
                <w:sz w:val="18"/>
                <w:szCs w:val="18"/>
              </w:rPr>
            </w:pPr>
          </w:p>
        </w:tc>
      </w:tr>
      <w:tr w:rsidR="008A4BCF" w:rsidRPr="00950EDF" w14:paraId="567A6407" w14:textId="77777777" w:rsidTr="00B44AC3">
        <w:trPr>
          <w:trHeight w:val="255"/>
        </w:trPr>
        <w:tc>
          <w:tcPr>
            <w:tcW w:w="3071" w:type="pct"/>
            <w:vAlign w:val="center"/>
          </w:tcPr>
          <w:p w14:paraId="3555528A" w14:textId="77777777" w:rsidR="008A4BCF" w:rsidRPr="00950EDF" w:rsidRDefault="008A4BCF" w:rsidP="00B44AC3">
            <w:pPr>
              <w:pStyle w:val="Bezriadkovania"/>
              <w:ind w:firstLine="176"/>
              <w:rPr>
                <w:rFonts w:ascii="Segoe UI" w:hAnsi="Segoe UI" w:cs="Segoe UI"/>
                <w:sz w:val="18"/>
                <w:szCs w:val="18"/>
              </w:rPr>
            </w:pPr>
            <w:r w:rsidRPr="00950EDF">
              <w:rPr>
                <w:rFonts w:ascii="Segoe UI" w:hAnsi="Segoe UI" w:cs="Segoe UI"/>
                <w:sz w:val="18"/>
                <w:szCs w:val="18"/>
              </w:rPr>
              <w:t>HDP, s.</w:t>
            </w:r>
            <w:r>
              <w:rPr>
                <w:rFonts w:ascii="Segoe UI" w:hAnsi="Segoe UI" w:cs="Segoe UI"/>
                <w:sz w:val="18"/>
                <w:szCs w:val="18"/>
              </w:rPr>
              <w:t xml:space="preserve"> </w:t>
            </w:r>
            <w:r w:rsidRPr="00950EDF">
              <w:rPr>
                <w:rFonts w:ascii="Segoe UI" w:hAnsi="Segoe UI" w:cs="Segoe UI"/>
                <w:sz w:val="18"/>
                <w:szCs w:val="18"/>
              </w:rPr>
              <w:t>c. (YoY zmena)</w:t>
            </w:r>
          </w:p>
        </w:tc>
        <w:tc>
          <w:tcPr>
            <w:tcW w:w="614" w:type="pct"/>
            <w:vAlign w:val="center"/>
          </w:tcPr>
          <w:p w14:paraId="254C545F" w14:textId="77777777" w:rsidR="008A4BCF" w:rsidRPr="00950EDF" w:rsidRDefault="008A4BCF" w:rsidP="00B44AC3">
            <w:pPr>
              <w:pStyle w:val="Bezriadkovania"/>
              <w:jc w:val="right"/>
              <w:rPr>
                <w:rFonts w:ascii="Segoe UI" w:hAnsi="Segoe UI" w:cs="Segoe UI"/>
                <w:sz w:val="18"/>
                <w:szCs w:val="18"/>
              </w:rPr>
            </w:pPr>
            <w:r>
              <w:rPr>
                <w:rFonts w:ascii="Segoe UI" w:hAnsi="Segoe UI" w:cs="Segoe UI"/>
                <w:sz w:val="18"/>
                <w:szCs w:val="18"/>
              </w:rPr>
              <w:t>0,6</w:t>
            </w:r>
          </w:p>
        </w:tc>
        <w:tc>
          <w:tcPr>
            <w:tcW w:w="614" w:type="pct"/>
            <w:vAlign w:val="center"/>
          </w:tcPr>
          <w:p w14:paraId="7C4D8AFD" w14:textId="77777777" w:rsidR="008A4BCF" w:rsidRPr="00950EDF" w:rsidRDefault="008A4BCF" w:rsidP="00B44AC3">
            <w:pPr>
              <w:pStyle w:val="Bezriadkovania"/>
              <w:jc w:val="right"/>
              <w:rPr>
                <w:rFonts w:ascii="Segoe UI" w:hAnsi="Segoe UI" w:cs="Segoe UI"/>
                <w:sz w:val="18"/>
                <w:szCs w:val="18"/>
              </w:rPr>
            </w:pPr>
            <w:r>
              <w:rPr>
                <w:rFonts w:ascii="Segoe UI" w:hAnsi="Segoe UI" w:cs="Segoe UI"/>
                <w:sz w:val="18"/>
                <w:szCs w:val="18"/>
              </w:rPr>
              <w:t>1,6</w:t>
            </w:r>
          </w:p>
        </w:tc>
        <w:tc>
          <w:tcPr>
            <w:tcW w:w="701" w:type="pct"/>
          </w:tcPr>
          <w:p w14:paraId="45D9FAE1" w14:textId="77777777" w:rsidR="008A4BCF" w:rsidRPr="00950EDF" w:rsidRDefault="008A4BCF" w:rsidP="00B44AC3">
            <w:pPr>
              <w:pStyle w:val="Bezriadkovania"/>
              <w:jc w:val="right"/>
              <w:rPr>
                <w:rFonts w:ascii="Segoe UI" w:hAnsi="Segoe UI" w:cs="Segoe UI"/>
                <w:sz w:val="18"/>
                <w:szCs w:val="18"/>
              </w:rPr>
            </w:pPr>
            <w:r>
              <w:rPr>
                <w:rFonts w:ascii="Segoe UI" w:hAnsi="Segoe UI" w:cs="Segoe UI"/>
                <w:sz w:val="18"/>
                <w:szCs w:val="18"/>
              </w:rPr>
              <w:t>1,0</w:t>
            </w:r>
          </w:p>
        </w:tc>
      </w:tr>
      <w:tr w:rsidR="008A4BCF" w:rsidRPr="00950EDF" w14:paraId="42C86676" w14:textId="77777777" w:rsidTr="00B44AC3">
        <w:trPr>
          <w:trHeight w:val="255"/>
        </w:trPr>
        <w:tc>
          <w:tcPr>
            <w:tcW w:w="3071" w:type="pct"/>
            <w:vAlign w:val="center"/>
          </w:tcPr>
          <w:p w14:paraId="305C35AA" w14:textId="77777777" w:rsidR="008A4BCF" w:rsidRPr="00950EDF" w:rsidRDefault="008A4BCF" w:rsidP="00B44AC3">
            <w:pPr>
              <w:pStyle w:val="Bezriadkovania"/>
              <w:ind w:firstLine="176"/>
              <w:rPr>
                <w:rFonts w:ascii="Segoe UI" w:hAnsi="Segoe UI" w:cs="Segoe UI"/>
                <w:sz w:val="18"/>
                <w:szCs w:val="18"/>
              </w:rPr>
            </w:pPr>
            <w:r w:rsidRPr="00950EDF">
              <w:rPr>
                <w:rFonts w:ascii="Segoe UI" w:hAnsi="Segoe UI" w:cs="Segoe UI"/>
                <w:sz w:val="18"/>
                <w:szCs w:val="18"/>
              </w:rPr>
              <w:t>HDP, b.</w:t>
            </w:r>
            <w:r>
              <w:rPr>
                <w:rFonts w:ascii="Segoe UI" w:hAnsi="Segoe UI" w:cs="Segoe UI"/>
                <w:sz w:val="18"/>
                <w:szCs w:val="18"/>
              </w:rPr>
              <w:t xml:space="preserve"> </w:t>
            </w:r>
            <w:r w:rsidRPr="00950EDF">
              <w:rPr>
                <w:rFonts w:ascii="Segoe UI" w:hAnsi="Segoe UI" w:cs="Segoe UI"/>
                <w:sz w:val="18"/>
                <w:szCs w:val="18"/>
              </w:rPr>
              <w:t>c. (mld. eur)</w:t>
            </w:r>
          </w:p>
        </w:tc>
        <w:tc>
          <w:tcPr>
            <w:tcW w:w="614" w:type="pct"/>
            <w:vAlign w:val="center"/>
          </w:tcPr>
          <w:p w14:paraId="5C837B6B" w14:textId="77777777" w:rsidR="008A4BCF" w:rsidRPr="00950EDF" w:rsidRDefault="008A4BCF" w:rsidP="00B44AC3">
            <w:pPr>
              <w:pStyle w:val="Bezriadkovania"/>
              <w:jc w:val="right"/>
              <w:rPr>
                <w:rFonts w:ascii="Segoe UI" w:hAnsi="Segoe UI" w:cs="Segoe UI"/>
                <w:sz w:val="18"/>
                <w:szCs w:val="18"/>
              </w:rPr>
            </w:pPr>
            <w:r>
              <w:rPr>
                <w:rFonts w:ascii="Segoe UI" w:hAnsi="Segoe UI" w:cs="Segoe UI"/>
                <w:sz w:val="18"/>
                <w:szCs w:val="18"/>
              </w:rPr>
              <w:t>120,6</w:t>
            </w:r>
          </w:p>
        </w:tc>
        <w:tc>
          <w:tcPr>
            <w:tcW w:w="614" w:type="pct"/>
            <w:vAlign w:val="center"/>
          </w:tcPr>
          <w:p w14:paraId="3B22AEB5" w14:textId="77777777" w:rsidR="008A4BCF" w:rsidRPr="00950EDF" w:rsidRDefault="008A4BCF" w:rsidP="00B44AC3">
            <w:pPr>
              <w:pStyle w:val="Bezriadkovania"/>
              <w:jc w:val="right"/>
              <w:rPr>
                <w:rFonts w:ascii="Segoe UI" w:hAnsi="Segoe UI" w:cs="Segoe UI"/>
                <w:sz w:val="18"/>
                <w:szCs w:val="18"/>
              </w:rPr>
            </w:pPr>
            <w:r>
              <w:rPr>
                <w:rFonts w:ascii="Segoe UI" w:hAnsi="Segoe UI" w:cs="Segoe UI"/>
                <w:sz w:val="18"/>
                <w:szCs w:val="18"/>
              </w:rPr>
              <w:t>122,8</w:t>
            </w:r>
          </w:p>
        </w:tc>
        <w:tc>
          <w:tcPr>
            <w:tcW w:w="701" w:type="pct"/>
          </w:tcPr>
          <w:p w14:paraId="3C9532BE" w14:textId="77777777" w:rsidR="008A4BCF" w:rsidRPr="00950EDF" w:rsidRDefault="008A4BCF" w:rsidP="00B44AC3">
            <w:pPr>
              <w:pStyle w:val="Bezriadkovania"/>
              <w:jc w:val="right"/>
              <w:rPr>
                <w:rFonts w:ascii="Segoe UI" w:hAnsi="Segoe UI" w:cs="Segoe UI"/>
                <w:sz w:val="18"/>
                <w:szCs w:val="18"/>
              </w:rPr>
            </w:pPr>
            <w:r>
              <w:rPr>
                <w:rFonts w:ascii="Segoe UI" w:hAnsi="Segoe UI" w:cs="Segoe UI"/>
                <w:sz w:val="18"/>
                <w:szCs w:val="18"/>
              </w:rPr>
              <w:t>2,2</w:t>
            </w:r>
          </w:p>
        </w:tc>
      </w:tr>
      <w:tr w:rsidR="008A4BCF" w:rsidRPr="00950EDF" w14:paraId="58729472" w14:textId="77777777" w:rsidTr="00B44AC3">
        <w:trPr>
          <w:trHeight w:val="255"/>
        </w:trPr>
        <w:tc>
          <w:tcPr>
            <w:tcW w:w="3071" w:type="pct"/>
            <w:vAlign w:val="center"/>
          </w:tcPr>
          <w:p w14:paraId="1D0F82A1" w14:textId="77777777" w:rsidR="008A4BCF" w:rsidRPr="00950EDF" w:rsidRDefault="008A4BCF" w:rsidP="00B44AC3">
            <w:pPr>
              <w:pStyle w:val="Bezriadkovania"/>
              <w:ind w:firstLine="176"/>
              <w:rPr>
                <w:rFonts w:ascii="Segoe UI" w:hAnsi="Segoe UI" w:cs="Segoe UI"/>
                <w:sz w:val="18"/>
                <w:szCs w:val="18"/>
              </w:rPr>
            </w:pPr>
            <w:r w:rsidRPr="00950EDF">
              <w:rPr>
                <w:rFonts w:ascii="Segoe UI" w:hAnsi="Segoe UI" w:cs="Segoe UI"/>
                <w:sz w:val="18"/>
                <w:szCs w:val="18"/>
              </w:rPr>
              <w:t>Súkromná spotreba</w:t>
            </w:r>
            <w:r>
              <w:rPr>
                <w:rFonts w:ascii="Segoe UI" w:hAnsi="Segoe UI" w:cs="Segoe UI"/>
                <w:sz w:val="18"/>
                <w:szCs w:val="18"/>
              </w:rPr>
              <w:t>, s. c.</w:t>
            </w:r>
          </w:p>
        </w:tc>
        <w:tc>
          <w:tcPr>
            <w:tcW w:w="614" w:type="pct"/>
            <w:vAlign w:val="center"/>
          </w:tcPr>
          <w:p w14:paraId="77131215" w14:textId="77777777" w:rsidR="008A4BCF" w:rsidRPr="00950EDF" w:rsidRDefault="008A4BCF" w:rsidP="00B44AC3">
            <w:pPr>
              <w:pStyle w:val="Bezriadkovania"/>
              <w:jc w:val="right"/>
              <w:rPr>
                <w:rFonts w:ascii="Segoe UI" w:hAnsi="Segoe UI" w:cs="Segoe UI"/>
                <w:sz w:val="18"/>
                <w:szCs w:val="18"/>
              </w:rPr>
            </w:pPr>
            <w:r>
              <w:rPr>
                <w:rFonts w:ascii="Segoe UI" w:hAnsi="Segoe UI" w:cs="Segoe UI"/>
                <w:sz w:val="18"/>
                <w:szCs w:val="18"/>
              </w:rPr>
              <w:t>-3,7</w:t>
            </w:r>
          </w:p>
        </w:tc>
        <w:tc>
          <w:tcPr>
            <w:tcW w:w="614" w:type="pct"/>
            <w:vAlign w:val="center"/>
          </w:tcPr>
          <w:p w14:paraId="31A9A74A" w14:textId="77777777" w:rsidR="008A4BCF" w:rsidRPr="00950EDF" w:rsidRDefault="008A4BCF" w:rsidP="00B44AC3">
            <w:pPr>
              <w:pStyle w:val="Bezriadkovania"/>
              <w:jc w:val="right"/>
              <w:rPr>
                <w:rFonts w:ascii="Segoe UI" w:hAnsi="Segoe UI" w:cs="Segoe UI"/>
                <w:sz w:val="18"/>
                <w:szCs w:val="18"/>
              </w:rPr>
            </w:pPr>
            <w:r>
              <w:rPr>
                <w:rFonts w:ascii="Segoe UI" w:hAnsi="Segoe UI" w:cs="Segoe UI"/>
                <w:sz w:val="18"/>
                <w:szCs w:val="18"/>
              </w:rPr>
              <w:t>-3,1</w:t>
            </w:r>
          </w:p>
        </w:tc>
        <w:tc>
          <w:tcPr>
            <w:tcW w:w="701" w:type="pct"/>
          </w:tcPr>
          <w:p w14:paraId="54839EDE" w14:textId="77777777" w:rsidR="008A4BCF" w:rsidRPr="00950EDF" w:rsidRDefault="008A4BCF" w:rsidP="00B44AC3">
            <w:pPr>
              <w:pStyle w:val="Bezriadkovania"/>
              <w:jc w:val="right"/>
              <w:rPr>
                <w:rFonts w:ascii="Segoe UI" w:hAnsi="Segoe UI" w:cs="Segoe UI"/>
                <w:sz w:val="18"/>
                <w:szCs w:val="18"/>
              </w:rPr>
            </w:pPr>
            <w:r>
              <w:rPr>
                <w:rFonts w:ascii="Segoe UI" w:hAnsi="Segoe UI" w:cs="Segoe UI"/>
                <w:sz w:val="18"/>
                <w:szCs w:val="18"/>
              </w:rPr>
              <w:t>0,6</w:t>
            </w:r>
          </w:p>
        </w:tc>
      </w:tr>
      <w:tr w:rsidR="008A4BCF" w:rsidRPr="00950EDF" w14:paraId="5FB813CC" w14:textId="77777777" w:rsidTr="00B44AC3">
        <w:trPr>
          <w:trHeight w:val="255"/>
        </w:trPr>
        <w:tc>
          <w:tcPr>
            <w:tcW w:w="3071" w:type="pct"/>
            <w:vAlign w:val="center"/>
          </w:tcPr>
          <w:p w14:paraId="3EB5C589" w14:textId="77777777" w:rsidR="008A4BCF" w:rsidRPr="00950EDF" w:rsidRDefault="008A4BCF" w:rsidP="00B44AC3">
            <w:pPr>
              <w:pStyle w:val="Bezriadkovania"/>
              <w:ind w:firstLine="176"/>
              <w:rPr>
                <w:rFonts w:ascii="Segoe UI" w:hAnsi="Segoe UI" w:cs="Segoe UI"/>
                <w:sz w:val="18"/>
                <w:szCs w:val="18"/>
              </w:rPr>
            </w:pPr>
            <w:r w:rsidRPr="00950EDF">
              <w:rPr>
                <w:rFonts w:ascii="Segoe UI" w:hAnsi="Segoe UI" w:cs="Segoe UI"/>
                <w:sz w:val="18"/>
                <w:szCs w:val="18"/>
              </w:rPr>
              <w:t>Súkromná spotreba, b.</w:t>
            </w:r>
            <w:r>
              <w:rPr>
                <w:rFonts w:ascii="Segoe UI" w:hAnsi="Segoe UI" w:cs="Segoe UI"/>
                <w:sz w:val="18"/>
                <w:szCs w:val="18"/>
              </w:rPr>
              <w:t xml:space="preserve"> </w:t>
            </w:r>
            <w:r w:rsidRPr="00950EDF">
              <w:rPr>
                <w:rFonts w:ascii="Segoe UI" w:hAnsi="Segoe UI" w:cs="Segoe UI"/>
                <w:sz w:val="18"/>
                <w:szCs w:val="18"/>
              </w:rPr>
              <w:t>c.</w:t>
            </w:r>
          </w:p>
        </w:tc>
        <w:tc>
          <w:tcPr>
            <w:tcW w:w="614" w:type="pct"/>
            <w:vAlign w:val="center"/>
          </w:tcPr>
          <w:p w14:paraId="5E67F6BA" w14:textId="77777777" w:rsidR="008A4BCF" w:rsidRPr="00950EDF" w:rsidRDefault="008A4BCF" w:rsidP="00B44AC3">
            <w:pPr>
              <w:pStyle w:val="Bezriadkovania"/>
              <w:jc w:val="right"/>
              <w:rPr>
                <w:rFonts w:ascii="Segoe UI" w:hAnsi="Segoe UI" w:cs="Segoe UI"/>
                <w:sz w:val="18"/>
                <w:szCs w:val="18"/>
              </w:rPr>
            </w:pPr>
            <w:r>
              <w:rPr>
                <w:rFonts w:ascii="Segoe UI" w:hAnsi="Segoe UI" w:cs="Segoe UI"/>
                <w:sz w:val="18"/>
                <w:szCs w:val="18"/>
              </w:rPr>
              <w:t>9,5</w:t>
            </w:r>
          </w:p>
        </w:tc>
        <w:tc>
          <w:tcPr>
            <w:tcW w:w="614" w:type="pct"/>
            <w:vAlign w:val="center"/>
          </w:tcPr>
          <w:p w14:paraId="5571353B" w14:textId="77777777" w:rsidR="008A4BCF" w:rsidRPr="00950EDF" w:rsidRDefault="008A4BCF" w:rsidP="00B44AC3">
            <w:pPr>
              <w:pStyle w:val="Bezriadkovania"/>
              <w:jc w:val="right"/>
              <w:rPr>
                <w:rFonts w:ascii="Segoe UI" w:hAnsi="Segoe UI" w:cs="Segoe UI"/>
                <w:sz w:val="18"/>
                <w:szCs w:val="18"/>
              </w:rPr>
            </w:pPr>
            <w:r>
              <w:rPr>
                <w:rFonts w:ascii="Segoe UI" w:hAnsi="Segoe UI" w:cs="Segoe UI"/>
                <w:sz w:val="18"/>
                <w:szCs w:val="18"/>
              </w:rPr>
              <w:t>6,8</w:t>
            </w:r>
          </w:p>
        </w:tc>
        <w:tc>
          <w:tcPr>
            <w:tcW w:w="701" w:type="pct"/>
          </w:tcPr>
          <w:p w14:paraId="7313F558" w14:textId="77777777" w:rsidR="008A4BCF" w:rsidRPr="00950EDF" w:rsidRDefault="008A4BCF" w:rsidP="00B44AC3">
            <w:pPr>
              <w:pStyle w:val="Bezriadkovania"/>
              <w:jc w:val="right"/>
              <w:rPr>
                <w:rFonts w:ascii="Segoe UI" w:hAnsi="Segoe UI" w:cs="Segoe UI"/>
                <w:sz w:val="18"/>
                <w:szCs w:val="18"/>
              </w:rPr>
            </w:pPr>
            <w:r>
              <w:rPr>
                <w:rFonts w:ascii="Segoe UI" w:hAnsi="Segoe UI" w:cs="Segoe UI"/>
                <w:sz w:val="18"/>
                <w:szCs w:val="18"/>
              </w:rPr>
              <w:t>-2,7</w:t>
            </w:r>
          </w:p>
        </w:tc>
      </w:tr>
      <w:tr w:rsidR="008A4BCF" w:rsidRPr="00950EDF" w14:paraId="00F02ECA" w14:textId="77777777" w:rsidTr="00B44AC3">
        <w:trPr>
          <w:trHeight w:val="255"/>
        </w:trPr>
        <w:tc>
          <w:tcPr>
            <w:tcW w:w="3071" w:type="pct"/>
            <w:vAlign w:val="center"/>
          </w:tcPr>
          <w:p w14:paraId="33DC696E" w14:textId="77777777" w:rsidR="008A4BCF" w:rsidRPr="00950EDF" w:rsidRDefault="008A4BCF" w:rsidP="00B44AC3">
            <w:pPr>
              <w:pStyle w:val="Bezriadkovania"/>
              <w:ind w:firstLine="176"/>
              <w:rPr>
                <w:rFonts w:ascii="Segoe UI" w:hAnsi="Segoe UI" w:cs="Segoe UI"/>
                <w:sz w:val="18"/>
                <w:szCs w:val="18"/>
              </w:rPr>
            </w:pPr>
            <w:r w:rsidRPr="00950EDF">
              <w:rPr>
                <w:rFonts w:ascii="Segoe UI" w:hAnsi="Segoe UI" w:cs="Segoe UI"/>
                <w:sz w:val="18"/>
                <w:szCs w:val="18"/>
              </w:rPr>
              <w:t>Vládna spotreba</w:t>
            </w:r>
          </w:p>
        </w:tc>
        <w:tc>
          <w:tcPr>
            <w:tcW w:w="614" w:type="pct"/>
            <w:vAlign w:val="center"/>
          </w:tcPr>
          <w:p w14:paraId="29C55F27" w14:textId="77777777" w:rsidR="008A4BCF" w:rsidRPr="00950EDF" w:rsidRDefault="008A4BCF" w:rsidP="00B44AC3">
            <w:pPr>
              <w:pStyle w:val="Bezriadkovania"/>
              <w:jc w:val="right"/>
              <w:rPr>
                <w:rFonts w:ascii="Segoe UI" w:hAnsi="Segoe UI" w:cs="Segoe UI"/>
                <w:sz w:val="18"/>
                <w:szCs w:val="18"/>
              </w:rPr>
            </w:pPr>
            <w:r>
              <w:rPr>
                <w:rFonts w:ascii="Segoe UI" w:hAnsi="Segoe UI" w:cs="Segoe UI"/>
                <w:sz w:val="18"/>
                <w:szCs w:val="18"/>
              </w:rPr>
              <w:t>-0,7</w:t>
            </w:r>
          </w:p>
        </w:tc>
        <w:tc>
          <w:tcPr>
            <w:tcW w:w="614" w:type="pct"/>
            <w:vAlign w:val="center"/>
          </w:tcPr>
          <w:p w14:paraId="13E02BDE" w14:textId="77777777" w:rsidR="008A4BCF" w:rsidRPr="00950EDF" w:rsidRDefault="008A4BCF" w:rsidP="00B44AC3">
            <w:pPr>
              <w:pStyle w:val="Bezriadkovania"/>
              <w:jc w:val="right"/>
              <w:rPr>
                <w:rFonts w:ascii="Segoe UI" w:hAnsi="Segoe UI" w:cs="Segoe UI"/>
                <w:sz w:val="18"/>
                <w:szCs w:val="18"/>
              </w:rPr>
            </w:pPr>
            <w:r>
              <w:rPr>
                <w:rFonts w:ascii="Segoe UI" w:hAnsi="Segoe UI" w:cs="Segoe UI"/>
                <w:sz w:val="18"/>
                <w:szCs w:val="18"/>
              </w:rPr>
              <w:t>-0,6</w:t>
            </w:r>
          </w:p>
        </w:tc>
        <w:tc>
          <w:tcPr>
            <w:tcW w:w="701" w:type="pct"/>
          </w:tcPr>
          <w:p w14:paraId="19FFAF2E" w14:textId="77777777" w:rsidR="008A4BCF" w:rsidRPr="00950EDF" w:rsidRDefault="008A4BCF" w:rsidP="00B44AC3">
            <w:pPr>
              <w:pStyle w:val="Bezriadkovania"/>
              <w:jc w:val="right"/>
              <w:rPr>
                <w:rFonts w:ascii="Segoe UI" w:hAnsi="Segoe UI" w:cs="Segoe UI"/>
                <w:sz w:val="18"/>
                <w:szCs w:val="18"/>
              </w:rPr>
            </w:pPr>
            <w:r>
              <w:rPr>
                <w:rFonts w:ascii="Segoe UI" w:hAnsi="Segoe UI" w:cs="Segoe UI"/>
                <w:sz w:val="18"/>
                <w:szCs w:val="18"/>
              </w:rPr>
              <w:t>0,1</w:t>
            </w:r>
          </w:p>
        </w:tc>
      </w:tr>
      <w:tr w:rsidR="008A4BCF" w:rsidRPr="00950EDF" w14:paraId="586ECA62" w14:textId="77777777" w:rsidTr="00B44AC3">
        <w:trPr>
          <w:trHeight w:val="255"/>
        </w:trPr>
        <w:tc>
          <w:tcPr>
            <w:tcW w:w="3071" w:type="pct"/>
            <w:vAlign w:val="center"/>
          </w:tcPr>
          <w:p w14:paraId="193F9BE8" w14:textId="77777777" w:rsidR="008A4BCF" w:rsidRPr="00950EDF" w:rsidRDefault="008A4BCF" w:rsidP="00B44AC3">
            <w:pPr>
              <w:pStyle w:val="Bezriadkovania"/>
              <w:ind w:firstLine="176"/>
              <w:rPr>
                <w:rFonts w:ascii="Segoe UI" w:hAnsi="Segoe UI" w:cs="Segoe UI"/>
                <w:sz w:val="18"/>
                <w:szCs w:val="18"/>
              </w:rPr>
            </w:pPr>
            <w:r w:rsidRPr="00950EDF">
              <w:rPr>
                <w:rFonts w:ascii="Segoe UI" w:hAnsi="Segoe UI" w:cs="Segoe UI"/>
                <w:sz w:val="18"/>
                <w:szCs w:val="18"/>
              </w:rPr>
              <w:t>Fixné investície</w:t>
            </w:r>
          </w:p>
        </w:tc>
        <w:tc>
          <w:tcPr>
            <w:tcW w:w="614" w:type="pct"/>
            <w:vAlign w:val="center"/>
          </w:tcPr>
          <w:p w14:paraId="384CC051" w14:textId="77777777" w:rsidR="008A4BCF" w:rsidRPr="00950EDF" w:rsidRDefault="008A4BCF" w:rsidP="00B44AC3">
            <w:pPr>
              <w:pStyle w:val="Bezriadkovania"/>
              <w:jc w:val="right"/>
              <w:rPr>
                <w:rFonts w:ascii="Segoe UI" w:hAnsi="Segoe UI" w:cs="Segoe UI"/>
                <w:sz w:val="18"/>
                <w:szCs w:val="18"/>
              </w:rPr>
            </w:pPr>
            <w:r>
              <w:rPr>
                <w:rFonts w:ascii="Segoe UI" w:hAnsi="Segoe UI" w:cs="Segoe UI"/>
                <w:sz w:val="18"/>
                <w:szCs w:val="18"/>
              </w:rPr>
              <w:t>16,3</w:t>
            </w:r>
          </w:p>
        </w:tc>
        <w:tc>
          <w:tcPr>
            <w:tcW w:w="614" w:type="pct"/>
            <w:vAlign w:val="center"/>
          </w:tcPr>
          <w:p w14:paraId="737AA8C5" w14:textId="77777777" w:rsidR="008A4BCF" w:rsidRPr="00950EDF" w:rsidRDefault="008A4BCF" w:rsidP="00B44AC3">
            <w:pPr>
              <w:pStyle w:val="Bezriadkovania"/>
              <w:jc w:val="right"/>
              <w:rPr>
                <w:rFonts w:ascii="Segoe UI" w:hAnsi="Segoe UI" w:cs="Segoe UI"/>
                <w:sz w:val="18"/>
                <w:szCs w:val="18"/>
              </w:rPr>
            </w:pPr>
            <w:r>
              <w:rPr>
                <w:rFonts w:ascii="Segoe UI" w:hAnsi="Segoe UI" w:cs="Segoe UI"/>
                <w:sz w:val="18"/>
                <w:szCs w:val="18"/>
              </w:rPr>
              <w:t>10,6</w:t>
            </w:r>
          </w:p>
        </w:tc>
        <w:tc>
          <w:tcPr>
            <w:tcW w:w="701" w:type="pct"/>
          </w:tcPr>
          <w:p w14:paraId="43A97EB5" w14:textId="77777777" w:rsidR="008A4BCF" w:rsidRPr="00950EDF" w:rsidRDefault="008A4BCF" w:rsidP="00B44AC3">
            <w:pPr>
              <w:pStyle w:val="Bezriadkovania"/>
              <w:jc w:val="right"/>
              <w:rPr>
                <w:rFonts w:ascii="Segoe UI" w:hAnsi="Segoe UI" w:cs="Segoe UI"/>
                <w:sz w:val="18"/>
                <w:szCs w:val="18"/>
              </w:rPr>
            </w:pPr>
            <w:r>
              <w:rPr>
                <w:rFonts w:ascii="Segoe UI" w:hAnsi="Segoe UI" w:cs="Segoe UI"/>
                <w:sz w:val="18"/>
                <w:szCs w:val="18"/>
              </w:rPr>
              <w:t>-5,7</w:t>
            </w:r>
          </w:p>
        </w:tc>
      </w:tr>
      <w:tr w:rsidR="008A4BCF" w:rsidRPr="00950EDF" w14:paraId="1B6C9754" w14:textId="77777777" w:rsidTr="00B44AC3">
        <w:trPr>
          <w:trHeight w:val="255"/>
        </w:trPr>
        <w:tc>
          <w:tcPr>
            <w:tcW w:w="3071" w:type="pct"/>
            <w:vAlign w:val="center"/>
          </w:tcPr>
          <w:p w14:paraId="2D56E945" w14:textId="77777777" w:rsidR="008A4BCF" w:rsidRPr="00950EDF" w:rsidRDefault="008A4BCF" w:rsidP="00B44AC3">
            <w:pPr>
              <w:pStyle w:val="Bezriadkovania"/>
              <w:ind w:firstLine="176"/>
              <w:rPr>
                <w:rFonts w:ascii="Segoe UI" w:hAnsi="Segoe UI" w:cs="Segoe UI"/>
                <w:sz w:val="18"/>
                <w:szCs w:val="18"/>
              </w:rPr>
            </w:pPr>
            <w:r w:rsidRPr="00950EDF">
              <w:rPr>
                <w:rFonts w:ascii="Segoe UI" w:hAnsi="Segoe UI" w:cs="Segoe UI"/>
                <w:sz w:val="18"/>
                <w:szCs w:val="18"/>
              </w:rPr>
              <w:t>Export tovarov a služieb</w:t>
            </w:r>
          </w:p>
        </w:tc>
        <w:tc>
          <w:tcPr>
            <w:tcW w:w="614" w:type="pct"/>
            <w:vAlign w:val="center"/>
          </w:tcPr>
          <w:p w14:paraId="7A3FC378" w14:textId="77777777" w:rsidR="008A4BCF" w:rsidRPr="00950EDF" w:rsidRDefault="008A4BCF" w:rsidP="00B44AC3">
            <w:pPr>
              <w:pStyle w:val="Bezriadkovania"/>
              <w:jc w:val="right"/>
              <w:rPr>
                <w:rFonts w:ascii="Segoe UI" w:hAnsi="Segoe UI" w:cs="Segoe UI"/>
                <w:sz w:val="18"/>
                <w:szCs w:val="18"/>
              </w:rPr>
            </w:pPr>
            <w:r>
              <w:rPr>
                <w:rFonts w:ascii="Segoe UI" w:hAnsi="Segoe UI" w:cs="Segoe UI"/>
                <w:sz w:val="18"/>
                <w:szCs w:val="18"/>
              </w:rPr>
              <w:t>1,7</w:t>
            </w:r>
          </w:p>
        </w:tc>
        <w:tc>
          <w:tcPr>
            <w:tcW w:w="614" w:type="pct"/>
            <w:vAlign w:val="center"/>
          </w:tcPr>
          <w:p w14:paraId="7B3AD6C4" w14:textId="77777777" w:rsidR="008A4BCF" w:rsidRPr="00950EDF" w:rsidRDefault="008A4BCF" w:rsidP="00B44AC3">
            <w:pPr>
              <w:pStyle w:val="Bezriadkovania"/>
              <w:jc w:val="right"/>
              <w:rPr>
                <w:rFonts w:ascii="Segoe UI" w:hAnsi="Segoe UI" w:cs="Segoe UI"/>
                <w:sz w:val="18"/>
                <w:szCs w:val="18"/>
              </w:rPr>
            </w:pPr>
            <w:r>
              <w:rPr>
                <w:rFonts w:ascii="Segoe UI" w:hAnsi="Segoe UI" w:cs="Segoe UI"/>
                <w:sz w:val="18"/>
                <w:szCs w:val="18"/>
              </w:rPr>
              <w:t>-1,4</w:t>
            </w:r>
          </w:p>
        </w:tc>
        <w:tc>
          <w:tcPr>
            <w:tcW w:w="701" w:type="pct"/>
          </w:tcPr>
          <w:p w14:paraId="1B4E06EE" w14:textId="77777777" w:rsidR="008A4BCF" w:rsidRPr="00950EDF" w:rsidRDefault="008A4BCF" w:rsidP="00B44AC3">
            <w:pPr>
              <w:pStyle w:val="Bezriadkovania"/>
              <w:jc w:val="right"/>
              <w:rPr>
                <w:rFonts w:ascii="Segoe UI" w:hAnsi="Segoe UI" w:cs="Segoe UI"/>
                <w:sz w:val="18"/>
                <w:szCs w:val="18"/>
              </w:rPr>
            </w:pPr>
            <w:r>
              <w:rPr>
                <w:rFonts w:ascii="Segoe UI" w:hAnsi="Segoe UI" w:cs="Segoe UI"/>
                <w:sz w:val="18"/>
                <w:szCs w:val="18"/>
              </w:rPr>
              <w:t>-3,1</w:t>
            </w:r>
          </w:p>
        </w:tc>
      </w:tr>
      <w:tr w:rsidR="008A4BCF" w:rsidRPr="00950EDF" w14:paraId="01757BFA" w14:textId="77777777" w:rsidTr="00B44AC3">
        <w:trPr>
          <w:trHeight w:val="255"/>
        </w:trPr>
        <w:tc>
          <w:tcPr>
            <w:tcW w:w="3071" w:type="pct"/>
            <w:tcBorders>
              <w:bottom w:val="single" w:sz="4" w:space="0" w:color="314364" w:themeColor="text2"/>
            </w:tcBorders>
            <w:vAlign w:val="center"/>
          </w:tcPr>
          <w:p w14:paraId="2FF63434" w14:textId="77777777" w:rsidR="008A4BCF" w:rsidRPr="00950EDF" w:rsidRDefault="008A4BCF" w:rsidP="00B44AC3">
            <w:pPr>
              <w:pStyle w:val="Bezriadkovania"/>
              <w:ind w:firstLine="176"/>
              <w:rPr>
                <w:rFonts w:ascii="Segoe UI" w:hAnsi="Segoe UI" w:cs="Segoe UI"/>
                <w:sz w:val="18"/>
                <w:szCs w:val="18"/>
              </w:rPr>
            </w:pPr>
            <w:r w:rsidRPr="00950EDF">
              <w:rPr>
                <w:rFonts w:ascii="Segoe UI" w:hAnsi="Segoe UI" w:cs="Segoe UI"/>
                <w:sz w:val="18"/>
                <w:szCs w:val="18"/>
              </w:rPr>
              <w:t>Import tovarov a služieb</w:t>
            </w:r>
          </w:p>
        </w:tc>
        <w:tc>
          <w:tcPr>
            <w:tcW w:w="614" w:type="pct"/>
            <w:tcBorders>
              <w:bottom w:val="single" w:sz="4" w:space="0" w:color="314364" w:themeColor="text2"/>
            </w:tcBorders>
            <w:vAlign w:val="center"/>
          </w:tcPr>
          <w:p w14:paraId="133D7BB2" w14:textId="77777777" w:rsidR="008A4BCF" w:rsidRPr="00950EDF" w:rsidRDefault="008A4BCF" w:rsidP="00B44AC3">
            <w:pPr>
              <w:pStyle w:val="Bezriadkovania"/>
              <w:jc w:val="right"/>
              <w:rPr>
                <w:rFonts w:ascii="Segoe UI" w:hAnsi="Segoe UI" w:cs="Segoe UI"/>
                <w:sz w:val="18"/>
                <w:szCs w:val="18"/>
              </w:rPr>
            </w:pPr>
            <w:r>
              <w:rPr>
                <w:rFonts w:ascii="Segoe UI" w:hAnsi="Segoe UI" w:cs="Segoe UI"/>
                <w:sz w:val="18"/>
                <w:szCs w:val="18"/>
              </w:rPr>
              <w:t>2,4</w:t>
            </w:r>
          </w:p>
        </w:tc>
        <w:tc>
          <w:tcPr>
            <w:tcW w:w="614" w:type="pct"/>
            <w:tcBorders>
              <w:bottom w:val="single" w:sz="4" w:space="0" w:color="314364" w:themeColor="text2"/>
            </w:tcBorders>
            <w:vAlign w:val="center"/>
          </w:tcPr>
          <w:p w14:paraId="38BF161C" w14:textId="77777777" w:rsidR="008A4BCF" w:rsidRPr="00950EDF" w:rsidRDefault="008A4BCF" w:rsidP="00B44AC3">
            <w:pPr>
              <w:pStyle w:val="Bezriadkovania"/>
              <w:jc w:val="right"/>
              <w:rPr>
                <w:rFonts w:ascii="Segoe UI" w:hAnsi="Segoe UI" w:cs="Segoe UI"/>
                <w:sz w:val="18"/>
                <w:szCs w:val="18"/>
              </w:rPr>
            </w:pPr>
            <w:r>
              <w:rPr>
                <w:rFonts w:ascii="Segoe UI" w:hAnsi="Segoe UI" w:cs="Segoe UI"/>
                <w:sz w:val="18"/>
                <w:szCs w:val="18"/>
              </w:rPr>
              <w:t>2,4</w:t>
            </w:r>
          </w:p>
        </w:tc>
        <w:tc>
          <w:tcPr>
            <w:tcW w:w="701" w:type="pct"/>
            <w:tcBorders>
              <w:bottom w:val="single" w:sz="4" w:space="0" w:color="314364" w:themeColor="text2"/>
            </w:tcBorders>
          </w:tcPr>
          <w:p w14:paraId="15BFFDBA" w14:textId="77777777" w:rsidR="008A4BCF" w:rsidRPr="00950EDF" w:rsidRDefault="008A4BCF" w:rsidP="00B44AC3">
            <w:pPr>
              <w:pStyle w:val="Bezriadkovania"/>
              <w:jc w:val="right"/>
              <w:rPr>
                <w:rFonts w:ascii="Segoe UI" w:hAnsi="Segoe UI" w:cs="Segoe UI"/>
                <w:sz w:val="18"/>
                <w:szCs w:val="18"/>
              </w:rPr>
            </w:pPr>
            <w:r>
              <w:rPr>
                <w:rFonts w:ascii="Segoe UI" w:hAnsi="Segoe UI" w:cs="Segoe UI"/>
                <w:sz w:val="18"/>
                <w:szCs w:val="18"/>
              </w:rPr>
              <w:t>0,0</w:t>
            </w:r>
          </w:p>
        </w:tc>
      </w:tr>
      <w:tr w:rsidR="008A4BCF" w:rsidRPr="00950EDF" w14:paraId="3132D777" w14:textId="77777777" w:rsidTr="00B44AC3">
        <w:trPr>
          <w:trHeight w:val="255"/>
        </w:trPr>
        <w:tc>
          <w:tcPr>
            <w:tcW w:w="3071" w:type="pct"/>
            <w:tcBorders>
              <w:top w:val="single" w:sz="4" w:space="0" w:color="314364" w:themeColor="text2"/>
            </w:tcBorders>
            <w:vAlign w:val="center"/>
          </w:tcPr>
          <w:p w14:paraId="1321CA2A" w14:textId="77777777" w:rsidR="008A4BCF" w:rsidRPr="00950EDF" w:rsidRDefault="008A4BCF" w:rsidP="00B44AC3">
            <w:pPr>
              <w:pStyle w:val="Bezriadkovania"/>
              <w:rPr>
                <w:rFonts w:ascii="Segoe UI" w:hAnsi="Segoe UI" w:cs="Segoe UI"/>
                <w:b/>
                <w:sz w:val="18"/>
                <w:szCs w:val="18"/>
              </w:rPr>
            </w:pPr>
            <w:r w:rsidRPr="00950EDF">
              <w:rPr>
                <w:rFonts w:ascii="Segoe UI" w:hAnsi="Segoe UI" w:cs="Segoe UI"/>
                <w:b/>
                <w:sz w:val="18"/>
                <w:szCs w:val="18"/>
              </w:rPr>
              <w:t>Trh práce</w:t>
            </w:r>
          </w:p>
        </w:tc>
        <w:tc>
          <w:tcPr>
            <w:tcW w:w="614" w:type="pct"/>
            <w:tcBorders>
              <w:top w:val="single" w:sz="4" w:space="0" w:color="314364" w:themeColor="text2"/>
            </w:tcBorders>
            <w:vAlign w:val="center"/>
          </w:tcPr>
          <w:p w14:paraId="12556469" w14:textId="77777777" w:rsidR="008A4BCF" w:rsidRPr="00950EDF" w:rsidRDefault="008A4BCF" w:rsidP="00B44AC3">
            <w:pPr>
              <w:pStyle w:val="Bezriadkovania"/>
              <w:jc w:val="right"/>
              <w:rPr>
                <w:rFonts w:ascii="Segoe UI" w:hAnsi="Segoe UI" w:cs="Segoe UI"/>
                <w:sz w:val="18"/>
                <w:szCs w:val="18"/>
              </w:rPr>
            </w:pPr>
          </w:p>
        </w:tc>
        <w:tc>
          <w:tcPr>
            <w:tcW w:w="614" w:type="pct"/>
            <w:tcBorders>
              <w:top w:val="single" w:sz="4" w:space="0" w:color="314364" w:themeColor="text2"/>
            </w:tcBorders>
            <w:vAlign w:val="center"/>
          </w:tcPr>
          <w:p w14:paraId="70F9C321" w14:textId="77777777" w:rsidR="008A4BCF" w:rsidRPr="00950EDF" w:rsidRDefault="008A4BCF" w:rsidP="00B44AC3">
            <w:pPr>
              <w:pStyle w:val="Bezriadkovania"/>
              <w:jc w:val="right"/>
              <w:rPr>
                <w:rFonts w:ascii="Segoe UI" w:hAnsi="Segoe UI" w:cs="Segoe UI"/>
                <w:sz w:val="18"/>
                <w:szCs w:val="18"/>
              </w:rPr>
            </w:pPr>
          </w:p>
        </w:tc>
        <w:tc>
          <w:tcPr>
            <w:tcW w:w="701" w:type="pct"/>
            <w:tcBorders>
              <w:top w:val="single" w:sz="4" w:space="0" w:color="314364" w:themeColor="text2"/>
            </w:tcBorders>
          </w:tcPr>
          <w:p w14:paraId="38BFCD46" w14:textId="77777777" w:rsidR="008A4BCF" w:rsidRPr="00950EDF" w:rsidRDefault="008A4BCF" w:rsidP="00B44AC3">
            <w:pPr>
              <w:pStyle w:val="Bezriadkovania"/>
              <w:jc w:val="right"/>
              <w:rPr>
                <w:rFonts w:ascii="Segoe UI" w:hAnsi="Segoe UI" w:cs="Segoe UI"/>
                <w:sz w:val="18"/>
                <w:szCs w:val="18"/>
              </w:rPr>
            </w:pPr>
          </w:p>
        </w:tc>
      </w:tr>
      <w:tr w:rsidR="008A4BCF" w:rsidRPr="00950EDF" w14:paraId="749887E6" w14:textId="77777777" w:rsidTr="00B44AC3">
        <w:trPr>
          <w:trHeight w:val="255"/>
        </w:trPr>
        <w:tc>
          <w:tcPr>
            <w:tcW w:w="3071" w:type="pct"/>
            <w:vAlign w:val="center"/>
          </w:tcPr>
          <w:p w14:paraId="0680AC54" w14:textId="77777777" w:rsidR="008A4BCF" w:rsidRPr="00950EDF" w:rsidRDefault="008A4BCF" w:rsidP="00B44AC3">
            <w:pPr>
              <w:pStyle w:val="Bezriadkovania"/>
              <w:ind w:firstLine="176"/>
              <w:rPr>
                <w:rFonts w:ascii="Segoe UI" w:hAnsi="Segoe UI" w:cs="Segoe UI"/>
                <w:sz w:val="18"/>
                <w:szCs w:val="18"/>
              </w:rPr>
            </w:pPr>
            <w:r w:rsidRPr="00950EDF">
              <w:rPr>
                <w:rFonts w:ascii="Segoe UI" w:hAnsi="Segoe UI" w:cs="Segoe UI"/>
                <w:sz w:val="18"/>
                <w:szCs w:val="18"/>
              </w:rPr>
              <w:t>Zamestnanosť (štatistické výkazníctvo)</w:t>
            </w:r>
          </w:p>
        </w:tc>
        <w:tc>
          <w:tcPr>
            <w:tcW w:w="614" w:type="pct"/>
            <w:vAlign w:val="center"/>
          </w:tcPr>
          <w:p w14:paraId="115FB98E" w14:textId="77777777" w:rsidR="008A4BCF" w:rsidRPr="00950EDF" w:rsidRDefault="008A4BCF" w:rsidP="00B44AC3">
            <w:pPr>
              <w:pStyle w:val="Bezriadkovania"/>
              <w:jc w:val="right"/>
              <w:rPr>
                <w:rFonts w:ascii="Segoe UI" w:hAnsi="Segoe UI" w:cs="Segoe UI"/>
                <w:sz w:val="18"/>
                <w:szCs w:val="18"/>
              </w:rPr>
            </w:pPr>
            <w:r>
              <w:rPr>
                <w:rFonts w:ascii="Segoe UI" w:hAnsi="Segoe UI" w:cs="Segoe UI"/>
                <w:sz w:val="18"/>
                <w:szCs w:val="18"/>
              </w:rPr>
              <w:t>0,2</w:t>
            </w:r>
          </w:p>
        </w:tc>
        <w:tc>
          <w:tcPr>
            <w:tcW w:w="614" w:type="pct"/>
            <w:vAlign w:val="center"/>
          </w:tcPr>
          <w:p w14:paraId="205E486A" w14:textId="77777777" w:rsidR="008A4BCF" w:rsidRPr="00950EDF" w:rsidRDefault="008A4BCF" w:rsidP="00B44AC3">
            <w:pPr>
              <w:pStyle w:val="Bezriadkovania"/>
              <w:jc w:val="right"/>
              <w:rPr>
                <w:rFonts w:ascii="Segoe UI" w:hAnsi="Segoe UI" w:cs="Segoe UI"/>
                <w:sz w:val="18"/>
                <w:szCs w:val="18"/>
              </w:rPr>
            </w:pPr>
            <w:r>
              <w:rPr>
                <w:rFonts w:ascii="Segoe UI" w:hAnsi="Segoe UI" w:cs="Segoe UI"/>
                <w:sz w:val="18"/>
                <w:szCs w:val="18"/>
              </w:rPr>
              <w:t>0,3</w:t>
            </w:r>
          </w:p>
        </w:tc>
        <w:tc>
          <w:tcPr>
            <w:tcW w:w="701" w:type="pct"/>
          </w:tcPr>
          <w:p w14:paraId="5C0CDD74" w14:textId="77777777" w:rsidR="008A4BCF" w:rsidRPr="00950EDF" w:rsidRDefault="008A4BCF" w:rsidP="00B44AC3">
            <w:pPr>
              <w:pStyle w:val="Bezriadkovania"/>
              <w:jc w:val="right"/>
              <w:rPr>
                <w:rFonts w:ascii="Segoe UI" w:hAnsi="Segoe UI" w:cs="Segoe UI"/>
                <w:sz w:val="18"/>
                <w:szCs w:val="18"/>
              </w:rPr>
            </w:pPr>
            <w:r>
              <w:rPr>
                <w:rFonts w:ascii="Segoe UI" w:hAnsi="Segoe UI" w:cs="Segoe UI"/>
                <w:sz w:val="18"/>
                <w:szCs w:val="18"/>
              </w:rPr>
              <w:t>0,1</w:t>
            </w:r>
          </w:p>
        </w:tc>
      </w:tr>
      <w:tr w:rsidR="008A4BCF" w:rsidRPr="00950EDF" w14:paraId="78B1E6ED" w14:textId="77777777" w:rsidTr="00B44AC3">
        <w:trPr>
          <w:trHeight w:val="255"/>
        </w:trPr>
        <w:tc>
          <w:tcPr>
            <w:tcW w:w="3071" w:type="pct"/>
            <w:vAlign w:val="center"/>
          </w:tcPr>
          <w:p w14:paraId="1AA27DD0" w14:textId="77777777" w:rsidR="008A4BCF" w:rsidRPr="00950EDF" w:rsidRDefault="008A4BCF" w:rsidP="00B44AC3">
            <w:pPr>
              <w:pStyle w:val="Bezriadkovania"/>
              <w:ind w:firstLine="176"/>
              <w:rPr>
                <w:rFonts w:ascii="Segoe UI" w:hAnsi="Segoe UI" w:cs="Segoe UI"/>
                <w:sz w:val="18"/>
                <w:szCs w:val="18"/>
              </w:rPr>
            </w:pPr>
            <w:r w:rsidRPr="00950EDF">
              <w:rPr>
                <w:rFonts w:ascii="Segoe UI" w:hAnsi="Segoe UI" w:cs="Segoe UI"/>
                <w:sz w:val="18"/>
                <w:szCs w:val="18"/>
              </w:rPr>
              <w:t>Mzdy, nominálne</w:t>
            </w:r>
          </w:p>
        </w:tc>
        <w:tc>
          <w:tcPr>
            <w:tcW w:w="614" w:type="pct"/>
            <w:vAlign w:val="center"/>
          </w:tcPr>
          <w:p w14:paraId="66C166C2" w14:textId="77777777" w:rsidR="008A4BCF" w:rsidRPr="00950EDF" w:rsidRDefault="008A4BCF" w:rsidP="00B44AC3">
            <w:pPr>
              <w:pStyle w:val="Bezriadkovania"/>
              <w:jc w:val="right"/>
              <w:rPr>
                <w:rFonts w:ascii="Segoe UI" w:hAnsi="Segoe UI" w:cs="Segoe UI"/>
                <w:sz w:val="18"/>
                <w:szCs w:val="18"/>
              </w:rPr>
            </w:pPr>
            <w:r>
              <w:rPr>
                <w:rFonts w:ascii="Segoe UI" w:hAnsi="Segoe UI" w:cs="Segoe UI"/>
                <w:sz w:val="18"/>
                <w:szCs w:val="18"/>
              </w:rPr>
              <w:t>10,4</w:t>
            </w:r>
          </w:p>
        </w:tc>
        <w:tc>
          <w:tcPr>
            <w:tcW w:w="614" w:type="pct"/>
            <w:vAlign w:val="center"/>
          </w:tcPr>
          <w:p w14:paraId="24900448" w14:textId="77777777" w:rsidR="008A4BCF" w:rsidRPr="00950EDF" w:rsidRDefault="008A4BCF" w:rsidP="00B44AC3">
            <w:pPr>
              <w:pStyle w:val="Bezriadkovania"/>
              <w:jc w:val="right"/>
              <w:rPr>
                <w:rFonts w:ascii="Segoe UI" w:hAnsi="Segoe UI" w:cs="Segoe UI"/>
                <w:sz w:val="18"/>
                <w:szCs w:val="18"/>
              </w:rPr>
            </w:pPr>
            <w:r>
              <w:rPr>
                <w:rFonts w:ascii="Segoe UI" w:hAnsi="Segoe UI" w:cs="Segoe UI"/>
                <w:sz w:val="18"/>
                <w:szCs w:val="18"/>
              </w:rPr>
              <w:t>9,7</w:t>
            </w:r>
          </w:p>
        </w:tc>
        <w:tc>
          <w:tcPr>
            <w:tcW w:w="701" w:type="pct"/>
          </w:tcPr>
          <w:p w14:paraId="440115E6" w14:textId="77777777" w:rsidR="008A4BCF" w:rsidRPr="00950EDF" w:rsidRDefault="008A4BCF" w:rsidP="00B44AC3">
            <w:pPr>
              <w:pStyle w:val="Bezriadkovania"/>
              <w:jc w:val="right"/>
              <w:rPr>
                <w:rFonts w:ascii="Segoe UI" w:hAnsi="Segoe UI" w:cs="Segoe UI"/>
                <w:sz w:val="18"/>
                <w:szCs w:val="18"/>
              </w:rPr>
            </w:pPr>
            <w:r>
              <w:rPr>
                <w:rFonts w:ascii="Segoe UI" w:hAnsi="Segoe UI" w:cs="Segoe UI"/>
                <w:sz w:val="18"/>
                <w:szCs w:val="18"/>
              </w:rPr>
              <w:t>-0,7</w:t>
            </w:r>
          </w:p>
        </w:tc>
      </w:tr>
      <w:tr w:rsidR="008A4BCF" w:rsidRPr="00950EDF" w14:paraId="6BEFDC06" w14:textId="77777777" w:rsidTr="00B44AC3">
        <w:trPr>
          <w:trHeight w:val="255"/>
        </w:trPr>
        <w:tc>
          <w:tcPr>
            <w:tcW w:w="3071" w:type="pct"/>
            <w:vAlign w:val="center"/>
          </w:tcPr>
          <w:p w14:paraId="5BF51226" w14:textId="77777777" w:rsidR="008A4BCF" w:rsidRPr="00950EDF" w:rsidRDefault="008A4BCF" w:rsidP="00B44AC3">
            <w:pPr>
              <w:pStyle w:val="Bezriadkovania"/>
              <w:ind w:firstLine="176"/>
              <w:rPr>
                <w:rFonts w:ascii="Segoe UI" w:hAnsi="Segoe UI" w:cs="Segoe UI"/>
                <w:sz w:val="18"/>
                <w:szCs w:val="18"/>
              </w:rPr>
            </w:pPr>
            <w:r w:rsidRPr="00950EDF">
              <w:rPr>
                <w:rFonts w:ascii="Segoe UI" w:hAnsi="Segoe UI" w:cs="Segoe UI"/>
                <w:sz w:val="18"/>
                <w:szCs w:val="18"/>
              </w:rPr>
              <w:t>Mzdy, reálne</w:t>
            </w:r>
          </w:p>
        </w:tc>
        <w:tc>
          <w:tcPr>
            <w:tcW w:w="614" w:type="pct"/>
            <w:vAlign w:val="center"/>
          </w:tcPr>
          <w:p w14:paraId="63C625FA" w14:textId="77777777" w:rsidR="008A4BCF" w:rsidRPr="00950EDF" w:rsidRDefault="008A4BCF" w:rsidP="00B44AC3">
            <w:pPr>
              <w:pStyle w:val="Bezriadkovania"/>
              <w:jc w:val="right"/>
              <w:rPr>
                <w:rFonts w:ascii="Segoe UI" w:hAnsi="Segoe UI" w:cs="Segoe UI"/>
                <w:sz w:val="18"/>
                <w:szCs w:val="18"/>
              </w:rPr>
            </w:pPr>
            <w:r>
              <w:rPr>
                <w:rFonts w:ascii="Segoe UI" w:hAnsi="Segoe UI" w:cs="Segoe UI"/>
                <w:sz w:val="18"/>
                <w:szCs w:val="18"/>
              </w:rPr>
              <w:t>-2,7</w:t>
            </w:r>
          </w:p>
        </w:tc>
        <w:tc>
          <w:tcPr>
            <w:tcW w:w="614" w:type="pct"/>
            <w:vAlign w:val="center"/>
          </w:tcPr>
          <w:p w14:paraId="43ABD06C" w14:textId="77777777" w:rsidR="008A4BCF" w:rsidRPr="00950EDF" w:rsidRDefault="008A4BCF" w:rsidP="00B44AC3">
            <w:pPr>
              <w:pStyle w:val="Bezriadkovania"/>
              <w:jc w:val="right"/>
              <w:rPr>
                <w:rFonts w:ascii="Segoe UI" w:hAnsi="Segoe UI" w:cs="Segoe UI"/>
                <w:sz w:val="18"/>
                <w:szCs w:val="18"/>
              </w:rPr>
            </w:pPr>
            <w:r>
              <w:rPr>
                <w:rFonts w:ascii="Segoe UI" w:hAnsi="Segoe UI" w:cs="Segoe UI"/>
                <w:sz w:val="18"/>
                <w:szCs w:val="18"/>
              </w:rPr>
              <w:t>-0,8</w:t>
            </w:r>
          </w:p>
        </w:tc>
        <w:tc>
          <w:tcPr>
            <w:tcW w:w="701" w:type="pct"/>
          </w:tcPr>
          <w:p w14:paraId="31678897" w14:textId="77777777" w:rsidR="008A4BCF" w:rsidRPr="00950EDF" w:rsidRDefault="008A4BCF" w:rsidP="00B44AC3">
            <w:pPr>
              <w:pStyle w:val="Bezriadkovania"/>
              <w:jc w:val="right"/>
              <w:rPr>
                <w:rFonts w:ascii="Segoe UI" w:hAnsi="Segoe UI" w:cs="Segoe UI"/>
                <w:sz w:val="18"/>
                <w:szCs w:val="18"/>
              </w:rPr>
            </w:pPr>
            <w:r>
              <w:rPr>
                <w:rFonts w:ascii="Segoe UI" w:hAnsi="Segoe UI" w:cs="Segoe UI"/>
                <w:sz w:val="18"/>
                <w:szCs w:val="18"/>
              </w:rPr>
              <w:t>1,9</w:t>
            </w:r>
          </w:p>
        </w:tc>
      </w:tr>
      <w:tr w:rsidR="008A4BCF" w:rsidRPr="00950EDF" w14:paraId="01EFE317" w14:textId="77777777" w:rsidTr="00B44AC3">
        <w:trPr>
          <w:trHeight w:val="255"/>
        </w:trPr>
        <w:tc>
          <w:tcPr>
            <w:tcW w:w="3071" w:type="pct"/>
            <w:vAlign w:val="center"/>
          </w:tcPr>
          <w:p w14:paraId="6BD8C3D8" w14:textId="77777777" w:rsidR="008A4BCF" w:rsidRPr="00950EDF" w:rsidRDefault="008A4BCF" w:rsidP="00B44AC3">
            <w:pPr>
              <w:pStyle w:val="Bezriadkovania"/>
              <w:ind w:firstLine="176"/>
              <w:rPr>
                <w:rFonts w:ascii="Segoe UI" w:hAnsi="Segoe UI" w:cs="Segoe UI"/>
                <w:sz w:val="18"/>
                <w:szCs w:val="18"/>
              </w:rPr>
            </w:pPr>
            <w:r w:rsidRPr="00950EDF">
              <w:rPr>
                <w:rFonts w:ascii="Segoe UI" w:hAnsi="Segoe UI" w:cs="Segoe UI"/>
                <w:sz w:val="18"/>
                <w:szCs w:val="18"/>
              </w:rPr>
              <w:t>Miera nezamestnanosti (VZPS)</w:t>
            </w:r>
          </w:p>
        </w:tc>
        <w:tc>
          <w:tcPr>
            <w:tcW w:w="614" w:type="pct"/>
            <w:vAlign w:val="center"/>
          </w:tcPr>
          <w:p w14:paraId="75DE246F" w14:textId="77777777" w:rsidR="008A4BCF" w:rsidRPr="00950EDF" w:rsidRDefault="008A4BCF" w:rsidP="00B44AC3">
            <w:pPr>
              <w:pStyle w:val="Bezriadkovania"/>
              <w:jc w:val="right"/>
              <w:rPr>
                <w:rFonts w:ascii="Segoe UI" w:hAnsi="Segoe UI" w:cs="Segoe UI"/>
                <w:sz w:val="18"/>
                <w:szCs w:val="18"/>
              </w:rPr>
            </w:pPr>
            <w:r>
              <w:rPr>
                <w:rFonts w:ascii="Segoe UI" w:hAnsi="Segoe UI" w:cs="Segoe UI"/>
                <w:sz w:val="18"/>
                <w:szCs w:val="18"/>
              </w:rPr>
              <w:t>6,1</w:t>
            </w:r>
          </w:p>
        </w:tc>
        <w:tc>
          <w:tcPr>
            <w:tcW w:w="614" w:type="pct"/>
            <w:vAlign w:val="center"/>
          </w:tcPr>
          <w:p w14:paraId="6628B6F9" w14:textId="77777777" w:rsidR="008A4BCF" w:rsidRPr="00950EDF" w:rsidRDefault="008A4BCF" w:rsidP="00B44AC3">
            <w:pPr>
              <w:pStyle w:val="Bezriadkovania"/>
              <w:jc w:val="right"/>
              <w:rPr>
                <w:rFonts w:ascii="Segoe UI" w:hAnsi="Segoe UI" w:cs="Segoe UI"/>
                <w:sz w:val="18"/>
                <w:szCs w:val="18"/>
              </w:rPr>
            </w:pPr>
            <w:r>
              <w:rPr>
                <w:rFonts w:ascii="Segoe UI" w:hAnsi="Segoe UI" w:cs="Segoe UI"/>
                <w:sz w:val="18"/>
                <w:szCs w:val="18"/>
              </w:rPr>
              <w:t>5,8</w:t>
            </w:r>
          </w:p>
        </w:tc>
        <w:tc>
          <w:tcPr>
            <w:tcW w:w="701" w:type="pct"/>
          </w:tcPr>
          <w:p w14:paraId="43006A04" w14:textId="77777777" w:rsidR="008A4BCF" w:rsidRPr="00950EDF" w:rsidRDefault="008A4BCF" w:rsidP="00B44AC3">
            <w:pPr>
              <w:pStyle w:val="Bezriadkovania"/>
              <w:jc w:val="right"/>
              <w:rPr>
                <w:rFonts w:ascii="Segoe UI" w:hAnsi="Segoe UI" w:cs="Segoe UI"/>
                <w:sz w:val="18"/>
                <w:szCs w:val="18"/>
              </w:rPr>
            </w:pPr>
            <w:r>
              <w:rPr>
                <w:rFonts w:ascii="Segoe UI" w:hAnsi="Segoe UI" w:cs="Segoe UI"/>
                <w:sz w:val="18"/>
                <w:szCs w:val="18"/>
              </w:rPr>
              <w:t>-0,3</w:t>
            </w:r>
          </w:p>
        </w:tc>
      </w:tr>
      <w:tr w:rsidR="008A4BCF" w:rsidRPr="00950EDF" w14:paraId="18450380" w14:textId="77777777" w:rsidTr="00B44AC3">
        <w:trPr>
          <w:trHeight w:val="255"/>
        </w:trPr>
        <w:tc>
          <w:tcPr>
            <w:tcW w:w="3071" w:type="pct"/>
            <w:tcBorders>
              <w:bottom w:val="single" w:sz="4" w:space="0" w:color="314364" w:themeColor="text2"/>
            </w:tcBorders>
            <w:vAlign w:val="center"/>
          </w:tcPr>
          <w:p w14:paraId="6AE78F58" w14:textId="77777777" w:rsidR="008A4BCF" w:rsidRPr="00950EDF" w:rsidRDefault="008A4BCF" w:rsidP="00B44AC3">
            <w:pPr>
              <w:pStyle w:val="Bezriadkovania"/>
              <w:ind w:firstLine="176"/>
              <w:rPr>
                <w:rFonts w:ascii="Segoe UI" w:hAnsi="Segoe UI" w:cs="Segoe UI"/>
                <w:sz w:val="18"/>
                <w:szCs w:val="18"/>
              </w:rPr>
            </w:pPr>
            <w:r w:rsidRPr="00950EDF">
              <w:rPr>
                <w:rFonts w:ascii="Segoe UI" w:hAnsi="Segoe UI" w:cs="Segoe UI"/>
                <w:sz w:val="18"/>
                <w:szCs w:val="18"/>
              </w:rPr>
              <w:t>Celková zamestnanosť (tis. osôb)</w:t>
            </w:r>
          </w:p>
        </w:tc>
        <w:tc>
          <w:tcPr>
            <w:tcW w:w="614" w:type="pct"/>
            <w:tcBorders>
              <w:bottom w:val="single" w:sz="4" w:space="0" w:color="314364" w:themeColor="text2"/>
            </w:tcBorders>
            <w:vAlign w:val="center"/>
          </w:tcPr>
          <w:p w14:paraId="50730055" w14:textId="77777777" w:rsidR="008A4BCF" w:rsidRPr="00950EDF" w:rsidRDefault="008A4BCF" w:rsidP="00B44AC3">
            <w:pPr>
              <w:pStyle w:val="Bezriadkovania"/>
              <w:jc w:val="right"/>
              <w:rPr>
                <w:rFonts w:ascii="Segoe UI" w:hAnsi="Segoe UI" w:cs="Segoe UI"/>
                <w:sz w:val="18"/>
                <w:szCs w:val="18"/>
              </w:rPr>
            </w:pPr>
            <w:r>
              <w:rPr>
                <w:rFonts w:ascii="Segoe UI" w:hAnsi="Segoe UI" w:cs="Segoe UI"/>
                <w:sz w:val="18"/>
                <w:szCs w:val="18"/>
              </w:rPr>
              <w:t>2584,2</w:t>
            </w:r>
          </w:p>
        </w:tc>
        <w:tc>
          <w:tcPr>
            <w:tcW w:w="614" w:type="pct"/>
            <w:tcBorders>
              <w:bottom w:val="single" w:sz="4" w:space="0" w:color="314364" w:themeColor="text2"/>
            </w:tcBorders>
            <w:vAlign w:val="center"/>
          </w:tcPr>
          <w:p w14:paraId="66E093DE" w14:textId="77777777" w:rsidR="008A4BCF" w:rsidRPr="00950EDF" w:rsidRDefault="008A4BCF" w:rsidP="00B44AC3">
            <w:pPr>
              <w:pStyle w:val="Bezriadkovania"/>
              <w:jc w:val="right"/>
              <w:rPr>
                <w:rFonts w:ascii="Segoe UI" w:hAnsi="Segoe UI" w:cs="Segoe UI"/>
                <w:sz w:val="18"/>
                <w:szCs w:val="18"/>
              </w:rPr>
            </w:pPr>
            <w:r>
              <w:rPr>
                <w:rFonts w:ascii="Segoe UI" w:hAnsi="Segoe UI" w:cs="Segoe UI"/>
                <w:sz w:val="18"/>
                <w:szCs w:val="18"/>
              </w:rPr>
              <w:t>2610,0</w:t>
            </w:r>
          </w:p>
        </w:tc>
        <w:tc>
          <w:tcPr>
            <w:tcW w:w="701" w:type="pct"/>
            <w:tcBorders>
              <w:bottom w:val="single" w:sz="4" w:space="0" w:color="314364" w:themeColor="text2"/>
            </w:tcBorders>
          </w:tcPr>
          <w:p w14:paraId="5095A76E" w14:textId="77777777" w:rsidR="008A4BCF" w:rsidRPr="00950EDF" w:rsidRDefault="008A4BCF" w:rsidP="00B44AC3">
            <w:pPr>
              <w:pStyle w:val="Bezriadkovania"/>
              <w:jc w:val="right"/>
              <w:rPr>
                <w:rFonts w:ascii="Segoe UI" w:hAnsi="Segoe UI" w:cs="Segoe UI"/>
                <w:sz w:val="18"/>
                <w:szCs w:val="18"/>
              </w:rPr>
            </w:pPr>
            <w:r>
              <w:rPr>
                <w:rFonts w:ascii="Segoe UI" w:hAnsi="Segoe UI" w:cs="Segoe UI"/>
                <w:sz w:val="18"/>
                <w:szCs w:val="18"/>
              </w:rPr>
              <w:t>25,8</w:t>
            </w:r>
          </w:p>
        </w:tc>
      </w:tr>
      <w:tr w:rsidR="008A4BCF" w:rsidRPr="00950EDF" w14:paraId="488BA77F" w14:textId="77777777" w:rsidTr="00B44AC3">
        <w:trPr>
          <w:trHeight w:val="255"/>
        </w:trPr>
        <w:tc>
          <w:tcPr>
            <w:tcW w:w="3071" w:type="pct"/>
            <w:tcBorders>
              <w:top w:val="single" w:sz="4" w:space="0" w:color="314364" w:themeColor="text2"/>
            </w:tcBorders>
            <w:vAlign w:val="center"/>
          </w:tcPr>
          <w:p w14:paraId="2AA4057E" w14:textId="77777777" w:rsidR="008A4BCF" w:rsidRPr="00950EDF" w:rsidRDefault="008A4BCF" w:rsidP="00B44AC3">
            <w:pPr>
              <w:pStyle w:val="Bezriadkovania"/>
              <w:rPr>
                <w:rFonts w:ascii="Segoe UI" w:hAnsi="Segoe UI" w:cs="Segoe UI"/>
                <w:b/>
                <w:sz w:val="18"/>
                <w:szCs w:val="18"/>
              </w:rPr>
            </w:pPr>
            <w:r w:rsidRPr="00950EDF">
              <w:rPr>
                <w:rFonts w:ascii="Segoe UI" w:hAnsi="Segoe UI" w:cs="Segoe UI"/>
                <w:b/>
                <w:sz w:val="18"/>
                <w:szCs w:val="18"/>
              </w:rPr>
              <w:t>Inflácia</w:t>
            </w:r>
          </w:p>
        </w:tc>
        <w:tc>
          <w:tcPr>
            <w:tcW w:w="614" w:type="pct"/>
            <w:tcBorders>
              <w:top w:val="single" w:sz="4" w:space="0" w:color="314364" w:themeColor="text2"/>
            </w:tcBorders>
            <w:vAlign w:val="center"/>
          </w:tcPr>
          <w:p w14:paraId="71736AE4" w14:textId="77777777" w:rsidR="008A4BCF" w:rsidRPr="00950EDF" w:rsidRDefault="008A4BCF" w:rsidP="00B44AC3">
            <w:pPr>
              <w:pStyle w:val="Bezriadkovania"/>
              <w:jc w:val="right"/>
              <w:rPr>
                <w:rFonts w:ascii="Segoe UI" w:hAnsi="Segoe UI" w:cs="Segoe UI"/>
                <w:sz w:val="18"/>
                <w:szCs w:val="18"/>
              </w:rPr>
            </w:pPr>
          </w:p>
        </w:tc>
        <w:tc>
          <w:tcPr>
            <w:tcW w:w="614" w:type="pct"/>
            <w:tcBorders>
              <w:top w:val="single" w:sz="4" w:space="0" w:color="314364" w:themeColor="text2"/>
            </w:tcBorders>
            <w:vAlign w:val="center"/>
          </w:tcPr>
          <w:p w14:paraId="73D8AEE7" w14:textId="77777777" w:rsidR="008A4BCF" w:rsidRPr="00950EDF" w:rsidRDefault="008A4BCF" w:rsidP="00B44AC3">
            <w:pPr>
              <w:pStyle w:val="Bezriadkovania"/>
              <w:jc w:val="right"/>
              <w:rPr>
                <w:rFonts w:ascii="Segoe UI" w:hAnsi="Segoe UI" w:cs="Segoe UI"/>
                <w:sz w:val="18"/>
                <w:szCs w:val="18"/>
              </w:rPr>
            </w:pPr>
          </w:p>
        </w:tc>
        <w:tc>
          <w:tcPr>
            <w:tcW w:w="701" w:type="pct"/>
            <w:tcBorders>
              <w:top w:val="single" w:sz="4" w:space="0" w:color="314364" w:themeColor="text2"/>
            </w:tcBorders>
          </w:tcPr>
          <w:p w14:paraId="5ABABA58" w14:textId="77777777" w:rsidR="008A4BCF" w:rsidRPr="00950EDF" w:rsidRDefault="008A4BCF" w:rsidP="00B44AC3">
            <w:pPr>
              <w:pStyle w:val="Bezriadkovania"/>
              <w:jc w:val="right"/>
              <w:rPr>
                <w:rFonts w:ascii="Segoe UI" w:hAnsi="Segoe UI" w:cs="Segoe UI"/>
                <w:sz w:val="18"/>
                <w:szCs w:val="18"/>
              </w:rPr>
            </w:pPr>
          </w:p>
        </w:tc>
      </w:tr>
      <w:tr w:rsidR="008A4BCF" w:rsidRPr="00950EDF" w14:paraId="2109FD20" w14:textId="77777777" w:rsidTr="00B44AC3">
        <w:trPr>
          <w:trHeight w:val="255"/>
        </w:trPr>
        <w:tc>
          <w:tcPr>
            <w:tcW w:w="3071" w:type="pct"/>
            <w:vAlign w:val="center"/>
          </w:tcPr>
          <w:p w14:paraId="30A591B3" w14:textId="77777777" w:rsidR="008A4BCF" w:rsidRPr="00950EDF" w:rsidRDefault="008A4BCF" w:rsidP="00B44AC3">
            <w:pPr>
              <w:pStyle w:val="Bezriadkovania"/>
              <w:ind w:firstLine="176"/>
              <w:rPr>
                <w:rFonts w:ascii="Segoe UI" w:hAnsi="Segoe UI" w:cs="Segoe UI"/>
                <w:sz w:val="18"/>
                <w:szCs w:val="18"/>
              </w:rPr>
            </w:pPr>
            <w:r w:rsidRPr="00950EDF">
              <w:rPr>
                <w:rFonts w:ascii="Segoe UI" w:hAnsi="Segoe UI" w:cs="Segoe UI"/>
                <w:sz w:val="18"/>
                <w:szCs w:val="18"/>
              </w:rPr>
              <w:t>Index spotrebiteľských cien (CPI)</w:t>
            </w:r>
          </w:p>
        </w:tc>
        <w:tc>
          <w:tcPr>
            <w:tcW w:w="614" w:type="pct"/>
            <w:vAlign w:val="center"/>
          </w:tcPr>
          <w:p w14:paraId="5AD33C58" w14:textId="77777777" w:rsidR="008A4BCF" w:rsidRPr="00950EDF" w:rsidRDefault="008A4BCF" w:rsidP="00B44AC3">
            <w:pPr>
              <w:pStyle w:val="Bezriadkovania"/>
              <w:jc w:val="right"/>
              <w:rPr>
                <w:rFonts w:ascii="Segoe UI" w:hAnsi="Segoe UI" w:cs="Segoe UI"/>
                <w:sz w:val="18"/>
                <w:szCs w:val="18"/>
              </w:rPr>
            </w:pPr>
            <w:r>
              <w:rPr>
                <w:rFonts w:ascii="Segoe UI" w:hAnsi="Segoe UI" w:cs="Segoe UI"/>
                <w:sz w:val="18"/>
                <w:szCs w:val="18"/>
              </w:rPr>
              <w:t>13,5</w:t>
            </w:r>
          </w:p>
        </w:tc>
        <w:tc>
          <w:tcPr>
            <w:tcW w:w="614" w:type="pct"/>
            <w:vAlign w:val="center"/>
          </w:tcPr>
          <w:p w14:paraId="74BEDE46" w14:textId="77777777" w:rsidR="008A4BCF" w:rsidRPr="00950EDF" w:rsidRDefault="008A4BCF" w:rsidP="00B44AC3">
            <w:pPr>
              <w:pStyle w:val="Bezriadkovania"/>
              <w:jc w:val="right"/>
              <w:rPr>
                <w:rFonts w:ascii="Segoe UI" w:hAnsi="Segoe UI" w:cs="Segoe UI"/>
                <w:sz w:val="18"/>
                <w:szCs w:val="18"/>
              </w:rPr>
            </w:pPr>
            <w:r>
              <w:rPr>
                <w:rFonts w:ascii="Segoe UI" w:hAnsi="Segoe UI" w:cs="Segoe UI"/>
                <w:sz w:val="18"/>
                <w:szCs w:val="18"/>
              </w:rPr>
              <w:t>10,5</w:t>
            </w:r>
          </w:p>
        </w:tc>
        <w:tc>
          <w:tcPr>
            <w:tcW w:w="701" w:type="pct"/>
          </w:tcPr>
          <w:p w14:paraId="59620942" w14:textId="77777777" w:rsidR="008A4BCF" w:rsidRPr="00950EDF" w:rsidRDefault="008A4BCF" w:rsidP="00B44AC3">
            <w:pPr>
              <w:pStyle w:val="Bezriadkovania"/>
              <w:jc w:val="right"/>
              <w:rPr>
                <w:rFonts w:ascii="Segoe UI" w:hAnsi="Segoe UI" w:cs="Segoe UI"/>
                <w:sz w:val="18"/>
                <w:szCs w:val="18"/>
              </w:rPr>
            </w:pPr>
            <w:r>
              <w:rPr>
                <w:rFonts w:ascii="Segoe UI" w:hAnsi="Segoe UI" w:cs="Segoe UI"/>
                <w:sz w:val="18"/>
                <w:szCs w:val="18"/>
              </w:rPr>
              <w:t>-3,0</w:t>
            </w:r>
          </w:p>
        </w:tc>
      </w:tr>
      <w:tr w:rsidR="008A4BCF" w:rsidRPr="00950EDF" w14:paraId="4A642FAE" w14:textId="77777777" w:rsidTr="00B44AC3">
        <w:trPr>
          <w:trHeight w:val="255"/>
        </w:trPr>
        <w:tc>
          <w:tcPr>
            <w:tcW w:w="3071" w:type="pct"/>
            <w:tcBorders>
              <w:bottom w:val="single" w:sz="4" w:space="0" w:color="314364" w:themeColor="text2"/>
            </w:tcBorders>
            <w:vAlign w:val="center"/>
          </w:tcPr>
          <w:p w14:paraId="1740676E" w14:textId="77777777" w:rsidR="008A4BCF" w:rsidRPr="00950EDF" w:rsidRDefault="008A4BCF" w:rsidP="00B44AC3">
            <w:pPr>
              <w:pStyle w:val="Bezriadkovania"/>
              <w:ind w:firstLine="176"/>
              <w:rPr>
                <w:rFonts w:ascii="Segoe UI" w:hAnsi="Segoe UI" w:cs="Segoe UI"/>
                <w:sz w:val="18"/>
                <w:szCs w:val="18"/>
              </w:rPr>
            </w:pPr>
            <w:r w:rsidRPr="00950EDF">
              <w:rPr>
                <w:rFonts w:ascii="Segoe UI" w:hAnsi="Segoe UI" w:cs="Segoe UI"/>
                <w:sz w:val="18"/>
                <w:szCs w:val="18"/>
              </w:rPr>
              <w:t>Harmonizovaný index spotrebiteľských cien (HICP)</w:t>
            </w:r>
          </w:p>
        </w:tc>
        <w:tc>
          <w:tcPr>
            <w:tcW w:w="614" w:type="pct"/>
            <w:tcBorders>
              <w:bottom w:val="single" w:sz="4" w:space="0" w:color="314364" w:themeColor="text2"/>
            </w:tcBorders>
            <w:vAlign w:val="center"/>
          </w:tcPr>
          <w:p w14:paraId="1CCCA049" w14:textId="77777777" w:rsidR="008A4BCF" w:rsidRPr="00950EDF" w:rsidRDefault="008A4BCF" w:rsidP="00B44AC3">
            <w:pPr>
              <w:pStyle w:val="Bezriadkovania"/>
              <w:jc w:val="right"/>
              <w:rPr>
                <w:rFonts w:ascii="Segoe UI" w:hAnsi="Segoe UI" w:cs="Segoe UI"/>
                <w:sz w:val="18"/>
                <w:szCs w:val="18"/>
              </w:rPr>
            </w:pPr>
            <w:r>
              <w:rPr>
                <w:rFonts w:ascii="Segoe UI" w:hAnsi="Segoe UI" w:cs="Segoe UI"/>
                <w:sz w:val="18"/>
                <w:szCs w:val="18"/>
              </w:rPr>
              <w:t>13,5</w:t>
            </w:r>
          </w:p>
        </w:tc>
        <w:tc>
          <w:tcPr>
            <w:tcW w:w="614" w:type="pct"/>
            <w:tcBorders>
              <w:bottom w:val="single" w:sz="4" w:space="0" w:color="314364" w:themeColor="text2"/>
            </w:tcBorders>
            <w:vAlign w:val="center"/>
          </w:tcPr>
          <w:p w14:paraId="712DC245" w14:textId="77777777" w:rsidR="008A4BCF" w:rsidRPr="00950EDF" w:rsidRDefault="008A4BCF" w:rsidP="00B44AC3">
            <w:pPr>
              <w:pStyle w:val="Bezriadkovania"/>
              <w:jc w:val="right"/>
              <w:rPr>
                <w:rFonts w:ascii="Segoe UI" w:hAnsi="Segoe UI" w:cs="Segoe UI"/>
                <w:sz w:val="18"/>
                <w:szCs w:val="18"/>
              </w:rPr>
            </w:pPr>
            <w:r>
              <w:rPr>
                <w:rFonts w:ascii="Segoe UI" w:hAnsi="Segoe UI" w:cs="Segoe UI"/>
                <w:sz w:val="18"/>
                <w:szCs w:val="18"/>
              </w:rPr>
              <w:t>11,0</w:t>
            </w:r>
          </w:p>
        </w:tc>
        <w:tc>
          <w:tcPr>
            <w:tcW w:w="701" w:type="pct"/>
            <w:tcBorders>
              <w:bottom w:val="single" w:sz="4" w:space="0" w:color="314364" w:themeColor="text2"/>
            </w:tcBorders>
          </w:tcPr>
          <w:p w14:paraId="0382C249" w14:textId="77777777" w:rsidR="008A4BCF" w:rsidRPr="00950EDF" w:rsidRDefault="008A4BCF" w:rsidP="00B44AC3">
            <w:pPr>
              <w:pStyle w:val="Bezriadkovania"/>
              <w:jc w:val="right"/>
              <w:rPr>
                <w:rFonts w:ascii="Segoe UI" w:hAnsi="Segoe UI" w:cs="Segoe UI"/>
                <w:sz w:val="18"/>
                <w:szCs w:val="18"/>
              </w:rPr>
            </w:pPr>
            <w:r>
              <w:rPr>
                <w:rFonts w:ascii="Segoe UI" w:hAnsi="Segoe UI" w:cs="Segoe UI"/>
                <w:sz w:val="18"/>
                <w:szCs w:val="18"/>
              </w:rPr>
              <w:t>-2,5</w:t>
            </w:r>
          </w:p>
        </w:tc>
      </w:tr>
    </w:tbl>
    <w:p w14:paraId="0085F2CB" w14:textId="77777777" w:rsidR="008A4BCF" w:rsidRDefault="008A4BCF" w:rsidP="008A4BCF">
      <w:pPr>
        <w:pStyle w:val="Zdroj"/>
      </w:pPr>
      <w:r>
        <w:t>Zdroj: MF SR, ŠÚ SR.</w:t>
      </w:r>
      <w:r>
        <w:br/>
        <w:t>S – skutočnosť, R – rozpočet</w:t>
      </w:r>
    </w:p>
    <w:p w14:paraId="2DBFFB49" w14:textId="77777777" w:rsidR="008A4BCF" w:rsidRPr="00BB71F6" w:rsidRDefault="008A4BCF" w:rsidP="008A4BCF">
      <w:pPr>
        <w:pStyle w:val="Zdroj"/>
        <w:rPr>
          <w:i w:val="0"/>
        </w:rPr>
      </w:pPr>
    </w:p>
    <w:p w14:paraId="3917F96F" w14:textId="77777777" w:rsidR="008A4BCF" w:rsidRDefault="008A4BCF" w:rsidP="008A4BCF">
      <w:pPr>
        <w:pStyle w:val="Popis"/>
        <w:keepNext/>
        <w:spacing w:after="120"/>
      </w:pPr>
      <w:r>
        <w:t>Tabuľka 2: Porovnanie príjmov verejnej správy v roku 2023 so skutočnosťou (</w:t>
      </w:r>
      <w:r w:rsidRPr="00A8009D">
        <w:t>v tis. eur)</w:t>
      </w:r>
      <w:r>
        <w:t xml:space="preserve"> </w:t>
      </w:r>
    </w:p>
    <w:tbl>
      <w:tblPr>
        <w:tblStyle w:val="Mriekatabuky8"/>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0"/>
        <w:gridCol w:w="1665"/>
        <w:gridCol w:w="1665"/>
        <w:gridCol w:w="1480"/>
      </w:tblGrid>
      <w:tr w:rsidR="008A4BCF" w:rsidRPr="00125972" w14:paraId="2FB2ED54" w14:textId="77777777" w:rsidTr="00B44AC3">
        <w:trPr>
          <w:trHeight w:val="255"/>
          <w:tblHeader/>
        </w:trPr>
        <w:tc>
          <w:tcPr>
            <w:tcW w:w="2348" w:type="pct"/>
            <w:shd w:val="clear" w:color="auto" w:fill="314364" w:themeFill="text2"/>
            <w:vAlign w:val="center"/>
          </w:tcPr>
          <w:p w14:paraId="67C8FB77" w14:textId="77777777" w:rsidR="008A4BCF" w:rsidRPr="00125972" w:rsidRDefault="008A4BCF" w:rsidP="00B44AC3">
            <w:pPr>
              <w:spacing w:after="0"/>
              <w:jc w:val="left"/>
              <w:rPr>
                <w:rFonts w:eastAsia="Calibri" w:cs="Segoe UI"/>
                <w:b/>
                <w:color w:val="FFFFFF"/>
                <w:sz w:val="18"/>
                <w:szCs w:val="18"/>
              </w:rPr>
            </w:pPr>
            <w:r w:rsidRPr="00125972">
              <w:rPr>
                <w:rFonts w:eastAsia="Calibri" w:cs="Segoe UI"/>
                <w:b/>
                <w:color w:val="FFFFFF"/>
                <w:sz w:val="18"/>
                <w:szCs w:val="18"/>
              </w:rPr>
              <w:t>Príjmy VS (ESA 2010</w:t>
            </w:r>
            <w:r>
              <w:rPr>
                <w:rFonts w:eastAsia="Calibri" w:cs="Segoe UI"/>
                <w:b/>
                <w:color w:val="FFFFFF"/>
                <w:sz w:val="18"/>
                <w:szCs w:val="18"/>
              </w:rPr>
              <w:t>)</w:t>
            </w:r>
          </w:p>
        </w:tc>
        <w:tc>
          <w:tcPr>
            <w:tcW w:w="918" w:type="pct"/>
            <w:shd w:val="clear" w:color="auto" w:fill="314364" w:themeFill="text2"/>
            <w:vAlign w:val="center"/>
          </w:tcPr>
          <w:p w14:paraId="2463E830" w14:textId="77777777" w:rsidR="008A4BCF" w:rsidRPr="00950EDF" w:rsidRDefault="008A4BCF" w:rsidP="00B44AC3">
            <w:pPr>
              <w:pStyle w:val="Bezriadkovania"/>
              <w:jc w:val="right"/>
              <w:rPr>
                <w:rFonts w:ascii="Segoe UI" w:hAnsi="Segoe UI" w:cs="Segoe UI"/>
                <w:b/>
                <w:color w:val="FFFFFF" w:themeColor="background1"/>
                <w:sz w:val="18"/>
                <w:szCs w:val="18"/>
              </w:rPr>
            </w:pPr>
            <w:r w:rsidRPr="00950EDF">
              <w:rPr>
                <w:rFonts w:ascii="Segoe UI" w:hAnsi="Segoe UI" w:cs="Segoe UI"/>
                <w:b/>
                <w:color w:val="FFFFFF" w:themeColor="background1"/>
                <w:sz w:val="18"/>
                <w:szCs w:val="18"/>
              </w:rPr>
              <w:t>20</w:t>
            </w:r>
            <w:r>
              <w:rPr>
                <w:rFonts w:ascii="Segoe UI" w:hAnsi="Segoe UI" w:cs="Segoe UI"/>
                <w:b/>
                <w:color w:val="FFFFFF" w:themeColor="background1"/>
                <w:sz w:val="18"/>
                <w:szCs w:val="18"/>
              </w:rPr>
              <w:t>23 R</w:t>
            </w:r>
          </w:p>
        </w:tc>
        <w:tc>
          <w:tcPr>
            <w:tcW w:w="918" w:type="pct"/>
            <w:shd w:val="clear" w:color="auto" w:fill="314364" w:themeFill="text2"/>
            <w:vAlign w:val="center"/>
          </w:tcPr>
          <w:p w14:paraId="27CF38C1" w14:textId="77777777" w:rsidR="008A4BCF" w:rsidRPr="00950EDF" w:rsidRDefault="008A4BCF" w:rsidP="00B44AC3">
            <w:pPr>
              <w:pStyle w:val="Bezriadkovania"/>
              <w:jc w:val="right"/>
              <w:rPr>
                <w:rFonts w:ascii="Segoe UI" w:hAnsi="Segoe UI" w:cs="Segoe UI"/>
                <w:b/>
                <w:color w:val="FFFFFF" w:themeColor="background1"/>
                <w:sz w:val="18"/>
                <w:szCs w:val="18"/>
              </w:rPr>
            </w:pPr>
            <w:r>
              <w:rPr>
                <w:rFonts w:ascii="Segoe UI" w:hAnsi="Segoe UI" w:cs="Segoe UI"/>
                <w:b/>
                <w:color w:val="FFFFFF" w:themeColor="background1"/>
                <w:sz w:val="18"/>
                <w:szCs w:val="18"/>
              </w:rPr>
              <w:t>2023 S</w:t>
            </w:r>
          </w:p>
        </w:tc>
        <w:tc>
          <w:tcPr>
            <w:tcW w:w="817" w:type="pct"/>
            <w:shd w:val="clear" w:color="auto" w:fill="314364" w:themeFill="text2"/>
            <w:vAlign w:val="center"/>
          </w:tcPr>
          <w:p w14:paraId="53C10A3F" w14:textId="77777777" w:rsidR="008A4BCF" w:rsidRPr="00125972" w:rsidRDefault="008A4BCF" w:rsidP="00B44AC3">
            <w:pPr>
              <w:spacing w:after="0"/>
              <w:jc w:val="right"/>
              <w:rPr>
                <w:rFonts w:eastAsia="Calibri" w:cs="Segoe UI"/>
                <w:b/>
                <w:color w:val="FFFFFF"/>
                <w:sz w:val="18"/>
                <w:szCs w:val="18"/>
              </w:rPr>
            </w:pPr>
            <w:r>
              <w:rPr>
                <w:rFonts w:eastAsia="Calibri" w:cs="Segoe UI"/>
                <w:b/>
                <w:color w:val="FFFFFF"/>
                <w:sz w:val="18"/>
                <w:szCs w:val="18"/>
              </w:rPr>
              <w:t>23S - 23R</w:t>
            </w:r>
          </w:p>
        </w:tc>
      </w:tr>
      <w:tr w:rsidR="008A4BCF" w:rsidRPr="00125972" w14:paraId="3DBE3658" w14:textId="77777777" w:rsidTr="00B44AC3">
        <w:trPr>
          <w:trHeight w:val="255"/>
        </w:trPr>
        <w:tc>
          <w:tcPr>
            <w:tcW w:w="2348" w:type="pct"/>
            <w:tcBorders>
              <w:top w:val="single" w:sz="4" w:space="0" w:color="314364" w:themeColor="text2"/>
            </w:tcBorders>
            <w:vAlign w:val="center"/>
          </w:tcPr>
          <w:p w14:paraId="7E476C34" w14:textId="77777777" w:rsidR="008A4BCF" w:rsidRPr="00125972" w:rsidRDefault="008A4BCF" w:rsidP="00B44AC3">
            <w:pPr>
              <w:spacing w:after="0"/>
              <w:jc w:val="left"/>
              <w:rPr>
                <w:rFonts w:eastAsia="Calibri" w:cs="Segoe UI"/>
                <w:b/>
                <w:sz w:val="18"/>
                <w:szCs w:val="18"/>
              </w:rPr>
            </w:pPr>
            <w:r w:rsidRPr="00125972">
              <w:rPr>
                <w:rFonts w:eastAsia="Calibri" w:cs="Segoe UI"/>
                <w:b/>
                <w:sz w:val="18"/>
                <w:szCs w:val="18"/>
              </w:rPr>
              <w:t>Daňové príjmy</w:t>
            </w:r>
          </w:p>
        </w:tc>
        <w:tc>
          <w:tcPr>
            <w:tcW w:w="918" w:type="pct"/>
            <w:tcBorders>
              <w:top w:val="single" w:sz="4" w:space="0" w:color="314364" w:themeColor="text2"/>
            </w:tcBorders>
            <w:vAlign w:val="center"/>
          </w:tcPr>
          <w:p w14:paraId="150F0C0B" w14:textId="77777777" w:rsidR="008A4BCF" w:rsidRPr="00125972" w:rsidRDefault="008A4BCF" w:rsidP="00B44AC3">
            <w:pPr>
              <w:spacing w:after="0"/>
              <w:jc w:val="right"/>
              <w:rPr>
                <w:rFonts w:eastAsia="Calibri" w:cs="Segoe UI"/>
                <w:b/>
                <w:sz w:val="18"/>
                <w:szCs w:val="18"/>
              </w:rPr>
            </w:pPr>
            <w:r w:rsidRPr="00200377">
              <w:rPr>
                <w:b/>
                <w:bCs/>
                <w:color w:val="000000"/>
                <w:sz w:val="18"/>
                <w:szCs w:val="18"/>
              </w:rPr>
              <w:t>22 808 357</w:t>
            </w:r>
          </w:p>
        </w:tc>
        <w:tc>
          <w:tcPr>
            <w:tcW w:w="918" w:type="pct"/>
            <w:tcBorders>
              <w:top w:val="single" w:sz="4" w:space="0" w:color="314364" w:themeColor="text2"/>
            </w:tcBorders>
            <w:vAlign w:val="center"/>
          </w:tcPr>
          <w:p w14:paraId="7D4DACED" w14:textId="77777777" w:rsidR="008A4BCF" w:rsidRPr="00125972" w:rsidRDefault="008A4BCF" w:rsidP="00B44AC3">
            <w:pPr>
              <w:spacing w:after="0"/>
              <w:jc w:val="right"/>
              <w:rPr>
                <w:rFonts w:eastAsia="Calibri" w:cs="Segoe UI"/>
                <w:b/>
                <w:sz w:val="18"/>
                <w:szCs w:val="18"/>
              </w:rPr>
            </w:pPr>
            <w:r w:rsidRPr="00200377">
              <w:rPr>
                <w:b/>
                <w:bCs/>
                <w:color w:val="000000"/>
                <w:sz w:val="18"/>
                <w:szCs w:val="18"/>
              </w:rPr>
              <w:t>23 438 797</w:t>
            </w:r>
          </w:p>
        </w:tc>
        <w:tc>
          <w:tcPr>
            <w:tcW w:w="817" w:type="pct"/>
            <w:tcBorders>
              <w:top w:val="single" w:sz="4" w:space="0" w:color="314364" w:themeColor="text2"/>
            </w:tcBorders>
            <w:vAlign w:val="center"/>
          </w:tcPr>
          <w:p w14:paraId="27F00360" w14:textId="77777777" w:rsidR="008A4BCF" w:rsidRPr="00125972" w:rsidRDefault="008A4BCF" w:rsidP="00B44AC3">
            <w:pPr>
              <w:spacing w:after="0"/>
              <w:jc w:val="right"/>
              <w:rPr>
                <w:rFonts w:eastAsia="Calibri" w:cs="Segoe UI"/>
                <w:b/>
                <w:sz w:val="18"/>
                <w:szCs w:val="18"/>
              </w:rPr>
            </w:pPr>
            <w:r>
              <w:rPr>
                <w:b/>
                <w:bCs/>
                <w:color w:val="000000"/>
                <w:sz w:val="18"/>
                <w:szCs w:val="18"/>
              </w:rPr>
              <w:t>630 440</w:t>
            </w:r>
          </w:p>
        </w:tc>
      </w:tr>
      <w:tr w:rsidR="008A4BCF" w:rsidRPr="00125972" w14:paraId="4CD57190" w14:textId="77777777" w:rsidTr="00B44AC3">
        <w:trPr>
          <w:trHeight w:val="255"/>
        </w:trPr>
        <w:tc>
          <w:tcPr>
            <w:tcW w:w="2348" w:type="pct"/>
            <w:vAlign w:val="center"/>
          </w:tcPr>
          <w:p w14:paraId="453797D9" w14:textId="77777777" w:rsidR="008A4BCF" w:rsidRPr="00125972" w:rsidRDefault="008A4BCF" w:rsidP="00B44AC3">
            <w:pPr>
              <w:spacing w:after="0"/>
              <w:jc w:val="left"/>
              <w:rPr>
                <w:rFonts w:eastAsia="Calibri" w:cs="Segoe UI"/>
                <w:sz w:val="18"/>
                <w:szCs w:val="18"/>
              </w:rPr>
            </w:pPr>
            <w:r w:rsidRPr="00125972">
              <w:rPr>
                <w:rFonts w:eastAsia="Calibri" w:cs="Segoe UI"/>
                <w:sz w:val="18"/>
                <w:szCs w:val="18"/>
              </w:rPr>
              <w:t>Daň z príjmov fyzických osôb</w:t>
            </w:r>
          </w:p>
        </w:tc>
        <w:tc>
          <w:tcPr>
            <w:tcW w:w="918" w:type="pct"/>
            <w:vAlign w:val="center"/>
          </w:tcPr>
          <w:p w14:paraId="00C93D6C" w14:textId="77777777" w:rsidR="008A4BCF" w:rsidRPr="00125972" w:rsidRDefault="008A4BCF" w:rsidP="00B44AC3">
            <w:pPr>
              <w:spacing w:after="0"/>
              <w:jc w:val="right"/>
              <w:rPr>
                <w:rFonts w:eastAsia="Calibri" w:cs="Segoe UI"/>
                <w:sz w:val="18"/>
                <w:szCs w:val="18"/>
              </w:rPr>
            </w:pPr>
            <w:r w:rsidRPr="00200377">
              <w:rPr>
                <w:rFonts w:eastAsia="Times New Roman" w:cs="Times New Roman"/>
                <w:color w:val="000000"/>
                <w:sz w:val="18"/>
                <w:szCs w:val="18"/>
                <w:lang w:eastAsia="sk-SK"/>
              </w:rPr>
              <w:t>4 837 552</w:t>
            </w:r>
          </w:p>
        </w:tc>
        <w:tc>
          <w:tcPr>
            <w:tcW w:w="918" w:type="pct"/>
            <w:vAlign w:val="center"/>
          </w:tcPr>
          <w:p w14:paraId="434606B1" w14:textId="77777777" w:rsidR="008A4BCF" w:rsidRPr="00125972" w:rsidRDefault="008A4BCF" w:rsidP="00B44AC3">
            <w:pPr>
              <w:spacing w:after="0"/>
              <w:jc w:val="right"/>
              <w:rPr>
                <w:rFonts w:eastAsia="Calibri" w:cs="Segoe UI"/>
                <w:sz w:val="18"/>
                <w:szCs w:val="18"/>
              </w:rPr>
            </w:pPr>
            <w:r w:rsidRPr="00200377">
              <w:rPr>
                <w:rFonts w:eastAsia="Times New Roman" w:cs="Times New Roman"/>
                <w:color w:val="000000"/>
                <w:sz w:val="18"/>
                <w:szCs w:val="18"/>
                <w:lang w:eastAsia="sk-SK"/>
              </w:rPr>
              <w:t>4 624 265</w:t>
            </w:r>
          </w:p>
        </w:tc>
        <w:tc>
          <w:tcPr>
            <w:tcW w:w="817" w:type="pct"/>
            <w:vAlign w:val="center"/>
          </w:tcPr>
          <w:p w14:paraId="707B7F74" w14:textId="77777777" w:rsidR="008A4BCF" w:rsidRPr="00125972" w:rsidRDefault="008A4BCF" w:rsidP="00B44AC3">
            <w:pPr>
              <w:spacing w:after="0"/>
              <w:jc w:val="right"/>
              <w:rPr>
                <w:rFonts w:eastAsia="Calibri" w:cs="Segoe UI"/>
                <w:sz w:val="18"/>
                <w:szCs w:val="18"/>
              </w:rPr>
            </w:pPr>
            <w:r w:rsidRPr="00200377">
              <w:rPr>
                <w:rFonts w:eastAsia="Times New Roman" w:cs="Times New Roman"/>
                <w:color w:val="000000"/>
                <w:sz w:val="18"/>
                <w:szCs w:val="18"/>
                <w:lang w:eastAsia="sk-SK"/>
              </w:rPr>
              <w:t>-213 287</w:t>
            </w:r>
          </w:p>
        </w:tc>
      </w:tr>
      <w:tr w:rsidR="008A4BCF" w:rsidRPr="00125972" w14:paraId="23F0DF8B" w14:textId="77777777" w:rsidTr="00B44AC3">
        <w:trPr>
          <w:trHeight w:val="255"/>
        </w:trPr>
        <w:tc>
          <w:tcPr>
            <w:tcW w:w="2348" w:type="pct"/>
            <w:vAlign w:val="center"/>
          </w:tcPr>
          <w:p w14:paraId="337274DC" w14:textId="77777777" w:rsidR="008A4BCF" w:rsidRPr="00493DDD" w:rsidRDefault="008A4BCF" w:rsidP="00B44AC3">
            <w:pPr>
              <w:pStyle w:val="Odsekzoznamu"/>
              <w:numPr>
                <w:ilvl w:val="0"/>
                <w:numId w:val="2"/>
              </w:numPr>
              <w:spacing w:after="0"/>
              <w:jc w:val="left"/>
              <w:rPr>
                <w:rFonts w:eastAsia="Calibri" w:cs="Segoe UI"/>
                <w:sz w:val="18"/>
                <w:szCs w:val="18"/>
              </w:rPr>
            </w:pPr>
            <w:r w:rsidRPr="00493DDD">
              <w:rPr>
                <w:rFonts w:eastAsia="Calibri" w:cs="Segoe UI"/>
                <w:sz w:val="18"/>
                <w:szCs w:val="18"/>
              </w:rPr>
              <w:t>DPFO zo závislej činnosti</w:t>
            </w:r>
          </w:p>
        </w:tc>
        <w:tc>
          <w:tcPr>
            <w:tcW w:w="918" w:type="pct"/>
            <w:vAlign w:val="center"/>
          </w:tcPr>
          <w:p w14:paraId="48F9E3B4" w14:textId="77777777" w:rsidR="008A4BCF" w:rsidRPr="00125972" w:rsidRDefault="008A4BCF" w:rsidP="00B44AC3">
            <w:pPr>
              <w:spacing w:after="0"/>
              <w:jc w:val="right"/>
              <w:rPr>
                <w:rFonts w:eastAsia="Calibri" w:cs="Segoe UI"/>
                <w:sz w:val="18"/>
                <w:szCs w:val="18"/>
              </w:rPr>
            </w:pPr>
            <w:r w:rsidRPr="00200377">
              <w:rPr>
                <w:color w:val="000000"/>
                <w:sz w:val="18"/>
                <w:szCs w:val="18"/>
              </w:rPr>
              <w:t>4 677 851</w:t>
            </w:r>
          </w:p>
        </w:tc>
        <w:tc>
          <w:tcPr>
            <w:tcW w:w="918" w:type="pct"/>
            <w:vAlign w:val="center"/>
          </w:tcPr>
          <w:p w14:paraId="35A14AAE" w14:textId="77777777" w:rsidR="008A4BCF" w:rsidRPr="00125972" w:rsidRDefault="008A4BCF" w:rsidP="00B44AC3">
            <w:pPr>
              <w:spacing w:after="0"/>
              <w:jc w:val="right"/>
              <w:rPr>
                <w:rFonts w:eastAsia="Calibri" w:cs="Segoe UI"/>
                <w:sz w:val="18"/>
                <w:szCs w:val="18"/>
              </w:rPr>
            </w:pPr>
            <w:r w:rsidRPr="00200377">
              <w:rPr>
                <w:color w:val="000000"/>
                <w:sz w:val="18"/>
                <w:szCs w:val="18"/>
              </w:rPr>
              <w:t>4 436 022</w:t>
            </w:r>
          </w:p>
        </w:tc>
        <w:tc>
          <w:tcPr>
            <w:tcW w:w="817" w:type="pct"/>
            <w:vAlign w:val="center"/>
          </w:tcPr>
          <w:p w14:paraId="07BACA55" w14:textId="77777777" w:rsidR="008A4BCF" w:rsidRPr="00125972" w:rsidRDefault="008A4BCF" w:rsidP="00B44AC3">
            <w:pPr>
              <w:spacing w:after="0"/>
              <w:jc w:val="right"/>
              <w:rPr>
                <w:rFonts w:eastAsia="Calibri" w:cs="Segoe UI"/>
                <w:sz w:val="18"/>
                <w:szCs w:val="18"/>
              </w:rPr>
            </w:pPr>
            <w:r w:rsidRPr="00200377">
              <w:rPr>
                <w:color w:val="000000"/>
                <w:sz w:val="18"/>
                <w:szCs w:val="18"/>
              </w:rPr>
              <w:t>-241 829</w:t>
            </w:r>
          </w:p>
        </w:tc>
      </w:tr>
      <w:tr w:rsidR="008A4BCF" w:rsidRPr="00125972" w14:paraId="58F186C8" w14:textId="77777777" w:rsidTr="00B44AC3">
        <w:trPr>
          <w:trHeight w:val="255"/>
        </w:trPr>
        <w:tc>
          <w:tcPr>
            <w:tcW w:w="2348" w:type="pct"/>
            <w:vAlign w:val="center"/>
          </w:tcPr>
          <w:p w14:paraId="6ABCA7F8" w14:textId="77777777" w:rsidR="008A4BCF" w:rsidRPr="00493DDD" w:rsidRDefault="008A4BCF" w:rsidP="00B44AC3">
            <w:pPr>
              <w:pStyle w:val="Odsekzoznamu"/>
              <w:numPr>
                <w:ilvl w:val="0"/>
                <w:numId w:val="2"/>
              </w:numPr>
              <w:spacing w:after="0"/>
              <w:jc w:val="left"/>
              <w:rPr>
                <w:rFonts w:eastAsia="Calibri" w:cs="Segoe UI"/>
                <w:sz w:val="18"/>
                <w:szCs w:val="18"/>
              </w:rPr>
            </w:pPr>
            <w:r w:rsidRPr="00493DDD">
              <w:rPr>
                <w:rFonts w:eastAsia="Calibri" w:cs="Segoe UI"/>
                <w:sz w:val="18"/>
                <w:szCs w:val="18"/>
              </w:rPr>
              <w:t>DPFO z podnikania</w:t>
            </w:r>
          </w:p>
        </w:tc>
        <w:tc>
          <w:tcPr>
            <w:tcW w:w="918" w:type="pct"/>
            <w:vAlign w:val="center"/>
          </w:tcPr>
          <w:p w14:paraId="6284B214" w14:textId="77777777" w:rsidR="008A4BCF" w:rsidRPr="00125972" w:rsidRDefault="008A4BCF" w:rsidP="00B44AC3">
            <w:pPr>
              <w:spacing w:after="0"/>
              <w:jc w:val="right"/>
              <w:rPr>
                <w:rFonts w:eastAsia="Calibri" w:cs="Segoe UI"/>
                <w:sz w:val="18"/>
                <w:szCs w:val="18"/>
              </w:rPr>
            </w:pPr>
            <w:r w:rsidRPr="00200377">
              <w:rPr>
                <w:color w:val="000000"/>
                <w:sz w:val="18"/>
                <w:szCs w:val="18"/>
              </w:rPr>
              <w:t>159 701</w:t>
            </w:r>
          </w:p>
        </w:tc>
        <w:tc>
          <w:tcPr>
            <w:tcW w:w="918" w:type="pct"/>
            <w:vAlign w:val="center"/>
          </w:tcPr>
          <w:p w14:paraId="17B09311" w14:textId="77777777" w:rsidR="008A4BCF" w:rsidRPr="00125972" w:rsidRDefault="008A4BCF" w:rsidP="00B44AC3">
            <w:pPr>
              <w:spacing w:after="0"/>
              <w:jc w:val="right"/>
              <w:rPr>
                <w:rFonts w:eastAsia="Calibri" w:cs="Segoe UI"/>
                <w:sz w:val="18"/>
                <w:szCs w:val="18"/>
              </w:rPr>
            </w:pPr>
            <w:r w:rsidRPr="00200377">
              <w:rPr>
                <w:color w:val="000000"/>
                <w:sz w:val="18"/>
                <w:szCs w:val="18"/>
              </w:rPr>
              <w:t>188 243</w:t>
            </w:r>
          </w:p>
        </w:tc>
        <w:tc>
          <w:tcPr>
            <w:tcW w:w="817" w:type="pct"/>
            <w:vAlign w:val="center"/>
          </w:tcPr>
          <w:p w14:paraId="6C06B8EF" w14:textId="77777777" w:rsidR="008A4BCF" w:rsidRPr="00125972" w:rsidRDefault="008A4BCF" w:rsidP="00B44AC3">
            <w:pPr>
              <w:spacing w:after="0"/>
              <w:jc w:val="right"/>
              <w:rPr>
                <w:rFonts w:eastAsia="Calibri" w:cs="Segoe UI"/>
                <w:sz w:val="18"/>
                <w:szCs w:val="18"/>
              </w:rPr>
            </w:pPr>
            <w:r w:rsidRPr="00200377">
              <w:rPr>
                <w:color w:val="000000"/>
                <w:sz w:val="18"/>
                <w:szCs w:val="18"/>
              </w:rPr>
              <w:t>28 542</w:t>
            </w:r>
          </w:p>
        </w:tc>
      </w:tr>
      <w:tr w:rsidR="008A4BCF" w:rsidRPr="00125972" w14:paraId="25AFB2ED" w14:textId="77777777" w:rsidTr="00B44AC3">
        <w:trPr>
          <w:trHeight w:val="255"/>
        </w:trPr>
        <w:tc>
          <w:tcPr>
            <w:tcW w:w="2348" w:type="pct"/>
            <w:vAlign w:val="center"/>
          </w:tcPr>
          <w:p w14:paraId="44CC9E77" w14:textId="77777777" w:rsidR="008A4BCF" w:rsidRPr="00125972" w:rsidRDefault="008A4BCF" w:rsidP="00B44AC3">
            <w:pPr>
              <w:spacing w:after="0"/>
              <w:jc w:val="left"/>
              <w:rPr>
                <w:rFonts w:eastAsia="Calibri" w:cs="Segoe UI"/>
                <w:sz w:val="18"/>
                <w:szCs w:val="18"/>
              </w:rPr>
            </w:pPr>
            <w:r w:rsidRPr="00125972">
              <w:rPr>
                <w:rFonts w:eastAsia="Calibri" w:cs="Segoe UI"/>
                <w:sz w:val="18"/>
                <w:szCs w:val="18"/>
              </w:rPr>
              <w:t xml:space="preserve">Daň z príjmov právnických osôb </w:t>
            </w:r>
          </w:p>
        </w:tc>
        <w:tc>
          <w:tcPr>
            <w:tcW w:w="918" w:type="pct"/>
            <w:vAlign w:val="center"/>
          </w:tcPr>
          <w:p w14:paraId="78E82613" w14:textId="77777777" w:rsidR="008A4BCF" w:rsidRPr="00125972" w:rsidRDefault="008A4BCF" w:rsidP="00B44AC3">
            <w:pPr>
              <w:spacing w:after="0"/>
              <w:jc w:val="right"/>
              <w:rPr>
                <w:rFonts w:eastAsia="Calibri" w:cs="Segoe UI"/>
                <w:sz w:val="18"/>
                <w:szCs w:val="18"/>
              </w:rPr>
            </w:pPr>
            <w:r w:rsidRPr="00200377">
              <w:rPr>
                <w:color w:val="000000"/>
                <w:sz w:val="18"/>
                <w:szCs w:val="18"/>
              </w:rPr>
              <w:t>3 920 041</w:t>
            </w:r>
          </w:p>
        </w:tc>
        <w:tc>
          <w:tcPr>
            <w:tcW w:w="918" w:type="pct"/>
            <w:vAlign w:val="center"/>
          </w:tcPr>
          <w:p w14:paraId="7D09A7DA" w14:textId="77777777" w:rsidR="008A4BCF" w:rsidRPr="00125972" w:rsidRDefault="008A4BCF" w:rsidP="00B44AC3">
            <w:pPr>
              <w:spacing w:after="0"/>
              <w:jc w:val="right"/>
              <w:rPr>
                <w:rFonts w:eastAsia="Calibri" w:cs="Segoe UI"/>
                <w:sz w:val="18"/>
                <w:szCs w:val="18"/>
              </w:rPr>
            </w:pPr>
            <w:r w:rsidRPr="00200377">
              <w:rPr>
                <w:color w:val="000000"/>
                <w:sz w:val="18"/>
                <w:szCs w:val="18"/>
              </w:rPr>
              <w:t>4 263 250</w:t>
            </w:r>
          </w:p>
        </w:tc>
        <w:tc>
          <w:tcPr>
            <w:tcW w:w="817" w:type="pct"/>
            <w:vAlign w:val="center"/>
          </w:tcPr>
          <w:p w14:paraId="76794742" w14:textId="77777777" w:rsidR="008A4BCF" w:rsidRPr="00125972" w:rsidRDefault="008A4BCF" w:rsidP="00B44AC3">
            <w:pPr>
              <w:spacing w:after="0"/>
              <w:jc w:val="right"/>
              <w:rPr>
                <w:rFonts w:eastAsia="Calibri" w:cs="Segoe UI"/>
                <w:sz w:val="18"/>
                <w:szCs w:val="18"/>
              </w:rPr>
            </w:pPr>
            <w:r w:rsidRPr="00200377">
              <w:rPr>
                <w:color w:val="000000"/>
                <w:sz w:val="18"/>
                <w:szCs w:val="18"/>
              </w:rPr>
              <w:t>343 209</w:t>
            </w:r>
          </w:p>
        </w:tc>
      </w:tr>
      <w:tr w:rsidR="008A4BCF" w:rsidRPr="00125972" w14:paraId="2F84D36F" w14:textId="77777777" w:rsidTr="00B44AC3">
        <w:trPr>
          <w:trHeight w:val="255"/>
        </w:trPr>
        <w:tc>
          <w:tcPr>
            <w:tcW w:w="2348" w:type="pct"/>
            <w:vAlign w:val="center"/>
          </w:tcPr>
          <w:p w14:paraId="607002FD" w14:textId="77777777" w:rsidR="008A4BCF" w:rsidRPr="00125972" w:rsidRDefault="008A4BCF" w:rsidP="00B44AC3">
            <w:pPr>
              <w:spacing w:after="0"/>
              <w:jc w:val="left"/>
              <w:rPr>
                <w:rFonts w:eastAsia="Calibri" w:cs="Segoe UI"/>
                <w:sz w:val="18"/>
                <w:szCs w:val="18"/>
              </w:rPr>
            </w:pPr>
            <w:r w:rsidRPr="00125972">
              <w:rPr>
                <w:rFonts w:eastAsia="Calibri" w:cs="Segoe UI"/>
                <w:sz w:val="18"/>
                <w:szCs w:val="18"/>
              </w:rPr>
              <w:t xml:space="preserve">Daň z príjmov vyberaná zrážkou </w:t>
            </w:r>
          </w:p>
        </w:tc>
        <w:tc>
          <w:tcPr>
            <w:tcW w:w="918" w:type="pct"/>
            <w:vAlign w:val="center"/>
          </w:tcPr>
          <w:p w14:paraId="442F9C65" w14:textId="77777777" w:rsidR="008A4BCF" w:rsidRPr="00125972" w:rsidRDefault="008A4BCF" w:rsidP="00B44AC3">
            <w:pPr>
              <w:spacing w:after="0"/>
              <w:jc w:val="right"/>
              <w:rPr>
                <w:rFonts w:eastAsia="Calibri" w:cs="Segoe UI"/>
                <w:sz w:val="18"/>
                <w:szCs w:val="18"/>
              </w:rPr>
            </w:pPr>
            <w:r w:rsidRPr="00200377">
              <w:rPr>
                <w:color w:val="000000"/>
                <w:sz w:val="18"/>
                <w:szCs w:val="18"/>
              </w:rPr>
              <w:t>368 670</w:t>
            </w:r>
          </w:p>
        </w:tc>
        <w:tc>
          <w:tcPr>
            <w:tcW w:w="918" w:type="pct"/>
            <w:vAlign w:val="center"/>
          </w:tcPr>
          <w:p w14:paraId="718FAB86" w14:textId="77777777" w:rsidR="008A4BCF" w:rsidRPr="00125972" w:rsidRDefault="008A4BCF" w:rsidP="00B44AC3">
            <w:pPr>
              <w:spacing w:after="0"/>
              <w:jc w:val="right"/>
              <w:rPr>
                <w:rFonts w:eastAsia="Calibri" w:cs="Segoe UI"/>
                <w:sz w:val="18"/>
                <w:szCs w:val="18"/>
              </w:rPr>
            </w:pPr>
            <w:r w:rsidRPr="00200377">
              <w:rPr>
                <w:color w:val="000000"/>
                <w:sz w:val="18"/>
                <w:szCs w:val="18"/>
              </w:rPr>
              <w:t>430 574</w:t>
            </w:r>
          </w:p>
        </w:tc>
        <w:tc>
          <w:tcPr>
            <w:tcW w:w="817" w:type="pct"/>
            <w:vAlign w:val="center"/>
          </w:tcPr>
          <w:p w14:paraId="2FB435E8" w14:textId="77777777" w:rsidR="008A4BCF" w:rsidRPr="00782A92" w:rsidRDefault="008A4BCF" w:rsidP="00B44AC3">
            <w:pPr>
              <w:spacing w:after="0"/>
              <w:jc w:val="right"/>
              <w:rPr>
                <w:rFonts w:eastAsia="Calibri" w:cs="Segoe UI"/>
                <w:sz w:val="18"/>
                <w:szCs w:val="18"/>
              </w:rPr>
            </w:pPr>
            <w:r w:rsidRPr="00200377">
              <w:rPr>
                <w:color w:val="000000"/>
                <w:sz w:val="18"/>
                <w:szCs w:val="18"/>
              </w:rPr>
              <w:t>61 904</w:t>
            </w:r>
          </w:p>
        </w:tc>
      </w:tr>
      <w:tr w:rsidR="008A4BCF" w:rsidRPr="00125972" w14:paraId="56FA834C" w14:textId="77777777" w:rsidTr="00B44AC3">
        <w:trPr>
          <w:trHeight w:val="255"/>
        </w:trPr>
        <w:tc>
          <w:tcPr>
            <w:tcW w:w="2348" w:type="pct"/>
            <w:vAlign w:val="center"/>
          </w:tcPr>
          <w:p w14:paraId="15B00E1C" w14:textId="77777777" w:rsidR="008A4BCF" w:rsidRPr="00125972" w:rsidRDefault="008A4BCF" w:rsidP="00B44AC3">
            <w:pPr>
              <w:spacing w:after="0"/>
              <w:jc w:val="left"/>
              <w:rPr>
                <w:rFonts w:eastAsia="Calibri" w:cs="Segoe UI"/>
                <w:sz w:val="18"/>
                <w:szCs w:val="18"/>
              </w:rPr>
            </w:pPr>
            <w:r w:rsidRPr="00125972">
              <w:rPr>
                <w:rFonts w:eastAsia="Calibri" w:cs="Segoe UI"/>
                <w:sz w:val="18"/>
                <w:szCs w:val="18"/>
              </w:rPr>
              <w:t>Daň z pridanej hodnoty</w:t>
            </w:r>
          </w:p>
        </w:tc>
        <w:tc>
          <w:tcPr>
            <w:tcW w:w="918" w:type="pct"/>
            <w:vAlign w:val="center"/>
          </w:tcPr>
          <w:p w14:paraId="1E1A1846" w14:textId="77777777" w:rsidR="008A4BCF" w:rsidRPr="00125972" w:rsidRDefault="008A4BCF" w:rsidP="00B44AC3">
            <w:pPr>
              <w:spacing w:after="0"/>
              <w:jc w:val="right"/>
              <w:rPr>
                <w:rFonts w:eastAsia="Calibri" w:cs="Segoe UI"/>
                <w:sz w:val="18"/>
                <w:szCs w:val="18"/>
              </w:rPr>
            </w:pPr>
            <w:r w:rsidRPr="00200377">
              <w:rPr>
                <w:color w:val="000000"/>
                <w:sz w:val="18"/>
                <w:szCs w:val="18"/>
              </w:rPr>
              <w:t>9 883 679</w:t>
            </w:r>
          </w:p>
        </w:tc>
        <w:tc>
          <w:tcPr>
            <w:tcW w:w="918" w:type="pct"/>
            <w:vAlign w:val="center"/>
          </w:tcPr>
          <w:p w14:paraId="6A21EF92" w14:textId="77777777" w:rsidR="008A4BCF" w:rsidRPr="00125972" w:rsidRDefault="008A4BCF" w:rsidP="00B44AC3">
            <w:pPr>
              <w:spacing w:after="0"/>
              <w:jc w:val="right"/>
              <w:rPr>
                <w:rFonts w:eastAsia="Calibri" w:cs="Segoe UI"/>
                <w:sz w:val="18"/>
                <w:szCs w:val="18"/>
              </w:rPr>
            </w:pPr>
            <w:r w:rsidRPr="00200377">
              <w:rPr>
                <w:color w:val="000000"/>
                <w:sz w:val="18"/>
                <w:szCs w:val="18"/>
              </w:rPr>
              <w:t>9 799 764</w:t>
            </w:r>
          </w:p>
        </w:tc>
        <w:tc>
          <w:tcPr>
            <w:tcW w:w="817" w:type="pct"/>
            <w:vAlign w:val="center"/>
          </w:tcPr>
          <w:p w14:paraId="32F0B272" w14:textId="77777777" w:rsidR="008A4BCF" w:rsidRPr="00782A92" w:rsidRDefault="008A4BCF" w:rsidP="00B44AC3">
            <w:pPr>
              <w:spacing w:after="0"/>
              <w:jc w:val="right"/>
              <w:rPr>
                <w:rFonts w:eastAsia="Calibri" w:cs="Segoe UI"/>
                <w:sz w:val="18"/>
                <w:szCs w:val="18"/>
              </w:rPr>
            </w:pPr>
            <w:r w:rsidRPr="00200377">
              <w:rPr>
                <w:color w:val="000000"/>
                <w:sz w:val="18"/>
                <w:szCs w:val="18"/>
              </w:rPr>
              <w:t>-83 915</w:t>
            </w:r>
          </w:p>
        </w:tc>
      </w:tr>
      <w:tr w:rsidR="008A4BCF" w:rsidRPr="00125972" w14:paraId="3A0AFE98" w14:textId="77777777" w:rsidTr="00B44AC3">
        <w:trPr>
          <w:trHeight w:val="255"/>
        </w:trPr>
        <w:tc>
          <w:tcPr>
            <w:tcW w:w="2348" w:type="pct"/>
            <w:vAlign w:val="center"/>
          </w:tcPr>
          <w:p w14:paraId="638BEA2D" w14:textId="77777777" w:rsidR="008A4BCF" w:rsidRPr="00125972" w:rsidRDefault="008A4BCF" w:rsidP="00B44AC3">
            <w:pPr>
              <w:spacing w:after="0"/>
              <w:jc w:val="left"/>
              <w:rPr>
                <w:rFonts w:eastAsia="Calibri" w:cs="Segoe UI"/>
                <w:sz w:val="18"/>
                <w:szCs w:val="18"/>
              </w:rPr>
            </w:pPr>
            <w:r w:rsidRPr="00125972">
              <w:rPr>
                <w:rFonts w:eastAsia="Calibri" w:cs="Segoe UI"/>
                <w:sz w:val="18"/>
                <w:szCs w:val="18"/>
              </w:rPr>
              <w:t>Spotrebné dane</w:t>
            </w:r>
          </w:p>
        </w:tc>
        <w:tc>
          <w:tcPr>
            <w:tcW w:w="918" w:type="pct"/>
            <w:vAlign w:val="center"/>
          </w:tcPr>
          <w:p w14:paraId="09A3ABF3" w14:textId="77777777" w:rsidR="008A4BCF" w:rsidRPr="00125972" w:rsidRDefault="008A4BCF" w:rsidP="00B44AC3">
            <w:pPr>
              <w:spacing w:after="0"/>
              <w:jc w:val="right"/>
              <w:rPr>
                <w:rFonts w:eastAsia="Calibri" w:cs="Segoe UI"/>
                <w:sz w:val="18"/>
                <w:szCs w:val="18"/>
              </w:rPr>
            </w:pPr>
            <w:r w:rsidRPr="00200377">
              <w:rPr>
                <w:color w:val="000000"/>
                <w:sz w:val="18"/>
                <w:szCs w:val="18"/>
              </w:rPr>
              <w:t>2 548 050</w:t>
            </w:r>
          </w:p>
        </w:tc>
        <w:tc>
          <w:tcPr>
            <w:tcW w:w="918" w:type="pct"/>
            <w:vAlign w:val="center"/>
          </w:tcPr>
          <w:p w14:paraId="67083675" w14:textId="77777777" w:rsidR="008A4BCF" w:rsidRPr="00125972" w:rsidRDefault="008A4BCF" w:rsidP="00B44AC3">
            <w:pPr>
              <w:spacing w:after="0"/>
              <w:jc w:val="right"/>
              <w:rPr>
                <w:rFonts w:eastAsia="Calibri" w:cs="Segoe UI"/>
                <w:sz w:val="18"/>
                <w:szCs w:val="18"/>
              </w:rPr>
            </w:pPr>
            <w:r w:rsidRPr="00200377">
              <w:rPr>
                <w:color w:val="000000"/>
                <w:sz w:val="18"/>
                <w:szCs w:val="18"/>
              </w:rPr>
              <w:t>2 600 048</w:t>
            </w:r>
          </w:p>
        </w:tc>
        <w:tc>
          <w:tcPr>
            <w:tcW w:w="817" w:type="pct"/>
            <w:vAlign w:val="center"/>
          </w:tcPr>
          <w:p w14:paraId="411E14A6" w14:textId="77777777" w:rsidR="008A4BCF" w:rsidRPr="00125972" w:rsidRDefault="008A4BCF" w:rsidP="00B44AC3">
            <w:pPr>
              <w:spacing w:after="0"/>
              <w:jc w:val="right"/>
              <w:rPr>
                <w:rFonts w:eastAsia="Calibri" w:cs="Segoe UI"/>
                <w:sz w:val="18"/>
                <w:szCs w:val="18"/>
              </w:rPr>
            </w:pPr>
            <w:r w:rsidRPr="00200377">
              <w:rPr>
                <w:color w:val="000000"/>
                <w:sz w:val="18"/>
                <w:szCs w:val="18"/>
              </w:rPr>
              <w:t>51 998</w:t>
            </w:r>
          </w:p>
        </w:tc>
      </w:tr>
      <w:tr w:rsidR="008A4BCF" w:rsidRPr="00125972" w14:paraId="00BDBA71" w14:textId="77777777" w:rsidTr="00B44AC3">
        <w:trPr>
          <w:trHeight w:val="255"/>
        </w:trPr>
        <w:tc>
          <w:tcPr>
            <w:tcW w:w="2348" w:type="pct"/>
            <w:vAlign w:val="center"/>
          </w:tcPr>
          <w:p w14:paraId="52D5E256" w14:textId="77777777" w:rsidR="008A4BCF" w:rsidRPr="00493DDD" w:rsidRDefault="008A4BCF" w:rsidP="00B44AC3">
            <w:pPr>
              <w:pStyle w:val="Odsekzoznamu"/>
              <w:numPr>
                <w:ilvl w:val="0"/>
                <w:numId w:val="2"/>
              </w:numPr>
              <w:spacing w:after="0"/>
              <w:jc w:val="left"/>
              <w:rPr>
                <w:rFonts w:eastAsia="Calibri" w:cs="Segoe UI"/>
                <w:sz w:val="18"/>
                <w:szCs w:val="18"/>
              </w:rPr>
            </w:pPr>
            <w:r w:rsidRPr="00493DDD">
              <w:rPr>
                <w:rFonts w:eastAsia="Calibri" w:cs="Segoe UI"/>
                <w:sz w:val="18"/>
                <w:szCs w:val="18"/>
              </w:rPr>
              <w:t>Z minerálnych olejov</w:t>
            </w:r>
          </w:p>
        </w:tc>
        <w:tc>
          <w:tcPr>
            <w:tcW w:w="918" w:type="pct"/>
            <w:vAlign w:val="center"/>
          </w:tcPr>
          <w:p w14:paraId="7258E444" w14:textId="77777777" w:rsidR="008A4BCF" w:rsidRPr="00125972" w:rsidRDefault="008A4BCF" w:rsidP="00B44AC3">
            <w:pPr>
              <w:spacing w:after="0"/>
              <w:jc w:val="right"/>
              <w:rPr>
                <w:rFonts w:eastAsia="Calibri" w:cs="Segoe UI"/>
                <w:sz w:val="18"/>
                <w:szCs w:val="18"/>
              </w:rPr>
            </w:pPr>
            <w:r w:rsidRPr="00200377">
              <w:rPr>
                <w:color w:val="000000"/>
                <w:sz w:val="18"/>
                <w:szCs w:val="18"/>
              </w:rPr>
              <w:t>1 294 178</w:t>
            </w:r>
          </w:p>
        </w:tc>
        <w:tc>
          <w:tcPr>
            <w:tcW w:w="918" w:type="pct"/>
            <w:vAlign w:val="center"/>
          </w:tcPr>
          <w:p w14:paraId="5739FB8A" w14:textId="77777777" w:rsidR="008A4BCF" w:rsidRPr="00125972" w:rsidRDefault="008A4BCF" w:rsidP="00B44AC3">
            <w:pPr>
              <w:spacing w:after="0"/>
              <w:jc w:val="right"/>
              <w:rPr>
                <w:rFonts w:eastAsia="Calibri" w:cs="Segoe UI"/>
                <w:sz w:val="18"/>
                <w:szCs w:val="18"/>
              </w:rPr>
            </w:pPr>
            <w:r w:rsidRPr="00200377">
              <w:rPr>
                <w:color w:val="000000"/>
                <w:sz w:val="18"/>
                <w:szCs w:val="18"/>
              </w:rPr>
              <w:t>1 315 052</w:t>
            </w:r>
          </w:p>
        </w:tc>
        <w:tc>
          <w:tcPr>
            <w:tcW w:w="817" w:type="pct"/>
            <w:vAlign w:val="center"/>
          </w:tcPr>
          <w:p w14:paraId="6673BA44" w14:textId="77777777" w:rsidR="008A4BCF" w:rsidRPr="00125972" w:rsidRDefault="008A4BCF" w:rsidP="00B44AC3">
            <w:pPr>
              <w:spacing w:after="0"/>
              <w:jc w:val="right"/>
              <w:rPr>
                <w:rFonts w:eastAsia="Calibri" w:cs="Segoe UI"/>
                <w:sz w:val="18"/>
                <w:szCs w:val="18"/>
              </w:rPr>
            </w:pPr>
            <w:r w:rsidRPr="00200377">
              <w:rPr>
                <w:color w:val="000000"/>
                <w:sz w:val="18"/>
                <w:szCs w:val="18"/>
              </w:rPr>
              <w:t>20 874</w:t>
            </w:r>
          </w:p>
        </w:tc>
      </w:tr>
      <w:tr w:rsidR="008A4BCF" w:rsidRPr="00125972" w14:paraId="73F22B82" w14:textId="77777777" w:rsidTr="00B44AC3">
        <w:trPr>
          <w:trHeight w:val="255"/>
        </w:trPr>
        <w:tc>
          <w:tcPr>
            <w:tcW w:w="2348" w:type="pct"/>
            <w:vAlign w:val="center"/>
          </w:tcPr>
          <w:p w14:paraId="09A63E92" w14:textId="77777777" w:rsidR="008A4BCF" w:rsidRPr="00493DDD" w:rsidRDefault="008A4BCF" w:rsidP="00B44AC3">
            <w:pPr>
              <w:pStyle w:val="Odsekzoznamu"/>
              <w:numPr>
                <w:ilvl w:val="0"/>
                <w:numId w:val="2"/>
              </w:numPr>
              <w:spacing w:after="0"/>
              <w:jc w:val="left"/>
              <w:rPr>
                <w:rFonts w:eastAsia="Calibri" w:cs="Segoe UI"/>
                <w:sz w:val="18"/>
                <w:szCs w:val="18"/>
              </w:rPr>
            </w:pPr>
            <w:r w:rsidRPr="00493DDD">
              <w:rPr>
                <w:rFonts w:eastAsia="Calibri" w:cs="Segoe UI"/>
                <w:sz w:val="18"/>
                <w:szCs w:val="18"/>
              </w:rPr>
              <w:t>Z tabaku a tabakových výrobkov</w:t>
            </w:r>
          </w:p>
        </w:tc>
        <w:tc>
          <w:tcPr>
            <w:tcW w:w="918" w:type="pct"/>
            <w:vAlign w:val="center"/>
          </w:tcPr>
          <w:p w14:paraId="49BB1F63" w14:textId="77777777" w:rsidR="008A4BCF" w:rsidRPr="00125972" w:rsidRDefault="008A4BCF" w:rsidP="00B44AC3">
            <w:pPr>
              <w:spacing w:after="0"/>
              <w:jc w:val="right"/>
              <w:rPr>
                <w:rFonts w:eastAsia="Calibri" w:cs="Segoe UI"/>
                <w:sz w:val="18"/>
                <w:szCs w:val="18"/>
              </w:rPr>
            </w:pPr>
            <w:r w:rsidRPr="00200377">
              <w:rPr>
                <w:color w:val="000000"/>
                <w:sz w:val="18"/>
                <w:szCs w:val="18"/>
              </w:rPr>
              <w:t>942 227</w:t>
            </w:r>
          </w:p>
        </w:tc>
        <w:tc>
          <w:tcPr>
            <w:tcW w:w="918" w:type="pct"/>
            <w:vAlign w:val="center"/>
          </w:tcPr>
          <w:p w14:paraId="2AAFEEB9" w14:textId="77777777" w:rsidR="008A4BCF" w:rsidRPr="00125972" w:rsidRDefault="008A4BCF" w:rsidP="00B44AC3">
            <w:pPr>
              <w:spacing w:after="0"/>
              <w:jc w:val="right"/>
              <w:rPr>
                <w:rFonts w:eastAsia="Calibri" w:cs="Segoe UI"/>
                <w:sz w:val="18"/>
                <w:szCs w:val="18"/>
              </w:rPr>
            </w:pPr>
            <w:r w:rsidRPr="00200377">
              <w:rPr>
                <w:color w:val="000000"/>
                <w:sz w:val="18"/>
                <w:szCs w:val="18"/>
              </w:rPr>
              <w:t>936 553</w:t>
            </w:r>
          </w:p>
        </w:tc>
        <w:tc>
          <w:tcPr>
            <w:tcW w:w="817" w:type="pct"/>
            <w:vAlign w:val="center"/>
          </w:tcPr>
          <w:p w14:paraId="3A65F198" w14:textId="77777777" w:rsidR="008A4BCF" w:rsidRPr="00125972" w:rsidRDefault="008A4BCF" w:rsidP="00B44AC3">
            <w:pPr>
              <w:spacing w:after="0"/>
              <w:jc w:val="right"/>
              <w:rPr>
                <w:rFonts w:eastAsia="Calibri" w:cs="Segoe UI"/>
                <w:sz w:val="18"/>
                <w:szCs w:val="18"/>
              </w:rPr>
            </w:pPr>
            <w:r w:rsidRPr="00200377">
              <w:rPr>
                <w:color w:val="000000"/>
                <w:sz w:val="18"/>
                <w:szCs w:val="18"/>
              </w:rPr>
              <w:t>-5 674</w:t>
            </w:r>
          </w:p>
        </w:tc>
      </w:tr>
      <w:tr w:rsidR="008A4BCF" w:rsidRPr="00125972" w14:paraId="0E00BA13" w14:textId="77777777" w:rsidTr="00B44AC3">
        <w:trPr>
          <w:trHeight w:val="255"/>
        </w:trPr>
        <w:tc>
          <w:tcPr>
            <w:tcW w:w="2348" w:type="pct"/>
            <w:vAlign w:val="center"/>
          </w:tcPr>
          <w:p w14:paraId="2C7C0B85" w14:textId="77777777" w:rsidR="008A4BCF" w:rsidRPr="00125972" w:rsidRDefault="008A4BCF" w:rsidP="00B44AC3">
            <w:pPr>
              <w:spacing w:after="0"/>
              <w:jc w:val="left"/>
              <w:rPr>
                <w:rFonts w:eastAsia="Calibri" w:cs="Segoe UI"/>
                <w:sz w:val="18"/>
                <w:szCs w:val="18"/>
              </w:rPr>
            </w:pPr>
            <w:r w:rsidRPr="00125972">
              <w:rPr>
                <w:rFonts w:eastAsia="Calibri" w:cs="Segoe UI"/>
                <w:sz w:val="18"/>
                <w:szCs w:val="18"/>
              </w:rPr>
              <w:t>Dane z majetku (nehnuteľnosti)</w:t>
            </w:r>
          </w:p>
        </w:tc>
        <w:tc>
          <w:tcPr>
            <w:tcW w:w="918" w:type="pct"/>
            <w:vAlign w:val="center"/>
          </w:tcPr>
          <w:p w14:paraId="2DD2B95F" w14:textId="77777777" w:rsidR="008A4BCF" w:rsidRPr="00125972" w:rsidRDefault="008A4BCF" w:rsidP="00B44AC3">
            <w:pPr>
              <w:spacing w:after="0"/>
              <w:jc w:val="right"/>
              <w:rPr>
                <w:rFonts w:eastAsia="Calibri" w:cs="Segoe UI"/>
                <w:sz w:val="18"/>
                <w:szCs w:val="18"/>
              </w:rPr>
            </w:pPr>
            <w:r w:rsidRPr="00200377">
              <w:rPr>
                <w:color w:val="000000"/>
                <w:sz w:val="18"/>
                <w:szCs w:val="18"/>
              </w:rPr>
              <w:t>483 510</w:t>
            </w:r>
          </w:p>
        </w:tc>
        <w:tc>
          <w:tcPr>
            <w:tcW w:w="918" w:type="pct"/>
            <w:vAlign w:val="center"/>
          </w:tcPr>
          <w:p w14:paraId="081E3301" w14:textId="77777777" w:rsidR="008A4BCF" w:rsidRPr="00125972" w:rsidRDefault="008A4BCF" w:rsidP="00B44AC3">
            <w:pPr>
              <w:spacing w:after="0"/>
              <w:jc w:val="right"/>
              <w:rPr>
                <w:rFonts w:eastAsia="Calibri" w:cs="Segoe UI"/>
                <w:sz w:val="18"/>
                <w:szCs w:val="18"/>
              </w:rPr>
            </w:pPr>
            <w:r w:rsidRPr="00200377">
              <w:rPr>
                <w:color w:val="000000"/>
                <w:sz w:val="18"/>
                <w:szCs w:val="18"/>
              </w:rPr>
              <w:t>496 602</w:t>
            </w:r>
          </w:p>
        </w:tc>
        <w:tc>
          <w:tcPr>
            <w:tcW w:w="817" w:type="pct"/>
            <w:vAlign w:val="center"/>
          </w:tcPr>
          <w:p w14:paraId="09975767" w14:textId="77777777" w:rsidR="008A4BCF" w:rsidRPr="00125972" w:rsidRDefault="008A4BCF" w:rsidP="00B44AC3">
            <w:pPr>
              <w:spacing w:after="0"/>
              <w:jc w:val="right"/>
              <w:rPr>
                <w:rFonts w:eastAsia="Calibri" w:cs="Segoe UI"/>
                <w:sz w:val="18"/>
                <w:szCs w:val="18"/>
              </w:rPr>
            </w:pPr>
            <w:r w:rsidRPr="00200377">
              <w:rPr>
                <w:color w:val="000000"/>
                <w:sz w:val="18"/>
                <w:szCs w:val="18"/>
              </w:rPr>
              <w:t>13 097</w:t>
            </w:r>
          </w:p>
        </w:tc>
      </w:tr>
      <w:tr w:rsidR="008A4BCF" w:rsidRPr="00125972" w14:paraId="29C699C8" w14:textId="77777777" w:rsidTr="00B44AC3">
        <w:trPr>
          <w:trHeight w:val="255"/>
        </w:trPr>
        <w:tc>
          <w:tcPr>
            <w:tcW w:w="2348" w:type="pct"/>
            <w:vAlign w:val="center"/>
          </w:tcPr>
          <w:p w14:paraId="4CEF3275" w14:textId="77777777" w:rsidR="008A4BCF" w:rsidRPr="00125972" w:rsidRDefault="008A4BCF" w:rsidP="00B44AC3">
            <w:pPr>
              <w:spacing w:after="0"/>
              <w:jc w:val="left"/>
              <w:rPr>
                <w:rFonts w:eastAsia="Calibri" w:cs="Segoe UI"/>
                <w:sz w:val="18"/>
                <w:szCs w:val="18"/>
              </w:rPr>
            </w:pPr>
            <w:r w:rsidRPr="00125972">
              <w:rPr>
                <w:rFonts w:eastAsia="Calibri" w:cs="Segoe UI"/>
                <w:sz w:val="18"/>
                <w:szCs w:val="18"/>
              </w:rPr>
              <w:t>Dane z medzinárodného obchodu</w:t>
            </w:r>
          </w:p>
        </w:tc>
        <w:tc>
          <w:tcPr>
            <w:tcW w:w="918" w:type="pct"/>
            <w:vAlign w:val="center"/>
          </w:tcPr>
          <w:p w14:paraId="0F6F9E41" w14:textId="77777777" w:rsidR="008A4BCF" w:rsidRPr="00125972" w:rsidRDefault="008A4BCF" w:rsidP="00B44AC3">
            <w:pPr>
              <w:spacing w:after="0"/>
              <w:jc w:val="right"/>
              <w:rPr>
                <w:rFonts w:eastAsia="Calibri" w:cs="Segoe UI"/>
                <w:sz w:val="18"/>
                <w:szCs w:val="18"/>
              </w:rPr>
            </w:pPr>
            <w:r w:rsidRPr="00200377">
              <w:rPr>
                <w:color w:val="000000"/>
                <w:sz w:val="18"/>
                <w:szCs w:val="18"/>
              </w:rPr>
              <w:t>41 232</w:t>
            </w:r>
          </w:p>
        </w:tc>
        <w:tc>
          <w:tcPr>
            <w:tcW w:w="918" w:type="pct"/>
            <w:vAlign w:val="center"/>
          </w:tcPr>
          <w:p w14:paraId="4816DEBB" w14:textId="77777777" w:rsidR="008A4BCF" w:rsidRPr="00125972" w:rsidRDefault="008A4BCF" w:rsidP="00B44AC3">
            <w:pPr>
              <w:spacing w:after="0"/>
              <w:jc w:val="right"/>
              <w:rPr>
                <w:rFonts w:eastAsia="Calibri" w:cs="Segoe UI"/>
                <w:sz w:val="18"/>
                <w:szCs w:val="18"/>
              </w:rPr>
            </w:pPr>
            <w:r w:rsidRPr="00200377">
              <w:rPr>
                <w:color w:val="000000"/>
                <w:sz w:val="18"/>
                <w:szCs w:val="18"/>
              </w:rPr>
              <w:t>37 917</w:t>
            </w:r>
          </w:p>
        </w:tc>
        <w:tc>
          <w:tcPr>
            <w:tcW w:w="817" w:type="pct"/>
            <w:vAlign w:val="center"/>
          </w:tcPr>
          <w:p w14:paraId="306B91D6" w14:textId="77777777" w:rsidR="008A4BCF" w:rsidRPr="00125972" w:rsidRDefault="008A4BCF" w:rsidP="00B44AC3">
            <w:pPr>
              <w:spacing w:after="0"/>
              <w:jc w:val="right"/>
              <w:rPr>
                <w:rFonts w:eastAsia="Calibri" w:cs="Segoe UI"/>
                <w:sz w:val="18"/>
                <w:szCs w:val="18"/>
              </w:rPr>
            </w:pPr>
            <w:r w:rsidRPr="00200377">
              <w:rPr>
                <w:color w:val="000000"/>
                <w:sz w:val="18"/>
                <w:szCs w:val="18"/>
              </w:rPr>
              <w:t>-3 315</w:t>
            </w:r>
          </w:p>
        </w:tc>
      </w:tr>
      <w:tr w:rsidR="008A4BCF" w:rsidRPr="00125972" w14:paraId="72EED172" w14:textId="77777777" w:rsidTr="00B44AC3">
        <w:trPr>
          <w:trHeight w:val="255"/>
        </w:trPr>
        <w:tc>
          <w:tcPr>
            <w:tcW w:w="2348" w:type="pct"/>
            <w:tcBorders>
              <w:bottom w:val="single" w:sz="4" w:space="0" w:color="314364" w:themeColor="text2"/>
            </w:tcBorders>
            <w:vAlign w:val="center"/>
          </w:tcPr>
          <w:p w14:paraId="43065BBB" w14:textId="77777777" w:rsidR="008A4BCF" w:rsidRPr="00125972" w:rsidRDefault="008A4BCF" w:rsidP="00B44AC3">
            <w:pPr>
              <w:spacing w:after="0"/>
              <w:jc w:val="left"/>
              <w:rPr>
                <w:rFonts w:eastAsia="Calibri" w:cs="Segoe UI"/>
                <w:sz w:val="18"/>
                <w:szCs w:val="18"/>
              </w:rPr>
            </w:pPr>
            <w:r w:rsidRPr="00125972">
              <w:rPr>
                <w:rFonts w:eastAsia="Calibri" w:cs="Segoe UI"/>
                <w:sz w:val="18"/>
                <w:szCs w:val="18"/>
              </w:rPr>
              <w:t>Ostatné dane a poplatky</w:t>
            </w:r>
          </w:p>
        </w:tc>
        <w:tc>
          <w:tcPr>
            <w:tcW w:w="918" w:type="pct"/>
            <w:tcBorders>
              <w:bottom w:val="single" w:sz="4" w:space="0" w:color="314364" w:themeColor="text2"/>
            </w:tcBorders>
            <w:vAlign w:val="center"/>
          </w:tcPr>
          <w:p w14:paraId="65F9F91C" w14:textId="77777777" w:rsidR="008A4BCF" w:rsidRPr="00125972" w:rsidRDefault="008A4BCF" w:rsidP="00B44AC3">
            <w:pPr>
              <w:spacing w:after="0"/>
              <w:jc w:val="right"/>
              <w:rPr>
                <w:rFonts w:eastAsia="Calibri" w:cs="Segoe UI"/>
                <w:sz w:val="18"/>
                <w:szCs w:val="18"/>
              </w:rPr>
            </w:pPr>
            <w:r w:rsidRPr="00200377">
              <w:rPr>
                <w:color w:val="000000"/>
                <w:sz w:val="18"/>
                <w:szCs w:val="18"/>
              </w:rPr>
              <w:t>725 623</w:t>
            </w:r>
          </w:p>
        </w:tc>
        <w:tc>
          <w:tcPr>
            <w:tcW w:w="918" w:type="pct"/>
            <w:tcBorders>
              <w:bottom w:val="single" w:sz="4" w:space="0" w:color="314364" w:themeColor="text2"/>
            </w:tcBorders>
            <w:vAlign w:val="center"/>
          </w:tcPr>
          <w:p w14:paraId="41D6A1C1" w14:textId="77777777" w:rsidR="008A4BCF" w:rsidRPr="00125972" w:rsidRDefault="008A4BCF" w:rsidP="00B44AC3">
            <w:pPr>
              <w:spacing w:after="0"/>
              <w:jc w:val="right"/>
              <w:rPr>
                <w:rFonts w:eastAsia="Calibri" w:cs="Segoe UI"/>
                <w:sz w:val="18"/>
                <w:szCs w:val="18"/>
              </w:rPr>
            </w:pPr>
            <w:r w:rsidRPr="00200377">
              <w:rPr>
                <w:color w:val="000000"/>
                <w:sz w:val="18"/>
                <w:szCs w:val="18"/>
              </w:rPr>
              <w:t>1 186 379</w:t>
            </w:r>
          </w:p>
        </w:tc>
        <w:tc>
          <w:tcPr>
            <w:tcW w:w="817" w:type="pct"/>
            <w:tcBorders>
              <w:bottom w:val="single" w:sz="4" w:space="0" w:color="314364" w:themeColor="text2"/>
            </w:tcBorders>
            <w:vAlign w:val="center"/>
          </w:tcPr>
          <w:p w14:paraId="6208493F" w14:textId="77777777" w:rsidR="008A4BCF" w:rsidRPr="00125972" w:rsidRDefault="008A4BCF" w:rsidP="00B44AC3">
            <w:pPr>
              <w:spacing w:after="0"/>
              <w:jc w:val="right"/>
              <w:rPr>
                <w:rFonts w:eastAsia="Calibri" w:cs="Segoe UI"/>
                <w:sz w:val="18"/>
                <w:szCs w:val="18"/>
              </w:rPr>
            </w:pPr>
            <w:r w:rsidRPr="00200377">
              <w:rPr>
                <w:color w:val="000000"/>
                <w:sz w:val="18"/>
                <w:szCs w:val="18"/>
              </w:rPr>
              <w:t>460 756</w:t>
            </w:r>
          </w:p>
        </w:tc>
      </w:tr>
      <w:tr w:rsidR="008A4BCF" w:rsidRPr="00125972" w14:paraId="13E72F41" w14:textId="77777777" w:rsidTr="00B44AC3">
        <w:trPr>
          <w:trHeight w:val="255"/>
        </w:trPr>
        <w:tc>
          <w:tcPr>
            <w:tcW w:w="2348" w:type="pct"/>
            <w:tcBorders>
              <w:top w:val="single" w:sz="4" w:space="0" w:color="314364" w:themeColor="text2"/>
            </w:tcBorders>
            <w:vAlign w:val="center"/>
          </w:tcPr>
          <w:p w14:paraId="4EE60144" w14:textId="77777777" w:rsidR="008A4BCF" w:rsidRPr="00125972" w:rsidRDefault="008A4BCF" w:rsidP="00B44AC3">
            <w:pPr>
              <w:spacing w:after="0"/>
              <w:jc w:val="left"/>
              <w:rPr>
                <w:rFonts w:eastAsia="Calibri" w:cs="Segoe UI"/>
                <w:b/>
                <w:sz w:val="18"/>
                <w:szCs w:val="18"/>
              </w:rPr>
            </w:pPr>
            <w:r w:rsidRPr="004516D3">
              <w:rPr>
                <w:rFonts w:eastAsia="Calibri" w:cs="Segoe UI"/>
                <w:b/>
                <w:sz w:val="18"/>
                <w:szCs w:val="18"/>
              </w:rPr>
              <w:t>Fondy sociálneho a zdravotného poistenia</w:t>
            </w:r>
          </w:p>
        </w:tc>
        <w:tc>
          <w:tcPr>
            <w:tcW w:w="918" w:type="pct"/>
            <w:tcBorders>
              <w:top w:val="single" w:sz="4" w:space="0" w:color="314364" w:themeColor="text2"/>
            </w:tcBorders>
            <w:vAlign w:val="center"/>
          </w:tcPr>
          <w:p w14:paraId="68CB7B79" w14:textId="77777777" w:rsidR="008A4BCF" w:rsidRPr="00125972" w:rsidRDefault="008A4BCF" w:rsidP="00B44AC3">
            <w:pPr>
              <w:spacing w:after="0"/>
              <w:jc w:val="right"/>
              <w:rPr>
                <w:rFonts w:eastAsia="Calibri" w:cs="Segoe UI"/>
                <w:b/>
                <w:sz w:val="18"/>
                <w:szCs w:val="18"/>
              </w:rPr>
            </w:pPr>
            <w:r w:rsidRPr="00200377">
              <w:rPr>
                <w:b/>
                <w:bCs/>
                <w:color w:val="000000"/>
                <w:sz w:val="18"/>
                <w:szCs w:val="18"/>
              </w:rPr>
              <w:t>15 651 818</w:t>
            </w:r>
          </w:p>
        </w:tc>
        <w:tc>
          <w:tcPr>
            <w:tcW w:w="918" w:type="pct"/>
            <w:tcBorders>
              <w:top w:val="single" w:sz="4" w:space="0" w:color="314364" w:themeColor="text2"/>
            </w:tcBorders>
            <w:vAlign w:val="center"/>
          </w:tcPr>
          <w:p w14:paraId="614CAEC4" w14:textId="77777777" w:rsidR="008A4BCF" w:rsidRPr="00125972" w:rsidRDefault="008A4BCF" w:rsidP="00B44AC3">
            <w:pPr>
              <w:spacing w:after="0"/>
              <w:jc w:val="right"/>
              <w:rPr>
                <w:rFonts w:eastAsia="Calibri" w:cs="Segoe UI"/>
                <w:b/>
                <w:sz w:val="18"/>
                <w:szCs w:val="18"/>
              </w:rPr>
            </w:pPr>
            <w:r w:rsidRPr="00200377">
              <w:rPr>
                <w:b/>
                <w:bCs/>
                <w:color w:val="000000"/>
                <w:sz w:val="18"/>
                <w:szCs w:val="18"/>
              </w:rPr>
              <w:t>15 340 057</w:t>
            </w:r>
          </w:p>
        </w:tc>
        <w:tc>
          <w:tcPr>
            <w:tcW w:w="817" w:type="pct"/>
            <w:tcBorders>
              <w:top w:val="single" w:sz="4" w:space="0" w:color="314364" w:themeColor="text2"/>
            </w:tcBorders>
            <w:vAlign w:val="center"/>
          </w:tcPr>
          <w:p w14:paraId="55D97EED" w14:textId="77777777" w:rsidR="008A4BCF" w:rsidRPr="00125972" w:rsidRDefault="008A4BCF" w:rsidP="00B44AC3">
            <w:pPr>
              <w:spacing w:after="0"/>
              <w:jc w:val="right"/>
              <w:rPr>
                <w:rFonts w:eastAsia="Calibri" w:cs="Segoe UI"/>
                <w:b/>
                <w:sz w:val="18"/>
                <w:szCs w:val="18"/>
              </w:rPr>
            </w:pPr>
            <w:r w:rsidRPr="00200377">
              <w:rPr>
                <w:b/>
                <w:bCs/>
                <w:color w:val="000000"/>
                <w:sz w:val="18"/>
                <w:szCs w:val="18"/>
              </w:rPr>
              <w:t>-311 761</w:t>
            </w:r>
          </w:p>
        </w:tc>
      </w:tr>
      <w:tr w:rsidR="008A4BCF" w:rsidRPr="00125972" w14:paraId="1A2DF111" w14:textId="77777777" w:rsidTr="00B44AC3">
        <w:trPr>
          <w:trHeight w:val="255"/>
        </w:trPr>
        <w:tc>
          <w:tcPr>
            <w:tcW w:w="2348" w:type="pct"/>
            <w:vAlign w:val="center"/>
          </w:tcPr>
          <w:p w14:paraId="270C8C55" w14:textId="77777777" w:rsidR="008A4BCF" w:rsidRPr="00125972" w:rsidRDefault="008A4BCF" w:rsidP="00B44AC3">
            <w:pPr>
              <w:spacing w:after="0"/>
              <w:jc w:val="left"/>
              <w:rPr>
                <w:rFonts w:eastAsia="Calibri" w:cs="Segoe UI"/>
                <w:sz w:val="18"/>
                <w:szCs w:val="18"/>
              </w:rPr>
            </w:pPr>
            <w:r w:rsidRPr="00125972">
              <w:rPr>
                <w:rFonts w:eastAsia="Calibri" w:cs="Segoe UI"/>
                <w:sz w:val="18"/>
                <w:szCs w:val="18"/>
              </w:rPr>
              <w:t>Sociálna poisťovňa</w:t>
            </w:r>
          </w:p>
        </w:tc>
        <w:tc>
          <w:tcPr>
            <w:tcW w:w="918" w:type="pct"/>
            <w:vAlign w:val="center"/>
          </w:tcPr>
          <w:p w14:paraId="277069CE" w14:textId="77777777" w:rsidR="008A4BCF" w:rsidRPr="00125972" w:rsidRDefault="008A4BCF" w:rsidP="00B44AC3">
            <w:pPr>
              <w:spacing w:after="0"/>
              <w:jc w:val="right"/>
              <w:rPr>
                <w:rFonts w:eastAsia="Calibri" w:cs="Segoe UI"/>
                <w:sz w:val="18"/>
                <w:szCs w:val="18"/>
              </w:rPr>
            </w:pPr>
            <w:r w:rsidRPr="00200377">
              <w:rPr>
                <w:color w:val="000000"/>
                <w:sz w:val="18"/>
                <w:szCs w:val="18"/>
              </w:rPr>
              <w:t>10 366 641</w:t>
            </w:r>
          </w:p>
        </w:tc>
        <w:tc>
          <w:tcPr>
            <w:tcW w:w="918" w:type="pct"/>
            <w:vAlign w:val="center"/>
          </w:tcPr>
          <w:p w14:paraId="1E97BDE8" w14:textId="77777777" w:rsidR="008A4BCF" w:rsidRPr="00125972" w:rsidRDefault="008A4BCF" w:rsidP="00B44AC3">
            <w:pPr>
              <w:spacing w:after="0"/>
              <w:jc w:val="right"/>
              <w:rPr>
                <w:rFonts w:eastAsia="Calibri" w:cs="Segoe UI"/>
                <w:sz w:val="18"/>
                <w:szCs w:val="18"/>
              </w:rPr>
            </w:pPr>
            <w:r w:rsidRPr="00200377">
              <w:rPr>
                <w:color w:val="000000"/>
                <w:sz w:val="18"/>
                <w:szCs w:val="18"/>
              </w:rPr>
              <w:t>10 135 747</w:t>
            </w:r>
          </w:p>
        </w:tc>
        <w:tc>
          <w:tcPr>
            <w:tcW w:w="817" w:type="pct"/>
            <w:vAlign w:val="center"/>
          </w:tcPr>
          <w:p w14:paraId="3E5D3E5B" w14:textId="77777777" w:rsidR="008A4BCF" w:rsidRPr="00125972" w:rsidRDefault="008A4BCF" w:rsidP="00B44AC3">
            <w:pPr>
              <w:spacing w:after="0"/>
              <w:jc w:val="right"/>
              <w:rPr>
                <w:rFonts w:eastAsia="Calibri" w:cs="Segoe UI"/>
                <w:sz w:val="18"/>
                <w:szCs w:val="18"/>
              </w:rPr>
            </w:pPr>
            <w:r w:rsidRPr="00200377">
              <w:rPr>
                <w:color w:val="000000"/>
                <w:sz w:val="18"/>
                <w:szCs w:val="18"/>
              </w:rPr>
              <w:t>-230 894</w:t>
            </w:r>
          </w:p>
        </w:tc>
      </w:tr>
      <w:tr w:rsidR="008A4BCF" w:rsidRPr="00125972" w14:paraId="61A0A1F6" w14:textId="77777777" w:rsidTr="00B44AC3">
        <w:trPr>
          <w:trHeight w:val="255"/>
        </w:trPr>
        <w:tc>
          <w:tcPr>
            <w:tcW w:w="2348" w:type="pct"/>
            <w:tcBorders>
              <w:bottom w:val="single" w:sz="4" w:space="0" w:color="314364" w:themeColor="text2"/>
            </w:tcBorders>
            <w:vAlign w:val="center"/>
          </w:tcPr>
          <w:p w14:paraId="6F85E201" w14:textId="77777777" w:rsidR="008A4BCF" w:rsidRPr="00125972" w:rsidRDefault="008A4BCF" w:rsidP="00B44AC3">
            <w:pPr>
              <w:spacing w:after="0"/>
              <w:jc w:val="left"/>
              <w:rPr>
                <w:rFonts w:eastAsia="Calibri" w:cs="Segoe UI"/>
                <w:sz w:val="18"/>
                <w:szCs w:val="18"/>
              </w:rPr>
            </w:pPr>
            <w:r w:rsidRPr="00125972">
              <w:rPr>
                <w:rFonts w:eastAsia="Calibri" w:cs="Segoe UI"/>
                <w:sz w:val="18"/>
                <w:szCs w:val="18"/>
              </w:rPr>
              <w:t>Zdravotné poisťovne</w:t>
            </w:r>
          </w:p>
        </w:tc>
        <w:tc>
          <w:tcPr>
            <w:tcW w:w="918" w:type="pct"/>
            <w:tcBorders>
              <w:bottom w:val="single" w:sz="4" w:space="0" w:color="314364" w:themeColor="text2"/>
            </w:tcBorders>
            <w:vAlign w:val="center"/>
          </w:tcPr>
          <w:p w14:paraId="7E3C2F7A" w14:textId="77777777" w:rsidR="008A4BCF" w:rsidRPr="00125972" w:rsidRDefault="008A4BCF" w:rsidP="00B44AC3">
            <w:pPr>
              <w:spacing w:after="0"/>
              <w:jc w:val="right"/>
              <w:rPr>
                <w:rFonts w:eastAsia="Calibri" w:cs="Segoe UI"/>
                <w:sz w:val="18"/>
                <w:szCs w:val="18"/>
              </w:rPr>
            </w:pPr>
            <w:r w:rsidRPr="00200377">
              <w:rPr>
                <w:color w:val="000000"/>
                <w:sz w:val="18"/>
                <w:szCs w:val="18"/>
              </w:rPr>
              <w:t>5 285 177</w:t>
            </w:r>
          </w:p>
        </w:tc>
        <w:tc>
          <w:tcPr>
            <w:tcW w:w="918" w:type="pct"/>
            <w:tcBorders>
              <w:bottom w:val="single" w:sz="4" w:space="0" w:color="314364" w:themeColor="text2"/>
            </w:tcBorders>
            <w:vAlign w:val="center"/>
          </w:tcPr>
          <w:p w14:paraId="65F669E8" w14:textId="77777777" w:rsidR="008A4BCF" w:rsidRPr="00125972" w:rsidRDefault="008A4BCF" w:rsidP="00B44AC3">
            <w:pPr>
              <w:spacing w:after="0"/>
              <w:jc w:val="right"/>
              <w:rPr>
                <w:rFonts w:eastAsia="Calibri" w:cs="Segoe UI"/>
                <w:sz w:val="18"/>
                <w:szCs w:val="18"/>
              </w:rPr>
            </w:pPr>
            <w:r w:rsidRPr="00200377">
              <w:rPr>
                <w:color w:val="000000"/>
                <w:sz w:val="18"/>
                <w:szCs w:val="18"/>
              </w:rPr>
              <w:t>5 204 310</w:t>
            </w:r>
          </w:p>
        </w:tc>
        <w:tc>
          <w:tcPr>
            <w:tcW w:w="817" w:type="pct"/>
            <w:tcBorders>
              <w:bottom w:val="single" w:sz="4" w:space="0" w:color="314364" w:themeColor="text2"/>
            </w:tcBorders>
            <w:vAlign w:val="center"/>
          </w:tcPr>
          <w:p w14:paraId="3949DC99" w14:textId="77777777" w:rsidR="008A4BCF" w:rsidRPr="00125972" w:rsidRDefault="008A4BCF" w:rsidP="00B44AC3">
            <w:pPr>
              <w:spacing w:after="0"/>
              <w:jc w:val="right"/>
              <w:rPr>
                <w:rFonts w:eastAsia="Calibri" w:cs="Segoe UI"/>
                <w:sz w:val="18"/>
                <w:szCs w:val="18"/>
              </w:rPr>
            </w:pPr>
            <w:r w:rsidRPr="00200377">
              <w:rPr>
                <w:color w:val="000000"/>
                <w:sz w:val="18"/>
                <w:szCs w:val="18"/>
              </w:rPr>
              <w:t>-80 867</w:t>
            </w:r>
          </w:p>
        </w:tc>
      </w:tr>
      <w:tr w:rsidR="008A4BCF" w:rsidRPr="00125972" w14:paraId="3D3A7ACA" w14:textId="77777777" w:rsidTr="00B44AC3">
        <w:trPr>
          <w:trHeight w:val="255"/>
        </w:trPr>
        <w:tc>
          <w:tcPr>
            <w:tcW w:w="2348" w:type="pct"/>
            <w:tcBorders>
              <w:top w:val="single" w:sz="4" w:space="0" w:color="314364" w:themeColor="text2"/>
              <w:bottom w:val="single" w:sz="4" w:space="0" w:color="314364" w:themeColor="text2"/>
            </w:tcBorders>
            <w:vAlign w:val="center"/>
          </w:tcPr>
          <w:p w14:paraId="6A724609" w14:textId="77777777" w:rsidR="008A4BCF" w:rsidRPr="00125972" w:rsidRDefault="008A4BCF" w:rsidP="00B44AC3">
            <w:pPr>
              <w:spacing w:after="0"/>
              <w:ind w:right="-109"/>
              <w:jc w:val="left"/>
              <w:rPr>
                <w:rFonts w:eastAsia="Calibri" w:cs="Segoe UI"/>
                <w:b/>
                <w:sz w:val="18"/>
                <w:szCs w:val="18"/>
              </w:rPr>
            </w:pPr>
            <w:r w:rsidRPr="00125972">
              <w:rPr>
                <w:rFonts w:eastAsia="Calibri" w:cs="Segoe UI"/>
                <w:b/>
                <w:sz w:val="18"/>
                <w:szCs w:val="18"/>
              </w:rPr>
              <w:t>Spolu daňové a odvodové príjmy</w:t>
            </w:r>
          </w:p>
        </w:tc>
        <w:tc>
          <w:tcPr>
            <w:tcW w:w="918" w:type="pct"/>
            <w:tcBorders>
              <w:top w:val="single" w:sz="4" w:space="0" w:color="314364" w:themeColor="text2"/>
              <w:bottom w:val="single" w:sz="4" w:space="0" w:color="314364" w:themeColor="text2"/>
            </w:tcBorders>
            <w:vAlign w:val="center"/>
          </w:tcPr>
          <w:p w14:paraId="3CF5C826" w14:textId="77777777" w:rsidR="008A4BCF" w:rsidRPr="00125972" w:rsidRDefault="008A4BCF" w:rsidP="00B44AC3">
            <w:pPr>
              <w:spacing w:after="0"/>
              <w:jc w:val="right"/>
              <w:rPr>
                <w:rFonts w:eastAsia="Calibri" w:cs="Segoe UI"/>
                <w:b/>
                <w:sz w:val="18"/>
                <w:szCs w:val="18"/>
              </w:rPr>
            </w:pPr>
            <w:r w:rsidRPr="00200377">
              <w:rPr>
                <w:b/>
                <w:bCs/>
                <w:color w:val="000000"/>
                <w:sz w:val="18"/>
                <w:szCs w:val="18"/>
              </w:rPr>
              <w:t>38 460 175</w:t>
            </w:r>
          </w:p>
        </w:tc>
        <w:tc>
          <w:tcPr>
            <w:tcW w:w="918" w:type="pct"/>
            <w:tcBorders>
              <w:top w:val="single" w:sz="4" w:space="0" w:color="314364" w:themeColor="text2"/>
              <w:bottom w:val="single" w:sz="4" w:space="0" w:color="314364" w:themeColor="text2"/>
            </w:tcBorders>
            <w:vAlign w:val="center"/>
          </w:tcPr>
          <w:p w14:paraId="3C0C1D77" w14:textId="77777777" w:rsidR="008A4BCF" w:rsidRPr="00125972" w:rsidRDefault="008A4BCF" w:rsidP="00B44AC3">
            <w:pPr>
              <w:spacing w:after="0"/>
              <w:jc w:val="right"/>
              <w:rPr>
                <w:rFonts w:eastAsia="Calibri" w:cs="Segoe UI"/>
                <w:b/>
                <w:sz w:val="18"/>
                <w:szCs w:val="18"/>
              </w:rPr>
            </w:pPr>
            <w:r w:rsidRPr="00200377">
              <w:rPr>
                <w:b/>
                <w:bCs/>
                <w:color w:val="000000"/>
                <w:sz w:val="18"/>
                <w:szCs w:val="18"/>
              </w:rPr>
              <w:t>38 778 854</w:t>
            </w:r>
          </w:p>
        </w:tc>
        <w:tc>
          <w:tcPr>
            <w:tcW w:w="817" w:type="pct"/>
            <w:tcBorders>
              <w:top w:val="single" w:sz="4" w:space="0" w:color="314364" w:themeColor="text2"/>
              <w:bottom w:val="single" w:sz="4" w:space="0" w:color="314364" w:themeColor="text2"/>
            </w:tcBorders>
            <w:vAlign w:val="center"/>
          </w:tcPr>
          <w:p w14:paraId="37D338E5" w14:textId="77777777" w:rsidR="008A4BCF" w:rsidRPr="00125972" w:rsidRDefault="008A4BCF" w:rsidP="00B44AC3">
            <w:pPr>
              <w:spacing w:after="0"/>
              <w:jc w:val="right"/>
              <w:rPr>
                <w:rFonts w:eastAsia="Calibri" w:cs="Segoe UI"/>
                <w:b/>
                <w:sz w:val="18"/>
                <w:szCs w:val="18"/>
              </w:rPr>
            </w:pPr>
            <w:r w:rsidRPr="00200377">
              <w:rPr>
                <w:b/>
                <w:bCs/>
                <w:color w:val="000000"/>
                <w:sz w:val="18"/>
                <w:szCs w:val="18"/>
              </w:rPr>
              <w:t>318 679</w:t>
            </w:r>
          </w:p>
        </w:tc>
      </w:tr>
    </w:tbl>
    <w:p w14:paraId="078569CF" w14:textId="77777777" w:rsidR="008A4BCF" w:rsidRDefault="008A4BCF" w:rsidP="008A4BCF">
      <w:pPr>
        <w:pStyle w:val="Zdroj"/>
      </w:pPr>
      <w:r>
        <w:t>Zdroj: MF SR.</w:t>
      </w:r>
      <w:r>
        <w:br/>
        <w:t>S – skutočnosť, R – rozpočet</w:t>
      </w:r>
    </w:p>
    <w:p w14:paraId="2438D62F" w14:textId="77777777" w:rsidR="008A4BCF" w:rsidRDefault="008A4BCF" w:rsidP="008A4BCF">
      <w:pPr>
        <w:pStyle w:val="Zdroj"/>
      </w:pPr>
      <w:r>
        <w:br w:type="page"/>
      </w:r>
    </w:p>
    <w:p w14:paraId="337D9474" w14:textId="77777777" w:rsidR="008A4BCF" w:rsidRDefault="008A4BCF" w:rsidP="008A4BCF">
      <w:pPr>
        <w:pStyle w:val="Popis"/>
        <w:keepNext/>
      </w:pPr>
      <w:r>
        <w:lastRenderedPageBreak/>
        <w:t xml:space="preserve">Tabuľka 3: </w:t>
      </w:r>
      <w:r w:rsidRPr="00F47A20">
        <w:t>Maastrichtský dlh verejnej správy podľa jednotlivých subjektov</w:t>
      </w:r>
      <w:r>
        <w:t xml:space="preserve"> (v tis. eur)</w:t>
      </w:r>
    </w:p>
    <w:tbl>
      <w:tblPr>
        <w:tblW w:w="5037" w:type="pct"/>
        <w:tblCellMar>
          <w:left w:w="70" w:type="dxa"/>
          <w:right w:w="70" w:type="dxa"/>
        </w:tblCellMar>
        <w:tblLook w:val="04A0" w:firstRow="1" w:lastRow="0" w:firstColumn="1" w:lastColumn="0" w:noHBand="0" w:noVBand="1"/>
      </w:tblPr>
      <w:tblGrid>
        <w:gridCol w:w="5258"/>
        <w:gridCol w:w="1068"/>
        <w:gridCol w:w="1068"/>
        <w:gridCol w:w="965"/>
        <w:gridCol w:w="778"/>
      </w:tblGrid>
      <w:tr w:rsidR="008A4BCF" w:rsidRPr="009C55EE" w14:paraId="1A8B1A89" w14:textId="77777777" w:rsidTr="00B44AC3">
        <w:trPr>
          <w:trHeight w:val="283"/>
          <w:tblHeader/>
        </w:trPr>
        <w:tc>
          <w:tcPr>
            <w:tcW w:w="2877" w:type="pct"/>
            <w:shd w:val="clear" w:color="auto" w:fill="314364"/>
            <w:vAlign w:val="center"/>
            <w:hideMark/>
          </w:tcPr>
          <w:p w14:paraId="73B4F5A3" w14:textId="77777777" w:rsidR="008A4BCF" w:rsidRPr="009C55EE" w:rsidRDefault="008A4BCF" w:rsidP="00B44AC3">
            <w:pPr>
              <w:spacing w:after="0" w:line="240" w:lineRule="auto"/>
              <w:rPr>
                <w:rFonts w:eastAsia="Times New Roman" w:cs="Segoe UI"/>
                <w:b/>
                <w:bCs/>
                <w:color w:val="FFFFFF" w:themeColor="background1"/>
                <w:sz w:val="18"/>
                <w:szCs w:val="18"/>
              </w:rPr>
            </w:pPr>
            <w:r w:rsidRPr="009C55EE">
              <w:rPr>
                <w:rFonts w:eastAsia="Times New Roman" w:cs="Segoe UI"/>
                <w:b/>
                <w:bCs/>
                <w:color w:val="FFFFFF" w:themeColor="background1"/>
                <w:sz w:val="18"/>
                <w:szCs w:val="18"/>
              </w:rPr>
              <w:t>Subjekty verejnej správy</w:t>
            </w:r>
          </w:p>
        </w:tc>
        <w:tc>
          <w:tcPr>
            <w:tcW w:w="584" w:type="pct"/>
            <w:shd w:val="clear" w:color="auto" w:fill="314364"/>
            <w:vAlign w:val="center"/>
          </w:tcPr>
          <w:p w14:paraId="004063B5" w14:textId="77777777" w:rsidR="008A4BCF" w:rsidRPr="009C55EE" w:rsidRDefault="008A4BCF" w:rsidP="00B44AC3">
            <w:pPr>
              <w:spacing w:after="0" w:line="240" w:lineRule="auto"/>
              <w:jc w:val="center"/>
              <w:rPr>
                <w:rFonts w:eastAsia="Times New Roman" w:cs="Segoe UI"/>
                <w:b/>
                <w:bCs/>
                <w:color w:val="FFFFFF" w:themeColor="background1"/>
                <w:sz w:val="18"/>
                <w:szCs w:val="18"/>
              </w:rPr>
            </w:pPr>
            <w:r w:rsidRPr="009C55EE">
              <w:rPr>
                <w:rFonts w:eastAsia="Times New Roman" w:cs="Segoe UI"/>
                <w:b/>
                <w:bCs/>
                <w:color w:val="FFFFFF" w:themeColor="background1"/>
                <w:sz w:val="18"/>
                <w:szCs w:val="18"/>
              </w:rPr>
              <w:t>2022 S</w:t>
            </w:r>
          </w:p>
        </w:tc>
        <w:tc>
          <w:tcPr>
            <w:tcW w:w="584" w:type="pct"/>
            <w:shd w:val="clear" w:color="auto" w:fill="314364"/>
            <w:vAlign w:val="center"/>
          </w:tcPr>
          <w:p w14:paraId="413DC309" w14:textId="77777777" w:rsidR="008A4BCF" w:rsidRPr="009C55EE" w:rsidRDefault="008A4BCF" w:rsidP="00B44AC3">
            <w:pPr>
              <w:spacing w:after="0" w:line="240" w:lineRule="auto"/>
              <w:jc w:val="center"/>
              <w:rPr>
                <w:rFonts w:eastAsia="Times New Roman" w:cs="Segoe UI"/>
                <w:b/>
                <w:bCs/>
                <w:color w:val="FFFFFF" w:themeColor="background1"/>
                <w:sz w:val="18"/>
                <w:szCs w:val="18"/>
              </w:rPr>
            </w:pPr>
            <w:r w:rsidRPr="009C55EE">
              <w:rPr>
                <w:rFonts w:eastAsia="Times New Roman" w:cs="Segoe UI"/>
                <w:b/>
                <w:bCs/>
                <w:color w:val="FFFFFF" w:themeColor="background1"/>
                <w:sz w:val="18"/>
                <w:szCs w:val="18"/>
              </w:rPr>
              <w:t>2023 S</w:t>
            </w:r>
          </w:p>
        </w:tc>
        <w:tc>
          <w:tcPr>
            <w:tcW w:w="528" w:type="pct"/>
            <w:shd w:val="clear" w:color="auto" w:fill="314364"/>
            <w:vAlign w:val="center"/>
          </w:tcPr>
          <w:p w14:paraId="79701785" w14:textId="77777777" w:rsidR="008A4BCF" w:rsidRPr="009C55EE" w:rsidRDefault="008A4BCF" w:rsidP="00B44AC3">
            <w:pPr>
              <w:spacing w:after="0" w:line="240" w:lineRule="auto"/>
              <w:jc w:val="center"/>
              <w:rPr>
                <w:rFonts w:eastAsia="Times New Roman" w:cs="Segoe UI"/>
                <w:b/>
                <w:bCs/>
                <w:color w:val="FFFFFF" w:themeColor="background1"/>
                <w:sz w:val="18"/>
                <w:szCs w:val="18"/>
              </w:rPr>
            </w:pPr>
            <w:r w:rsidRPr="009C55EE">
              <w:rPr>
                <w:rFonts w:eastAsia="Times New Roman" w:cs="Segoe UI"/>
                <w:b/>
                <w:bCs/>
                <w:color w:val="FFFFFF" w:themeColor="background1"/>
                <w:sz w:val="18"/>
                <w:szCs w:val="18"/>
              </w:rPr>
              <w:t>23S-22S</w:t>
            </w:r>
          </w:p>
        </w:tc>
        <w:tc>
          <w:tcPr>
            <w:tcW w:w="426" w:type="pct"/>
            <w:shd w:val="clear" w:color="auto" w:fill="314364"/>
            <w:vAlign w:val="center"/>
          </w:tcPr>
          <w:p w14:paraId="5C433D14" w14:textId="77777777" w:rsidR="008A4BCF" w:rsidRPr="009C55EE" w:rsidRDefault="008A4BCF" w:rsidP="00B44AC3">
            <w:pPr>
              <w:spacing w:after="0" w:line="240" w:lineRule="auto"/>
              <w:jc w:val="center"/>
              <w:rPr>
                <w:rFonts w:eastAsia="Times New Roman" w:cs="Segoe UI"/>
                <w:b/>
                <w:bCs/>
                <w:color w:val="FFFFFF" w:themeColor="background1"/>
                <w:sz w:val="18"/>
                <w:szCs w:val="18"/>
              </w:rPr>
            </w:pPr>
            <w:r w:rsidRPr="009C55EE">
              <w:rPr>
                <w:rFonts w:eastAsia="Times New Roman" w:cs="Segoe UI"/>
                <w:b/>
                <w:bCs/>
                <w:color w:val="FFFFFF" w:themeColor="background1"/>
                <w:sz w:val="18"/>
                <w:szCs w:val="18"/>
              </w:rPr>
              <w:t>YoY</w:t>
            </w:r>
          </w:p>
        </w:tc>
      </w:tr>
      <w:tr w:rsidR="008A4BCF" w:rsidRPr="009C55EE" w14:paraId="0D8FDF3D" w14:textId="77777777" w:rsidTr="00B44AC3">
        <w:trPr>
          <w:trHeight w:val="283"/>
        </w:trPr>
        <w:tc>
          <w:tcPr>
            <w:tcW w:w="2877" w:type="pct"/>
            <w:shd w:val="clear" w:color="auto" w:fill="auto"/>
            <w:noWrap/>
            <w:vAlign w:val="bottom"/>
            <w:hideMark/>
          </w:tcPr>
          <w:p w14:paraId="6585AD51" w14:textId="77777777" w:rsidR="008A4BCF" w:rsidRPr="009C55EE" w:rsidRDefault="008A4BCF" w:rsidP="00B44AC3">
            <w:pPr>
              <w:spacing w:after="0" w:line="240" w:lineRule="auto"/>
              <w:rPr>
                <w:rFonts w:eastAsia="Times New Roman" w:cs="Segoe UI"/>
                <w:b/>
                <w:bCs/>
                <w:sz w:val="18"/>
                <w:szCs w:val="18"/>
              </w:rPr>
            </w:pPr>
            <w:r w:rsidRPr="009C55EE">
              <w:rPr>
                <w:rFonts w:eastAsia="Times New Roman" w:cs="Segoe UI"/>
                <w:b/>
                <w:bCs/>
                <w:sz w:val="18"/>
                <w:szCs w:val="18"/>
              </w:rPr>
              <w:t>Ústredná správa</w:t>
            </w:r>
          </w:p>
        </w:tc>
        <w:tc>
          <w:tcPr>
            <w:tcW w:w="584" w:type="pct"/>
            <w:tcBorders>
              <w:top w:val="nil"/>
              <w:left w:val="nil"/>
              <w:bottom w:val="nil"/>
              <w:right w:val="nil"/>
            </w:tcBorders>
            <w:shd w:val="clear" w:color="auto" w:fill="auto"/>
            <w:noWrap/>
            <w:vAlign w:val="center"/>
          </w:tcPr>
          <w:p w14:paraId="5456FB6E" w14:textId="77777777" w:rsidR="008A4BCF" w:rsidRPr="009C55EE" w:rsidRDefault="008A4BCF" w:rsidP="00B44AC3">
            <w:pPr>
              <w:spacing w:after="0" w:line="240" w:lineRule="auto"/>
              <w:rPr>
                <w:rFonts w:eastAsia="Times New Roman" w:cs="Segoe UI"/>
                <w:sz w:val="18"/>
                <w:szCs w:val="18"/>
              </w:rPr>
            </w:pPr>
          </w:p>
        </w:tc>
        <w:tc>
          <w:tcPr>
            <w:tcW w:w="584" w:type="pct"/>
            <w:shd w:val="clear" w:color="auto" w:fill="auto"/>
            <w:noWrap/>
            <w:vAlign w:val="bottom"/>
          </w:tcPr>
          <w:p w14:paraId="27F8803B" w14:textId="77777777" w:rsidR="008A4BCF" w:rsidRPr="009C55EE" w:rsidRDefault="008A4BCF" w:rsidP="00B44AC3">
            <w:pPr>
              <w:spacing w:after="0" w:line="240" w:lineRule="auto"/>
              <w:rPr>
                <w:rFonts w:eastAsia="Times New Roman" w:cs="Segoe UI"/>
                <w:sz w:val="18"/>
                <w:szCs w:val="18"/>
              </w:rPr>
            </w:pPr>
          </w:p>
        </w:tc>
        <w:tc>
          <w:tcPr>
            <w:tcW w:w="528" w:type="pct"/>
            <w:shd w:val="clear" w:color="auto" w:fill="auto"/>
            <w:noWrap/>
            <w:vAlign w:val="bottom"/>
          </w:tcPr>
          <w:p w14:paraId="035C260A" w14:textId="77777777" w:rsidR="008A4BCF" w:rsidRPr="009C55EE" w:rsidRDefault="008A4BCF" w:rsidP="00B44AC3">
            <w:pPr>
              <w:spacing w:after="0" w:line="240" w:lineRule="auto"/>
              <w:rPr>
                <w:rFonts w:eastAsia="Times New Roman" w:cs="Segoe UI"/>
                <w:sz w:val="18"/>
                <w:szCs w:val="18"/>
              </w:rPr>
            </w:pPr>
          </w:p>
        </w:tc>
        <w:tc>
          <w:tcPr>
            <w:tcW w:w="426" w:type="pct"/>
            <w:shd w:val="clear" w:color="auto" w:fill="auto"/>
            <w:noWrap/>
            <w:vAlign w:val="bottom"/>
          </w:tcPr>
          <w:p w14:paraId="012BEF81" w14:textId="77777777" w:rsidR="008A4BCF" w:rsidRPr="009C55EE" w:rsidRDefault="008A4BCF" w:rsidP="00B44AC3">
            <w:pPr>
              <w:spacing w:after="0" w:line="240" w:lineRule="auto"/>
              <w:rPr>
                <w:rFonts w:eastAsia="Times New Roman" w:cs="Segoe UI"/>
                <w:sz w:val="18"/>
                <w:szCs w:val="18"/>
              </w:rPr>
            </w:pPr>
          </w:p>
        </w:tc>
      </w:tr>
      <w:tr w:rsidR="008A4BCF" w:rsidRPr="009C55EE" w14:paraId="64977704" w14:textId="77777777" w:rsidTr="00B44AC3">
        <w:trPr>
          <w:trHeight w:val="283"/>
        </w:trPr>
        <w:tc>
          <w:tcPr>
            <w:tcW w:w="2877" w:type="pct"/>
            <w:shd w:val="clear" w:color="auto" w:fill="auto"/>
            <w:noWrap/>
            <w:vAlign w:val="bottom"/>
            <w:hideMark/>
          </w:tcPr>
          <w:p w14:paraId="6373E38D" w14:textId="77777777" w:rsidR="008A4BCF" w:rsidRPr="009C55EE" w:rsidRDefault="008A4BCF" w:rsidP="00B44AC3">
            <w:pPr>
              <w:pStyle w:val="Odsekzoznamu"/>
              <w:numPr>
                <w:ilvl w:val="0"/>
                <w:numId w:val="3"/>
              </w:numPr>
              <w:spacing w:after="0" w:line="240" w:lineRule="auto"/>
              <w:jc w:val="left"/>
              <w:rPr>
                <w:rFonts w:eastAsia="Times New Roman" w:cs="Segoe UI"/>
                <w:sz w:val="18"/>
                <w:szCs w:val="18"/>
                <w:lang w:eastAsia="sk-SK"/>
              </w:rPr>
            </w:pPr>
            <w:r w:rsidRPr="009C55EE">
              <w:rPr>
                <w:rFonts w:eastAsia="Times New Roman" w:cs="Segoe UI"/>
                <w:sz w:val="18"/>
                <w:szCs w:val="18"/>
                <w:lang w:eastAsia="sk-SK"/>
              </w:rPr>
              <w:t>Štátny dlh</w:t>
            </w:r>
            <w:r w:rsidRPr="009C55EE">
              <w:rPr>
                <w:rFonts w:cs="Segoe UI"/>
                <w:sz w:val="18"/>
                <w:szCs w:val="18"/>
                <w:vertAlign w:val="superscript"/>
                <w:lang w:eastAsia="sk-SK"/>
              </w:rPr>
              <w:sym w:font="Symbol" w:char="F02A"/>
            </w:r>
          </w:p>
        </w:tc>
        <w:tc>
          <w:tcPr>
            <w:tcW w:w="584" w:type="pct"/>
            <w:tcBorders>
              <w:top w:val="nil"/>
              <w:left w:val="nil"/>
              <w:bottom w:val="nil"/>
              <w:right w:val="nil"/>
            </w:tcBorders>
            <w:shd w:val="clear" w:color="auto" w:fill="auto"/>
            <w:noWrap/>
            <w:vAlign w:val="center"/>
          </w:tcPr>
          <w:p w14:paraId="6FED8CFF"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61 204 864</w:t>
            </w:r>
          </w:p>
        </w:tc>
        <w:tc>
          <w:tcPr>
            <w:tcW w:w="584" w:type="pct"/>
            <w:tcBorders>
              <w:top w:val="nil"/>
              <w:left w:val="nil"/>
              <w:bottom w:val="nil"/>
              <w:right w:val="nil"/>
            </w:tcBorders>
            <w:shd w:val="clear" w:color="auto" w:fill="auto"/>
            <w:noWrap/>
            <w:vAlign w:val="center"/>
          </w:tcPr>
          <w:p w14:paraId="07470308"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66 408 836</w:t>
            </w:r>
          </w:p>
        </w:tc>
        <w:tc>
          <w:tcPr>
            <w:tcW w:w="528" w:type="pct"/>
            <w:tcBorders>
              <w:top w:val="nil"/>
              <w:left w:val="nil"/>
              <w:bottom w:val="nil"/>
              <w:right w:val="nil"/>
            </w:tcBorders>
            <w:shd w:val="clear" w:color="auto" w:fill="auto"/>
            <w:noWrap/>
            <w:vAlign w:val="center"/>
          </w:tcPr>
          <w:p w14:paraId="4A4C0F11"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5 203 972</w:t>
            </w:r>
          </w:p>
        </w:tc>
        <w:tc>
          <w:tcPr>
            <w:tcW w:w="426" w:type="pct"/>
            <w:tcBorders>
              <w:top w:val="nil"/>
              <w:left w:val="nil"/>
              <w:bottom w:val="nil"/>
              <w:right w:val="nil"/>
            </w:tcBorders>
            <w:shd w:val="clear" w:color="auto" w:fill="auto"/>
            <w:noWrap/>
            <w:vAlign w:val="center"/>
          </w:tcPr>
          <w:p w14:paraId="62EACBC0"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108,5</w:t>
            </w:r>
          </w:p>
        </w:tc>
      </w:tr>
      <w:tr w:rsidR="008A4BCF" w:rsidRPr="009C55EE" w14:paraId="3055A759" w14:textId="77777777" w:rsidTr="00B44AC3">
        <w:trPr>
          <w:trHeight w:val="283"/>
        </w:trPr>
        <w:tc>
          <w:tcPr>
            <w:tcW w:w="2877" w:type="pct"/>
            <w:shd w:val="clear" w:color="auto" w:fill="auto"/>
            <w:noWrap/>
            <w:vAlign w:val="bottom"/>
            <w:hideMark/>
          </w:tcPr>
          <w:p w14:paraId="21BDAE5F" w14:textId="77777777" w:rsidR="008A4BCF" w:rsidRPr="009C55EE" w:rsidRDefault="008A4BCF" w:rsidP="00B44AC3">
            <w:pPr>
              <w:pStyle w:val="Odsekzoznamu"/>
              <w:numPr>
                <w:ilvl w:val="0"/>
                <w:numId w:val="3"/>
              </w:numPr>
              <w:spacing w:after="0" w:line="240" w:lineRule="auto"/>
              <w:jc w:val="left"/>
              <w:rPr>
                <w:rFonts w:eastAsia="Times New Roman" w:cs="Segoe UI"/>
                <w:sz w:val="18"/>
                <w:szCs w:val="18"/>
                <w:lang w:eastAsia="sk-SK"/>
              </w:rPr>
            </w:pPr>
            <w:r w:rsidRPr="009C55EE">
              <w:rPr>
                <w:rFonts w:eastAsia="Times New Roman" w:cs="Segoe UI"/>
                <w:sz w:val="18"/>
                <w:szCs w:val="18"/>
                <w:lang w:eastAsia="sk-SK"/>
              </w:rPr>
              <w:t>Príspevkové organizácie ústrednej správy</w:t>
            </w:r>
          </w:p>
        </w:tc>
        <w:tc>
          <w:tcPr>
            <w:tcW w:w="584" w:type="pct"/>
            <w:tcBorders>
              <w:top w:val="nil"/>
              <w:left w:val="nil"/>
              <w:bottom w:val="nil"/>
              <w:right w:val="nil"/>
            </w:tcBorders>
            <w:shd w:val="clear" w:color="auto" w:fill="auto"/>
            <w:noWrap/>
            <w:vAlign w:val="center"/>
          </w:tcPr>
          <w:p w14:paraId="04D724CB"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3 687</w:t>
            </w:r>
          </w:p>
        </w:tc>
        <w:tc>
          <w:tcPr>
            <w:tcW w:w="584" w:type="pct"/>
            <w:tcBorders>
              <w:top w:val="nil"/>
              <w:left w:val="nil"/>
              <w:bottom w:val="nil"/>
              <w:right w:val="nil"/>
            </w:tcBorders>
            <w:shd w:val="clear" w:color="auto" w:fill="auto"/>
            <w:noWrap/>
            <w:vAlign w:val="center"/>
          </w:tcPr>
          <w:p w14:paraId="4CAB2EA7"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618</w:t>
            </w:r>
          </w:p>
        </w:tc>
        <w:tc>
          <w:tcPr>
            <w:tcW w:w="528" w:type="pct"/>
            <w:tcBorders>
              <w:top w:val="nil"/>
              <w:left w:val="nil"/>
              <w:bottom w:val="nil"/>
              <w:right w:val="nil"/>
            </w:tcBorders>
            <w:shd w:val="clear" w:color="auto" w:fill="auto"/>
            <w:noWrap/>
            <w:vAlign w:val="center"/>
          </w:tcPr>
          <w:p w14:paraId="5E298B44"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-3 069</w:t>
            </w:r>
          </w:p>
        </w:tc>
        <w:tc>
          <w:tcPr>
            <w:tcW w:w="426" w:type="pct"/>
            <w:tcBorders>
              <w:top w:val="nil"/>
              <w:left w:val="nil"/>
              <w:bottom w:val="nil"/>
              <w:right w:val="nil"/>
            </w:tcBorders>
            <w:shd w:val="clear" w:color="auto" w:fill="auto"/>
            <w:noWrap/>
            <w:vAlign w:val="center"/>
          </w:tcPr>
          <w:p w14:paraId="7AD09E4B"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16,8</w:t>
            </w:r>
          </w:p>
        </w:tc>
      </w:tr>
      <w:tr w:rsidR="008A4BCF" w:rsidRPr="009C55EE" w14:paraId="5059B96A" w14:textId="77777777" w:rsidTr="00B44AC3">
        <w:trPr>
          <w:trHeight w:val="283"/>
        </w:trPr>
        <w:tc>
          <w:tcPr>
            <w:tcW w:w="2877" w:type="pct"/>
            <w:shd w:val="clear" w:color="auto" w:fill="auto"/>
            <w:noWrap/>
            <w:vAlign w:val="bottom"/>
            <w:hideMark/>
          </w:tcPr>
          <w:p w14:paraId="6101BDCC" w14:textId="77777777" w:rsidR="008A4BCF" w:rsidRPr="009C55EE" w:rsidRDefault="008A4BCF" w:rsidP="00B44AC3">
            <w:pPr>
              <w:pStyle w:val="Odsekzoznamu"/>
              <w:numPr>
                <w:ilvl w:val="0"/>
                <w:numId w:val="3"/>
              </w:numPr>
              <w:spacing w:after="0" w:line="240" w:lineRule="auto"/>
              <w:jc w:val="left"/>
              <w:rPr>
                <w:rFonts w:eastAsia="Times New Roman" w:cs="Segoe UI"/>
                <w:sz w:val="18"/>
                <w:szCs w:val="18"/>
                <w:lang w:eastAsia="sk-SK"/>
              </w:rPr>
            </w:pPr>
            <w:r w:rsidRPr="009C55EE">
              <w:rPr>
                <w:rFonts w:eastAsia="Times New Roman" w:cs="Segoe UI"/>
                <w:sz w:val="18"/>
                <w:szCs w:val="18"/>
                <w:lang w:eastAsia="sk-SK"/>
              </w:rPr>
              <w:t>Exportno-importná banka SR</w:t>
            </w:r>
          </w:p>
        </w:tc>
        <w:tc>
          <w:tcPr>
            <w:tcW w:w="584" w:type="pct"/>
            <w:tcBorders>
              <w:top w:val="nil"/>
              <w:left w:val="nil"/>
              <w:bottom w:val="nil"/>
              <w:right w:val="nil"/>
            </w:tcBorders>
            <w:shd w:val="clear" w:color="auto" w:fill="auto"/>
            <w:noWrap/>
            <w:vAlign w:val="center"/>
          </w:tcPr>
          <w:p w14:paraId="1ADB2B5B"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188 740</w:t>
            </w:r>
          </w:p>
        </w:tc>
        <w:tc>
          <w:tcPr>
            <w:tcW w:w="584" w:type="pct"/>
            <w:tcBorders>
              <w:top w:val="nil"/>
              <w:left w:val="nil"/>
              <w:bottom w:val="nil"/>
              <w:right w:val="nil"/>
            </w:tcBorders>
            <w:shd w:val="clear" w:color="auto" w:fill="auto"/>
            <w:noWrap/>
            <w:vAlign w:val="center"/>
          </w:tcPr>
          <w:p w14:paraId="651AF947"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188 156</w:t>
            </w:r>
          </w:p>
        </w:tc>
        <w:tc>
          <w:tcPr>
            <w:tcW w:w="528" w:type="pct"/>
            <w:tcBorders>
              <w:top w:val="nil"/>
              <w:left w:val="nil"/>
              <w:bottom w:val="nil"/>
              <w:right w:val="nil"/>
            </w:tcBorders>
            <w:shd w:val="clear" w:color="auto" w:fill="auto"/>
            <w:noWrap/>
            <w:vAlign w:val="center"/>
          </w:tcPr>
          <w:p w14:paraId="56DA13F9"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-584</w:t>
            </w:r>
          </w:p>
        </w:tc>
        <w:tc>
          <w:tcPr>
            <w:tcW w:w="426" w:type="pct"/>
            <w:tcBorders>
              <w:top w:val="nil"/>
              <w:left w:val="nil"/>
              <w:bottom w:val="nil"/>
              <w:right w:val="nil"/>
            </w:tcBorders>
            <w:shd w:val="clear" w:color="auto" w:fill="auto"/>
            <w:noWrap/>
            <w:vAlign w:val="center"/>
          </w:tcPr>
          <w:p w14:paraId="073D28FA"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99,7</w:t>
            </w:r>
          </w:p>
        </w:tc>
      </w:tr>
      <w:tr w:rsidR="008A4BCF" w:rsidRPr="009C55EE" w14:paraId="43A28057" w14:textId="77777777" w:rsidTr="00B44AC3">
        <w:trPr>
          <w:trHeight w:val="283"/>
        </w:trPr>
        <w:tc>
          <w:tcPr>
            <w:tcW w:w="2877" w:type="pct"/>
            <w:shd w:val="clear" w:color="auto" w:fill="auto"/>
            <w:noWrap/>
            <w:vAlign w:val="bottom"/>
            <w:hideMark/>
          </w:tcPr>
          <w:p w14:paraId="1D2AF2FF" w14:textId="77777777" w:rsidR="008A4BCF" w:rsidRPr="009C55EE" w:rsidRDefault="008A4BCF" w:rsidP="00B44AC3">
            <w:pPr>
              <w:pStyle w:val="Odsekzoznamu"/>
              <w:numPr>
                <w:ilvl w:val="0"/>
                <w:numId w:val="3"/>
              </w:numPr>
              <w:spacing w:after="0" w:line="240" w:lineRule="auto"/>
              <w:jc w:val="left"/>
              <w:rPr>
                <w:rFonts w:eastAsia="Times New Roman" w:cs="Segoe UI"/>
                <w:sz w:val="18"/>
                <w:szCs w:val="18"/>
                <w:lang w:eastAsia="sk-SK"/>
              </w:rPr>
            </w:pPr>
            <w:r w:rsidRPr="009C55EE">
              <w:rPr>
                <w:rFonts w:eastAsia="Times New Roman" w:cs="Segoe UI"/>
                <w:sz w:val="18"/>
                <w:szCs w:val="18"/>
                <w:lang w:eastAsia="sk-SK"/>
              </w:rPr>
              <w:t>Obchodné spoločnosti štátu</w:t>
            </w:r>
          </w:p>
        </w:tc>
        <w:tc>
          <w:tcPr>
            <w:tcW w:w="584" w:type="pct"/>
            <w:tcBorders>
              <w:top w:val="nil"/>
              <w:left w:val="nil"/>
              <w:bottom w:val="nil"/>
              <w:right w:val="nil"/>
            </w:tcBorders>
            <w:shd w:val="clear" w:color="auto" w:fill="auto"/>
            <w:noWrap/>
            <w:vAlign w:val="center"/>
          </w:tcPr>
          <w:p w14:paraId="13B8F229"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480 613</w:t>
            </w:r>
          </w:p>
        </w:tc>
        <w:tc>
          <w:tcPr>
            <w:tcW w:w="584" w:type="pct"/>
            <w:tcBorders>
              <w:top w:val="nil"/>
              <w:left w:val="nil"/>
              <w:bottom w:val="nil"/>
              <w:right w:val="nil"/>
            </w:tcBorders>
            <w:shd w:val="clear" w:color="auto" w:fill="auto"/>
            <w:noWrap/>
            <w:vAlign w:val="center"/>
          </w:tcPr>
          <w:p w14:paraId="392EDA59"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492 189</w:t>
            </w:r>
          </w:p>
        </w:tc>
        <w:tc>
          <w:tcPr>
            <w:tcW w:w="528" w:type="pct"/>
            <w:tcBorders>
              <w:top w:val="nil"/>
              <w:left w:val="nil"/>
              <w:bottom w:val="nil"/>
              <w:right w:val="nil"/>
            </w:tcBorders>
            <w:shd w:val="clear" w:color="auto" w:fill="auto"/>
            <w:noWrap/>
            <w:vAlign w:val="center"/>
          </w:tcPr>
          <w:p w14:paraId="557B5ECC"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11 576</w:t>
            </w:r>
          </w:p>
        </w:tc>
        <w:tc>
          <w:tcPr>
            <w:tcW w:w="426" w:type="pct"/>
            <w:tcBorders>
              <w:top w:val="nil"/>
              <w:left w:val="nil"/>
              <w:bottom w:val="nil"/>
              <w:right w:val="nil"/>
            </w:tcBorders>
            <w:shd w:val="clear" w:color="auto" w:fill="auto"/>
            <w:noWrap/>
            <w:vAlign w:val="center"/>
          </w:tcPr>
          <w:p w14:paraId="78F0A979"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102,4</w:t>
            </w:r>
          </w:p>
        </w:tc>
      </w:tr>
      <w:tr w:rsidR="008A4BCF" w:rsidRPr="009C55EE" w14:paraId="78703D31" w14:textId="77777777" w:rsidTr="00B44AC3">
        <w:trPr>
          <w:trHeight w:val="283"/>
        </w:trPr>
        <w:tc>
          <w:tcPr>
            <w:tcW w:w="2877" w:type="pct"/>
            <w:shd w:val="clear" w:color="auto" w:fill="auto"/>
            <w:noWrap/>
            <w:vAlign w:val="bottom"/>
            <w:hideMark/>
          </w:tcPr>
          <w:p w14:paraId="4C226D56" w14:textId="77777777" w:rsidR="008A4BCF" w:rsidRPr="009C55EE" w:rsidRDefault="008A4BCF" w:rsidP="00B44AC3">
            <w:pPr>
              <w:pStyle w:val="Odsekzoznamu"/>
              <w:numPr>
                <w:ilvl w:val="0"/>
                <w:numId w:val="3"/>
              </w:numPr>
              <w:spacing w:after="0" w:line="240" w:lineRule="auto"/>
              <w:jc w:val="left"/>
              <w:rPr>
                <w:rFonts w:eastAsia="Times New Roman" w:cs="Segoe UI"/>
                <w:sz w:val="18"/>
                <w:szCs w:val="18"/>
                <w:lang w:eastAsia="sk-SK"/>
              </w:rPr>
            </w:pPr>
            <w:r w:rsidRPr="009C55EE">
              <w:rPr>
                <w:rFonts w:eastAsia="Times New Roman" w:cs="Segoe UI"/>
                <w:sz w:val="18"/>
                <w:szCs w:val="18"/>
                <w:lang w:eastAsia="sk-SK"/>
              </w:rPr>
              <w:t>Verejné vysoké školy</w:t>
            </w:r>
          </w:p>
        </w:tc>
        <w:tc>
          <w:tcPr>
            <w:tcW w:w="584" w:type="pct"/>
            <w:tcBorders>
              <w:top w:val="nil"/>
              <w:left w:val="nil"/>
              <w:bottom w:val="nil"/>
              <w:right w:val="nil"/>
            </w:tcBorders>
            <w:shd w:val="clear" w:color="auto" w:fill="auto"/>
            <w:noWrap/>
            <w:vAlign w:val="center"/>
          </w:tcPr>
          <w:p w14:paraId="5FC94D03"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12 060</w:t>
            </w:r>
          </w:p>
        </w:tc>
        <w:tc>
          <w:tcPr>
            <w:tcW w:w="584" w:type="pct"/>
            <w:tcBorders>
              <w:top w:val="nil"/>
              <w:left w:val="nil"/>
              <w:bottom w:val="nil"/>
              <w:right w:val="nil"/>
            </w:tcBorders>
            <w:shd w:val="clear" w:color="auto" w:fill="auto"/>
            <w:noWrap/>
            <w:vAlign w:val="center"/>
          </w:tcPr>
          <w:p w14:paraId="489C64F3"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10 936</w:t>
            </w:r>
          </w:p>
        </w:tc>
        <w:tc>
          <w:tcPr>
            <w:tcW w:w="528" w:type="pct"/>
            <w:tcBorders>
              <w:top w:val="nil"/>
              <w:left w:val="nil"/>
              <w:bottom w:val="nil"/>
              <w:right w:val="nil"/>
            </w:tcBorders>
            <w:shd w:val="clear" w:color="auto" w:fill="auto"/>
            <w:noWrap/>
            <w:vAlign w:val="center"/>
          </w:tcPr>
          <w:p w14:paraId="32D99798"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-1 124</w:t>
            </w:r>
          </w:p>
        </w:tc>
        <w:tc>
          <w:tcPr>
            <w:tcW w:w="426" w:type="pct"/>
            <w:tcBorders>
              <w:top w:val="nil"/>
              <w:left w:val="nil"/>
              <w:bottom w:val="nil"/>
              <w:right w:val="nil"/>
            </w:tcBorders>
            <w:shd w:val="clear" w:color="auto" w:fill="auto"/>
            <w:noWrap/>
            <w:vAlign w:val="center"/>
          </w:tcPr>
          <w:p w14:paraId="60996979"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90,7</w:t>
            </w:r>
          </w:p>
        </w:tc>
      </w:tr>
      <w:tr w:rsidR="008A4BCF" w:rsidRPr="009C55EE" w14:paraId="61C14E39" w14:textId="77777777" w:rsidTr="00B44AC3">
        <w:trPr>
          <w:trHeight w:val="283"/>
        </w:trPr>
        <w:tc>
          <w:tcPr>
            <w:tcW w:w="2877" w:type="pct"/>
            <w:shd w:val="clear" w:color="auto" w:fill="auto"/>
            <w:noWrap/>
            <w:vAlign w:val="bottom"/>
          </w:tcPr>
          <w:p w14:paraId="04E872C5" w14:textId="77777777" w:rsidR="008A4BCF" w:rsidRPr="009C55EE" w:rsidRDefault="008A4BCF" w:rsidP="00B44AC3">
            <w:pPr>
              <w:pStyle w:val="Odsekzoznamu"/>
              <w:numPr>
                <w:ilvl w:val="0"/>
                <w:numId w:val="3"/>
              </w:numPr>
              <w:spacing w:after="0" w:line="240" w:lineRule="auto"/>
              <w:jc w:val="left"/>
              <w:rPr>
                <w:rFonts w:eastAsia="Times New Roman" w:cs="Segoe UI"/>
                <w:sz w:val="18"/>
                <w:szCs w:val="18"/>
                <w:lang w:eastAsia="sk-SK"/>
              </w:rPr>
            </w:pPr>
            <w:r w:rsidRPr="009C55EE">
              <w:rPr>
                <w:rFonts w:eastAsia="Times New Roman" w:cs="Segoe UI"/>
                <w:sz w:val="18"/>
                <w:szCs w:val="18"/>
                <w:lang w:eastAsia="sk-SK"/>
              </w:rPr>
              <w:t>Verejné výskumné inštitúcie</w:t>
            </w:r>
          </w:p>
        </w:tc>
        <w:tc>
          <w:tcPr>
            <w:tcW w:w="584" w:type="pct"/>
            <w:tcBorders>
              <w:top w:val="nil"/>
              <w:left w:val="nil"/>
              <w:bottom w:val="nil"/>
              <w:right w:val="nil"/>
            </w:tcBorders>
            <w:shd w:val="clear" w:color="auto" w:fill="auto"/>
            <w:noWrap/>
            <w:vAlign w:val="center"/>
          </w:tcPr>
          <w:p w14:paraId="6487ADAE" w14:textId="77777777" w:rsidR="008A4BCF" w:rsidRPr="009C55EE" w:rsidRDefault="008A4BCF" w:rsidP="00B44AC3">
            <w:pPr>
              <w:spacing w:after="0" w:line="240" w:lineRule="auto"/>
              <w:jc w:val="right"/>
              <w:rPr>
                <w:rFonts w:cs="Segoe UI"/>
                <w:color w:val="000000"/>
                <w:sz w:val="18"/>
                <w:szCs w:val="18"/>
              </w:rPr>
            </w:pPr>
            <w:r w:rsidRPr="009C55EE">
              <w:rPr>
                <w:rFonts w:cs="Segoe UI"/>
                <w:color w:val="000000"/>
                <w:sz w:val="18"/>
                <w:szCs w:val="18"/>
              </w:rPr>
              <w:t>2 563</w:t>
            </w:r>
          </w:p>
        </w:tc>
        <w:tc>
          <w:tcPr>
            <w:tcW w:w="584" w:type="pct"/>
            <w:tcBorders>
              <w:top w:val="nil"/>
              <w:left w:val="nil"/>
              <w:bottom w:val="nil"/>
              <w:right w:val="nil"/>
            </w:tcBorders>
            <w:shd w:val="clear" w:color="auto" w:fill="auto"/>
            <w:noWrap/>
            <w:vAlign w:val="center"/>
          </w:tcPr>
          <w:p w14:paraId="441EDC4E"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2 424</w:t>
            </w:r>
          </w:p>
        </w:tc>
        <w:tc>
          <w:tcPr>
            <w:tcW w:w="528" w:type="pct"/>
            <w:tcBorders>
              <w:top w:val="nil"/>
              <w:left w:val="nil"/>
              <w:bottom w:val="nil"/>
              <w:right w:val="nil"/>
            </w:tcBorders>
            <w:shd w:val="clear" w:color="auto" w:fill="auto"/>
            <w:noWrap/>
            <w:vAlign w:val="center"/>
          </w:tcPr>
          <w:p w14:paraId="6EF66BFB"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-139</w:t>
            </w:r>
          </w:p>
        </w:tc>
        <w:tc>
          <w:tcPr>
            <w:tcW w:w="426" w:type="pct"/>
            <w:tcBorders>
              <w:top w:val="nil"/>
              <w:left w:val="nil"/>
              <w:bottom w:val="nil"/>
              <w:right w:val="nil"/>
            </w:tcBorders>
            <w:shd w:val="clear" w:color="auto" w:fill="auto"/>
            <w:noWrap/>
            <w:vAlign w:val="center"/>
          </w:tcPr>
          <w:p w14:paraId="7E997F9B"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94,6</w:t>
            </w:r>
          </w:p>
        </w:tc>
      </w:tr>
      <w:tr w:rsidR="008A4BCF" w:rsidRPr="009C55EE" w14:paraId="009BBD71" w14:textId="77777777" w:rsidTr="00B44AC3">
        <w:trPr>
          <w:trHeight w:val="283"/>
        </w:trPr>
        <w:tc>
          <w:tcPr>
            <w:tcW w:w="2877" w:type="pct"/>
            <w:shd w:val="clear" w:color="auto" w:fill="auto"/>
            <w:noWrap/>
            <w:vAlign w:val="bottom"/>
            <w:hideMark/>
          </w:tcPr>
          <w:p w14:paraId="4FE2D6B8" w14:textId="77777777" w:rsidR="008A4BCF" w:rsidRPr="009C55EE" w:rsidRDefault="008A4BCF" w:rsidP="00B44AC3">
            <w:pPr>
              <w:pStyle w:val="Odsekzoznamu"/>
              <w:numPr>
                <w:ilvl w:val="0"/>
                <w:numId w:val="3"/>
              </w:numPr>
              <w:spacing w:after="0" w:line="240" w:lineRule="auto"/>
              <w:jc w:val="left"/>
              <w:rPr>
                <w:rFonts w:eastAsia="Times New Roman" w:cs="Segoe UI"/>
                <w:sz w:val="18"/>
                <w:szCs w:val="18"/>
                <w:lang w:eastAsia="sk-SK"/>
              </w:rPr>
            </w:pPr>
            <w:r w:rsidRPr="009C55EE">
              <w:rPr>
                <w:rFonts w:eastAsia="Times New Roman" w:cs="Segoe UI"/>
                <w:sz w:val="18"/>
                <w:szCs w:val="18"/>
                <w:lang w:eastAsia="sk-SK"/>
              </w:rPr>
              <w:t>Zdravotnícke zariadenia ústrednej správy</w:t>
            </w:r>
          </w:p>
        </w:tc>
        <w:tc>
          <w:tcPr>
            <w:tcW w:w="584" w:type="pct"/>
            <w:tcBorders>
              <w:top w:val="nil"/>
              <w:left w:val="nil"/>
              <w:bottom w:val="nil"/>
              <w:right w:val="nil"/>
            </w:tcBorders>
            <w:shd w:val="clear" w:color="auto" w:fill="auto"/>
            <w:noWrap/>
            <w:vAlign w:val="center"/>
          </w:tcPr>
          <w:p w14:paraId="4C542DE7"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193 531</w:t>
            </w:r>
          </w:p>
        </w:tc>
        <w:tc>
          <w:tcPr>
            <w:tcW w:w="584" w:type="pct"/>
            <w:tcBorders>
              <w:top w:val="nil"/>
              <w:left w:val="nil"/>
              <w:bottom w:val="nil"/>
              <w:right w:val="nil"/>
            </w:tcBorders>
            <w:shd w:val="clear" w:color="auto" w:fill="auto"/>
            <w:noWrap/>
            <w:vAlign w:val="center"/>
          </w:tcPr>
          <w:p w14:paraId="5471E7AF"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175 730</w:t>
            </w:r>
          </w:p>
        </w:tc>
        <w:tc>
          <w:tcPr>
            <w:tcW w:w="528" w:type="pct"/>
            <w:tcBorders>
              <w:top w:val="nil"/>
              <w:left w:val="nil"/>
              <w:bottom w:val="nil"/>
              <w:right w:val="nil"/>
            </w:tcBorders>
            <w:shd w:val="clear" w:color="auto" w:fill="auto"/>
            <w:noWrap/>
            <w:vAlign w:val="center"/>
          </w:tcPr>
          <w:p w14:paraId="30D20C93"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-17 801</w:t>
            </w:r>
          </w:p>
        </w:tc>
        <w:tc>
          <w:tcPr>
            <w:tcW w:w="426" w:type="pct"/>
            <w:tcBorders>
              <w:top w:val="nil"/>
              <w:left w:val="nil"/>
              <w:bottom w:val="nil"/>
              <w:right w:val="nil"/>
            </w:tcBorders>
            <w:shd w:val="clear" w:color="auto" w:fill="auto"/>
            <w:noWrap/>
            <w:vAlign w:val="center"/>
          </w:tcPr>
          <w:p w14:paraId="053941BE"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90,8</w:t>
            </w:r>
          </w:p>
        </w:tc>
      </w:tr>
      <w:tr w:rsidR="008A4BCF" w:rsidRPr="009C55EE" w14:paraId="121D1C1B" w14:textId="77777777" w:rsidTr="00B44AC3">
        <w:trPr>
          <w:trHeight w:val="283"/>
        </w:trPr>
        <w:tc>
          <w:tcPr>
            <w:tcW w:w="2877" w:type="pct"/>
            <w:shd w:val="clear" w:color="auto" w:fill="auto"/>
            <w:noWrap/>
            <w:vAlign w:val="bottom"/>
            <w:hideMark/>
          </w:tcPr>
          <w:p w14:paraId="71BF39FE" w14:textId="77777777" w:rsidR="008A4BCF" w:rsidRPr="009C55EE" w:rsidRDefault="008A4BCF" w:rsidP="00B44AC3">
            <w:pPr>
              <w:pStyle w:val="Odsekzoznamu"/>
              <w:numPr>
                <w:ilvl w:val="0"/>
                <w:numId w:val="3"/>
              </w:numPr>
              <w:spacing w:after="0" w:line="240" w:lineRule="auto"/>
              <w:jc w:val="left"/>
              <w:rPr>
                <w:rFonts w:eastAsia="Times New Roman" w:cs="Segoe UI"/>
                <w:sz w:val="18"/>
                <w:szCs w:val="18"/>
                <w:lang w:eastAsia="sk-SK"/>
              </w:rPr>
            </w:pPr>
            <w:r w:rsidRPr="009C55EE">
              <w:rPr>
                <w:rFonts w:eastAsia="Times New Roman" w:cs="Segoe UI"/>
                <w:sz w:val="18"/>
                <w:szCs w:val="18"/>
                <w:lang w:eastAsia="sk-SK"/>
              </w:rPr>
              <w:t>Agentúra pre núdzové zásoby ropy a ropných výrobkov</w:t>
            </w:r>
          </w:p>
        </w:tc>
        <w:tc>
          <w:tcPr>
            <w:tcW w:w="584" w:type="pct"/>
            <w:tcBorders>
              <w:top w:val="nil"/>
              <w:left w:val="nil"/>
              <w:bottom w:val="nil"/>
              <w:right w:val="nil"/>
            </w:tcBorders>
            <w:shd w:val="clear" w:color="auto" w:fill="auto"/>
            <w:noWrap/>
            <w:vAlign w:val="center"/>
          </w:tcPr>
          <w:p w14:paraId="5020A9FA"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241 357</w:t>
            </w:r>
          </w:p>
        </w:tc>
        <w:tc>
          <w:tcPr>
            <w:tcW w:w="584" w:type="pct"/>
            <w:tcBorders>
              <w:top w:val="nil"/>
              <w:left w:val="nil"/>
              <w:bottom w:val="nil"/>
              <w:right w:val="nil"/>
            </w:tcBorders>
            <w:shd w:val="clear" w:color="auto" w:fill="auto"/>
            <w:noWrap/>
            <w:vAlign w:val="center"/>
          </w:tcPr>
          <w:p w14:paraId="1025C5FF"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220 348</w:t>
            </w:r>
          </w:p>
        </w:tc>
        <w:tc>
          <w:tcPr>
            <w:tcW w:w="528" w:type="pct"/>
            <w:tcBorders>
              <w:top w:val="nil"/>
              <w:left w:val="nil"/>
              <w:bottom w:val="nil"/>
              <w:right w:val="nil"/>
            </w:tcBorders>
            <w:shd w:val="clear" w:color="auto" w:fill="auto"/>
            <w:noWrap/>
            <w:vAlign w:val="center"/>
          </w:tcPr>
          <w:p w14:paraId="142989E0"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-21 009</w:t>
            </w:r>
          </w:p>
        </w:tc>
        <w:tc>
          <w:tcPr>
            <w:tcW w:w="426" w:type="pct"/>
            <w:tcBorders>
              <w:top w:val="nil"/>
              <w:left w:val="nil"/>
              <w:bottom w:val="nil"/>
              <w:right w:val="nil"/>
            </w:tcBorders>
            <w:shd w:val="clear" w:color="auto" w:fill="auto"/>
            <w:noWrap/>
            <w:vAlign w:val="center"/>
          </w:tcPr>
          <w:p w14:paraId="189B1FBC"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91,3</w:t>
            </w:r>
          </w:p>
        </w:tc>
      </w:tr>
      <w:tr w:rsidR="008A4BCF" w:rsidRPr="009C55EE" w14:paraId="5C3A9B14" w14:textId="77777777" w:rsidTr="00B44AC3">
        <w:trPr>
          <w:trHeight w:val="283"/>
        </w:trPr>
        <w:tc>
          <w:tcPr>
            <w:tcW w:w="2877" w:type="pct"/>
            <w:shd w:val="clear" w:color="auto" w:fill="auto"/>
            <w:noWrap/>
            <w:vAlign w:val="bottom"/>
            <w:hideMark/>
          </w:tcPr>
          <w:p w14:paraId="01CC031E" w14:textId="77777777" w:rsidR="008A4BCF" w:rsidRPr="009C55EE" w:rsidRDefault="008A4BCF" w:rsidP="00B44AC3">
            <w:pPr>
              <w:pStyle w:val="Odsekzoznamu"/>
              <w:numPr>
                <w:ilvl w:val="0"/>
                <w:numId w:val="3"/>
              </w:numPr>
              <w:spacing w:after="0" w:line="240" w:lineRule="auto"/>
              <w:jc w:val="left"/>
              <w:rPr>
                <w:rFonts w:eastAsia="Times New Roman" w:cs="Segoe UI"/>
                <w:sz w:val="18"/>
                <w:szCs w:val="18"/>
                <w:lang w:eastAsia="sk-SK"/>
              </w:rPr>
            </w:pPr>
            <w:r w:rsidRPr="009C55EE">
              <w:rPr>
                <w:rFonts w:eastAsia="Times New Roman" w:cs="Segoe UI"/>
                <w:sz w:val="18"/>
                <w:szCs w:val="18"/>
                <w:lang w:eastAsia="sk-SK"/>
              </w:rPr>
              <w:t>Ostatné subjekty ústrednej správy</w:t>
            </w:r>
          </w:p>
        </w:tc>
        <w:tc>
          <w:tcPr>
            <w:tcW w:w="584" w:type="pct"/>
            <w:tcBorders>
              <w:top w:val="nil"/>
              <w:left w:val="nil"/>
              <w:bottom w:val="nil"/>
              <w:right w:val="nil"/>
            </w:tcBorders>
            <w:shd w:val="clear" w:color="auto" w:fill="auto"/>
            <w:noWrap/>
            <w:vAlign w:val="center"/>
          </w:tcPr>
          <w:p w14:paraId="0AA03812"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24 781</w:t>
            </w:r>
          </w:p>
        </w:tc>
        <w:tc>
          <w:tcPr>
            <w:tcW w:w="584" w:type="pct"/>
            <w:tcBorders>
              <w:top w:val="nil"/>
              <w:left w:val="nil"/>
              <w:bottom w:val="nil"/>
              <w:right w:val="nil"/>
            </w:tcBorders>
            <w:shd w:val="clear" w:color="auto" w:fill="auto"/>
            <w:noWrap/>
            <w:vAlign w:val="center"/>
          </w:tcPr>
          <w:p w14:paraId="3F93B76C"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13 803</w:t>
            </w:r>
          </w:p>
        </w:tc>
        <w:tc>
          <w:tcPr>
            <w:tcW w:w="528" w:type="pct"/>
            <w:tcBorders>
              <w:top w:val="nil"/>
              <w:left w:val="nil"/>
              <w:bottom w:val="nil"/>
              <w:right w:val="nil"/>
            </w:tcBorders>
            <w:shd w:val="clear" w:color="auto" w:fill="auto"/>
            <w:noWrap/>
            <w:vAlign w:val="center"/>
          </w:tcPr>
          <w:p w14:paraId="20F09380"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-10 978</w:t>
            </w:r>
          </w:p>
        </w:tc>
        <w:tc>
          <w:tcPr>
            <w:tcW w:w="426" w:type="pct"/>
            <w:tcBorders>
              <w:top w:val="nil"/>
              <w:left w:val="nil"/>
              <w:bottom w:val="nil"/>
              <w:right w:val="nil"/>
            </w:tcBorders>
            <w:shd w:val="clear" w:color="auto" w:fill="auto"/>
            <w:noWrap/>
            <w:vAlign w:val="center"/>
          </w:tcPr>
          <w:p w14:paraId="485767EC"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55,7</w:t>
            </w:r>
          </w:p>
        </w:tc>
      </w:tr>
      <w:tr w:rsidR="008A4BCF" w:rsidRPr="009C55EE" w14:paraId="57E84927" w14:textId="77777777" w:rsidTr="00B44AC3">
        <w:trPr>
          <w:trHeight w:val="283"/>
        </w:trPr>
        <w:tc>
          <w:tcPr>
            <w:tcW w:w="2877" w:type="pct"/>
            <w:shd w:val="clear" w:color="auto" w:fill="auto"/>
            <w:noWrap/>
            <w:vAlign w:val="bottom"/>
            <w:hideMark/>
          </w:tcPr>
          <w:p w14:paraId="4F5C4002" w14:textId="77777777" w:rsidR="008A4BCF" w:rsidRPr="009C55EE" w:rsidRDefault="008A4BCF" w:rsidP="00B44AC3">
            <w:pPr>
              <w:spacing w:after="0" w:line="240" w:lineRule="auto"/>
              <w:rPr>
                <w:rFonts w:eastAsia="Times New Roman" w:cs="Segoe UI"/>
                <w:b/>
                <w:bCs/>
                <w:sz w:val="18"/>
                <w:szCs w:val="18"/>
              </w:rPr>
            </w:pPr>
            <w:r w:rsidRPr="009C55EE">
              <w:rPr>
                <w:rFonts w:eastAsia="Times New Roman" w:cs="Segoe UI"/>
                <w:b/>
                <w:bCs/>
                <w:sz w:val="18"/>
                <w:szCs w:val="18"/>
              </w:rPr>
              <w:t>Územná samospráva</w:t>
            </w:r>
          </w:p>
        </w:tc>
        <w:tc>
          <w:tcPr>
            <w:tcW w:w="584" w:type="pct"/>
            <w:tcBorders>
              <w:top w:val="nil"/>
              <w:left w:val="nil"/>
              <w:bottom w:val="nil"/>
              <w:right w:val="nil"/>
            </w:tcBorders>
            <w:shd w:val="clear" w:color="auto" w:fill="auto"/>
            <w:noWrap/>
            <w:vAlign w:val="center"/>
          </w:tcPr>
          <w:p w14:paraId="21105C3A" w14:textId="77777777" w:rsidR="008A4BCF" w:rsidRPr="009C55EE" w:rsidRDefault="008A4BCF" w:rsidP="00B44AC3">
            <w:pPr>
              <w:spacing w:after="0" w:line="240" w:lineRule="auto"/>
              <w:rPr>
                <w:rFonts w:eastAsia="Times New Roman" w:cs="Segoe UI"/>
                <w:sz w:val="18"/>
                <w:szCs w:val="18"/>
              </w:rPr>
            </w:pPr>
          </w:p>
        </w:tc>
        <w:tc>
          <w:tcPr>
            <w:tcW w:w="584" w:type="pct"/>
            <w:tcBorders>
              <w:top w:val="nil"/>
              <w:left w:val="nil"/>
              <w:bottom w:val="nil"/>
              <w:right w:val="nil"/>
            </w:tcBorders>
            <w:shd w:val="clear" w:color="auto" w:fill="auto"/>
            <w:noWrap/>
            <w:vAlign w:val="center"/>
          </w:tcPr>
          <w:p w14:paraId="0BAEEC33" w14:textId="77777777" w:rsidR="008A4BCF" w:rsidRPr="009C55EE" w:rsidRDefault="008A4BCF" w:rsidP="00B44AC3">
            <w:pPr>
              <w:spacing w:after="0" w:line="240" w:lineRule="auto"/>
              <w:rPr>
                <w:rFonts w:eastAsia="Times New Roman" w:cs="Segoe UI"/>
                <w:sz w:val="18"/>
                <w:szCs w:val="18"/>
              </w:rPr>
            </w:pPr>
          </w:p>
        </w:tc>
        <w:tc>
          <w:tcPr>
            <w:tcW w:w="528" w:type="pct"/>
            <w:tcBorders>
              <w:top w:val="nil"/>
              <w:left w:val="nil"/>
              <w:bottom w:val="nil"/>
              <w:right w:val="nil"/>
            </w:tcBorders>
            <w:shd w:val="clear" w:color="auto" w:fill="auto"/>
            <w:noWrap/>
            <w:vAlign w:val="center"/>
          </w:tcPr>
          <w:p w14:paraId="50A80CCF" w14:textId="77777777" w:rsidR="008A4BCF" w:rsidRPr="009C55EE" w:rsidRDefault="008A4BCF" w:rsidP="00B44AC3">
            <w:pPr>
              <w:spacing w:after="0" w:line="240" w:lineRule="auto"/>
              <w:rPr>
                <w:rFonts w:eastAsia="Times New Roman" w:cs="Segoe UI"/>
                <w:sz w:val="18"/>
                <w:szCs w:val="18"/>
              </w:rPr>
            </w:pPr>
          </w:p>
        </w:tc>
        <w:tc>
          <w:tcPr>
            <w:tcW w:w="426" w:type="pct"/>
            <w:tcBorders>
              <w:top w:val="nil"/>
              <w:left w:val="nil"/>
              <w:bottom w:val="nil"/>
              <w:right w:val="nil"/>
            </w:tcBorders>
            <w:shd w:val="clear" w:color="auto" w:fill="auto"/>
            <w:noWrap/>
            <w:vAlign w:val="center"/>
          </w:tcPr>
          <w:p w14:paraId="5A004873" w14:textId="77777777" w:rsidR="008A4BCF" w:rsidRPr="009C55EE" w:rsidRDefault="008A4BCF" w:rsidP="00B44AC3">
            <w:pPr>
              <w:spacing w:after="0" w:line="240" w:lineRule="auto"/>
              <w:rPr>
                <w:rFonts w:eastAsia="Times New Roman" w:cs="Segoe UI"/>
                <w:sz w:val="18"/>
                <w:szCs w:val="18"/>
              </w:rPr>
            </w:pPr>
          </w:p>
        </w:tc>
      </w:tr>
      <w:tr w:rsidR="008A4BCF" w:rsidRPr="009C55EE" w14:paraId="69230476" w14:textId="77777777" w:rsidTr="00B44AC3">
        <w:trPr>
          <w:trHeight w:val="283"/>
        </w:trPr>
        <w:tc>
          <w:tcPr>
            <w:tcW w:w="2877" w:type="pct"/>
            <w:shd w:val="clear" w:color="auto" w:fill="auto"/>
            <w:noWrap/>
            <w:vAlign w:val="bottom"/>
            <w:hideMark/>
          </w:tcPr>
          <w:p w14:paraId="054B5428" w14:textId="77777777" w:rsidR="008A4BCF" w:rsidRPr="009C55EE" w:rsidRDefault="008A4BCF" w:rsidP="00B44AC3">
            <w:pPr>
              <w:pStyle w:val="Odsekzoznamu"/>
              <w:numPr>
                <w:ilvl w:val="0"/>
                <w:numId w:val="3"/>
              </w:numPr>
              <w:spacing w:after="0" w:line="240" w:lineRule="auto"/>
              <w:jc w:val="left"/>
              <w:rPr>
                <w:rFonts w:eastAsia="Times New Roman" w:cs="Segoe UI"/>
                <w:sz w:val="18"/>
                <w:szCs w:val="18"/>
                <w:lang w:eastAsia="sk-SK"/>
              </w:rPr>
            </w:pPr>
            <w:r w:rsidRPr="009C55EE">
              <w:rPr>
                <w:rFonts w:eastAsia="Times New Roman" w:cs="Segoe UI"/>
                <w:sz w:val="18"/>
                <w:szCs w:val="18"/>
                <w:lang w:eastAsia="sk-SK"/>
              </w:rPr>
              <w:t>Obce a ich rozpočtové organizácie</w:t>
            </w:r>
          </w:p>
        </w:tc>
        <w:tc>
          <w:tcPr>
            <w:tcW w:w="584" w:type="pct"/>
            <w:tcBorders>
              <w:top w:val="nil"/>
              <w:left w:val="nil"/>
              <w:bottom w:val="nil"/>
              <w:right w:val="nil"/>
            </w:tcBorders>
            <w:shd w:val="clear" w:color="auto" w:fill="auto"/>
            <w:noWrap/>
            <w:vAlign w:val="center"/>
          </w:tcPr>
          <w:p w14:paraId="35E84717"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1 751 497</w:t>
            </w:r>
          </w:p>
        </w:tc>
        <w:tc>
          <w:tcPr>
            <w:tcW w:w="584" w:type="pct"/>
            <w:tcBorders>
              <w:top w:val="nil"/>
              <w:left w:val="nil"/>
              <w:bottom w:val="nil"/>
              <w:right w:val="nil"/>
            </w:tcBorders>
            <w:shd w:val="clear" w:color="auto" w:fill="auto"/>
            <w:noWrap/>
            <w:vAlign w:val="center"/>
          </w:tcPr>
          <w:p w14:paraId="2AFC1EEA"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1 833 794</w:t>
            </w:r>
          </w:p>
        </w:tc>
        <w:tc>
          <w:tcPr>
            <w:tcW w:w="528" w:type="pct"/>
            <w:tcBorders>
              <w:top w:val="nil"/>
              <w:left w:val="nil"/>
              <w:bottom w:val="nil"/>
              <w:right w:val="nil"/>
            </w:tcBorders>
            <w:shd w:val="clear" w:color="auto" w:fill="auto"/>
            <w:noWrap/>
            <w:vAlign w:val="center"/>
          </w:tcPr>
          <w:p w14:paraId="253ABD84"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82 297</w:t>
            </w:r>
          </w:p>
        </w:tc>
        <w:tc>
          <w:tcPr>
            <w:tcW w:w="426" w:type="pct"/>
            <w:tcBorders>
              <w:top w:val="nil"/>
              <w:left w:val="nil"/>
              <w:bottom w:val="nil"/>
              <w:right w:val="nil"/>
            </w:tcBorders>
            <w:shd w:val="clear" w:color="auto" w:fill="auto"/>
            <w:noWrap/>
            <w:vAlign w:val="center"/>
          </w:tcPr>
          <w:p w14:paraId="598547DE"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104,7</w:t>
            </w:r>
          </w:p>
        </w:tc>
      </w:tr>
      <w:tr w:rsidR="008A4BCF" w:rsidRPr="009C55EE" w14:paraId="505CED56" w14:textId="77777777" w:rsidTr="00B44AC3">
        <w:trPr>
          <w:trHeight w:val="283"/>
        </w:trPr>
        <w:tc>
          <w:tcPr>
            <w:tcW w:w="2877" w:type="pct"/>
            <w:shd w:val="clear" w:color="auto" w:fill="auto"/>
            <w:noWrap/>
            <w:vAlign w:val="bottom"/>
            <w:hideMark/>
          </w:tcPr>
          <w:p w14:paraId="7F6F0385" w14:textId="77777777" w:rsidR="008A4BCF" w:rsidRPr="009C55EE" w:rsidRDefault="008A4BCF" w:rsidP="00B44AC3">
            <w:pPr>
              <w:pStyle w:val="Odsekzoznamu"/>
              <w:numPr>
                <w:ilvl w:val="0"/>
                <w:numId w:val="3"/>
              </w:numPr>
              <w:spacing w:after="0" w:line="240" w:lineRule="auto"/>
              <w:jc w:val="left"/>
              <w:rPr>
                <w:rFonts w:eastAsia="Times New Roman" w:cs="Segoe UI"/>
                <w:sz w:val="18"/>
                <w:szCs w:val="18"/>
                <w:lang w:eastAsia="sk-SK"/>
              </w:rPr>
            </w:pPr>
            <w:r w:rsidRPr="009C55EE">
              <w:rPr>
                <w:rFonts w:eastAsia="Times New Roman" w:cs="Segoe UI"/>
                <w:sz w:val="18"/>
                <w:szCs w:val="18"/>
                <w:lang w:eastAsia="sk-SK"/>
              </w:rPr>
              <w:t>Vyššie územné celky a ich rozpočtové organizácie</w:t>
            </w:r>
          </w:p>
        </w:tc>
        <w:tc>
          <w:tcPr>
            <w:tcW w:w="584" w:type="pct"/>
            <w:tcBorders>
              <w:top w:val="nil"/>
              <w:left w:val="nil"/>
              <w:bottom w:val="nil"/>
              <w:right w:val="nil"/>
            </w:tcBorders>
            <w:shd w:val="clear" w:color="auto" w:fill="auto"/>
            <w:noWrap/>
            <w:vAlign w:val="center"/>
          </w:tcPr>
          <w:p w14:paraId="60E711A8"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565 287</w:t>
            </w:r>
          </w:p>
        </w:tc>
        <w:tc>
          <w:tcPr>
            <w:tcW w:w="584" w:type="pct"/>
            <w:tcBorders>
              <w:top w:val="nil"/>
              <w:left w:val="nil"/>
              <w:bottom w:val="nil"/>
              <w:right w:val="nil"/>
            </w:tcBorders>
            <w:shd w:val="clear" w:color="auto" w:fill="auto"/>
            <w:noWrap/>
            <w:vAlign w:val="center"/>
          </w:tcPr>
          <w:p w14:paraId="1B9D3C1D"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701 518</w:t>
            </w:r>
          </w:p>
        </w:tc>
        <w:tc>
          <w:tcPr>
            <w:tcW w:w="528" w:type="pct"/>
            <w:tcBorders>
              <w:top w:val="nil"/>
              <w:left w:val="nil"/>
              <w:bottom w:val="nil"/>
              <w:right w:val="nil"/>
            </w:tcBorders>
            <w:shd w:val="clear" w:color="auto" w:fill="auto"/>
            <w:noWrap/>
            <w:vAlign w:val="center"/>
          </w:tcPr>
          <w:p w14:paraId="7A17F574"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136 231</w:t>
            </w:r>
          </w:p>
        </w:tc>
        <w:tc>
          <w:tcPr>
            <w:tcW w:w="426" w:type="pct"/>
            <w:tcBorders>
              <w:top w:val="nil"/>
              <w:left w:val="nil"/>
              <w:bottom w:val="nil"/>
              <w:right w:val="nil"/>
            </w:tcBorders>
            <w:shd w:val="clear" w:color="auto" w:fill="auto"/>
            <w:noWrap/>
            <w:vAlign w:val="center"/>
          </w:tcPr>
          <w:p w14:paraId="043069F1"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124,1</w:t>
            </w:r>
          </w:p>
        </w:tc>
      </w:tr>
      <w:tr w:rsidR="008A4BCF" w:rsidRPr="009C55EE" w14:paraId="2D08AD03" w14:textId="77777777" w:rsidTr="00B44AC3">
        <w:trPr>
          <w:trHeight w:val="283"/>
        </w:trPr>
        <w:tc>
          <w:tcPr>
            <w:tcW w:w="2877" w:type="pct"/>
            <w:shd w:val="clear" w:color="auto" w:fill="auto"/>
            <w:noWrap/>
            <w:vAlign w:val="bottom"/>
            <w:hideMark/>
          </w:tcPr>
          <w:p w14:paraId="1809CB38" w14:textId="77777777" w:rsidR="008A4BCF" w:rsidRPr="009C55EE" w:rsidRDefault="008A4BCF" w:rsidP="00B44AC3">
            <w:pPr>
              <w:pStyle w:val="Odsekzoznamu"/>
              <w:numPr>
                <w:ilvl w:val="0"/>
                <w:numId w:val="3"/>
              </w:numPr>
              <w:spacing w:after="0" w:line="240" w:lineRule="auto"/>
              <w:jc w:val="left"/>
              <w:rPr>
                <w:rFonts w:eastAsia="Times New Roman" w:cs="Segoe UI"/>
                <w:sz w:val="18"/>
                <w:szCs w:val="18"/>
                <w:lang w:eastAsia="sk-SK"/>
              </w:rPr>
            </w:pPr>
            <w:r w:rsidRPr="009C55EE">
              <w:rPr>
                <w:rFonts w:eastAsia="Times New Roman" w:cs="Segoe UI"/>
                <w:sz w:val="18"/>
                <w:szCs w:val="18"/>
                <w:lang w:eastAsia="sk-SK"/>
              </w:rPr>
              <w:t>Príspevkové organizácie obcí</w:t>
            </w:r>
          </w:p>
        </w:tc>
        <w:tc>
          <w:tcPr>
            <w:tcW w:w="584" w:type="pct"/>
            <w:tcBorders>
              <w:top w:val="nil"/>
              <w:left w:val="nil"/>
              <w:bottom w:val="nil"/>
              <w:right w:val="nil"/>
            </w:tcBorders>
            <w:shd w:val="clear" w:color="auto" w:fill="auto"/>
            <w:noWrap/>
            <w:vAlign w:val="center"/>
          </w:tcPr>
          <w:p w14:paraId="4AC5E80D"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1 722</w:t>
            </w:r>
          </w:p>
        </w:tc>
        <w:tc>
          <w:tcPr>
            <w:tcW w:w="584" w:type="pct"/>
            <w:tcBorders>
              <w:top w:val="nil"/>
              <w:left w:val="nil"/>
              <w:bottom w:val="nil"/>
              <w:right w:val="nil"/>
            </w:tcBorders>
            <w:shd w:val="clear" w:color="auto" w:fill="auto"/>
            <w:noWrap/>
            <w:vAlign w:val="center"/>
          </w:tcPr>
          <w:p w14:paraId="25642A38"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2 849</w:t>
            </w:r>
          </w:p>
        </w:tc>
        <w:tc>
          <w:tcPr>
            <w:tcW w:w="528" w:type="pct"/>
            <w:tcBorders>
              <w:top w:val="nil"/>
              <w:left w:val="nil"/>
              <w:bottom w:val="nil"/>
              <w:right w:val="nil"/>
            </w:tcBorders>
            <w:shd w:val="clear" w:color="auto" w:fill="auto"/>
            <w:noWrap/>
            <w:vAlign w:val="center"/>
          </w:tcPr>
          <w:p w14:paraId="0EB4649D"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1 127</w:t>
            </w:r>
          </w:p>
        </w:tc>
        <w:tc>
          <w:tcPr>
            <w:tcW w:w="426" w:type="pct"/>
            <w:tcBorders>
              <w:top w:val="nil"/>
              <w:left w:val="nil"/>
              <w:bottom w:val="nil"/>
              <w:right w:val="nil"/>
            </w:tcBorders>
            <w:shd w:val="clear" w:color="auto" w:fill="auto"/>
            <w:noWrap/>
            <w:vAlign w:val="center"/>
          </w:tcPr>
          <w:p w14:paraId="39848C57"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165,4</w:t>
            </w:r>
          </w:p>
        </w:tc>
      </w:tr>
      <w:tr w:rsidR="008A4BCF" w:rsidRPr="009C55EE" w14:paraId="3583B462" w14:textId="77777777" w:rsidTr="00B44AC3">
        <w:trPr>
          <w:trHeight w:val="283"/>
        </w:trPr>
        <w:tc>
          <w:tcPr>
            <w:tcW w:w="2877" w:type="pct"/>
            <w:shd w:val="clear" w:color="auto" w:fill="auto"/>
            <w:noWrap/>
            <w:vAlign w:val="bottom"/>
            <w:hideMark/>
          </w:tcPr>
          <w:p w14:paraId="40E229E6" w14:textId="77777777" w:rsidR="008A4BCF" w:rsidRPr="009C55EE" w:rsidRDefault="008A4BCF" w:rsidP="00B44AC3">
            <w:pPr>
              <w:pStyle w:val="Odsekzoznamu"/>
              <w:numPr>
                <w:ilvl w:val="0"/>
                <w:numId w:val="3"/>
              </w:numPr>
              <w:spacing w:after="0" w:line="240" w:lineRule="auto"/>
              <w:jc w:val="left"/>
              <w:rPr>
                <w:rFonts w:eastAsia="Times New Roman" w:cs="Segoe UI"/>
                <w:sz w:val="18"/>
                <w:szCs w:val="18"/>
                <w:lang w:eastAsia="sk-SK"/>
              </w:rPr>
            </w:pPr>
            <w:r w:rsidRPr="009C55EE">
              <w:rPr>
                <w:rFonts w:eastAsia="Times New Roman" w:cs="Segoe UI"/>
                <w:sz w:val="18"/>
                <w:szCs w:val="18"/>
                <w:lang w:eastAsia="sk-SK"/>
              </w:rPr>
              <w:t>Príspevkové organizácie VÚC</w:t>
            </w:r>
          </w:p>
        </w:tc>
        <w:tc>
          <w:tcPr>
            <w:tcW w:w="584" w:type="pct"/>
            <w:tcBorders>
              <w:top w:val="nil"/>
              <w:left w:val="nil"/>
              <w:bottom w:val="nil"/>
              <w:right w:val="nil"/>
            </w:tcBorders>
            <w:shd w:val="clear" w:color="auto" w:fill="auto"/>
            <w:noWrap/>
            <w:vAlign w:val="center"/>
          </w:tcPr>
          <w:p w14:paraId="3F6E4647"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1 246</w:t>
            </w:r>
          </w:p>
        </w:tc>
        <w:tc>
          <w:tcPr>
            <w:tcW w:w="584" w:type="pct"/>
            <w:tcBorders>
              <w:top w:val="nil"/>
              <w:left w:val="nil"/>
              <w:bottom w:val="nil"/>
              <w:right w:val="nil"/>
            </w:tcBorders>
            <w:shd w:val="clear" w:color="auto" w:fill="auto"/>
            <w:noWrap/>
            <w:vAlign w:val="center"/>
          </w:tcPr>
          <w:p w14:paraId="048AF6F3"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1 345</w:t>
            </w:r>
          </w:p>
        </w:tc>
        <w:tc>
          <w:tcPr>
            <w:tcW w:w="528" w:type="pct"/>
            <w:tcBorders>
              <w:top w:val="nil"/>
              <w:left w:val="nil"/>
              <w:bottom w:val="nil"/>
              <w:right w:val="nil"/>
            </w:tcBorders>
            <w:shd w:val="clear" w:color="auto" w:fill="auto"/>
            <w:noWrap/>
            <w:vAlign w:val="center"/>
          </w:tcPr>
          <w:p w14:paraId="623083FE"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99</w:t>
            </w:r>
          </w:p>
        </w:tc>
        <w:tc>
          <w:tcPr>
            <w:tcW w:w="426" w:type="pct"/>
            <w:tcBorders>
              <w:top w:val="nil"/>
              <w:left w:val="nil"/>
              <w:bottom w:val="nil"/>
              <w:right w:val="nil"/>
            </w:tcBorders>
            <w:shd w:val="clear" w:color="auto" w:fill="auto"/>
            <w:noWrap/>
            <w:vAlign w:val="center"/>
          </w:tcPr>
          <w:p w14:paraId="7A449E8E"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107,9</w:t>
            </w:r>
          </w:p>
        </w:tc>
      </w:tr>
      <w:tr w:rsidR="008A4BCF" w:rsidRPr="009C55EE" w14:paraId="3C5D7179" w14:textId="77777777" w:rsidTr="00B44AC3">
        <w:trPr>
          <w:trHeight w:val="283"/>
        </w:trPr>
        <w:tc>
          <w:tcPr>
            <w:tcW w:w="2877" w:type="pct"/>
            <w:shd w:val="clear" w:color="auto" w:fill="auto"/>
            <w:noWrap/>
            <w:vAlign w:val="bottom"/>
            <w:hideMark/>
          </w:tcPr>
          <w:p w14:paraId="18ABE4C0" w14:textId="77777777" w:rsidR="008A4BCF" w:rsidRPr="009C55EE" w:rsidRDefault="008A4BCF" w:rsidP="00B44AC3">
            <w:pPr>
              <w:pStyle w:val="Odsekzoznamu"/>
              <w:numPr>
                <w:ilvl w:val="0"/>
                <w:numId w:val="3"/>
              </w:numPr>
              <w:spacing w:after="0" w:line="240" w:lineRule="auto"/>
              <w:jc w:val="left"/>
              <w:rPr>
                <w:rFonts w:eastAsia="Times New Roman" w:cs="Segoe UI"/>
                <w:sz w:val="18"/>
                <w:szCs w:val="18"/>
                <w:lang w:eastAsia="sk-SK"/>
              </w:rPr>
            </w:pPr>
            <w:r w:rsidRPr="009C55EE">
              <w:rPr>
                <w:rFonts w:eastAsia="Times New Roman" w:cs="Segoe UI"/>
                <w:sz w:val="18"/>
                <w:szCs w:val="18"/>
                <w:lang w:eastAsia="sk-SK"/>
              </w:rPr>
              <w:t>Dopravné podniky</w:t>
            </w:r>
          </w:p>
        </w:tc>
        <w:tc>
          <w:tcPr>
            <w:tcW w:w="584" w:type="pct"/>
            <w:tcBorders>
              <w:top w:val="nil"/>
              <w:left w:val="nil"/>
              <w:bottom w:val="nil"/>
              <w:right w:val="nil"/>
            </w:tcBorders>
            <w:shd w:val="clear" w:color="auto" w:fill="auto"/>
            <w:noWrap/>
            <w:vAlign w:val="center"/>
          </w:tcPr>
          <w:p w14:paraId="157368BA"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106 800</w:t>
            </w:r>
          </w:p>
        </w:tc>
        <w:tc>
          <w:tcPr>
            <w:tcW w:w="584" w:type="pct"/>
            <w:tcBorders>
              <w:top w:val="nil"/>
              <w:left w:val="nil"/>
              <w:bottom w:val="nil"/>
              <w:right w:val="nil"/>
            </w:tcBorders>
            <w:shd w:val="clear" w:color="auto" w:fill="auto"/>
            <w:noWrap/>
            <w:vAlign w:val="center"/>
          </w:tcPr>
          <w:p w14:paraId="07856C49"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97 120</w:t>
            </w:r>
          </w:p>
        </w:tc>
        <w:tc>
          <w:tcPr>
            <w:tcW w:w="528" w:type="pct"/>
            <w:tcBorders>
              <w:top w:val="nil"/>
              <w:left w:val="nil"/>
              <w:bottom w:val="nil"/>
              <w:right w:val="nil"/>
            </w:tcBorders>
            <w:shd w:val="clear" w:color="auto" w:fill="auto"/>
            <w:noWrap/>
            <w:vAlign w:val="center"/>
          </w:tcPr>
          <w:p w14:paraId="2497CF4A"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-9 680</w:t>
            </w:r>
          </w:p>
        </w:tc>
        <w:tc>
          <w:tcPr>
            <w:tcW w:w="426" w:type="pct"/>
            <w:tcBorders>
              <w:top w:val="nil"/>
              <w:left w:val="nil"/>
              <w:bottom w:val="nil"/>
              <w:right w:val="nil"/>
            </w:tcBorders>
            <w:shd w:val="clear" w:color="auto" w:fill="auto"/>
            <w:noWrap/>
            <w:vAlign w:val="center"/>
          </w:tcPr>
          <w:p w14:paraId="6EF80825"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90,9</w:t>
            </w:r>
          </w:p>
        </w:tc>
      </w:tr>
      <w:tr w:rsidR="008A4BCF" w:rsidRPr="009C55EE" w14:paraId="2F1524B2" w14:textId="77777777" w:rsidTr="00B44AC3">
        <w:trPr>
          <w:trHeight w:val="283"/>
        </w:trPr>
        <w:tc>
          <w:tcPr>
            <w:tcW w:w="2877" w:type="pct"/>
            <w:shd w:val="clear" w:color="auto" w:fill="auto"/>
            <w:noWrap/>
            <w:vAlign w:val="bottom"/>
            <w:hideMark/>
          </w:tcPr>
          <w:p w14:paraId="67D6F683" w14:textId="77777777" w:rsidR="008A4BCF" w:rsidRPr="009C55EE" w:rsidRDefault="008A4BCF" w:rsidP="00B44AC3">
            <w:pPr>
              <w:pStyle w:val="Odsekzoznamu"/>
              <w:numPr>
                <w:ilvl w:val="0"/>
                <w:numId w:val="3"/>
              </w:numPr>
              <w:spacing w:after="0" w:line="240" w:lineRule="auto"/>
              <w:jc w:val="left"/>
              <w:rPr>
                <w:rFonts w:eastAsia="Times New Roman" w:cs="Segoe UI"/>
                <w:sz w:val="18"/>
                <w:szCs w:val="18"/>
                <w:lang w:eastAsia="sk-SK"/>
              </w:rPr>
            </w:pPr>
            <w:r w:rsidRPr="009C55EE">
              <w:rPr>
                <w:rFonts w:eastAsia="Times New Roman" w:cs="Segoe UI"/>
                <w:sz w:val="18"/>
                <w:szCs w:val="18"/>
                <w:lang w:eastAsia="sk-SK"/>
              </w:rPr>
              <w:t>Zdravotnícke zariadenia miestnej samosprávy</w:t>
            </w:r>
          </w:p>
        </w:tc>
        <w:tc>
          <w:tcPr>
            <w:tcW w:w="584" w:type="pct"/>
            <w:tcBorders>
              <w:top w:val="nil"/>
              <w:left w:val="nil"/>
              <w:bottom w:val="nil"/>
              <w:right w:val="nil"/>
            </w:tcBorders>
            <w:shd w:val="clear" w:color="auto" w:fill="auto"/>
            <w:noWrap/>
            <w:vAlign w:val="center"/>
          </w:tcPr>
          <w:p w14:paraId="3CBBEB56"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3 362</w:t>
            </w:r>
          </w:p>
        </w:tc>
        <w:tc>
          <w:tcPr>
            <w:tcW w:w="584" w:type="pct"/>
            <w:tcBorders>
              <w:top w:val="nil"/>
              <w:left w:val="nil"/>
              <w:bottom w:val="nil"/>
              <w:right w:val="nil"/>
            </w:tcBorders>
            <w:shd w:val="clear" w:color="auto" w:fill="auto"/>
            <w:noWrap/>
            <w:vAlign w:val="center"/>
          </w:tcPr>
          <w:p w14:paraId="104023BA"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3 147</w:t>
            </w:r>
          </w:p>
        </w:tc>
        <w:tc>
          <w:tcPr>
            <w:tcW w:w="528" w:type="pct"/>
            <w:tcBorders>
              <w:top w:val="nil"/>
              <w:left w:val="nil"/>
              <w:bottom w:val="nil"/>
              <w:right w:val="nil"/>
            </w:tcBorders>
            <w:shd w:val="clear" w:color="auto" w:fill="auto"/>
            <w:noWrap/>
            <w:vAlign w:val="center"/>
          </w:tcPr>
          <w:p w14:paraId="07A7561D"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-215</w:t>
            </w:r>
          </w:p>
        </w:tc>
        <w:tc>
          <w:tcPr>
            <w:tcW w:w="426" w:type="pct"/>
            <w:tcBorders>
              <w:top w:val="nil"/>
              <w:left w:val="nil"/>
              <w:bottom w:val="nil"/>
              <w:right w:val="nil"/>
            </w:tcBorders>
            <w:shd w:val="clear" w:color="auto" w:fill="auto"/>
            <w:noWrap/>
            <w:vAlign w:val="center"/>
          </w:tcPr>
          <w:p w14:paraId="399F4B36"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93,6</w:t>
            </w:r>
          </w:p>
        </w:tc>
      </w:tr>
      <w:tr w:rsidR="008A4BCF" w:rsidRPr="009C55EE" w14:paraId="6952FB6B" w14:textId="77777777" w:rsidTr="00B44AC3">
        <w:trPr>
          <w:trHeight w:val="283"/>
        </w:trPr>
        <w:tc>
          <w:tcPr>
            <w:tcW w:w="2877" w:type="pct"/>
            <w:shd w:val="clear" w:color="auto" w:fill="auto"/>
            <w:noWrap/>
            <w:vAlign w:val="bottom"/>
            <w:hideMark/>
          </w:tcPr>
          <w:p w14:paraId="592D7E7B" w14:textId="77777777" w:rsidR="008A4BCF" w:rsidRPr="009C55EE" w:rsidRDefault="008A4BCF" w:rsidP="00B44AC3">
            <w:pPr>
              <w:pStyle w:val="Odsekzoznamu"/>
              <w:numPr>
                <w:ilvl w:val="0"/>
                <w:numId w:val="3"/>
              </w:numPr>
              <w:spacing w:after="0" w:line="240" w:lineRule="auto"/>
              <w:jc w:val="left"/>
              <w:rPr>
                <w:rFonts w:eastAsia="Times New Roman" w:cs="Segoe UI"/>
                <w:sz w:val="18"/>
                <w:szCs w:val="18"/>
                <w:lang w:eastAsia="sk-SK"/>
              </w:rPr>
            </w:pPr>
            <w:r w:rsidRPr="009C55EE">
              <w:rPr>
                <w:rFonts w:eastAsia="Times New Roman" w:cs="Segoe UI"/>
                <w:sz w:val="18"/>
                <w:szCs w:val="18"/>
                <w:lang w:eastAsia="sk-SK"/>
              </w:rPr>
              <w:t>Ostatné subjekty miestnej samosprávy</w:t>
            </w:r>
          </w:p>
        </w:tc>
        <w:tc>
          <w:tcPr>
            <w:tcW w:w="584" w:type="pct"/>
            <w:tcBorders>
              <w:top w:val="nil"/>
              <w:left w:val="nil"/>
              <w:bottom w:val="nil"/>
              <w:right w:val="nil"/>
            </w:tcBorders>
            <w:shd w:val="clear" w:color="auto" w:fill="auto"/>
            <w:noWrap/>
            <w:vAlign w:val="center"/>
          </w:tcPr>
          <w:p w14:paraId="415A08E7"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7 701</w:t>
            </w:r>
          </w:p>
        </w:tc>
        <w:tc>
          <w:tcPr>
            <w:tcW w:w="584" w:type="pct"/>
            <w:tcBorders>
              <w:top w:val="nil"/>
              <w:left w:val="nil"/>
              <w:bottom w:val="nil"/>
              <w:right w:val="nil"/>
            </w:tcBorders>
            <w:shd w:val="clear" w:color="auto" w:fill="auto"/>
            <w:noWrap/>
            <w:vAlign w:val="center"/>
          </w:tcPr>
          <w:p w14:paraId="3614660D"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7 701</w:t>
            </w:r>
          </w:p>
        </w:tc>
        <w:tc>
          <w:tcPr>
            <w:tcW w:w="528" w:type="pct"/>
            <w:tcBorders>
              <w:top w:val="nil"/>
              <w:left w:val="nil"/>
              <w:bottom w:val="nil"/>
              <w:right w:val="nil"/>
            </w:tcBorders>
            <w:shd w:val="clear" w:color="auto" w:fill="auto"/>
            <w:noWrap/>
            <w:vAlign w:val="center"/>
          </w:tcPr>
          <w:p w14:paraId="479BDC49"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0</w:t>
            </w:r>
          </w:p>
        </w:tc>
        <w:tc>
          <w:tcPr>
            <w:tcW w:w="426" w:type="pct"/>
            <w:tcBorders>
              <w:top w:val="nil"/>
              <w:left w:val="nil"/>
              <w:bottom w:val="nil"/>
              <w:right w:val="nil"/>
            </w:tcBorders>
            <w:shd w:val="clear" w:color="auto" w:fill="auto"/>
            <w:noWrap/>
            <w:vAlign w:val="center"/>
          </w:tcPr>
          <w:p w14:paraId="415EB503"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100,0</w:t>
            </w:r>
          </w:p>
        </w:tc>
      </w:tr>
      <w:tr w:rsidR="008A4BCF" w:rsidRPr="009C55EE" w14:paraId="0227C83B" w14:textId="77777777" w:rsidTr="00B44AC3">
        <w:trPr>
          <w:trHeight w:val="283"/>
        </w:trPr>
        <w:tc>
          <w:tcPr>
            <w:tcW w:w="2877" w:type="pct"/>
            <w:shd w:val="clear" w:color="auto" w:fill="auto"/>
            <w:noWrap/>
            <w:vAlign w:val="bottom"/>
            <w:hideMark/>
          </w:tcPr>
          <w:p w14:paraId="2F843514" w14:textId="77777777" w:rsidR="008A4BCF" w:rsidRPr="009C55EE" w:rsidRDefault="008A4BCF" w:rsidP="00B44AC3">
            <w:pPr>
              <w:spacing w:after="0" w:line="240" w:lineRule="auto"/>
              <w:rPr>
                <w:rFonts w:eastAsia="Times New Roman" w:cs="Segoe UI"/>
                <w:b/>
                <w:bCs/>
                <w:sz w:val="18"/>
                <w:szCs w:val="18"/>
              </w:rPr>
            </w:pPr>
            <w:r w:rsidRPr="009C55EE">
              <w:rPr>
                <w:rFonts w:eastAsia="Times New Roman" w:cs="Segoe UI"/>
                <w:b/>
                <w:bCs/>
                <w:sz w:val="18"/>
                <w:szCs w:val="18"/>
              </w:rPr>
              <w:t>Fondy sociálneho zabezpečenia</w:t>
            </w:r>
          </w:p>
        </w:tc>
        <w:tc>
          <w:tcPr>
            <w:tcW w:w="584" w:type="pct"/>
            <w:tcBorders>
              <w:top w:val="nil"/>
              <w:left w:val="nil"/>
              <w:bottom w:val="nil"/>
              <w:right w:val="nil"/>
            </w:tcBorders>
            <w:shd w:val="clear" w:color="auto" w:fill="auto"/>
            <w:noWrap/>
            <w:vAlign w:val="center"/>
          </w:tcPr>
          <w:p w14:paraId="7DF507BE" w14:textId="77777777" w:rsidR="008A4BCF" w:rsidRPr="009C55EE" w:rsidRDefault="008A4BCF" w:rsidP="00B44AC3">
            <w:pPr>
              <w:spacing w:after="0" w:line="240" w:lineRule="auto"/>
              <w:rPr>
                <w:rFonts w:eastAsia="Times New Roman" w:cs="Segoe UI"/>
                <w:sz w:val="18"/>
                <w:szCs w:val="18"/>
              </w:rPr>
            </w:pPr>
          </w:p>
        </w:tc>
        <w:tc>
          <w:tcPr>
            <w:tcW w:w="584" w:type="pct"/>
            <w:tcBorders>
              <w:top w:val="nil"/>
              <w:left w:val="nil"/>
              <w:bottom w:val="nil"/>
              <w:right w:val="nil"/>
            </w:tcBorders>
            <w:shd w:val="clear" w:color="auto" w:fill="auto"/>
            <w:noWrap/>
            <w:vAlign w:val="bottom"/>
          </w:tcPr>
          <w:p w14:paraId="3C370F2A" w14:textId="77777777" w:rsidR="008A4BCF" w:rsidRPr="009C55EE" w:rsidRDefault="008A4BCF" w:rsidP="00B44AC3">
            <w:pPr>
              <w:spacing w:after="0" w:line="240" w:lineRule="auto"/>
              <w:rPr>
                <w:rFonts w:eastAsia="Times New Roman" w:cs="Segoe UI"/>
                <w:sz w:val="18"/>
                <w:szCs w:val="18"/>
              </w:rPr>
            </w:pPr>
          </w:p>
        </w:tc>
        <w:tc>
          <w:tcPr>
            <w:tcW w:w="528" w:type="pct"/>
            <w:tcBorders>
              <w:top w:val="nil"/>
              <w:left w:val="nil"/>
              <w:bottom w:val="nil"/>
              <w:right w:val="nil"/>
            </w:tcBorders>
            <w:shd w:val="clear" w:color="auto" w:fill="auto"/>
            <w:noWrap/>
            <w:vAlign w:val="center"/>
          </w:tcPr>
          <w:p w14:paraId="274DA3F0" w14:textId="77777777" w:rsidR="008A4BCF" w:rsidRPr="009C55EE" w:rsidRDefault="008A4BCF" w:rsidP="00B44AC3">
            <w:pPr>
              <w:spacing w:after="0" w:line="240" w:lineRule="auto"/>
              <w:rPr>
                <w:rFonts w:eastAsia="Times New Roman" w:cs="Segoe UI"/>
                <w:sz w:val="18"/>
                <w:szCs w:val="18"/>
              </w:rPr>
            </w:pPr>
          </w:p>
        </w:tc>
        <w:tc>
          <w:tcPr>
            <w:tcW w:w="426" w:type="pct"/>
            <w:tcBorders>
              <w:top w:val="nil"/>
              <w:left w:val="nil"/>
              <w:bottom w:val="nil"/>
              <w:right w:val="nil"/>
            </w:tcBorders>
            <w:shd w:val="clear" w:color="auto" w:fill="auto"/>
            <w:noWrap/>
            <w:vAlign w:val="center"/>
          </w:tcPr>
          <w:p w14:paraId="6896F451" w14:textId="77777777" w:rsidR="008A4BCF" w:rsidRPr="009C55EE" w:rsidRDefault="008A4BCF" w:rsidP="00B44AC3">
            <w:pPr>
              <w:spacing w:after="0" w:line="240" w:lineRule="auto"/>
              <w:rPr>
                <w:rFonts w:eastAsia="Times New Roman" w:cs="Segoe UI"/>
                <w:sz w:val="18"/>
                <w:szCs w:val="18"/>
              </w:rPr>
            </w:pPr>
          </w:p>
        </w:tc>
      </w:tr>
      <w:tr w:rsidR="008A4BCF" w:rsidRPr="009C55EE" w14:paraId="71FDF07E" w14:textId="77777777" w:rsidTr="00B44AC3">
        <w:trPr>
          <w:trHeight w:val="283"/>
        </w:trPr>
        <w:tc>
          <w:tcPr>
            <w:tcW w:w="2877" w:type="pct"/>
            <w:shd w:val="clear" w:color="auto" w:fill="auto"/>
            <w:noWrap/>
            <w:vAlign w:val="bottom"/>
            <w:hideMark/>
          </w:tcPr>
          <w:p w14:paraId="4B393C20" w14:textId="77777777" w:rsidR="008A4BCF" w:rsidRPr="009C55EE" w:rsidRDefault="008A4BCF" w:rsidP="00B44AC3">
            <w:pPr>
              <w:pStyle w:val="Odsekzoznamu"/>
              <w:numPr>
                <w:ilvl w:val="0"/>
                <w:numId w:val="3"/>
              </w:numPr>
              <w:spacing w:after="0" w:line="240" w:lineRule="auto"/>
              <w:jc w:val="left"/>
              <w:rPr>
                <w:rFonts w:eastAsia="Times New Roman" w:cs="Segoe UI"/>
                <w:sz w:val="18"/>
                <w:szCs w:val="18"/>
                <w:lang w:eastAsia="sk-SK"/>
              </w:rPr>
            </w:pPr>
            <w:r w:rsidRPr="009C55EE">
              <w:rPr>
                <w:rFonts w:eastAsia="Times New Roman" w:cs="Segoe UI"/>
                <w:sz w:val="18"/>
                <w:szCs w:val="18"/>
                <w:lang w:eastAsia="sk-SK"/>
              </w:rPr>
              <w:t>Sociálna poisťovňa</w:t>
            </w:r>
          </w:p>
        </w:tc>
        <w:tc>
          <w:tcPr>
            <w:tcW w:w="584" w:type="pct"/>
            <w:tcBorders>
              <w:top w:val="nil"/>
              <w:left w:val="nil"/>
              <w:bottom w:val="nil"/>
              <w:right w:val="nil"/>
            </w:tcBorders>
            <w:shd w:val="clear" w:color="auto" w:fill="auto"/>
            <w:noWrap/>
            <w:vAlign w:val="center"/>
          </w:tcPr>
          <w:p w14:paraId="6DC47669"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586</w:t>
            </w:r>
          </w:p>
        </w:tc>
        <w:tc>
          <w:tcPr>
            <w:tcW w:w="584" w:type="pct"/>
            <w:tcBorders>
              <w:top w:val="nil"/>
              <w:left w:val="nil"/>
              <w:bottom w:val="nil"/>
              <w:right w:val="nil"/>
            </w:tcBorders>
            <w:shd w:val="clear" w:color="auto" w:fill="auto"/>
            <w:noWrap/>
            <w:vAlign w:val="center"/>
          </w:tcPr>
          <w:p w14:paraId="24FF825F"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466</w:t>
            </w:r>
          </w:p>
        </w:tc>
        <w:tc>
          <w:tcPr>
            <w:tcW w:w="528" w:type="pct"/>
            <w:tcBorders>
              <w:top w:val="nil"/>
              <w:left w:val="nil"/>
              <w:bottom w:val="nil"/>
              <w:right w:val="nil"/>
            </w:tcBorders>
            <w:shd w:val="clear" w:color="auto" w:fill="auto"/>
            <w:noWrap/>
            <w:vAlign w:val="center"/>
          </w:tcPr>
          <w:p w14:paraId="79394376"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-120</w:t>
            </w:r>
          </w:p>
        </w:tc>
        <w:tc>
          <w:tcPr>
            <w:tcW w:w="426" w:type="pct"/>
            <w:tcBorders>
              <w:top w:val="nil"/>
              <w:left w:val="nil"/>
              <w:bottom w:val="nil"/>
              <w:right w:val="nil"/>
            </w:tcBorders>
            <w:shd w:val="clear" w:color="auto" w:fill="auto"/>
            <w:noWrap/>
            <w:vAlign w:val="center"/>
          </w:tcPr>
          <w:p w14:paraId="24DDF49D"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80</w:t>
            </w:r>
          </w:p>
        </w:tc>
      </w:tr>
      <w:tr w:rsidR="008A4BCF" w:rsidRPr="009C55EE" w14:paraId="012D06DA" w14:textId="77777777" w:rsidTr="00B44AC3">
        <w:trPr>
          <w:trHeight w:val="283"/>
        </w:trPr>
        <w:tc>
          <w:tcPr>
            <w:tcW w:w="2877" w:type="pct"/>
            <w:shd w:val="clear" w:color="auto" w:fill="auto"/>
            <w:noWrap/>
            <w:vAlign w:val="bottom"/>
            <w:hideMark/>
          </w:tcPr>
          <w:p w14:paraId="35FFFA39" w14:textId="77777777" w:rsidR="008A4BCF" w:rsidRPr="009C55EE" w:rsidRDefault="008A4BCF" w:rsidP="00B44AC3">
            <w:pPr>
              <w:pStyle w:val="Odsekzoznamu"/>
              <w:numPr>
                <w:ilvl w:val="0"/>
                <w:numId w:val="3"/>
              </w:numPr>
              <w:spacing w:after="0" w:line="240" w:lineRule="auto"/>
              <w:jc w:val="left"/>
              <w:rPr>
                <w:rFonts w:eastAsia="Times New Roman" w:cs="Segoe UI"/>
                <w:sz w:val="18"/>
                <w:szCs w:val="18"/>
                <w:lang w:eastAsia="sk-SK"/>
              </w:rPr>
            </w:pPr>
            <w:r w:rsidRPr="009C55EE">
              <w:rPr>
                <w:rFonts w:eastAsia="Times New Roman" w:cs="Segoe UI"/>
                <w:sz w:val="18"/>
                <w:szCs w:val="18"/>
                <w:lang w:eastAsia="sk-SK"/>
              </w:rPr>
              <w:t>Verejné zdravotné poistenie</w:t>
            </w:r>
          </w:p>
        </w:tc>
        <w:tc>
          <w:tcPr>
            <w:tcW w:w="584" w:type="pct"/>
            <w:tcBorders>
              <w:top w:val="nil"/>
              <w:left w:val="nil"/>
              <w:bottom w:val="nil"/>
              <w:right w:val="nil"/>
            </w:tcBorders>
            <w:shd w:val="clear" w:color="auto" w:fill="auto"/>
            <w:noWrap/>
            <w:vAlign w:val="center"/>
          </w:tcPr>
          <w:p w14:paraId="382F3EA4"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345</w:t>
            </w:r>
          </w:p>
        </w:tc>
        <w:tc>
          <w:tcPr>
            <w:tcW w:w="584" w:type="pct"/>
            <w:tcBorders>
              <w:top w:val="nil"/>
              <w:left w:val="nil"/>
              <w:bottom w:val="nil"/>
              <w:right w:val="nil"/>
            </w:tcBorders>
            <w:shd w:val="clear" w:color="auto" w:fill="auto"/>
            <w:noWrap/>
            <w:vAlign w:val="center"/>
          </w:tcPr>
          <w:p w14:paraId="0782DC91"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80</w:t>
            </w:r>
          </w:p>
        </w:tc>
        <w:tc>
          <w:tcPr>
            <w:tcW w:w="528" w:type="pct"/>
            <w:tcBorders>
              <w:top w:val="nil"/>
              <w:left w:val="nil"/>
              <w:bottom w:val="nil"/>
              <w:right w:val="nil"/>
            </w:tcBorders>
            <w:shd w:val="clear" w:color="auto" w:fill="auto"/>
            <w:noWrap/>
            <w:vAlign w:val="center"/>
          </w:tcPr>
          <w:p w14:paraId="425468FD"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-265</w:t>
            </w:r>
          </w:p>
        </w:tc>
        <w:tc>
          <w:tcPr>
            <w:tcW w:w="426" w:type="pct"/>
            <w:tcBorders>
              <w:top w:val="nil"/>
              <w:left w:val="nil"/>
              <w:bottom w:val="nil"/>
              <w:right w:val="nil"/>
            </w:tcBorders>
            <w:shd w:val="clear" w:color="auto" w:fill="auto"/>
            <w:noWrap/>
            <w:vAlign w:val="center"/>
          </w:tcPr>
          <w:p w14:paraId="3B4C823C"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23</w:t>
            </w:r>
          </w:p>
        </w:tc>
      </w:tr>
      <w:tr w:rsidR="008A4BCF" w:rsidRPr="009C55EE" w14:paraId="322D09F2" w14:textId="77777777" w:rsidTr="00B44AC3">
        <w:trPr>
          <w:trHeight w:val="283"/>
        </w:trPr>
        <w:tc>
          <w:tcPr>
            <w:tcW w:w="2877" w:type="pct"/>
            <w:shd w:val="clear" w:color="auto" w:fill="auto"/>
            <w:noWrap/>
            <w:vAlign w:val="bottom"/>
            <w:hideMark/>
          </w:tcPr>
          <w:p w14:paraId="376C7E83" w14:textId="77777777" w:rsidR="008A4BCF" w:rsidRPr="009C55EE" w:rsidRDefault="008A4BCF" w:rsidP="00B44AC3">
            <w:pPr>
              <w:spacing w:after="0" w:line="240" w:lineRule="auto"/>
              <w:rPr>
                <w:rFonts w:eastAsia="Times New Roman" w:cs="Segoe UI"/>
                <w:b/>
                <w:bCs/>
                <w:sz w:val="18"/>
                <w:szCs w:val="18"/>
              </w:rPr>
            </w:pPr>
            <w:r w:rsidRPr="009C55EE">
              <w:rPr>
                <w:rFonts w:eastAsia="Times New Roman" w:cs="Segoe UI"/>
                <w:b/>
                <w:bCs/>
                <w:sz w:val="18"/>
                <w:szCs w:val="18"/>
              </w:rPr>
              <w:t>Verejná správa spolu</w:t>
            </w:r>
          </w:p>
        </w:tc>
        <w:tc>
          <w:tcPr>
            <w:tcW w:w="584" w:type="pct"/>
            <w:tcBorders>
              <w:top w:val="nil"/>
              <w:left w:val="nil"/>
              <w:bottom w:val="nil"/>
              <w:right w:val="nil"/>
            </w:tcBorders>
            <w:shd w:val="clear" w:color="auto" w:fill="auto"/>
            <w:noWrap/>
            <w:vAlign w:val="center"/>
          </w:tcPr>
          <w:p w14:paraId="583E2C99" w14:textId="77777777" w:rsidR="008A4BCF" w:rsidRPr="009C55EE" w:rsidRDefault="008A4BCF" w:rsidP="00B44AC3">
            <w:pPr>
              <w:spacing w:after="0" w:line="240" w:lineRule="auto"/>
              <w:jc w:val="right"/>
              <w:rPr>
                <w:rFonts w:eastAsia="Times New Roman" w:cs="Segoe UI"/>
                <w:b/>
                <w:bCs/>
                <w:sz w:val="18"/>
                <w:szCs w:val="18"/>
              </w:rPr>
            </w:pPr>
            <w:r w:rsidRPr="009C55EE">
              <w:rPr>
                <w:rFonts w:cs="Segoe UI"/>
                <w:b/>
                <w:bCs/>
                <w:color w:val="000000"/>
                <w:sz w:val="18"/>
                <w:szCs w:val="18"/>
              </w:rPr>
              <w:t>64 790 742</w:t>
            </w:r>
          </w:p>
        </w:tc>
        <w:tc>
          <w:tcPr>
            <w:tcW w:w="584" w:type="pct"/>
            <w:tcBorders>
              <w:top w:val="nil"/>
              <w:left w:val="nil"/>
              <w:bottom w:val="nil"/>
              <w:right w:val="nil"/>
            </w:tcBorders>
            <w:shd w:val="clear" w:color="auto" w:fill="auto"/>
            <w:noWrap/>
            <w:vAlign w:val="center"/>
          </w:tcPr>
          <w:p w14:paraId="6441DA0C" w14:textId="77777777" w:rsidR="008A4BCF" w:rsidRPr="009C55EE" w:rsidRDefault="008A4BCF" w:rsidP="00B44AC3">
            <w:pPr>
              <w:spacing w:after="0" w:line="240" w:lineRule="auto"/>
              <w:jc w:val="right"/>
              <w:rPr>
                <w:rFonts w:eastAsia="Times New Roman" w:cs="Segoe UI"/>
                <w:b/>
                <w:bCs/>
                <w:sz w:val="18"/>
                <w:szCs w:val="18"/>
              </w:rPr>
            </w:pPr>
            <w:r w:rsidRPr="009C55EE">
              <w:rPr>
                <w:rFonts w:cs="Segoe UI"/>
                <w:b/>
                <w:bCs/>
                <w:color w:val="000000"/>
                <w:sz w:val="18"/>
                <w:szCs w:val="18"/>
              </w:rPr>
              <w:t>70 161 060</w:t>
            </w:r>
          </w:p>
        </w:tc>
        <w:tc>
          <w:tcPr>
            <w:tcW w:w="528" w:type="pct"/>
            <w:tcBorders>
              <w:top w:val="nil"/>
              <w:left w:val="nil"/>
              <w:bottom w:val="nil"/>
              <w:right w:val="nil"/>
            </w:tcBorders>
            <w:shd w:val="clear" w:color="auto" w:fill="auto"/>
            <w:noWrap/>
            <w:vAlign w:val="center"/>
          </w:tcPr>
          <w:p w14:paraId="4D56F0D9" w14:textId="77777777" w:rsidR="008A4BCF" w:rsidRPr="009C55EE" w:rsidRDefault="008A4BCF" w:rsidP="00B44AC3">
            <w:pPr>
              <w:spacing w:after="0" w:line="240" w:lineRule="auto"/>
              <w:jc w:val="right"/>
              <w:rPr>
                <w:rFonts w:eastAsia="Times New Roman" w:cs="Segoe UI"/>
                <w:b/>
                <w:bCs/>
                <w:sz w:val="18"/>
                <w:szCs w:val="18"/>
              </w:rPr>
            </w:pPr>
            <w:r w:rsidRPr="009C55EE">
              <w:rPr>
                <w:rFonts w:cs="Segoe UI"/>
                <w:b/>
                <w:bCs/>
                <w:color w:val="000000"/>
                <w:sz w:val="18"/>
                <w:szCs w:val="18"/>
              </w:rPr>
              <w:t>5 370 318</w:t>
            </w:r>
          </w:p>
        </w:tc>
        <w:tc>
          <w:tcPr>
            <w:tcW w:w="426" w:type="pct"/>
            <w:tcBorders>
              <w:top w:val="nil"/>
              <w:left w:val="nil"/>
              <w:bottom w:val="nil"/>
              <w:right w:val="nil"/>
            </w:tcBorders>
            <w:shd w:val="clear" w:color="auto" w:fill="auto"/>
            <w:noWrap/>
            <w:vAlign w:val="center"/>
          </w:tcPr>
          <w:p w14:paraId="1B62A3A7" w14:textId="77777777" w:rsidR="008A4BCF" w:rsidRPr="009C55EE" w:rsidRDefault="008A4BCF" w:rsidP="00B44AC3">
            <w:pPr>
              <w:spacing w:after="0" w:line="240" w:lineRule="auto"/>
              <w:jc w:val="right"/>
              <w:rPr>
                <w:rFonts w:eastAsia="Times New Roman" w:cs="Segoe UI"/>
                <w:b/>
                <w:sz w:val="18"/>
                <w:szCs w:val="18"/>
              </w:rPr>
            </w:pPr>
            <w:r w:rsidRPr="009C55EE">
              <w:rPr>
                <w:rFonts w:cs="Segoe UI"/>
                <w:b/>
                <w:bCs/>
                <w:color w:val="000000"/>
                <w:sz w:val="18"/>
                <w:szCs w:val="18"/>
              </w:rPr>
              <w:t>108</w:t>
            </w:r>
          </w:p>
        </w:tc>
      </w:tr>
      <w:tr w:rsidR="008A4BCF" w:rsidRPr="009C55EE" w14:paraId="7E32180E" w14:textId="77777777" w:rsidTr="00B44AC3">
        <w:trPr>
          <w:trHeight w:val="283"/>
        </w:trPr>
        <w:tc>
          <w:tcPr>
            <w:tcW w:w="2877" w:type="pct"/>
            <w:shd w:val="clear" w:color="auto" w:fill="auto"/>
            <w:noWrap/>
            <w:vAlign w:val="bottom"/>
            <w:hideMark/>
          </w:tcPr>
          <w:p w14:paraId="04E35F4F" w14:textId="77777777" w:rsidR="008A4BCF" w:rsidRPr="009C55EE" w:rsidRDefault="008A4BCF" w:rsidP="00B44AC3">
            <w:pPr>
              <w:spacing w:after="0" w:line="240" w:lineRule="auto"/>
              <w:rPr>
                <w:rFonts w:eastAsia="Times New Roman" w:cs="Segoe UI"/>
                <w:i/>
                <w:iCs/>
                <w:sz w:val="18"/>
                <w:szCs w:val="18"/>
              </w:rPr>
            </w:pPr>
            <w:r w:rsidRPr="009C55EE">
              <w:rPr>
                <w:rFonts w:eastAsia="Times New Roman" w:cs="Segoe UI"/>
                <w:i/>
                <w:iCs/>
                <w:sz w:val="18"/>
                <w:szCs w:val="18"/>
              </w:rPr>
              <w:t>Konsolidácia</w:t>
            </w:r>
          </w:p>
        </w:tc>
        <w:tc>
          <w:tcPr>
            <w:tcW w:w="584" w:type="pct"/>
            <w:tcBorders>
              <w:top w:val="nil"/>
              <w:left w:val="nil"/>
              <w:bottom w:val="nil"/>
              <w:right w:val="nil"/>
            </w:tcBorders>
            <w:shd w:val="clear" w:color="auto" w:fill="auto"/>
            <w:noWrap/>
            <w:vAlign w:val="center"/>
          </w:tcPr>
          <w:p w14:paraId="21CC1DBC"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1 412 462</w:t>
            </w:r>
          </w:p>
        </w:tc>
        <w:tc>
          <w:tcPr>
            <w:tcW w:w="584" w:type="pct"/>
            <w:tcBorders>
              <w:top w:val="nil"/>
              <w:left w:val="nil"/>
              <w:bottom w:val="nil"/>
              <w:right w:val="nil"/>
            </w:tcBorders>
            <w:shd w:val="clear" w:color="auto" w:fill="auto"/>
            <w:noWrap/>
            <w:vAlign w:val="center"/>
          </w:tcPr>
          <w:p w14:paraId="2E9D8C71"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1 331 017</w:t>
            </w:r>
          </w:p>
        </w:tc>
        <w:tc>
          <w:tcPr>
            <w:tcW w:w="528" w:type="pct"/>
            <w:tcBorders>
              <w:top w:val="nil"/>
              <w:left w:val="nil"/>
              <w:bottom w:val="nil"/>
              <w:right w:val="nil"/>
            </w:tcBorders>
            <w:shd w:val="clear" w:color="auto" w:fill="auto"/>
            <w:noWrap/>
            <w:vAlign w:val="center"/>
          </w:tcPr>
          <w:p w14:paraId="6D21880A"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-81 445</w:t>
            </w:r>
          </w:p>
        </w:tc>
        <w:tc>
          <w:tcPr>
            <w:tcW w:w="426" w:type="pct"/>
            <w:tcBorders>
              <w:top w:val="nil"/>
              <w:left w:val="nil"/>
              <w:bottom w:val="nil"/>
              <w:right w:val="nil"/>
            </w:tcBorders>
            <w:shd w:val="clear" w:color="auto" w:fill="auto"/>
            <w:noWrap/>
            <w:vAlign w:val="center"/>
          </w:tcPr>
          <w:p w14:paraId="3A6CE24B" w14:textId="77777777" w:rsidR="008A4BCF" w:rsidRPr="009C55EE" w:rsidRDefault="008A4BCF" w:rsidP="00B44AC3">
            <w:pPr>
              <w:spacing w:after="0" w:line="240" w:lineRule="auto"/>
              <w:jc w:val="right"/>
              <w:rPr>
                <w:rFonts w:eastAsia="Times New Roman" w:cs="Segoe UI"/>
                <w:sz w:val="18"/>
                <w:szCs w:val="18"/>
              </w:rPr>
            </w:pPr>
            <w:r w:rsidRPr="009C55EE">
              <w:rPr>
                <w:rFonts w:cs="Segoe UI"/>
                <w:color w:val="000000"/>
                <w:sz w:val="18"/>
                <w:szCs w:val="18"/>
              </w:rPr>
              <w:t>94</w:t>
            </w:r>
          </w:p>
        </w:tc>
      </w:tr>
      <w:tr w:rsidR="008A4BCF" w:rsidRPr="009C55EE" w14:paraId="39F6FFCE" w14:textId="77777777" w:rsidTr="00B44AC3">
        <w:trPr>
          <w:trHeight w:val="283"/>
        </w:trPr>
        <w:tc>
          <w:tcPr>
            <w:tcW w:w="2877" w:type="pct"/>
            <w:shd w:val="clear" w:color="auto" w:fill="auto"/>
            <w:noWrap/>
            <w:vAlign w:val="bottom"/>
            <w:hideMark/>
          </w:tcPr>
          <w:p w14:paraId="62D1D5DB" w14:textId="77777777" w:rsidR="008A4BCF" w:rsidRPr="009C55EE" w:rsidRDefault="008A4BCF" w:rsidP="00B44AC3">
            <w:pPr>
              <w:spacing w:after="0" w:line="240" w:lineRule="auto"/>
              <w:rPr>
                <w:rFonts w:eastAsia="Times New Roman" w:cs="Segoe UI"/>
                <w:b/>
                <w:bCs/>
                <w:sz w:val="18"/>
                <w:szCs w:val="18"/>
              </w:rPr>
            </w:pPr>
            <w:r w:rsidRPr="009C55EE">
              <w:rPr>
                <w:rFonts w:eastAsia="Times New Roman" w:cs="Segoe UI"/>
                <w:b/>
                <w:bCs/>
                <w:sz w:val="18"/>
                <w:szCs w:val="18"/>
              </w:rPr>
              <w:t>Verejná správa spolu konsolidovaná</w:t>
            </w:r>
          </w:p>
        </w:tc>
        <w:tc>
          <w:tcPr>
            <w:tcW w:w="584" w:type="pct"/>
            <w:tcBorders>
              <w:top w:val="nil"/>
              <w:left w:val="nil"/>
              <w:bottom w:val="nil"/>
              <w:right w:val="nil"/>
            </w:tcBorders>
            <w:shd w:val="clear" w:color="auto" w:fill="auto"/>
            <w:noWrap/>
            <w:vAlign w:val="center"/>
          </w:tcPr>
          <w:p w14:paraId="27062DAB" w14:textId="77777777" w:rsidR="008A4BCF" w:rsidRPr="009C55EE" w:rsidRDefault="008A4BCF" w:rsidP="00B44AC3">
            <w:pPr>
              <w:spacing w:after="0" w:line="240" w:lineRule="auto"/>
              <w:jc w:val="right"/>
              <w:rPr>
                <w:rFonts w:eastAsia="Times New Roman" w:cs="Segoe UI"/>
                <w:b/>
                <w:bCs/>
                <w:sz w:val="18"/>
                <w:szCs w:val="18"/>
              </w:rPr>
            </w:pPr>
            <w:r w:rsidRPr="009C55EE">
              <w:rPr>
                <w:rFonts w:cs="Segoe UI"/>
                <w:b/>
                <w:bCs/>
                <w:color w:val="000000"/>
                <w:sz w:val="18"/>
                <w:szCs w:val="18"/>
              </w:rPr>
              <w:t>63 378 280</w:t>
            </w:r>
          </w:p>
        </w:tc>
        <w:tc>
          <w:tcPr>
            <w:tcW w:w="584" w:type="pct"/>
            <w:tcBorders>
              <w:top w:val="nil"/>
              <w:left w:val="nil"/>
              <w:bottom w:val="nil"/>
              <w:right w:val="nil"/>
            </w:tcBorders>
            <w:shd w:val="clear" w:color="auto" w:fill="auto"/>
            <w:noWrap/>
            <w:vAlign w:val="center"/>
          </w:tcPr>
          <w:p w14:paraId="3312BD4F" w14:textId="77777777" w:rsidR="008A4BCF" w:rsidRPr="009C55EE" w:rsidRDefault="008A4BCF" w:rsidP="00B44AC3">
            <w:pPr>
              <w:spacing w:after="0" w:line="240" w:lineRule="auto"/>
              <w:jc w:val="right"/>
              <w:rPr>
                <w:rFonts w:eastAsia="Times New Roman" w:cs="Segoe UI"/>
                <w:b/>
                <w:bCs/>
                <w:sz w:val="18"/>
                <w:szCs w:val="18"/>
              </w:rPr>
            </w:pPr>
            <w:r w:rsidRPr="009C55EE">
              <w:rPr>
                <w:rFonts w:cs="Segoe UI"/>
                <w:b/>
                <w:bCs/>
                <w:color w:val="000000"/>
                <w:sz w:val="18"/>
                <w:szCs w:val="18"/>
              </w:rPr>
              <w:t>68 830 043</w:t>
            </w:r>
          </w:p>
        </w:tc>
        <w:tc>
          <w:tcPr>
            <w:tcW w:w="528" w:type="pct"/>
            <w:tcBorders>
              <w:top w:val="nil"/>
              <w:left w:val="nil"/>
              <w:bottom w:val="nil"/>
              <w:right w:val="nil"/>
            </w:tcBorders>
            <w:shd w:val="clear" w:color="auto" w:fill="auto"/>
            <w:noWrap/>
            <w:vAlign w:val="center"/>
          </w:tcPr>
          <w:p w14:paraId="70F53E69" w14:textId="77777777" w:rsidR="008A4BCF" w:rsidRPr="009C55EE" w:rsidRDefault="008A4BCF" w:rsidP="00B44AC3">
            <w:pPr>
              <w:spacing w:after="0" w:line="240" w:lineRule="auto"/>
              <w:jc w:val="right"/>
              <w:rPr>
                <w:rFonts w:eastAsia="Times New Roman" w:cs="Segoe UI"/>
                <w:b/>
                <w:bCs/>
                <w:sz w:val="18"/>
                <w:szCs w:val="18"/>
              </w:rPr>
            </w:pPr>
            <w:r w:rsidRPr="009C55EE">
              <w:rPr>
                <w:rFonts w:cs="Segoe UI"/>
                <w:b/>
                <w:bCs/>
                <w:color w:val="000000"/>
                <w:sz w:val="18"/>
                <w:szCs w:val="18"/>
              </w:rPr>
              <w:t>5 451 763</w:t>
            </w:r>
          </w:p>
        </w:tc>
        <w:tc>
          <w:tcPr>
            <w:tcW w:w="426" w:type="pct"/>
            <w:tcBorders>
              <w:top w:val="nil"/>
              <w:left w:val="nil"/>
              <w:bottom w:val="nil"/>
              <w:right w:val="nil"/>
            </w:tcBorders>
            <w:shd w:val="clear" w:color="auto" w:fill="auto"/>
            <w:noWrap/>
            <w:vAlign w:val="center"/>
          </w:tcPr>
          <w:p w14:paraId="0B6843A0" w14:textId="77777777" w:rsidR="008A4BCF" w:rsidRPr="009C55EE" w:rsidRDefault="008A4BCF" w:rsidP="00B44AC3">
            <w:pPr>
              <w:spacing w:after="0" w:line="240" w:lineRule="auto"/>
              <w:jc w:val="right"/>
              <w:rPr>
                <w:rFonts w:eastAsia="Times New Roman" w:cs="Segoe UI"/>
                <w:b/>
                <w:sz w:val="18"/>
                <w:szCs w:val="18"/>
              </w:rPr>
            </w:pPr>
            <w:r w:rsidRPr="009C55EE">
              <w:rPr>
                <w:rFonts w:cs="Segoe UI"/>
                <w:b/>
                <w:bCs/>
                <w:color w:val="000000"/>
                <w:sz w:val="18"/>
                <w:szCs w:val="18"/>
              </w:rPr>
              <w:t>109</w:t>
            </w:r>
          </w:p>
        </w:tc>
      </w:tr>
      <w:tr w:rsidR="008A4BCF" w:rsidRPr="009C55EE" w14:paraId="5F81918C" w14:textId="77777777" w:rsidTr="00B44AC3">
        <w:trPr>
          <w:trHeight w:val="283"/>
        </w:trPr>
        <w:tc>
          <w:tcPr>
            <w:tcW w:w="2877" w:type="pct"/>
            <w:tcBorders>
              <w:bottom w:val="single" w:sz="4" w:space="0" w:color="314364" w:themeColor="text2"/>
            </w:tcBorders>
            <w:shd w:val="clear" w:color="auto" w:fill="auto"/>
            <w:noWrap/>
            <w:vAlign w:val="bottom"/>
            <w:hideMark/>
          </w:tcPr>
          <w:p w14:paraId="53C061E5" w14:textId="77777777" w:rsidR="008A4BCF" w:rsidRPr="009C55EE" w:rsidRDefault="008A4BCF" w:rsidP="00B44AC3">
            <w:pPr>
              <w:spacing w:after="0" w:line="240" w:lineRule="auto"/>
              <w:rPr>
                <w:rFonts w:eastAsia="Times New Roman" w:cs="Segoe UI"/>
                <w:b/>
                <w:bCs/>
                <w:sz w:val="18"/>
                <w:szCs w:val="18"/>
              </w:rPr>
            </w:pPr>
            <w:r w:rsidRPr="009C55EE">
              <w:rPr>
                <w:rFonts w:eastAsia="Times New Roman" w:cs="Segoe UI"/>
                <w:b/>
                <w:bCs/>
                <w:sz w:val="18"/>
                <w:szCs w:val="18"/>
              </w:rPr>
              <w:t>% z HDP</w:t>
            </w:r>
          </w:p>
        </w:tc>
        <w:tc>
          <w:tcPr>
            <w:tcW w:w="584" w:type="pct"/>
            <w:tcBorders>
              <w:top w:val="nil"/>
              <w:left w:val="nil"/>
              <w:bottom w:val="single" w:sz="8" w:space="0" w:color="314364"/>
              <w:right w:val="nil"/>
            </w:tcBorders>
            <w:shd w:val="clear" w:color="auto" w:fill="auto"/>
            <w:noWrap/>
            <w:vAlign w:val="center"/>
          </w:tcPr>
          <w:p w14:paraId="167862CA" w14:textId="77777777" w:rsidR="008A4BCF" w:rsidRPr="009C55EE" w:rsidRDefault="008A4BCF" w:rsidP="00B44AC3">
            <w:pPr>
              <w:spacing w:after="0" w:line="240" w:lineRule="auto"/>
              <w:jc w:val="right"/>
              <w:rPr>
                <w:rFonts w:eastAsia="Times New Roman" w:cs="Segoe UI"/>
                <w:b/>
                <w:bCs/>
                <w:sz w:val="18"/>
                <w:szCs w:val="18"/>
              </w:rPr>
            </w:pPr>
            <w:r w:rsidRPr="009C55EE">
              <w:rPr>
                <w:rFonts w:cs="Segoe UI"/>
                <w:b/>
                <w:bCs/>
                <w:color w:val="000000"/>
                <w:sz w:val="18"/>
                <w:szCs w:val="18"/>
              </w:rPr>
              <w:t>57,7</w:t>
            </w:r>
          </w:p>
        </w:tc>
        <w:tc>
          <w:tcPr>
            <w:tcW w:w="584" w:type="pct"/>
            <w:tcBorders>
              <w:top w:val="nil"/>
              <w:left w:val="nil"/>
              <w:bottom w:val="single" w:sz="8" w:space="0" w:color="314364"/>
              <w:right w:val="nil"/>
            </w:tcBorders>
            <w:shd w:val="clear" w:color="auto" w:fill="auto"/>
            <w:noWrap/>
            <w:vAlign w:val="center"/>
          </w:tcPr>
          <w:p w14:paraId="237295A2" w14:textId="77777777" w:rsidR="008A4BCF" w:rsidRPr="009C55EE" w:rsidRDefault="008A4BCF" w:rsidP="00B44AC3">
            <w:pPr>
              <w:spacing w:after="0" w:line="240" w:lineRule="auto"/>
              <w:jc w:val="right"/>
              <w:rPr>
                <w:rFonts w:eastAsia="Times New Roman" w:cs="Segoe UI"/>
                <w:b/>
                <w:bCs/>
                <w:sz w:val="18"/>
                <w:szCs w:val="18"/>
              </w:rPr>
            </w:pPr>
            <w:r w:rsidRPr="009C55EE">
              <w:rPr>
                <w:rFonts w:cs="Segoe UI"/>
                <w:b/>
                <w:bCs/>
                <w:color w:val="000000"/>
                <w:sz w:val="18"/>
                <w:szCs w:val="18"/>
              </w:rPr>
              <w:t>56,0</w:t>
            </w:r>
          </w:p>
        </w:tc>
        <w:tc>
          <w:tcPr>
            <w:tcW w:w="528" w:type="pct"/>
            <w:tcBorders>
              <w:top w:val="nil"/>
              <w:left w:val="nil"/>
              <w:bottom w:val="single" w:sz="8" w:space="0" w:color="314364"/>
              <w:right w:val="nil"/>
            </w:tcBorders>
            <w:shd w:val="clear" w:color="auto" w:fill="auto"/>
            <w:noWrap/>
            <w:vAlign w:val="center"/>
          </w:tcPr>
          <w:p w14:paraId="7DE32ECE" w14:textId="77777777" w:rsidR="008A4BCF" w:rsidRPr="009C55EE" w:rsidRDefault="008A4BCF" w:rsidP="00B44AC3">
            <w:pPr>
              <w:spacing w:after="0" w:line="240" w:lineRule="auto"/>
              <w:jc w:val="right"/>
              <w:rPr>
                <w:rFonts w:eastAsia="Times New Roman" w:cs="Segoe UI"/>
                <w:b/>
                <w:bCs/>
                <w:sz w:val="18"/>
                <w:szCs w:val="18"/>
              </w:rPr>
            </w:pPr>
            <w:r w:rsidRPr="009C55EE">
              <w:rPr>
                <w:rFonts w:cs="Segoe UI"/>
                <w:b/>
                <w:bCs/>
                <w:color w:val="000000"/>
                <w:sz w:val="18"/>
                <w:szCs w:val="18"/>
              </w:rPr>
              <w:t>-1,7</w:t>
            </w:r>
          </w:p>
        </w:tc>
        <w:tc>
          <w:tcPr>
            <w:tcW w:w="426" w:type="pct"/>
            <w:tcBorders>
              <w:top w:val="nil"/>
              <w:left w:val="nil"/>
              <w:bottom w:val="single" w:sz="8" w:space="0" w:color="314364"/>
              <w:right w:val="nil"/>
            </w:tcBorders>
            <w:shd w:val="clear" w:color="auto" w:fill="auto"/>
            <w:noWrap/>
            <w:vAlign w:val="center"/>
          </w:tcPr>
          <w:p w14:paraId="0F879591" w14:textId="77777777" w:rsidR="008A4BCF" w:rsidRPr="009C55EE" w:rsidRDefault="008A4BCF" w:rsidP="00B44AC3">
            <w:pPr>
              <w:spacing w:after="0" w:line="240" w:lineRule="auto"/>
              <w:jc w:val="right"/>
              <w:rPr>
                <w:rFonts w:eastAsia="Times New Roman" w:cs="Segoe UI"/>
                <w:b/>
                <w:sz w:val="18"/>
                <w:szCs w:val="18"/>
              </w:rPr>
            </w:pPr>
            <w:r w:rsidRPr="009C55EE">
              <w:rPr>
                <w:rFonts w:cs="Segoe UI"/>
                <w:b/>
                <w:bCs/>
                <w:color w:val="000000"/>
                <w:sz w:val="18"/>
                <w:szCs w:val="18"/>
              </w:rPr>
              <w:t>97,1</w:t>
            </w:r>
          </w:p>
        </w:tc>
      </w:tr>
    </w:tbl>
    <w:p w14:paraId="08B998B5" w14:textId="77777777" w:rsidR="008A4BCF" w:rsidRDefault="008A4BCF" w:rsidP="008A4BCF">
      <w:pPr>
        <w:pStyle w:val="Zdroj"/>
        <w:spacing w:after="0"/>
      </w:pPr>
      <w:r w:rsidRPr="009C55EE">
        <w:rPr>
          <w:rFonts w:cs="Segoe UI"/>
          <w:sz w:val="18"/>
          <w:szCs w:val="18"/>
        </w:rPr>
        <w:t>Zdroj: MF SR</w:t>
      </w:r>
      <w:r>
        <w:rPr>
          <w:rFonts w:cs="Segoe UI"/>
          <w:sz w:val="18"/>
          <w:szCs w:val="18"/>
        </w:rPr>
        <w:t>.</w:t>
      </w:r>
      <w:r w:rsidRPr="009C55EE">
        <w:rPr>
          <w:rFonts w:cs="Segoe UI"/>
          <w:sz w:val="18"/>
          <w:szCs w:val="18"/>
        </w:rPr>
        <w:br/>
      </w:r>
      <w:r w:rsidRPr="00801780">
        <w:t>*1) Bez tzv. refinančného systému a záväzkov z vkladov subjektov verejnej správy v Štátnej pokladnici</w:t>
      </w:r>
    </w:p>
    <w:p w14:paraId="5323F9FF" w14:textId="77777777" w:rsidR="008A4BCF" w:rsidRPr="00801780" w:rsidRDefault="008A4BCF" w:rsidP="008A4BCF">
      <w:pPr>
        <w:pStyle w:val="Zdroj"/>
        <w:spacing w:after="0"/>
      </w:pPr>
      <w:r w:rsidRPr="00801780">
        <w:t xml:space="preserve"> </w:t>
      </w:r>
      <w:r>
        <w:t>S – skutočnosť, R – rozpočet, YoY – medziročná zmena</w:t>
      </w:r>
    </w:p>
    <w:p w14:paraId="263A85DA" w14:textId="77777777" w:rsidR="008A4BCF" w:rsidRDefault="008A4BCF" w:rsidP="008A4BCF">
      <w:pPr>
        <w:pStyle w:val="Popis"/>
        <w:keepNext/>
        <w:spacing w:after="120"/>
      </w:pPr>
    </w:p>
    <w:p w14:paraId="2E2DCA59" w14:textId="77777777" w:rsidR="008A4BCF" w:rsidRPr="00607947" w:rsidRDefault="008A4BCF" w:rsidP="008A4BCF">
      <w:pPr>
        <w:keepNext/>
        <w:spacing w:after="0"/>
        <w:rPr>
          <w:rFonts w:eastAsia="Calibri" w:cs="Times New Roman"/>
          <w:b/>
          <w:iCs/>
          <w:color w:val="314364"/>
          <w:szCs w:val="18"/>
        </w:rPr>
      </w:pPr>
      <w:r w:rsidRPr="00155528">
        <w:rPr>
          <w:rFonts w:eastAsia="Calibri" w:cs="Times New Roman"/>
          <w:b/>
          <w:iCs/>
          <w:color w:val="314364"/>
          <w:szCs w:val="18"/>
        </w:rPr>
        <w:t>Tabuľka 4: Daňové príjmy ŠR</w:t>
      </w:r>
      <w:r>
        <w:rPr>
          <w:rFonts w:eastAsia="Calibri" w:cs="Times New Roman"/>
          <w:b/>
          <w:iCs/>
          <w:color w:val="314364"/>
          <w:szCs w:val="18"/>
        </w:rPr>
        <w:t xml:space="preserve"> na hotovostnej báze</w:t>
      </w:r>
      <w:r w:rsidRPr="00155528">
        <w:rPr>
          <w:rFonts w:eastAsia="Calibri" w:cs="Times New Roman"/>
          <w:b/>
          <w:iCs/>
          <w:color w:val="314364"/>
          <w:szCs w:val="18"/>
        </w:rPr>
        <w:t xml:space="preserve"> (v tis. eur)</w:t>
      </w:r>
    </w:p>
    <w:tbl>
      <w:tblPr>
        <w:tblW w:w="5000" w:type="pct"/>
        <w:jc w:val="center"/>
        <w:tblCellMar>
          <w:top w:w="28" w:type="dxa"/>
        </w:tblCellMar>
        <w:tblLook w:val="04A0" w:firstRow="1" w:lastRow="0" w:firstColumn="1" w:lastColumn="0" w:noHBand="0" w:noVBand="1"/>
      </w:tblPr>
      <w:tblGrid>
        <w:gridCol w:w="3402"/>
        <w:gridCol w:w="1276"/>
        <w:gridCol w:w="1277"/>
        <w:gridCol w:w="1275"/>
        <w:gridCol w:w="1134"/>
        <w:gridCol w:w="706"/>
      </w:tblGrid>
      <w:tr w:rsidR="008A4BCF" w:rsidRPr="00607947" w14:paraId="00B22338" w14:textId="77777777" w:rsidTr="00B44AC3">
        <w:trPr>
          <w:trHeight w:val="252"/>
          <w:jc w:val="center"/>
        </w:trPr>
        <w:tc>
          <w:tcPr>
            <w:tcW w:w="1875" w:type="pct"/>
            <w:shd w:val="clear" w:color="auto" w:fill="314364"/>
            <w:vAlign w:val="center"/>
          </w:tcPr>
          <w:p w14:paraId="2DB87D1E" w14:textId="77777777" w:rsidR="008A4BCF" w:rsidRDefault="008A4BCF" w:rsidP="00B44AC3">
            <w:pPr>
              <w:spacing w:after="0" w:line="259" w:lineRule="auto"/>
              <w:jc w:val="left"/>
              <w:rPr>
                <w:rFonts w:ascii="Calibri" w:hAnsi="Calibri" w:cs="Calibri"/>
                <w:color w:val="000000"/>
                <w:sz w:val="22"/>
              </w:rPr>
            </w:pPr>
            <w:r w:rsidRPr="00607947">
              <w:rPr>
                <w:rFonts w:eastAsia="Calibri" w:cs="Segoe UI"/>
                <w:b/>
                <w:bCs/>
                <w:color w:val="FFFFFF"/>
                <w:sz w:val="18"/>
                <w:szCs w:val="18"/>
              </w:rPr>
              <w:t>Ukazovateľ</w:t>
            </w:r>
          </w:p>
        </w:tc>
        <w:tc>
          <w:tcPr>
            <w:tcW w:w="703" w:type="pct"/>
            <w:shd w:val="clear" w:color="auto" w:fill="314364"/>
            <w:vAlign w:val="center"/>
          </w:tcPr>
          <w:p w14:paraId="19A4B800" w14:textId="77777777" w:rsidR="008A4BCF" w:rsidRPr="00C815B1" w:rsidRDefault="008A4BCF" w:rsidP="00B44AC3">
            <w:pPr>
              <w:spacing w:after="0" w:line="259" w:lineRule="auto"/>
              <w:jc w:val="right"/>
              <w:rPr>
                <w:rFonts w:eastAsia="Calibri" w:cs="Segoe UI"/>
                <w:b/>
                <w:bCs/>
                <w:color w:val="FFFFFF"/>
                <w:sz w:val="18"/>
                <w:szCs w:val="18"/>
              </w:rPr>
            </w:pPr>
            <w:r w:rsidRPr="00C815B1">
              <w:rPr>
                <w:rFonts w:eastAsia="Calibri" w:cs="Segoe UI"/>
                <w:b/>
                <w:bCs/>
                <w:color w:val="FFFFFF"/>
                <w:sz w:val="18"/>
                <w:szCs w:val="18"/>
              </w:rPr>
              <w:t>2022 S</w:t>
            </w:r>
          </w:p>
        </w:tc>
        <w:tc>
          <w:tcPr>
            <w:tcW w:w="704" w:type="pct"/>
            <w:shd w:val="clear" w:color="auto" w:fill="314364"/>
            <w:vAlign w:val="center"/>
          </w:tcPr>
          <w:p w14:paraId="5F339225" w14:textId="77777777" w:rsidR="008A4BCF" w:rsidRPr="00C815B1" w:rsidRDefault="008A4BCF" w:rsidP="00B44AC3">
            <w:pPr>
              <w:spacing w:after="0" w:line="259" w:lineRule="auto"/>
              <w:jc w:val="right"/>
              <w:rPr>
                <w:rFonts w:eastAsia="Calibri" w:cs="Segoe UI"/>
                <w:b/>
                <w:bCs/>
                <w:color w:val="FFFFFF"/>
                <w:sz w:val="18"/>
                <w:szCs w:val="18"/>
              </w:rPr>
            </w:pPr>
            <w:r w:rsidRPr="00C815B1">
              <w:rPr>
                <w:rFonts w:eastAsia="Calibri" w:cs="Segoe UI"/>
                <w:b/>
                <w:bCs/>
                <w:color w:val="FFFFFF"/>
                <w:sz w:val="18"/>
                <w:szCs w:val="18"/>
              </w:rPr>
              <w:t>2023 R</w:t>
            </w:r>
          </w:p>
        </w:tc>
        <w:tc>
          <w:tcPr>
            <w:tcW w:w="703" w:type="pct"/>
            <w:shd w:val="clear" w:color="auto" w:fill="314364"/>
            <w:vAlign w:val="center"/>
          </w:tcPr>
          <w:p w14:paraId="587A6D7B" w14:textId="77777777" w:rsidR="008A4BCF" w:rsidRPr="00C815B1" w:rsidRDefault="008A4BCF" w:rsidP="00B44AC3">
            <w:pPr>
              <w:spacing w:after="0" w:line="259" w:lineRule="auto"/>
              <w:jc w:val="right"/>
              <w:rPr>
                <w:rFonts w:eastAsia="Calibri" w:cs="Segoe UI"/>
                <w:b/>
                <w:bCs/>
                <w:color w:val="FFFFFF"/>
                <w:sz w:val="18"/>
                <w:szCs w:val="18"/>
              </w:rPr>
            </w:pPr>
            <w:r w:rsidRPr="00C815B1">
              <w:rPr>
                <w:rFonts w:eastAsia="Calibri" w:cs="Segoe UI"/>
                <w:b/>
                <w:bCs/>
                <w:color w:val="FFFFFF"/>
                <w:sz w:val="18"/>
                <w:szCs w:val="18"/>
              </w:rPr>
              <w:t>2023 S</w:t>
            </w:r>
          </w:p>
        </w:tc>
        <w:tc>
          <w:tcPr>
            <w:tcW w:w="625" w:type="pct"/>
            <w:shd w:val="clear" w:color="auto" w:fill="314364"/>
            <w:vAlign w:val="center"/>
          </w:tcPr>
          <w:p w14:paraId="6BC6F1EE" w14:textId="77777777" w:rsidR="008A4BCF" w:rsidRPr="00C815B1" w:rsidRDefault="008A4BCF" w:rsidP="00B44AC3">
            <w:pPr>
              <w:spacing w:after="0" w:line="259" w:lineRule="auto"/>
              <w:jc w:val="right"/>
              <w:rPr>
                <w:rFonts w:eastAsia="Calibri" w:cs="Segoe UI"/>
                <w:b/>
                <w:bCs/>
                <w:color w:val="FFFFFF"/>
                <w:sz w:val="18"/>
                <w:szCs w:val="18"/>
              </w:rPr>
            </w:pPr>
            <w:r w:rsidRPr="00C815B1">
              <w:rPr>
                <w:rFonts w:eastAsia="Calibri" w:cs="Segoe UI"/>
                <w:b/>
                <w:bCs/>
                <w:color w:val="FFFFFF"/>
                <w:sz w:val="18"/>
                <w:szCs w:val="18"/>
              </w:rPr>
              <w:t>23S - 23R</w:t>
            </w:r>
          </w:p>
        </w:tc>
        <w:tc>
          <w:tcPr>
            <w:tcW w:w="389" w:type="pct"/>
            <w:shd w:val="clear" w:color="auto" w:fill="314364"/>
            <w:vAlign w:val="center"/>
          </w:tcPr>
          <w:p w14:paraId="4A3C2707" w14:textId="77777777" w:rsidR="008A4BCF" w:rsidRPr="00C815B1" w:rsidRDefault="008A4BCF" w:rsidP="00B44AC3">
            <w:pPr>
              <w:spacing w:after="0" w:line="259" w:lineRule="auto"/>
              <w:jc w:val="right"/>
              <w:rPr>
                <w:rFonts w:eastAsia="Calibri" w:cs="Segoe UI"/>
                <w:b/>
                <w:bCs/>
                <w:color w:val="FFFFFF"/>
                <w:sz w:val="18"/>
                <w:szCs w:val="18"/>
              </w:rPr>
            </w:pPr>
            <w:r w:rsidRPr="00C815B1">
              <w:rPr>
                <w:rFonts w:eastAsia="Calibri" w:cs="Segoe UI"/>
                <w:b/>
                <w:bCs/>
                <w:color w:val="FFFFFF"/>
                <w:sz w:val="18"/>
                <w:szCs w:val="18"/>
              </w:rPr>
              <w:t>YoY</w:t>
            </w:r>
          </w:p>
        </w:tc>
      </w:tr>
      <w:tr w:rsidR="008A4BCF" w:rsidRPr="00607947" w14:paraId="5A292761" w14:textId="77777777" w:rsidTr="00B44AC3">
        <w:trPr>
          <w:trHeight w:val="252"/>
          <w:jc w:val="center"/>
        </w:trPr>
        <w:tc>
          <w:tcPr>
            <w:tcW w:w="1875" w:type="pct"/>
            <w:vAlign w:val="center"/>
          </w:tcPr>
          <w:p w14:paraId="4CFDCF7E" w14:textId="77777777" w:rsidR="008A4BCF" w:rsidRPr="00C815B1" w:rsidRDefault="008A4BCF" w:rsidP="00B44AC3">
            <w:pPr>
              <w:spacing w:after="0"/>
              <w:jc w:val="left"/>
              <w:rPr>
                <w:rFonts w:eastAsia="Times New Roman" w:cs="Segoe UI"/>
                <w:b/>
                <w:color w:val="000000"/>
                <w:sz w:val="18"/>
                <w:szCs w:val="18"/>
                <w:lang w:eastAsia="sk-SK"/>
              </w:rPr>
            </w:pPr>
            <w:r w:rsidRPr="00C815B1">
              <w:rPr>
                <w:rFonts w:eastAsia="Times New Roman" w:cs="Segoe UI"/>
                <w:b/>
                <w:color w:val="000000"/>
                <w:sz w:val="18"/>
                <w:szCs w:val="18"/>
                <w:lang w:eastAsia="sk-SK"/>
              </w:rPr>
              <w:t>Daňové príjmy spolu</w:t>
            </w:r>
          </w:p>
        </w:tc>
        <w:tc>
          <w:tcPr>
            <w:tcW w:w="703" w:type="pct"/>
            <w:vAlign w:val="center"/>
          </w:tcPr>
          <w:p w14:paraId="400DFECC" w14:textId="77777777" w:rsidR="008A4BCF" w:rsidRPr="00C815B1" w:rsidRDefault="008A4BCF" w:rsidP="00B44AC3">
            <w:pPr>
              <w:spacing w:after="0"/>
              <w:jc w:val="right"/>
              <w:rPr>
                <w:rFonts w:eastAsia="Times New Roman" w:cs="Segoe UI"/>
                <w:b/>
                <w:color w:val="000000"/>
                <w:sz w:val="18"/>
                <w:szCs w:val="18"/>
                <w:lang w:eastAsia="sk-SK"/>
              </w:rPr>
            </w:pPr>
            <w:r w:rsidRPr="00C815B1">
              <w:rPr>
                <w:rFonts w:eastAsia="Times New Roman" w:cs="Segoe UI"/>
                <w:b/>
                <w:color w:val="000000"/>
                <w:sz w:val="18"/>
                <w:szCs w:val="18"/>
                <w:lang w:eastAsia="sk-SK"/>
              </w:rPr>
              <w:t>15 517 036</w:t>
            </w:r>
          </w:p>
        </w:tc>
        <w:tc>
          <w:tcPr>
            <w:tcW w:w="704" w:type="pct"/>
            <w:vAlign w:val="center"/>
          </w:tcPr>
          <w:p w14:paraId="73F4BE3C" w14:textId="77777777" w:rsidR="008A4BCF" w:rsidRPr="00C815B1" w:rsidRDefault="008A4BCF" w:rsidP="00B44AC3">
            <w:pPr>
              <w:spacing w:after="0"/>
              <w:jc w:val="right"/>
              <w:rPr>
                <w:rFonts w:eastAsia="Times New Roman" w:cs="Segoe UI"/>
                <w:b/>
                <w:color w:val="000000"/>
                <w:sz w:val="18"/>
                <w:szCs w:val="18"/>
                <w:lang w:eastAsia="sk-SK"/>
              </w:rPr>
            </w:pPr>
            <w:r w:rsidRPr="00C815B1">
              <w:rPr>
                <w:rFonts w:eastAsia="Times New Roman" w:cs="Segoe UI"/>
                <w:b/>
                <w:color w:val="000000"/>
                <w:sz w:val="18"/>
                <w:szCs w:val="18"/>
                <w:lang w:eastAsia="sk-SK"/>
              </w:rPr>
              <w:t>16 795 409</w:t>
            </w:r>
          </w:p>
        </w:tc>
        <w:tc>
          <w:tcPr>
            <w:tcW w:w="703" w:type="pct"/>
            <w:vAlign w:val="center"/>
          </w:tcPr>
          <w:p w14:paraId="0F32F3BE" w14:textId="77777777" w:rsidR="008A4BCF" w:rsidRPr="00C815B1" w:rsidRDefault="008A4BCF" w:rsidP="00B44AC3">
            <w:pPr>
              <w:spacing w:after="0"/>
              <w:jc w:val="right"/>
              <w:rPr>
                <w:rFonts w:eastAsia="Times New Roman" w:cs="Segoe UI"/>
                <w:b/>
                <w:color w:val="000000"/>
                <w:sz w:val="18"/>
                <w:szCs w:val="18"/>
                <w:lang w:eastAsia="sk-SK"/>
              </w:rPr>
            </w:pPr>
            <w:r w:rsidRPr="00C815B1">
              <w:rPr>
                <w:rFonts w:eastAsia="Times New Roman" w:cs="Segoe UI"/>
                <w:b/>
                <w:color w:val="000000"/>
                <w:sz w:val="18"/>
                <w:szCs w:val="18"/>
                <w:lang w:eastAsia="sk-SK"/>
              </w:rPr>
              <w:t>17 440 976</w:t>
            </w:r>
          </w:p>
        </w:tc>
        <w:tc>
          <w:tcPr>
            <w:tcW w:w="625" w:type="pct"/>
            <w:vAlign w:val="center"/>
          </w:tcPr>
          <w:p w14:paraId="30BD81E3" w14:textId="77777777" w:rsidR="008A4BCF" w:rsidRPr="00C815B1" w:rsidRDefault="008A4BCF" w:rsidP="00B44AC3">
            <w:pPr>
              <w:spacing w:after="0"/>
              <w:jc w:val="right"/>
              <w:rPr>
                <w:rFonts w:eastAsia="Times New Roman" w:cs="Segoe UI"/>
                <w:b/>
                <w:color w:val="000000"/>
                <w:sz w:val="18"/>
                <w:szCs w:val="18"/>
                <w:lang w:eastAsia="sk-SK"/>
              </w:rPr>
            </w:pPr>
            <w:r w:rsidRPr="00C815B1">
              <w:rPr>
                <w:rFonts w:eastAsia="Times New Roman" w:cs="Segoe UI"/>
                <w:b/>
                <w:color w:val="000000"/>
                <w:sz w:val="18"/>
                <w:szCs w:val="18"/>
                <w:lang w:eastAsia="sk-SK"/>
              </w:rPr>
              <w:t>645 567</w:t>
            </w:r>
          </w:p>
        </w:tc>
        <w:tc>
          <w:tcPr>
            <w:tcW w:w="389" w:type="pct"/>
            <w:vAlign w:val="center"/>
          </w:tcPr>
          <w:p w14:paraId="712CAE57" w14:textId="77777777" w:rsidR="008A4BCF" w:rsidRPr="00C815B1" w:rsidRDefault="008A4BCF" w:rsidP="00B44AC3">
            <w:pPr>
              <w:spacing w:after="0"/>
              <w:jc w:val="right"/>
              <w:rPr>
                <w:rFonts w:eastAsia="Times New Roman" w:cs="Segoe UI"/>
                <w:b/>
                <w:color w:val="000000"/>
                <w:sz w:val="18"/>
                <w:szCs w:val="18"/>
                <w:lang w:eastAsia="sk-SK"/>
              </w:rPr>
            </w:pPr>
            <w:r w:rsidRPr="00C815B1">
              <w:rPr>
                <w:rFonts w:eastAsia="Times New Roman" w:cs="Segoe UI"/>
                <w:b/>
                <w:color w:val="000000"/>
                <w:sz w:val="18"/>
                <w:szCs w:val="18"/>
                <w:lang w:eastAsia="sk-SK"/>
              </w:rPr>
              <w:t>112,4</w:t>
            </w:r>
          </w:p>
        </w:tc>
      </w:tr>
      <w:tr w:rsidR="008A4BCF" w:rsidRPr="00607947" w14:paraId="6DA1D59B" w14:textId="77777777" w:rsidTr="00B44AC3">
        <w:trPr>
          <w:trHeight w:val="252"/>
          <w:jc w:val="center"/>
        </w:trPr>
        <w:tc>
          <w:tcPr>
            <w:tcW w:w="1875" w:type="pct"/>
            <w:vAlign w:val="center"/>
          </w:tcPr>
          <w:p w14:paraId="77D8A41A" w14:textId="77777777" w:rsidR="008A4BCF" w:rsidRPr="00C815B1" w:rsidRDefault="008A4BCF" w:rsidP="00B44AC3">
            <w:pPr>
              <w:spacing w:after="0"/>
              <w:jc w:val="left"/>
              <w:rPr>
                <w:rFonts w:eastAsia="Times New Roman" w:cs="Segoe UI"/>
                <w:color w:val="000000"/>
                <w:sz w:val="18"/>
                <w:szCs w:val="18"/>
                <w:lang w:eastAsia="sk-SK"/>
              </w:rPr>
            </w:pPr>
            <w:r w:rsidRPr="00C815B1">
              <w:rPr>
                <w:rFonts w:eastAsia="Times New Roman" w:cs="Segoe UI"/>
                <w:color w:val="000000"/>
                <w:sz w:val="18"/>
                <w:szCs w:val="18"/>
                <w:lang w:eastAsia="sk-SK"/>
              </w:rPr>
              <w:t>Dane za tovary a služby</w:t>
            </w:r>
          </w:p>
        </w:tc>
        <w:tc>
          <w:tcPr>
            <w:tcW w:w="703" w:type="pct"/>
            <w:vAlign w:val="center"/>
          </w:tcPr>
          <w:p w14:paraId="4D1C80EA" w14:textId="77777777" w:rsidR="008A4BCF" w:rsidRPr="00C815B1" w:rsidRDefault="008A4BCF" w:rsidP="00B44AC3">
            <w:pPr>
              <w:spacing w:after="0"/>
              <w:jc w:val="right"/>
              <w:rPr>
                <w:rFonts w:eastAsia="Times New Roman" w:cs="Segoe UI"/>
                <w:color w:val="000000"/>
                <w:sz w:val="18"/>
                <w:szCs w:val="18"/>
                <w:lang w:eastAsia="sk-SK"/>
              </w:rPr>
            </w:pPr>
            <w:r w:rsidRPr="00C815B1">
              <w:rPr>
                <w:rFonts w:eastAsia="Times New Roman" w:cs="Segoe UI"/>
                <w:color w:val="000000"/>
                <w:sz w:val="18"/>
                <w:szCs w:val="18"/>
                <w:lang w:eastAsia="sk-SK"/>
              </w:rPr>
              <w:t>11 330 228</w:t>
            </w:r>
          </w:p>
        </w:tc>
        <w:tc>
          <w:tcPr>
            <w:tcW w:w="704" w:type="pct"/>
            <w:vAlign w:val="center"/>
          </w:tcPr>
          <w:p w14:paraId="598A7A6E" w14:textId="77777777" w:rsidR="008A4BCF" w:rsidRPr="00C815B1" w:rsidRDefault="008A4BCF" w:rsidP="00B44AC3">
            <w:pPr>
              <w:spacing w:after="0"/>
              <w:jc w:val="right"/>
              <w:rPr>
                <w:rFonts w:eastAsia="Times New Roman" w:cs="Segoe UI"/>
                <w:color w:val="000000"/>
                <w:sz w:val="18"/>
                <w:szCs w:val="18"/>
                <w:lang w:eastAsia="sk-SK"/>
              </w:rPr>
            </w:pPr>
            <w:r w:rsidRPr="00C815B1">
              <w:rPr>
                <w:rFonts w:eastAsia="Times New Roman" w:cs="Segoe UI"/>
                <w:color w:val="000000"/>
                <w:sz w:val="18"/>
                <w:szCs w:val="18"/>
                <w:lang w:eastAsia="sk-SK"/>
              </w:rPr>
              <w:t>12 771 663</w:t>
            </w:r>
          </w:p>
        </w:tc>
        <w:tc>
          <w:tcPr>
            <w:tcW w:w="703" w:type="pct"/>
            <w:vAlign w:val="center"/>
          </w:tcPr>
          <w:p w14:paraId="3087BD9B" w14:textId="77777777" w:rsidR="008A4BCF" w:rsidRPr="00C815B1" w:rsidRDefault="008A4BCF" w:rsidP="00B44AC3">
            <w:pPr>
              <w:spacing w:after="0"/>
              <w:jc w:val="right"/>
              <w:rPr>
                <w:rFonts w:eastAsia="Times New Roman" w:cs="Segoe UI"/>
                <w:color w:val="000000"/>
                <w:sz w:val="18"/>
                <w:szCs w:val="18"/>
                <w:lang w:eastAsia="sk-SK"/>
              </w:rPr>
            </w:pPr>
            <w:r w:rsidRPr="00C815B1">
              <w:rPr>
                <w:rFonts w:eastAsia="Times New Roman" w:cs="Segoe UI"/>
                <w:color w:val="000000"/>
                <w:sz w:val="18"/>
                <w:szCs w:val="18"/>
                <w:lang w:eastAsia="sk-SK"/>
              </w:rPr>
              <w:t>12 450 214</w:t>
            </w:r>
          </w:p>
        </w:tc>
        <w:tc>
          <w:tcPr>
            <w:tcW w:w="625" w:type="pct"/>
            <w:vAlign w:val="center"/>
          </w:tcPr>
          <w:p w14:paraId="6281AF82" w14:textId="77777777" w:rsidR="008A4BCF" w:rsidRPr="00C815B1" w:rsidRDefault="008A4BCF" w:rsidP="00B44AC3">
            <w:pPr>
              <w:spacing w:after="0"/>
              <w:jc w:val="right"/>
              <w:rPr>
                <w:rFonts w:eastAsia="Times New Roman" w:cs="Segoe UI"/>
                <w:color w:val="000000"/>
                <w:sz w:val="18"/>
                <w:szCs w:val="18"/>
                <w:lang w:eastAsia="sk-SK"/>
              </w:rPr>
            </w:pPr>
            <w:r w:rsidRPr="00C815B1">
              <w:rPr>
                <w:rFonts w:eastAsia="Times New Roman" w:cs="Segoe UI"/>
                <w:color w:val="000000"/>
                <w:sz w:val="18"/>
                <w:szCs w:val="18"/>
                <w:lang w:eastAsia="sk-SK"/>
              </w:rPr>
              <w:t>-321 449</w:t>
            </w:r>
          </w:p>
        </w:tc>
        <w:tc>
          <w:tcPr>
            <w:tcW w:w="389" w:type="pct"/>
            <w:vAlign w:val="center"/>
          </w:tcPr>
          <w:p w14:paraId="24370404" w14:textId="77777777" w:rsidR="008A4BCF" w:rsidRPr="00C815B1" w:rsidRDefault="008A4BCF" w:rsidP="00B44AC3">
            <w:pPr>
              <w:spacing w:after="0"/>
              <w:jc w:val="right"/>
              <w:rPr>
                <w:rFonts w:eastAsia="Times New Roman" w:cs="Segoe UI"/>
                <w:color w:val="000000"/>
                <w:sz w:val="18"/>
                <w:szCs w:val="18"/>
                <w:lang w:eastAsia="sk-SK"/>
              </w:rPr>
            </w:pPr>
            <w:r w:rsidRPr="00C815B1">
              <w:rPr>
                <w:rFonts w:eastAsia="Times New Roman" w:cs="Segoe UI"/>
                <w:color w:val="000000"/>
                <w:sz w:val="18"/>
                <w:szCs w:val="18"/>
                <w:lang w:eastAsia="sk-SK"/>
              </w:rPr>
              <w:t>109,9</w:t>
            </w:r>
          </w:p>
        </w:tc>
      </w:tr>
      <w:tr w:rsidR="008A4BCF" w:rsidRPr="00607947" w14:paraId="5C123EE3" w14:textId="77777777" w:rsidTr="00B44AC3">
        <w:trPr>
          <w:trHeight w:val="252"/>
          <w:jc w:val="center"/>
        </w:trPr>
        <w:tc>
          <w:tcPr>
            <w:tcW w:w="1875" w:type="pct"/>
            <w:vAlign w:val="center"/>
          </w:tcPr>
          <w:p w14:paraId="748C9870" w14:textId="77777777" w:rsidR="008A4BCF" w:rsidRPr="002B21AD" w:rsidRDefault="008A4BCF" w:rsidP="00B44AC3">
            <w:pPr>
              <w:spacing w:after="0"/>
              <w:jc w:val="left"/>
              <w:rPr>
                <w:rFonts w:eastAsia="Times New Roman" w:cs="Segoe UI"/>
                <w:i/>
                <w:color w:val="000000"/>
                <w:sz w:val="18"/>
                <w:szCs w:val="18"/>
                <w:lang w:eastAsia="sk-SK"/>
              </w:rPr>
            </w:pPr>
            <w:r w:rsidRPr="002B21AD">
              <w:rPr>
                <w:rFonts w:eastAsia="Times New Roman" w:cs="Segoe UI"/>
                <w:i/>
                <w:color w:val="000000"/>
                <w:sz w:val="18"/>
                <w:szCs w:val="18"/>
                <w:lang w:eastAsia="sk-SK"/>
              </w:rPr>
              <w:t xml:space="preserve">     DPH</w:t>
            </w:r>
          </w:p>
        </w:tc>
        <w:tc>
          <w:tcPr>
            <w:tcW w:w="703" w:type="pct"/>
            <w:vAlign w:val="center"/>
          </w:tcPr>
          <w:p w14:paraId="50C0E7B7" w14:textId="77777777" w:rsidR="008A4BCF" w:rsidRPr="002B21AD" w:rsidRDefault="008A4BCF" w:rsidP="00B44AC3">
            <w:pPr>
              <w:spacing w:after="0"/>
              <w:jc w:val="right"/>
              <w:rPr>
                <w:rFonts w:eastAsia="Times New Roman" w:cs="Segoe UI"/>
                <w:i/>
                <w:color w:val="000000"/>
                <w:sz w:val="18"/>
                <w:szCs w:val="18"/>
                <w:lang w:eastAsia="sk-SK"/>
              </w:rPr>
            </w:pPr>
            <w:r w:rsidRPr="002B21AD">
              <w:rPr>
                <w:rFonts w:eastAsia="Times New Roman" w:cs="Segoe UI"/>
                <w:i/>
                <w:color w:val="000000"/>
                <w:sz w:val="18"/>
                <w:szCs w:val="18"/>
                <w:lang w:eastAsia="sk-SK"/>
              </w:rPr>
              <w:t>8 584 936</w:t>
            </w:r>
          </w:p>
        </w:tc>
        <w:tc>
          <w:tcPr>
            <w:tcW w:w="704" w:type="pct"/>
            <w:vAlign w:val="center"/>
          </w:tcPr>
          <w:p w14:paraId="13862808" w14:textId="77777777" w:rsidR="008A4BCF" w:rsidRPr="002B21AD" w:rsidRDefault="008A4BCF" w:rsidP="00B44AC3">
            <w:pPr>
              <w:spacing w:after="0"/>
              <w:jc w:val="right"/>
              <w:rPr>
                <w:rFonts w:eastAsia="Times New Roman" w:cs="Segoe UI"/>
                <w:i/>
                <w:color w:val="000000"/>
                <w:sz w:val="18"/>
                <w:szCs w:val="18"/>
                <w:lang w:eastAsia="sk-SK"/>
              </w:rPr>
            </w:pPr>
            <w:r w:rsidRPr="002B21AD">
              <w:rPr>
                <w:rFonts w:eastAsia="Times New Roman" w:cs="Segoe UI"/>
                <w:i/>
                <w:color w:val="000000"/>
                <w:sz w:val="18"/>
                <w:szCs w:val="18"/>
                <w:lang w:eastAsia="sk-SK"/>
              </w:rPr>
              <w:t>10 009 813</w:t>
            </w:r>
          </w:p>
        </w:tc>
        <w:tc>
          <w:tcPr>
            <w:tcW w:w="703" w:type="pct"/>
            <w:vAlign w:val="center"/>
          </w:tcPr>
          <w:p w14:paraId="1CBA7880" w14:textId="77777777" w:rsidR="008A4BCF" w:rsidRPr="002B21AD" w:rsidRDefault="008A4BCF" w:rsidP="00B44AC3">
            <w:pPr>
              <w:spacing w:after="0"/>
              <w:jc w:val="right"/>
              <w:rPr>
                <w:rFonts w:eastAsia="Times New Roman" w:cs="Segoe UI"/>
                <w:i/>
                <w:color w:val="000000"/>
                <w:sz w:val="18"/>
                <w:szCs w:val="18"/>
                <w:lang w:eastAsia="sk-SK"/>
              </w:rPr>
            </w:pPr>
            <w:r w:rsidRPr="002B21AD">
              <w:rPr>
                <w:rFonts w:eastAsia="Times New Roman" w:cs="Segoe UI"/>
                <w:i/>
                <w:color w:val="000000"/>
                <w:sz w:val="18"/>
                <w:szCs w:val="18"/>
                <w:lang w:eastAsia="sk-SK"/>
              </w:rPr>
              <w:t>9 649 064</w:t>
            </w:r>
          </w:p>
        </w:tc>
        <w:tc>
          <w:tcPr>
            <w:tcW w:w="625" w:type="pct"/>
            <w:vAlign w:val="center"/>
          </w:tcPr>
          <w:p w14:paraId="38AD85D1" w14:textId="77777777" w:rsidR="008A4BCF" w:rsidRPr="002B21AD" w:rsidRDefault="008A4BCF" w:rsidP="00B44AC3">
            <w:pPr>
              <w:spacing w:after="0"/>
              <w:jc w:val="right"/>
              <w:rPr>
                <w:rFonts w:eastAsia="Times New Roman" w:cs="Segoe UI"/>
                <w:i/>
                <w:color w:val="000000"/>
                <w:sz w:val="18"/>
                <w:szCs w:val="18"/>
                <w:lang w:eastAsia="sk-SK"/>
              </w:rPr>
            </w:pPr>
            <w:r w:rsidRPr="002B21AD">
              <w:rPr>
                <w:rFonts w:eastAsia="Times New Roman" w:cs="Segoe UI"/>
                <w:i/>
                <w:color w:val="000000"/>
                <w:sz w:val="18"/>
                <w:szCs w:val="18"/>
                <w:lang w:eastAsia="sk-SK"/>
              </w:rPr>
              <w:t>-360 749</w:t>
            </w:r>
          </w:p>
        </w:tc>
        <w:tc>
          <w:tcPr>
            <w:tcW w:w="389" w:type="pct"/>
            <w:vAlign w:val="center"/>
          </w:tcPr>
          <w:p w14:paraId="73F3690E" w14:textId="77777777" w:rsidR="008A4BCF" w:rsidRPr="002B21AD" w:rsidRDefault="008A4BCF" w:rsidP="00B44AC3">
            <w:pPr>
              <w:spacing w:after="0"/>
              <w:jc w:val="right"/>
              <w:rPr>
                <w:rFonts w:eastAsia="Times New Roman" w:cs="Segoe UI"/>
                <w:i/>
                <w:color w:val="000000"/>
                <w:sz w:val="18"/>
                <w:szCs w:val="18"/>
                <w:lang w:eastAsia="sk-SK"/>
              </w:rPr>
            </w:pPr>
            <w:r w:rsidRPr="002B21AD">
              <w:rPr>
                <w:rFonts w:eastAsia="Times New Roman" w:cs="Segoe UI"/>
                <w:i/>
                <w:color w:val="000000"/>
                <w:sz w:val="18"/>
                <w:szCs w:val="18"/>
                <w:lang w:eastAsia="sk-SK"/>
              </w:rPr>
              <w:t>112,4</w:t>
            </w:r>
          </w:p>
        </w:tc>
      </w:tr>
      <w:tr w:rsidR="008A4BCF" w:rsidRPr="00607947" w14:paraId="5E869737" w14:textId="77777777" w:rsidTr="00B44AC3">
        <w:trPr>
          <w:trHeight w:val="252"/>
          <w:jc w:val="center"/>
        </w:trPr>
        <w:tc>
          <w:tcPr>
            <w:tcW w:w="1875" w:type="pct"/>
            <w:vAlign w:val="center"/>
          </w:tcPr>
          <w:p w14:paraId="43036D98" w14:textId="77777777" w:rsidR="008A4BCF" w:rsidRPr="002B21AD" w:rsidRDefault="008A4BCF" w:rsidP="00B44AC3">
            <w:pPr>
              <w:spacing w:after="0"/>
              <w:jc w:val="left"/>
              <w:rPr>
                <w:rFonts w:eastAsia="Times New Roman" w:cs="Segoe UI"/>
                <w:i/>
                <w:color w:val="000000"/>
                <w:sz w:val="18"/>
                <w:szCs w:val="18"/>
                <w:lang w:eastAsia="sk-SK"/>
              </w:rPr>
            </w:pPr>
            <w:r w:rsidRPr="002B21AD">
              <w:rPr>
                <w:rFonts w:eastAsia="Times New Roman" w:cs="Segoe UI"/>
                <w:i/>
                <w:color w:val="000000"/>
                <w:sz w:val="18"/>
                <w:szCs w:val="18"/>
                <w:lang w:eastAsia="sk-SK"/>
              </w:rPr>
              <w:t xml:space="preserve">     spotrebné dane</w:t>
            </w:r>
          </w:p>
        </w:tc>
        <w:tc>
          <w:tcPr>
            <w:tcW w:w="703" w:type="pct"/>
            <w:vAlign w:val="center"/>
          </w:tcPr>
          <w:p w14:paraId="759045F8" w14:textId="77777777" w:rsidR="008A4BCF" w:rsidRPr="002B21AD" w:rsidRDefault="008A4BCF" w:rsidP="00B44AC3">
            <w:pPr>
              <w:spacing w:after="0"/>
              <w:jc w:val="right"/>
              <w:rPr>
                <w:rFonts w:eastAsia="Times New Roman" w:cs="Segoe UI"/>
                <w:i/>
                <w:color w:val="000000"/>
                <w:sz w:val="18"/>
                <w:szCs w:val="18"/>
                <w:lang w:eastAsia="sk-SK"/>
              </w:rPr>
            </w:pPr>
            <w:r w:rsidRPr="002B21AD">
              <w:rPr>
                <w:rFonts w:eastAsia="Times New Roman" w:cs="Segoe UI"/>
                <w:i/>
                <w:color w:val="000000"/>
                <w:sz w:val="18"/>
                <w:szCs w:val="18"/>
                <w:lang w:eastAsia="sk-SK"/>
              </w:rPr>
              <w:t>2 524 521</w:t>
            </w:r>
          </w:p>
        </w:tc>
        <w:tc>
          <w:tcPr>
            <w:tcW w:w="704" w:type="pct"/>
            <w:vAlign w:val="center"/>
          </w:tcPr>
          <w:p w14:paraId="3AD92E8F" w14:textId="77777777" w:rsidR="008A4BCF" w:rsidRPr="002B21AD" w:rsidRDefault="008A4BCF" w:rsidP="00B44AC3">
            <w:pPr>
              <w:spacing w:after="0"/>
              <w:jc w:val="right"/>
              <w:rPr>
                <w:rFonts w:eastAsia="Times New Roman" w:cs="Segoe UI"/>
                <w:i/>
                <w:color w:val="000000"/>
                <w:sz w:val="18"/>
                <w:szCs w:val="18"/>
                <w:lang w:eastAsia="sk-SK"/>
              </w:rPr>
            </w:pPr>
            <w:r w:rsidRPr="002B21AD">
              <w:rPr>
                <w:rFonts w:eastAsia="Times New Roman" w:cs="Segoe UI"/>
                <w:i/>
                <w:color w:val="000000"/>
                <w:sz w:val="18"/>
                <w:szCs w:val="18"/>
                <w:lang w:eastAsia="sk-SK"/>
              </w:rPr>
              <w:t>2 543 316</w:t>
            </w:r>
          </w:p>
        </w:tc>
        <w:tc>
          <w:tcPr>
            <w:tcW w:w="703" w:type="pct"/>
            <w:vAlign w:val="center"/>
          </w:tcPr>
          <w:p w14:paraId="38DBFA58" w14:textId="77777777" w:rsidR="008A4BCF" w:rsidRPr="002B21AD" w:rsidRDefault="008A4BCF" w:rsidP="00B44AC3">
            <w:pPr>
              <w:spacing w:after="0"/>
              <w:jc w:val="right"/>
              <w:rPr>
                <w:rFonts w:eastAsia="Times New Roman" w:cs="Segoe UI"/>
                <w:i/>
                <w:color w:val="000000"/>
                <w:sz w:val="18"/>
                <w:szCs w:val="18"/>
                <w:lang w:eastAsia="sk-SK"/>
              </w:rPr>
            </w:pPr>
            <w:r w:rsidRPr="002B21AD">
              <w:rPr>
                <w:rFonts w:eastAsia="Times New Roman" w:cs="Segoe UI"/>
                <w:i/>
                <w:color w:val="000000"/>
                <w:sz w:val="18"/>
                <w:szCs w:val="18"/>
                <w:lang w:eastAsia="sk-SK"/>
              </w:rPr>
              <w:t>2 565 078</w:t>
            </w:r>
          </w:p>
        </w:tc>
        <w:tc>
          <w:tcPr>
            <w:tcW w:w="625" w:type="pct"/>
            <w:vAlign w:val="center"/>
          </w:tcPr>
          <w:p w14:paraId="6A1FC600" w14:textId="77777777" w:rsidR="008A4BCF" w:rsidRPr="002B21AD" w:rsidRDefault="008A4BCF" w:rsidP="00B44AC3">
            <w:pPr>
              <w:spacing w:after="0"/>
              <w:jc w:val="right"/>
              <w:rPr>
                <w:rFonts w:eastAsia="Times New Roman" w:cs="Segoe UI"/>
                <w:i/>
                <w:color w:val="000000"/>
                <w:sz w:val="18"/>
                <w:szCs w:val="18"/>
                <w:lang w:eastAsia="sk-SK"/>
              </w:rPr>
            </w:pPr>
            <w:r w:rsidRPr="002B21AD">
              <w:rPr>
                <w:rFonts w:eastAsia="Times New Roman" w:cs="Segoe UI"/>
                <w:i/>
                <w:color w:val="000000"/>
                <w:sz w:val="18"/>
                <w:szCs w:val="18"/>
                <w:lang w:eastAsia="sk-SK"/>
              </w:rPr>
              <w:t>21 762</w:t>
            </w:r>
          </w:p>
        </w:tc>
        <w:tc>
          <w:tcPr>
            <w:tcW w:w="389" w:type="pct"/>
            <w:vAlign w:val="center"/>
          </w:tcPr>
          <w:p w14:paraId="5FFBEB81" w14:textId="77777777" w:rsidR="008A4BCF" w:rsidRPr="002B21AD" w:rsidRDefault="008A4BCF" w:rsidP="00B44AC3">
            <w:pPr>
              <w:spacing w:after="0"/>
              <w:jc w:val="right"/>
              <w:rPr>
                <w:rFonts w:eastAsia="Times New Roman" w:cs="Segoe UI"/>
                <w:i/>
                <w:color w:val="000000"/>
                <w:sz w:val="18"/>
                <w:szCs w:val="18"/>
                <w:lang w:eastAsia="sk-SK"/>
              </w:rPr>
            </w:pPr>
            <w:r w:rsidRPr="002B21AD">
              <w:rPr>
                <w:rFonts w:eastAsia="Times New Roman" w:cs="Segoe UI"/>
                <w:i/>
                <w:color w:val="000000"/>
                <w:sz w:val="18"/>
                <w:szCs w:val="18"/>
                <w:lang w:eastAsia="sk-SK"/>
              </w:rPr>
              <w:t>101,6</w:t>
            </w:r>
          </w:p>
        </w:tc>
      </w:tr>
      <w:tr w:rsidR="008A4BCF" w:rsidRPr="00607947" w14:paraId="0B7B2269" w14:textId="77777777" w:rsidTr="00B44AC3">
        <w:trPr>
          <w:trHeight w:val="252"/>
          <w:jc w:val="center"/>
        </w:trPr>
        <w:tc>
          <w:tcPr>
            <w:tcW w:w="1875" w:type="pct"/>
            <w:vAlign w:val="center"/>
          </w:tcPr>
          <w:p w14:paraId="6C6413A3" w14:textId="77777777" w:rsidR="008A4BCF" w:rsidRPr="00C815B1" w:rsidRDefault="008A4BCF" w:rsidP="00B44AC3">
            <w:pPr>
              <w:spacing w:after="0"/>
              <w:jc w:val="left"/>
              <w:rPr>
                <w:rFonts w:eastAsia="Times New Roman" w:cs="Segoe UI"/>
                <w:color w:val="000000"/>
                <w:sz w:val="18"/>
                <w:szCs w:val="18"/>
                <w:lang w:eastAsia="sk-SK"/>
              </w:rPr>
            </w:pPr>
            <w:r w:rsidRPr="00C815B1">
              <w:rPr>
                <w:rFonts w:eastAsia="Times New Roman" w:cs="Segoe UI"/>
                <w:color w:val="000000"/>
                <w:sz w:val="18"/>
                <w:szCs w:val="18"/>
                <w:lang w:eastAsia="sk-SK"/>
              </w:rPr>
              <w:t>Dane z príjmov a kapitálového majetku</w:t>
            </w:r>
          </w:p>
        </w:tc>
        <w:tc>
          <w:tcPr>
            <w:tcW w:w="703" w:type="pct"/>
            <w:vAlign w:val="center"/>
          </w:tcPr>
          <w:p w14:paraId="56523B51" w14:textId="77777777" w:rsidR="008A4BCF" w:rsidRPr="00C815B1" w:rsidRDefault="008A4BCF" w:rsidP="00B44AC3">
            <w:pPr>
              <w:spacing w:after="0"/>
              <w:jc w:val="right"/>
              <w:rPr>
                <w:rFonts w:eastAsia="Times New Roman" w:cs="Segoe UI"/>
                <w:color w:val="000000"/>
                <w:sz w:val="18"/>
                <w:szCs w:val="18"/>
                <w:lang w:eastAsia="sk-SK"/>
              </w:rPr>
            </w:pPr>
            <w:r w:rsidRPr="00C815B1">
              <w:rPr>
                <w:rFonts w:eastAsia="Times New Roman" w:cs="Segoe UI"/>
                <w:color w:val="000000"/>
                <w:sz w:val="18"/>
                <w:szCs w:val="18"/>
                <w:lang w:eastAsia="sk-SK"/>
              </w:rPr>
              <w:t>4 114 180</w:t>
            </w:r>
          </w:p>
        </w:tc>
        <w:tc>
          <w:tcPr>
            <w:tcW w:w="704" w:type="pct"/>
            <w:vAlign w:val="center"/>
          </w:tcPr>
          <w:p w14:paraId="2BBA69DE" w14:textId="77777777" w:rsidR="008A4BCF" w:rsidRPr="00C815B1" w:rsidRDefault="008A4BCF" w:rsidP="00B44AC3">
            <w:pPr>
              <w:spacing w:after="0"/>
              <w:jc w:val="right"/>
              <w:rPr>
                <w:rFonts w:eastAsia="Times New Roman" w:cs="Segoe UI"/>
                <w:color w:val="000000"/>
                <w:sz w:val="18"/>
                <w:szCs w:val="18"/>
                <w:lang w:eastAsia="sk-SK"/>
              </w:rPr>
            </w:pPr>
            <w:r w:rsidRPr="00C815B1">
              <w:rPr>
                <w:rFonts w:eastAsia="Times New Roman" w:cs="Segoe UI"/>
                <w:color w:val="000000"/>
                <w:sz w:val="18"/>
                <w:szCs w:val="18"/>
                <w:lang w:eastAsia="sk-SK"/>
              </w:rPr>
              <w:t>3 961 651</w:t>
            </w:r>
          </w:p>
        </w:tc>
        <w:tc>
          <w:tcPr>
            <w:tcW w:w="703" w:type="pct"/>
            <w:vAlign w:val="center"/>
          </w:tcPr>
          <w:p w14:paraId="297C4284" w14:textId="77777777" w:rsidR="008A4BCF" w:rsidRPr="00C815B1" w:rsidRDefault="008A4BCF" w:rsidP="00B44AC3">
            <w:pPr>
              <w:spacing w:after="0"/>
              <w:jc w:val="right"/>
              <w:rPr>
                <w:rFonts w:eastAsia="Times New Roman" w:cs="Segoe UI"/>
                <w:color w:val="000000"/>
                <w:sz w:val="18"/>
                <w:szCs w:val="18"/>
                <w:lang w:eastAsia="sk-SK"/>
              </w:rPr>
            </w:pPr>
            <w:r w:rsidRPr="00C815B1">
              <w:rPr>
                <w:rFonts w:eastAsia="Times New Roman" w:cs="Segoe UI"/>
                <w:color w:val="000000"/>
                <w:sz w:val="18"/>
                <w:szCs w:val="18"/>
                <w:lang w:eastAsia="sk-SK"/>
              </w:rPr>
              <w:t>4 338 758</w:t>
            </w:r>
          </w:p>
        </w:tc>
        <w:tc>
          <w:tcPr>
            <w:tcW w:w="625" w:type="pct"/>
            <w:vAlign w:val="center"/>
          </w:tcPr>
          <w:p w14:paraId="1F1085C4" w14:textId="77777777" w:rsidR="008A4BCF" w:rsidRPr="00C815B1" w:rsidRDefault="008A4BCF" w:rsidP="00B44AC3">
            <w:pPr>
              <w:spacing w:after="0"/>
              <w:jc w:val="right"/>
              <w:rPr>
                <w:rFonts w:eastAsia="Times New Roman" w:cs="Segoe UI"/>
                <w:color w:val="000000"/>
                <w:sz w:val="18"/>
                <w:szCs w:val="18"/>
                <w:lang w:eastAsia="sk-SK"/>
              </w:rPr>
            </w:pPr>
            <w:r w:rsidRPr="00C815B1">
              <w:rPr>
                <w:rFonts w:eastAsia="Times New Roman" w:cs="Segoe UI"/>
                <w:color w:val="000000"/>
                <w:sz w:val="18"/>
                <w:szCs w:val="18"/>
                <w:lang w:eastAsia="sk-SK"/>
              </w:rPr>
              <w:t>377 107</w:t>
            </w:r>
          </w:p>
        </w:tc>
        <w:tc>
          <w:tcPr>
            <w:tcW w:w="389" w:type="pct"/>
            <w:vAlign w:val="center"/>
          </w:tcPr>
          <w:p w14:paraId="57E87270" w14:textId="77777777" w:rsidR="008A4BCF" w:rsidRPr="00C815B1" w:rsidRDefault="008A4BCF" w:rsidP="00B44AC3">
            <w:pPr>
              <w:spacing w:after="0"/>
              <w:jc w:val="right"/>
              <w:rPr>
                <w:rFonts w:eastAsia="Times New Roman" w:cs="Segoe UI"/>
                <w:color w:val="000000"/>
                <w:sz w:val="18"/>
                <w:szCs w:val="18"/>
                <w:lang w:eastAsia="sk-SK"/>
              </w:rPr>
            </w:pPr>
            <w:r w:rsidRPr="00C815B1">
              <w:rPr>
                <w:rFonts w:eastAsia="Times New Roman" w:cs="Segoe UI"/>
                <w:color w:val="000000"/>
                <w:sz w:val="18"/>
                <w:szCs w:val="18"/>
                <w:lang w:eastAsia="sk-SK"/>
              </w:rPr>
              <w:t>105,5</w:t>
            </w:r>
          </w:p>
        </w:tc>
      </w:tr>
      <w:tr w:rsidR="008A4BCF" w:rsidRPr="00607947" w14:paraId="44471B07" w14:textId="77777777" w:rsidTr="00B44AC3">
        <w:trPr>
          <w:trHeight w:val="252"/>
          <w:jc w:val="center"/>
        </w:trPr>
        <w:tc>
          <w:tcPr>
            <w:tcW w:w="1875" w:type="pct"/>
            <w:vAlign w:val="center"/>
          </w:tcPr>
          <w:p w14:paraId="0DE3C2F4" w14:textId="77777777" w:rsidR="008A4BCF" w:rsidRPr="002B21AD" w:rsidRDefault="008A4BCF" w:rsidP="00B44AC3">
            <w:pPr>
              <w:spacing w:after="0"/>
              <w:jc w:val="left"/>
              <w:rPr>
                <w:rFonts w:eastAsia="Times New Roman" w:cs="Segoe UI"/>
                <w:i/>
                <w:color w:val="000000"/>
                <w:sz w:val="18"/>
                <w:szCs w:val="18"/>
                <w:lang w:eastAsia="sk-SK"/>
              </w:rPr>
            </w:pPr>
            <w:r w:rsidRPr="002B21AD">
              <w:rPr>
                <w:rFonts w:eastAsia="Times New Roman" w:cs="Segoe UI"/>
                <w:i/>
                <w:color w:val="000000"/>
                <w:sz w:val="18"/>
                <w:szCs w:val="18"/>
                <w:lang w:eastAsia="sk-SK"/>
              </w:rPr>
              <w:t xml:space="preserve">     daň z príjmov PO</w:t>
            </w:r>
          </w:p>
        </w:tc>
        <w:tc>
          <w:tcPr>
            <w:tcW w:w="703" w:type="pct"/>
            <w:vAlign w:val="center"/>
          </w:tcPr>
          <w:p w14:paraId="75BAD5F1" w14:textId="77777777" w:rsidR="008A4BCF" w:rsidRPr="002B21AD" w:rsidRDefault="008A4BCF" w:rsidP="00B44AC3">
            <w:pPr>
              <w:spacing w:after="0"/>
              <w:jc w:val="right"/>
              <w:rPr>
                <w:rFonts w:eastAsia="Times New Roman" w:cs="Segoe UI"/>
                <w:i/>
                <w:color w:val="000000"/>
                <w:sz w:val="18"/>
                <w:szCs w:val="18"/>
                <w:lang w:eastAsia="sk-SK"/>
              </w:rPr>
            </w:pPr>
            <w:r w:rsidRPr="002B21AD">
              <w:rPr>
                <w:rFonts w:eastAsia="Times New Roman" w:cs="Segoe UI"/>
                <w:i/>
                <w:color w:val="000000"/>
                <w:sz w:val="18"/>
                <w:szCs w:val="18"/>
                <w:lang w:eastAsia="sk-SK"/>
              </w:rPr>
              <w:t>3 804 345</w:t>
            </w:r>
          </w:p>
        </w:tc>
        <w:tc>
          <w:tcPr>
            <w:tcW w:w="704" w:type="pct"/>
            <w:vAlign w:val="center"/>
          </w:tcPr>
          <w:p w14:paraId="1BAE6D72" w14:textId="77777777" w:rsidR="008A4BCF" w:rsidRPr="002B21AD" w:rsidRDefault="008A4BCF" w:rsidP="00B44AC3">
            <w:pPr>
              <w:spacing w:after="0"/>
              <w:jc w:val="right"/>
              <w:rPr>
                <w:rFonts w:eastAsia="Times New Roman" w:cs="Segoe UI"/>
                <w:i/>
                <w:color w:val="000000"/>
                <w:sz w:val="18"/>
                <w:szCs w:val="18"/>
                <w:lang w:eastAsia="sk-SK"/>
              </w:rPr>
            </w:pPr>
            <w:r w:rsidRPr="002B21AD">
              <w:rPr>
                <w:rFonts w:eastAsia="Times New Roman" w:cs="Segoe UI"/>
                <w:i/>
                <w:color w:val="000000"/>
                <w:sz w:val="18"/>
                <w:szCs w:val="18"/>
                <w:lang w:eastAsia="sk-SK"/>
              </w:rPr>
              <w:t>3 655 697</w:t>
            </w:r>
          </w:p>
        </w:tc>
        <w:tc>
          <w:tcPr>
            <w:tcW w:w="703" w:type="pct"/>
            <w:vAlign w:val="center"/>
          </w:tcPr>
          <w:p w14:paraId="0DA981AA" w14:textId="77777777" w:rsidR="008A4BCF" w:rsidRPr="002B21AD" w:rsidRDefault="008A4BCF" w:rsidP="00B44AC3">
            <w:pPr>
              <w:spacing w:after="0"/>
              <w:jc w:val="right"/>
              <w:rPr>
                <w:rFonts w:eastAsia="Times New Roman" w:cs="Segoe UI"/>
                <w:i/>
                <w:color w:val="000000"/>
                <w:sz w:val="18"/>
                <w:szCs w:val="18"/>
                <w:lang w:eastAsia="sk-SK"/>
              </w:rPr>
            </w:pPr>
            <w:r w:rsidRPr="002B21AD">
              <w:rPr>
                <w:rFonts w:eastAsia="Times New Roman" w:cs="Segoe UI"/>
                <w:i/>
                <w:color w:val="000000"/>
                <w:sz w:val="18"/>
                <w:szCs w:val="18"/>
                <w:lang w:eastAsia="sk-SK"/>
              </w:rPr>
              <w:t>3 906 421</w:t>
            </w:r>
          </w:p>
        </w:tc>
        <w:tc>
          <w:tcPr>
            <w:tcW w:w="625" w:type="pct"/>
            <w:vAlign w:val="center"/>
          </w:tcPr>
          <w:p w14:paraId="3AE002AB" w14:textId="77777777" w:rsidR="008A4BCF" w:rsidRPr="002B21AD" w:rsidRDefault="008A4BCF" w:rsidP="00B44AC3">
            <w:pPr>
              <w:spacing w:after="0"/>
              <w:jc w:val="right"/>
              <w:rPr>
                <w:rFonts w:eastAsia="Times New Roman" w:cs="Segoe UI"/>
                <w:i/>
                <w:color w:val="000000"/>
                <w:sz w:val="18"/>
                <w:szCs w:val="18"/>
                <w:lang w:eastAsia="sk-SK"/>
              </w:rPr>
            </w:pPr>
            <w:r w:rsidRPr="002B21AD">
              <w:rPr>
                <w:rFonts w:eastAsia="Times New Roman" w:cs="Segoe UI"/>
                <w:i/>
                <w:color w:val="000000"/>
                <w:sz w:val="18"/>
                <w:szCs w:val="18"/>
                <w:lang w:eastAsia="sk-SK"/>
              </w:rPr>
              <w:t>250 724</w:t>
            </w:r>
          </w:p>
        </w:tc>
        <w:tc>
          <w:tcPr>
            <w:tcW w:w="389" w:type="pct"/>
            <w:vAlign w:val="center"/>
          </w:tcPr>
          <w:p w14:paraId="3ED31E88" w14:textId="77777777" w:rsidR="008A4BCF" w:rsidRPr="002B21AD" w:rsidRDefault="008A4BCF" w:rsidP="00B44AC3">
            <w:pPr>
              <w:spacing w:after="0"/>
              <w:jc w:val="right"/>
              <w:rPr>
                <w:rFonts w:eastAsia="Times New Roman" w:cs="Segoe UI"/>
                <w:i/>
                <w:color w:val="000000"/>
                <w:sz w:val="18"/>
                <w:szCs w:val="18"/>
                <w:lang w:eastAsia="sk-SK"/>
              </w:rPr>
            </w:pPr>
            <w:r w:rsidRPr="002B21AD">
              <w:rPr>
                <w:rFonts w:eastAsia="Times New Roman" w:cs="Segoe UI"/>
                <w:i/>
                <w:color w:val="000000"/>
                <w:sz w:val="18"/>
                <w:szCs w:val="18"/>
                <w:lang w:eastAsia="sk-SK"/>
              </w:rPr>
              <w:t>102,7</w:t>
            </w:r>
          </w:p>
        </w:tc>
      </w:tr>
      <w:tr w:rsidR="008A4BCF" w:rsidRPr="00607947" w14:paraId="54B4F6B1" w14:textId="77777777" w:rsidTr="00B44AC3">
        <w:trPr>
          <w:trHeight w:val="252"/>
          <w:jc w:val="center"/>
        </w:trPr>
        <w:tc>
          <w:tcPr>
            <w:tcW w:w="1875" w:type="pct"/>
            <w:vAlign w:val="center"/>
          </w:tcPr>
          <w:p w14:paraId="76E4AA4A" w14:textId="77777777" w:rsidR="008A4BCF" w:rsidRPr="002B21AD" w:rsidRDefault="008A4BCF" w:rsidP="00B44AC3">
            <w:pPr>
              <w:spacing w:after="0"/>
              <w:jc w:val="left"/>
              <w:rPr>
                <w:rFonts w:eastAsia="Times New Roman" w:cs="Segoe UI"/>
                <w:i/>
                <w:color w:val="000000"/>
                <w:sz w:val="18"/>
                <w:szCs w:val="18"/>
                <w:lang w:eastAsia="sk-SK"/>
              </w:rPr>
            </w:pPr>
            <w:r w:rsidRPr="002B21AD">
              <w:rPr>
                <w:rFonts w:eastAsia="Times New Roman" w:cs="Segoe UI"/>
                <w:i/>
                <w:color w:val="000000"/>
                <w:sz w:val="18"/>
                <w:szCs w:val="18"/>
                <w:lang w:eastAsia="sk-SK"/>
              </w:rPr>
              <w:t xml:space="preserve">     daň z príjmov vyberaná zrážkou</w:t>
            </w:r>
          </w:p>
        </w:tc>
        <w:tc>
          <w:tcPr>
            <w:tcW w:w="703" w:type="pct"/>
            <w:vAlign w:val="center"/>
          </w:tcPr>
          <w:p w14:paraId="3D65D56A" w14:textId="77777777" w:rsidR="008A4BCF" w:rsidRPr="002B21AD" w:rsidRDefault="008A4BCF" w:rsidP="00B44AC3">
            <w:pPr>
              <w:spacing w:after="0"/>
              <w:jc w:val="right"/>
              <w:rPr>
                <w:rFonts w:eastAsia="Times New Roman" w:cs="Segoe UI"/>
                <w:i/>
                <w:color w:val="000000"/>
                <w:sz w:val="18"/>
                <w:szCs w:val="18"/>
                <w:lang w:eastAsia="sk-SK"/>
              </w:rPr>
            </w:pPr>
            <w:r w:rsidRPr="002B21AD">
              <w:rPr>
                <w:rFonts w:eastAsia="Times New Roman" w:cs="Segoe UI"/>
                <w:i/>
                <w:color w:val="000000"/>
                <w:sz w:val="18"/>
                <w:szCs w:val="18"/>
                <w:lang w:eastAsia="sk-SK"/>
              </w:rPr>
              <w:t>314 764</w:t>
            </w:r>
          </w:p>
        </w:tc>
        <w:tc>
          <w:tcPr>
            <w:tcW w:w="704" w:type="pct"/>
            <w:vAlign w:val="center"/>
          </w:tcPr>
          <w:p w14:paraId="06B91928" w14:textId="77777777" w:rsidR="008A4BCF" w:rsidRPr="002B21AD" w:rsidRDefault="008A4BCF" w:rsidP="00B44AC3">
            <w:pPr>
              <w:spacing w:after="0"/>
              <w:jc w:val="right"/>
              <w:rPr>
                <w:rFonts w:eastAsia="Times New Roman" w:cs="Segoe UI"/>
                <w:i/>
                <w:color w:val="000000"/>
                <w:sz w:val="18"/>
                <w:szCs w:val="18"/>
                <w:lang w:eastAsia="sk-SK"/>
              </w:rPr>
            </w:pPr>
            <w:r w:rsidRPr="002B21AD">
              <w:rPr>
                <w:rFonts w:eastAsia="Times New Roman" w:cs="Segoe UI"/>
                <w:i/>
                <w:color w:val="000000"/>
                <w:sz w:val="18"/>
                <w:szCs w:val="18"/>
                <w:lang w:eastAsia="sk-SK"/>
              </w:rPr>
              <w:t>368 670</w:t>
            </w:r>
          </w:p>
        </w:tc>
        <w:tc>
          <w:tcPr>
            <w:tcW w:w="703" w:type="pct"/>
            <w:vAlign w:val="center"/>
          </w:tcPr>
          <w:p w14:paraId="0606B840" w14:textId="77777777" w:rsidR="008A4BCF" w:rsidRPr="002B21AD" w:rsidRDefault="008A4BCF" w:rsidP="00B44AC3">
            <w:pPr>
              <w:spacing w:after="0"/>
              <w:jc w:val="right"/>
              <w:rPr>
                <w:rFonts w:eastAsia="Times New Roman" w:cs="Segoe UI"/>
                <w:i/>
                <w:color w:val="000000"/>
                <w:sz w:val="18"/>
                <w:szCs w:val="18"/>
                <w:lang w:eastAsia="sk-SK"/>
              </w:rPr>
            </w:pPr>
            <w:r w:rsidRPr="002B21AD">
              <w:rPr>
                <w:rFonts w:eastAsia="Times New Roman" w:cs="Segoe UI"/>
                <w:i/>
                <w:color w:val="000000"/>
                <w:sz w:val="18"/>
                <w:szCs w:val="18"/>
                <w:lang w:eastAsia="sk-SK"/>
              </w:rPr>
              <w:t>430 574</w:t>
            </w:r>
          </w:p>
        </w:tc>
        <w:tc>
          <w:tcPr>
            <w:tcW w:w="625" w:type="pct"/>
            <w:vAlign w:val="center"/>
          </w:tcPr>
          <w:p w14:paraId="4AD722E0" w14:textId="77777777" w:rsidR="008A4BCF" w:rsidRPr="002B21AD" w:rsidRDefault="008A4BCF" w:rsidP="00B44AC3">
            <w:pPr>
              <w:spacing w:after="0"/>
              <w:jc w:val="right"/>
              <w:rPr>
                <w:rFonts w:eastAsia="Times New Roman" w:cs="Segoe UI"/>
                <w:i/>
                <w:color w:val="000000"/>
                <w:sz w:val="18"/>
                <w:szCs w:val="18"/>
                <w:lang w:eastAsia="sk-SK"/>
              </w:rPr>
            </w:pPr>
            <w:r w:rsidRPr="002B21AD">
              <w:rPr>
                <w:rFonts w:eastAsia="Times New Roman" w:cs="Segoe UI"/>
                <w:i/>
                <w:color w:val="000000"/>
                <w:sz w:val="18"/>
                <w:szCs w:val="18"/>
                <w:lang w:eastAsia="sk-SK"/>
              </w:rPr>
              <w:t>61 904</w:t>
            </w:r>
          </w:p>
        </w:tc>
        <w:tc>
          <w:tcPr>
            <w:tcW w:w="389" w:type="pct"/>
            <w:vAlign w:val="center"/>
          </w:tcPr>
          <w:p w14:paraId="3A61CAFC" w14:textId="77777777" w:rsidR="008A4BCF" w:rsidRPr="002B21AD" w:rsidRDefault="008A4BCF" w:rsidP="00B44AC3">
            <w:pPr>
              <w:spacing w:after="0"/>
              <w:jc w:val="right"/>
              <w:rPr>
                <w:rFonts w:eastAsia="Times New Roman" w:cs="Segoe UI"/>
                <w:i/>
                <w:color w:val="000000"/>
                <w:sz w:val="18"/>
                <w:szCs w:val="18"/>
                <w:lang w:eastAsia="sk-SK"/>
              </w:rPr>
            </w:pPr>
            <w:r w:rsidRPr="002B21AD">
              <w:rPr>
                <w:rFonts w:eastAsia="Times New Roman" w:cs="Segoe UI"/>
                <w:i/>
                <w:color w:val="000000"/>
                <w:sz w:val="18"/>
                <w:szCs w:val="18"/>
                <w:lang w:eastAsia="sk-SK"/>
              </w:rPr>
              <w:t>136,8</w:t>
            </w:r>
          </w:p>
        </w:tc>
      </w:tr>
      <w:tr w:rsidR="008A4BCF" w:rsidRPr="00607947" w14:paraId="31041231" w14:textId="77777777" w:rsidTr="00B44AC3">
        <w:trPr>
          <w:trHeight w:val="252"/>
          <w:jc w:val="center"/>
        </w:trPr>
        <w:tc>
          <w:tcPr>
            <w:tcW w:w="1875" w:type="pct"/>
            <w:vAlign w:val="center"/>
          </w:tcPr>
          <w:p w14:paraId="3D68D9A4" w14:textId="77777777" w:rsidR="008A4BCF" w:rsidRPr="002B21AD" w:rsidRDefault="008A4BCF" w:rsidP="00B44AC3">
            <w:pPr>
              <w:spacing w:after="0"/>
              <w:jc w:val="left"/>
              <w:rPr>
                <w:rFonts w:eastAsia="Times New Roman" w:cs="Segoe UI"/>
                <w:i/>
                <w:color w:val="000000"/>
                <w:sz w:val="18"/>
                <w:szCs w:val="18"/>
                <w:lang w:eastAsia="sk-SK"/>
              </w:rPr>
            </w:pPr>
            <w:r w:rsidRPr="002B21AD">
              <w:rPr>
                <w:rFonts w:eastAsia="Times New Roman" w:cs="Segoe UI"/>
                <w:i/>
                <w:color w:val="000000"/>
                <w:sz w:val="18"/>
                <w:szCs w:val="18"/>
                <w:lang w:eastAsia="sk-SK"/>
              </w:rPr>
              <w:t xml:space="preserve">     daň z príjmov FO</w:t>
            </w:r>
          </w:p>
        </w:tc>
        <w:tc>
          <w:tcPr>
            <w:tcW w:w="703" w:type="pct"/>
            <w:vAlign w:val="center"/>
          </w:tcPr>
          <w:p w14:paraId="7A722D49" w14:textId="77777777" w:rsidR="008A4BCF" w:rsidRPr="002B21AD" w:rsidRDefault="008A4BCF" w:rsidP="00B44AC3">
            <w:pPr>
              <w:spacing w:after="0"/>
              <w:jc w:val="right"/>
              <w:rPr>
                <w:rFonts w:eastAsia="Times New Roman" w:cs="Segoe UI"/>
                <w:i/>
                <w:color w:val="000000"/>
                <w:sz w:val="18"/>
                <w:szCs w:val="18"/>
                <w:lang w:eastAsia="sk-SK"/>
              </w:rPr>
            </w:pPr>
            <w:r w:rsidRPr="002B21AD">
              <w:rPr>
                <w:rFonts w:eastAsia="Times New Roman" w:cs="Segoe UI"/>
                <w:i/>
                <w:color w:val="000000"/>
                <w:sz w:val="18"/>
                <w:szCs w:val="18"/>
                <w:lang w:eastAsia="sk-SK"/>
              </w:rPr>
              <w:t>-4 929</w:t>
            </w:r>
          </w:p>
        </w:tc>
        <w:tc>
          <w:tcPr>
            <w:tcW w:w="704" w:type="pct"/>
            <w:vAlign w:val="center"/>
          </w:tcPr>
          <w:p w14:paraId="09403904" w14:textId="77777777" w:rsidR="008A4BCF" w:rsidRPr="002B21AD" w:rsidRDefault="008A4BCF" w:rsidP="00B44AC3">
            <w:pPr>
              <w:spacing w:after="0"/>
              <w:jc w:val="right"/>
              <w:rPr>
                <w:rFonts w:eastAsia="Times New Roman" w:cs="Segoe UI"/>
                <w:i/>
                <w:color w:val="000000"/>
                <w:sz w:val="18"/>
                <w:szCs w:val="18"/>
                <w:lang w:eastAsia="sk-SK"/>
              </w:rPr>
            </w:pPr>
            <w:r w:rsidRPr="002B21AD">
              <w:rPr>
                <w:rFonts w:eastAsia="Times New Roman" w:cs="Segoe UI"/>
                <w:i/>
                <w:color w:val="000000"/>
                <w:sz w:val="18"/>
                <w:szCs w:val="18"/>
                <w:lang w:eastAsia="sk-SK"/>
              </w:rPr>
              <w:t>-62 716</w:t>
            </w:r>
          </w:p>
        </w:tc>
        <w:tc>
          <w:tcPr>
            <w:tcW w:w="703" w:type="pct"/>
            <w:vAlign w:val="center"/>
          </w:tcPr>
          <w:p w14:paraId="7FD80CB7" w14:textId="77777777" w:rsidR="008A4BCF" w:rsidRPr="002B21AD" w:rsidRDefault="008A4BCF" w:rsidP="00B44AC3">
            <w:pPr>
              <w:spacing w:after="0"/>
              <w:jc w:val="right"/>
              <w:rPr>
                <w:rFonts w:eastAsia="Times New Roman" w:cs="Segoe UI"/>
                <w:i/>
                <w:color w:val="000000"/>
                <w:sz w:val="18"/>
                <w:szCs w:val="18"/>
                <w:lang w:eastAsia="sk-SK"/>
              </w:rPr>
            </w:pPr>
            <w:r w:rsidRPr="002B21AD">
              <w:rPr>
                <w:rFonts w:eastAsia="Times New Roman" w:cs="Segoe UI"/>
                <w:i/>
                <w:color w:val="000000"/>
                <w:sz w:val="18"/>
                <w:szCs w:val="18"/>
                <w:lang w:eastAsia="sk-SK"/>
              </w:rPr>
              <w:t>1 763</w:t>
            </w:r>
          </w:p>
        </w:tc>
        <w:tc>
          <w:tcPr>
            <w:tcW w:w="625" w:type="pct"/>
            <w:vAlign w:val="center"/>
          </w:tcPr>
          <w:p w14:paraId="1E6CC683" w14:textId="77777777" w:rsidR="008A4BCF" w:rsidRPr="002B21AD" w:rsidRDefault="008A4BCF" w:rsidP="00B44AC3">
            <w:pPr>
              <w:spacing w:after="0"/>
              <w:jc w:val="right"/>
              <w:rPr>
                <w:rFonts w:eastAsia="Times New Roman" w:cs="Segoe UI"/>
                <w:i/>
                <w:color w:val="000000"/>
                <w:sz w:val="18"/>
                <w:szCs w:val="18"/>
                <w:lang w:eastAsia="sk-SK"/>
              </w:rPr>
            </w:pPr>
            <w:r w:rsidRPr="002B21AD">
              <w:rPr>
                <w:rFonts w:eastAsia="Times New Roman" w:cs="Segoe UI"/>
                <w:i/>
                <w:color w:val="000000"/>
                <w:sz w:val="18"/>
                <w:szCs w:val="18"/>
                <w:lang w:eastAsia="sk-SK"/>
              </w:rPr>
              <w:t>64 479</w:t>
            </w:r>
          </w:p>
        </w:tc>
        <w:tc>
          <w:tcPr>
            <w:tcW w:w="389" w:type="pct"/>
            <w:vAlign w:val="center"/>
          </w:tcPr>
          <w:p w14:paraId="4E085725" w14:textId="77777777" w:rsidR="008A4BCF" w:rsidRPr="002B21AD" w:rsidRDefault="008A4BCF" w:rsidP="00B44AC3">
            <w:pPr>
              <w:spacing w:after="0"/>
              <w:jc w:val="right"/>
              <w:rPr>
                <w:rFonts w:eastAsia="Times New Roman" w:cs="Segoe UI"/>
                <w:i/>
                <w:color w:val="000000"/>
                <w:sz w:val="18"/>
                <w:szCs w:val="18"/>
                <w:lang w:eastAsia="sk-SK"/>
              </w:rPr>
            </w:pPr>
            <w:r w:rsidRPr="002B21AD">
              <w:rPr>
                <w:rFonts w:eastAsia="Times New Roman" w:cs="Segoe UI"/>
                <w:i/>
                <w:color w:val="000000"/>
                <w:sz w:val="18"/>
                <w:szCs w:val="18"/>
                <w:lang w:eastAsia="sk-SK"/>
              </w:rPr>
              <w:t>-35,8</w:t>
            </w:r>
          </w:p>
        </w:tc>
      </w:tr>
      <w:tr w:rsidR="008A4BCF" w:rsidRPr="00607947" w14:paraId="5AFCDBEF" w14:textId="77777777" w:rsidTr="00B44AC3">
        <w:trPr>
          <w:trHeight w:val="252"/>
          <w:jc w:val="center"/>
        </w:trPr>
        <w:tc>
          <w:tcPr>
            <w:tcW w:w="1875" w:type="pct"/>
            <w:vAlign w:val="center"/>
          </w:tcPr>
          <w:p w14:paraId="043A9CEC" w14:textId="77777777" w:rsidR="008A4BCF" w:rsidRPr="00C815B1" w:rsidRDefault="008A4BCF" w:rsidP="00B44AC3">
            <w:pPr>
              <w:spacing w:after="0"/>
              <w:jc w:val="left"/>
              <w:rPr>
                <w:rFonts w:eastAsia="Times New Roman" w:cs="Segoe UI"/>
                <w:color w:val="000000"/>
                <w:sz w:val="18"/>
                <w:szCs w:val="18"/>
                <w:lang w:eastAsia="sk-SK"/>
              </w:rPr>
            </w:pPr>
            <w:r w:rsidRPr="00C815B1">
              <w:rPr>
                <w:rFonts w:eastAsia="Times New Roman" w:cs="Segoe UI"/>
                <w:color w:val="000000"/>
                <w:sz w:val="18"/>
                <w:szCs w:val="18"/>
                <w:lang w:eastAsia="sk-SK"/>
              </w:rPr>
              <w:t>Dane z medzinárodného obchodu a transakcií</w:t>
            </w:r>
          </w:p>
        </w:tc>
        <w:tc>
          <w:tcPr>
            <w:tcW w:w="703" w:type="pct"/>
            <w:vAlign w:val="center"/>
          </w:tcPr>
          <w:p w14:paraId="57A2C946" w14:textId="77777777" w:rsidR="008A4BCF" w:rsidRPr="00C815B1" w:rsidRDefault="008A4BCF" w:rsidP="00B44AC3">
            <w:pPr>
              <w:spacing w:after="0"/>
              <w:jc w:val="right"/>
              <w:rPr>
                <w:rFonts w:eastAsia="Times New Roman" w:cs="Segoe UI"/>
                <w:color w:val="000000"/>
                <w:sz w:val="18"/>
                <w:szCs w:val="18"/>
                <w:lang w:eastAsia="sk-SK"/>
              </w:rPr>
            </w:pPr>
            <w:r w:rsidRPr="00C815B1">
              <w:rPr>
                <w:rFonts w:eastAsia="Times New Roman" w:cs="Segoe UI"/>
                <w:color w:val="000000"/>
                <w:sz w:val="18"/>
                <w:szCs w:val="18"/>
                <w:lang w:eastAsia="sk-SK"/>
              </w:rPr>
              <w:t>39 848</w:t>
            </w:r>
          </w:p>
        </w:tc>
        <w:tc>
          <w:tcPr>
            <w:tcW w:w="704" w:type="pct"/>
            <w:vAlign w:val="center"/>
          </w:tcPr>
          <w:p w14:paraId="1B105D78" w14:textId="77777777" w:rsidR="008A4BCF" w:rsidRPr="00C815B1" w:rsidRDefault="008A4BCF" w:rsidP="00B44AC3">
            <w:pPr>
              <w:spacing w:after="0"/>
              <w:jc w:val="right"/>
              <w:rPr>
                <w:rFonts w:eastAsia="Times New Roman" w:cs="Segoe UI"/>
                <w:color w:val="000000"/>
                <w:sz w:val="18"/>
                <w:szCs w:val="18"/>
                <w:lang w:eastAsia="sk-SK"/>
              </w:rPr>
            </w:pPr>
            <w:r w:rsidRPr="00C815B1">
              <w:rPr>
                <w:rFonts w:eastAsia="Times New Roman" w:cs="Segoe UI"/>
                <w:color w:val="000000"/>
                <w:sz w:val="18"/>
                <w:szCs w:val="18"/>
                <w:lang w:eastAsia="sk-SK"/>
              </w:rPr>
              <w:t>41 232</w:t>
            </w:r>
          </w:p>
        </w:tc>
        <w:tc>
          <w:tcPr>
            <w:tcW w:w="703" w:type="pct"/>
            <w:vAlign w:val="center"/>
          </w:tcPr>
          <w:p w14:paraId="5DDE92AB" w14:textId="77777777" w:rsidR="008A4BCF" w:rsidRPr="00C815B1" w:rsidRDefault="008A4BCF" w:rsidP="00B44AC3">
            <w:pPr>
              <w:spacing w:after="0"/>
              <w:jc w:val="right"/>
              <w:rPr>
                <w:rFonts w:eastAsia="Times New Roman" w:cs="Segoe UI"/>
                <w:color w:val="000000"/>
                <w:sz w:val="18"/>
                <w:szCs w:val="18"/>
                <w:lang w:eastAsia="sk-SK"/>
              </w:rPr>
            </w:pPr>
            <w:r w:rsidRPr="00C815B1">
              <w:rPr>
                <w:rFonts w:eastAsia="Times New Roman" w:cs="Segoe UI"/>
                <w:color w:val="000000"/>
                <w:sz w:val="18"/>
                <w:szCs w:val="18"/>
                <w:lang w:eastAsia="sk-SK"/>
              </w:rPr>
              <w:t>37 917</w:t>
            </w:r>
          </w:p>
        </w:tc>
        <w:tc>
          <w:tcPr>
            <w:tcW w:w="625" w:type="pct"/>
            <w:vAlign w:val="center"/>
          </w:tcPr>
          <w:p w14:paraId="3EAD8E4D" w14:textId="77777777" w:rsidR="008A4BCF" w:rsidRPr="00C815B1" w:rsidRDefault="008A4BCF" w:rsidP="00B44AC3">
            <w:pPr>
              <w:spacing w:after="0"/>
              <w:jc w:val="right"/>
              <w:rPr>
                <w:rFonts w:eastAsia="Times New Roman" w:cs="Segoe UI"/>
                <w:color w:val="000000"/>
                <w:sz w:val="18"/>
                <w:szCs w:val="18"/>
                <w:lang w:eastAsia="sk-SK"/>
              </w:rPr>
            </w:pPr>
            <w:r w:rsidRPr="00C815B1">
              <w:rPr>
                <w:rFonts w:eastAsia="Times New Roman" w:cs="Segoe UI"/>
                <w:color w:val="000000"/>
                <w:sz w:val="18"/>
                <w:szCs w:val="18"/>
                <w:lang w:eastAsia="sk-SK"/>
              </w:rPr>
              <w:t>-3 315</w:t>
            </w:r>
          </w:p>
        </w:tc>
        <w:tc>
          <w:tcPr>
            <w:tcW w:w="389" w:type="pct"/>
            <w:vAlign w:val="center"/>
          </w:tcPr>
          <w:p w14:paraId="2338F432" w14:textId="77777777" w:rsidR="008A4BCF" w:rsidRPr="00C815B1" w:rsidRDefault="008A4BCF" w:rsidP="00B44AC3">
            <w:pPr>
              <w:spacing w:after="0"/>
              <w:jc w:val="right"/>
              <w:rPr>
                <w:rFonts w:eastAsia="Times New Roman" w:cs="Segoe UI"/>
                <w:color w:val="000000"/>
                <w:sz w:val="18"/>
                <w:szCs w:val="18"/>
                <w:lang w:eastAsia="sk-SK"/>
              </w:rPr>
            </w:pPr>
            <w:r w:rsidRPr="00C815B1">
              <w:rPr>
                <w:rFonts w:eastAsia="Times New Roman" w:cs="Segoe UI"/>
                <w:color w:val="000000"/>
                <w:sz w:val="18"/>
                <w:szCs w:val="18"/>
                <w:lang w:eastAsia="sk-SK"/>
              </w:rPr>
              <w:t>95,2</w:t>
            </w:r>
          </w:p>
        </w:tc>
      </w:tr>
      <w:tr w:rsidR="008A4BCF" w:rsidRPr="00607947" w14:paraId="7C067749" w14:textId="77777777" w:rsidTr="00B44AC3">
        <w:trPr>
          <w:trHeight w:val="252"/>
          <w:jc w:val="center"/>
        </w:trPr>
        <w:tc>
          <w:tcPr>
            <w:tcW w:w="1875" w:type="pct"/>
            <w:vAlign w:val="center"/>
          </w:tcPr>
          <w:p w14:paraId="318E3B63" w14:textId="77777777" w:rsidR="008A4BCF" w:rsidRPr="00C815B1" w:rsidRDefault="008A4BCF" w:rsidP="00B44AC3">
            <w:pPr>
              <w:spacing w:after="0"/>
              <w:jc w:val="left"/>
              <w:rPr>
                <w:rFonts w:eastAsia="Times New Roman" w:cs="Segoe UI"/>
                <w:color w:val="000000"/>
                <w:sz w:val="18"/>
                <w:szCs w:val="18"/>
                <w:lang w:eastAsia="sk-SK"/>
              </w:rPr>
            </w:pPr>
            <w:r w:rsidRPr="00C815B1">
              <w:rPr>
                <w:rFonts w:eastAsia="Times New Roman" w:cs="Segoe UI"/>
                <w:color w:val="000000"/>
                <w:sz w:val="18"/>
                <w:szCs w:val="18"/>
                <w:lang w:eastAsia="sk-SK"/>
              </w:rPr>
              <w:t>Ostatné dane</w:t>
            </w:r>
          </w:p>
        </w:tc>
        <w:tc>
          <w:tcPr>
            <w:tcW w:w="703" w:type="pct"/>
            <w:vAlign w:val="center"/>
          </w:tcPr>
          <w:p w14:paraId="38891D75" w14:textId="77777777" w:rsidR="008A4BCF" w:rsidRPr="00C815B1" w:rsidRDefault="008A4BCF" w:rsidP="00B44AC3">
            <w:pPr>
              <w:spacing w:after="0"/>
              <w:jc w:val="right"/>
              <w:rPr>
                <w:rFonts w:eastAsia="Times New Roman" w:cs="Segoe UI"/>
                <w:color w:val="000000"/>
                <w:sz w:val="18"/>
                <w:szCs w:val="18"/>
                <w:lang w:eastAsia="sk-SK"/>
              </w:rPr>
            </w:pPr>
            <w:r w:rsidRPr="00C815B1">
              <w:rPr>
                <w:rFonts w:eastAsia="Times New Roman" w:cs="Segoe UI"/>
                <w:color w:val="000000"/>
                <w:sz w:val="18"/>
                <w:szCs w:val="18"/>
                <w:lang w:eastAsia="sk-SK"/>
              </w:rPr>
              <w:t>9</w:t>
            </w:r>
          </w:p>
        </w:tc>
        <w:tc>
          <w:tcPr>
            <w:tcW w:w="704" w:type="pct"/>
            <w:vAlign w:val="center"/>
          </w:tcPr>
          <w:p w14:paraId="7F3BD8D5" w14:textId="77777777" w:rsidR="008A4BCF" w:rsidRPr="00C815B1" w:rsidRDefault="008A4BCF" w:rsidP="00B44AC3">
            <w:pPr>
              <w:spacing w:after="0"/>
              <w:jc w:val="right"/>
              <w:rPr>
                <w:rFonts w:eastAsia="Times New Roman" w:cs="Segoe UI"/>
                <w:color w:val="000000"/>
                <w:sz w:val="18"/>
                <w:szCs w:val="18"/>
                <w:lang w:eastAsia="sk-SK"/>
              </w:rPr>
            </w:pPr>
            <w:r w:rsidRPr="00C815B1">
              <w:rPr>
                <w:rFonts w:eastAsia="Times New Roman" w:cs="Segoe UI"/>
                <w:color w:val="000000"/>
                <w:sz w:val="18"/>
                <w:szCs w:val="18"/>
                <w:lang w:eastAsia="sk-SK"/>
              </w:rPr>
              <w:t>0</w:t>
            </w:r>
          </w:p>
        </w:tc>
        <w:tc>
          <w:tcPr>
            <w:tcW w:w="703" w:type="pct"/>
            <w:vAlign w:val="center"/>
          </w:tcPr>
          <w:p w14:paraId="35FA6096" w14:textId="77777777" w:rsidR="008A4BCF" w:rsidRPr="00C815B1" w:rsidRDefault="008A4BCF" w:rsidP="00B44AC3">
            <w:pPr>
              <w:spacing w:after="0"/>
              <w:jc w:val="right"/>
              <w:rPr>
                <w:rFonts w:eastAsia="Times New Roman" w:cs="Segoe UI"/>
                <w:color w:val="000000"/>
                <w:sz w:val="18"/>
                <w:szCs w:val="18"/>
                <w:lang w:eastAsia="sk-SK"/>
              </w:rPr>
            </w:pPr>
            <w:r w:rsidRPr="00C815B1">
              <w:rPr>
                <w:rFonts w:eastAsia="Times New Roman" w:cs="Segoe UI"/>
                <w:color w:val="000000"/>
                <w:sz w:val="18"/>
                <w:szCs w:val="18"/>
                <w:lang w:eastAsia="sk-SK"/>
              </w:rPr>
              <w:t>557 308</w:t>
            </w:r>
          </w:p>
        </w:tc>
        <w:tc>
          <w:tcPr>
            <w:tcW w:w="625" w:type="pct"/>
            <w:vAlign w:val="center"/>
          </w:tcPr>
          <w:p w14:paraId="6158220C" w14:textId="77777777" w:rsidR="008A4BCF" w:rsidRPr="00C815B1" w:rsidRDefault="008A4BCF" w:rsidP="00B44AC3">
            <w:pPr>
              <w:spacing w:after="0"/>
              <w:jc w:val="right"/>
              <w:rPr>
                <w:rFonts w:eastAsia="Times New Roman" w:cs="Segoe UI"/>
                <w:color w:val="000000"/>
                <w:sz w:val="18"/>
                <w:szCs w:val="18"/>
                <w:lang w:eastAsia="sk-SK"/>
              </w:rPr>
            </w:pPr>
            <w:r w:rsidRPr="00C815B1">
              <w:rPr>
                <w:rFonts w:eastAsia="Times New Roman" w:cs="Segoe UI"/>
                <w:color w:val="000000"/>
                <w:sz w:val="18"/>
                <w:szCs w:val="18"/>
                <w:lang w:eastAsia="sk-SK"/>
              </w:rPr>
              <w:t>557 308</w:t>
            </w:r>
          </w:p>
        </w:tc>
        <w:tc>
          <w:tcPr>
            <w:tcW w:w="389" w:type="pct"/>
            <w:vAlign w:val="center"/>
          </w:tcPr>
          <w:p w14:paraId="0D1F121C" w14:textId="77777777" w:rsidR="008A4BCF" w:rsidRPr="00C815B1" w:rsidRDefault="008A4BCF" w:rsidP="00B44AC3">
            <w:pPr>
              <w:spacing w:after="0"/>
              <w:jc w:val="right"/>
              <w:rPr>
                <w:rFonts w:eastAsia="Times New Roman" w:cs="Segoe UI"/>
                <w:color w:val="000000"/>
                <w:sz w:val="18"/>
                <w:szCs w:val="18"/>
                <w:lang w:eastAsia="sk-SK"/>
              </w:rPr>
            </w:pPr>
            <w:r w:rsidRPr="00C815B1">
              <w:rPr>
                <w:rFonts w:eastAsia="Times New Roman" w:cs="Segoe UI"/>
                <w:color w:val="000000"/>
                <w:sz w:val="18"/>
                <w:szCs w:val="18"/>
                <w:lang w:eastAsia="sk-SK"/>
              </w:rPr>
              <w:t>6 192 311,1</w:t>
            </w:r>
          </w:p>
        </w:tc>
      </w:tr>
      <w:tr w:rsidR="008A4BCF" w:rsidRPr="00607947" w14:paraId="5AC8D653" w14:textId="77777777" w:rsidTr="00B44AC3">
        <w:trPr>
          <w:trHeight w:val="252"/>
          <w:jc w:val="center"/>
        </w:trPr>
        <w:tc>
          <w:tcPr>
            <w:tcW w:w="1875" w:type="pct"/>
            <w:tcBorders>
              <w:bottom w:val="single" w:sz="4" w:space="0" w:color="314364"/>
            </w:tcBorders>
            <w:vAlign w:val="center"/>
          </w:tcPr>
          <w:p w14:paraId="1F1B37CA" w14:textId="77777777" w:rsidR="008A4BCF" w:rsidRPr="00C815B1" w:rsidRDefault="008A4BCF" w:rsidP="00B44AC3">
            <w:pPr>
              <w:spacing w:after="0"/>
              <w:jc w:val="left"/>
              <w:rPr>
                <w:rFonts w:eastAsia="Times New Roman" w:cs="Segoe UI"/>
                <w:color w:val="000000"/>
                <w:sz w:val="18"/>
                <w:szCs w:val="18"/>
                <w:lang w:eastAsia="sk-SK"/>
              </w:rPr>
            </w:pPr>
            <w:r w:rsidRPr="00C815B1">
              <w:rPr>
                <w:rFonts w:eastAsia="Times New Roman" w:cs="Segoe UI"/>
                <w:color w:val="000000"/>
                <w:sz w:val="18"/>
                <w:szCs w:val="18"/>
                <w:lang w:eastAsia="sk-SK"/>
              </w:rPr>
              <w:t>Sankcie uložené v daňovom konaní</w:t>
            </w:r>
          </w:p>
        </w:tc>
        <w:tc>
          <w:tcPr>
            <w:tcW w:w="703" w:type="pct"/>
            <w:tcBorders>
              <w:bottom w:val="single" w:sz="4" w:space="0" w:color="314364"/>
            </w:tcBorders>
            <w:vAlign w:val="center"/>
          </w:tcPr>
          <w:p w14:paraId="7237F50E" w14:textId="77777777" w:rsidR="008A4BCF" w:rsidRPr="00C815B1" w:rsidRDefault="008A4BCF" w:rsidP="00B44AC3">
            <w:pPr>
              <w:spacing w:after="0"/>
              <w:jc w:val="right"/>
              <w:rPr>
                <w:rFonts w:eastAsia="Times New Roman" w:cs="Segoe UI"/>
                <w:color w:val="000000"/>
                <w:sz w:val="18"/>
                <w:szCs w:val="18"/>
                <w:lang w:eastAsia="sk-SK"/>
              </w:rPr>
            </w:pPr>
            <w:r w:rsidRPr="00C815B1">
              <w:rPr>
                <w:rFonts w:eastAsia="Times New Roman" w:cs="Segoe UI"/>
                <w:color w:val="000000"/>
                <w:sz w:val="18"/>
                <w:szCs w:val="18"/>
                <w:lang w:eastAsia="sk-SK"/>
              </w:rPr>
              <w:t>32 771</w:t>
            </w:r>
          </w:p>
        </w:tc>
        <w:tc>
          <w:tcPr>
            <w:tcW w:w="704" w:type="pct"/>
            <w:tcBorders>
              <w:bottom w:val="single" w:sz="4" w:space="0" w:color="314364"/>
            </w:tcBorders>
            <w:vAlign w:val="center"/>
          </w:tcPr>
          <w:p w14:paraId="67C10E86" w14:textId="77777777" w:rsidR="008A4BCF" w:rsidRPr="00C815B1" w:rsidRDefault="008A4BCF" w:rsidP="00B44AC3">
            <w:pPr>
              <w:spacing w:after="0"/>
              <w:jc w:val="right"/>
              <w:rPr>
                <w:rFonts w:eastAsia="Times New Roman" w:cs="Segoe UI"/>
                <w:color w:val="000000"/>
                <w:sz w:val="18"/>
                <w:szCs w:val="18"/>
                <w:lang w:eastAsia="sk-SK"/>
              </w:rPr>
            </w:pPr>
            <w:r w:rsidRPr="00C815B1">
              <w:rPr>
                <w:rFonts w:eastAsia="Times New Roman" w:cs="Segoe UI"/>
                <w:color w:val="000000"/>
                <w:sz w:val="18"/>
                <w:szCs w:val="18"/>
                <w:lang w:eastAsia="sk-SK"/>
              </w:rPr>
              <w:t>20 863</w:t>
            </w:r>
          </w:p>
        </w:tc>
        <w:tc>
          <w:tcPr>
            <w:tcW w:w="703" w:type="pct"/>
            <w:tcBorders>
              <w:bottom w:val="single" w:sz="4" w:space="0" w:color="314364"/>
            </w:tcBorders>
            <w:vAlign w:val="center"/>
          </w:tcPr>
          <w:p w14:paraId="74570F01" w14:textId="77777777" w:rsidR="008A4BCF" w:rsidRPr="00C815B1" w:rsidRDefault="008A4BCF" w:rsidP="00B44AC3">
            <w:pPr>
              <w:spacing w:after="0"/>
              <w:jc w:val="right"/>
              <w:rPr>
                <w:rFonts w:eastAsia="Times New Roman" w:cs="Segoe UI"/>
                <w:color w:val="000000"/>
                <w:sz w:val="18"/>
                <w:szCs w:val="18"/>
                <w:lang w:eastAsia="sk-SK"/>
              </w:rPr>
            </w:pPr>
            <w:r w:rsidRPr="00C815B1">
              <w:rPr>
                <w:rFonts w:eastAsia="Times New Roman" w:cs="Segoe UI"/>
                <w:color w:val="000000"/>
                <w:sz w:val="18"/>
                <w:szCs w:val="18"/>
                <w:lang w:eastAsia="sk-SK"/>
              </w:rPr>
              <w:t>56 779</w:t>
            </w:r>
          </w:p>
        </w:tc>
        <w:tc>
          <w:tcPr>
            <w:tcW w:w="625" w:type="pct"/>
            <w:tcBorders>
              <w:bottom w:val="single" w:sz="4" w:space="0" w:color="314364"/>
            </w:tcBorders>
            <w:vAlign w:val="center"/>
          </w:tcPr>
          <w:p w14:paraId="4AE7A1E2" w14:textId="77777777" w:rsidR="008A4BCF" w:rsidRPr="00C815B1" w:rsidRDefault="008A4BCF" w:rsidP="00B44AC3">
            <w:pPr>
              <w:spacing w:after="0"/>
              <w:jc w:val="right"/>
              <w:rPr>
                <w:rFonts w:eastAsia="Times New Roman" w:cs="Segoe UI"/>
                <w:color w:val="000000"/>
                <w:sz w:val="18"/>
                <w:szCs w:val="18"/>
                <w:lang w:eastAsia="sk-SK"/>
              </w:rPr>
            </w:pPr>
            <w:r w:rsidRPr="00C815B1">
              <w:rPr>
                <w:rFonts w:eastAsia="Times New Roman" w:cs="Segoe UI"/>
                <w:color w:val="000000"/>
                <w:sz w:val="18"/>
                <w:szCs w:val="18"/>
                <w:lang w:eastAsia="sk-SK"/>
              </w:rPr>
              <w:t>35 916</w:t>
            </w:r>
          </w:p>
        </w:tc>
        <w:tc>
          <w:tcPr>
            <w:tcW w:w="389" w:type="pct"/>
            <w:tcBorders>
              <w:bottom w:val="single" w:sz="4" w:space="0" w:color="314364"/>
            </w:tcBorders>
            <w:vAlign w:val="center"/>
          </w:tcPr>
          <w:p w14:paraId="333A3325" w14:textId="77777777" w:rsidR="008A4BCF" w:rsidRPr="00C815B1" w:rsidRDefault="008A4BCF" w:rsidP="00B44AC3">
            <w:pPr>
              <w:spacing w:after="0"/>
              <w:jc w:val="right"/>
              <w:rPr>
                <w:rFonts w:eastAsia="Times New Roman" w:cs="Segoe UI"/>
                <w:color w:val="000000"/>
                <w:sz w:val="18"/>
                <w:szCs w:val="18"/>
                <w:lang w:eastAsia="sk-SK"/>
              </w:rPr>
            </w:pPr>
            <w:r w:rsidRPr="00C815B1">
              <w:rPr>
                <w:rFonts w:eastAsia="Times New Roman" w:cs="Segoe UI"/>
                <w:color w:val="000000"/>
                <w:sz w:val="18"/>
                <w:szCs w:val="18"/>
                <w:lang w:eastAsia="sk-SK"/>
              </w:rPr>
              <w:t>173,3</w:t>
            </w:r>
          </w:p>
        </w:tc>
      </w:tr>
    </w:tbl>
    <w:p w14:paraId="65D31DB8" w14:textId="77777777" w:rsidR="008A4BCF" w:rsidRPr="00607947" w:rsidRDefault="008A4BCF" w:rsidP="008A4BCF">
      <w:pPr>
        <w:pStyle w:val="Zdroj"/>
      </w:pPr>
      <w:r w:rsidRPr="00607947">
        <w:t xml:space="preserve">Zdroj: </w:t>
      </w:r>
      <w:r>
        <w:t>Návrh ŠZÚ 2023</w:t>
      </w:r>
      <w:r w:rsidRPr="00607947">
        <w:t>.</w:t>
      </w:r>
      <w:r w:rsidRPr="00607947">
        <w:br/>
        <w:t>S – skutočnosť, R – rozpočet, YoY – medziročná zmena</w:t>
      </w:r>
    </w:p>
    <w:p w14:paraId="6F280770" w14:textId="77777777" w:rsidR="008A4BCF" w:rsidRDefault="008A4BCF" w:rsidP="008A4BCF">
      <w:pPr>
        <w:spacing w:after="160" w:line="259" w:lineRule="auto"/>
        <w:jc w:val="left"/>
        <w:rPr>
          <w:i/>
          <w:color w:val="314364" w:themeColor="text2"/>
          <w:sz w:val="16"/>
        </w:rPr>
      </w:pPr>
    </w:p>
    <w:p w14:paraId="6DB24D98" w14:textId="77777777" w:rsidR="008A4BCF" w:rsidRDefault="008A4BCF" w:rsidP="008A4BCF">
      <w:pPr>
        <w:pStyle w:val="Popis"/>
        <w:keepNext/>
      </w:pPr>
      <w:r w:rsidRPr="00EA4CBA">
        <w:lastRenderedPageBreak/>
        <w:t>Tabuľka 5:</w:t>
      </w:r>
      <w:r>
        <w:t xml:space="preserve"> Príjmy podľa kapitol ŠR na hotovostnej báze za rok 2023</w:t>
      </w:r>
      <w:r w:rsidRPr="00A8009D">
        <w:t xml:space="preserve"> </w:t>
      </w:r>
      <w:r>
        <w:t>(</w:t>
      </w:r>
      <w:r w:rsidRPr="00A8009D">
        <w:t>v tis. eur</w:t>
      </w:r>
      <w:r>
        <w:t>)</w:t>
      </w:r>
    </w:p>
    <w:tbl>
      <w:tblPr>
        <w:tblW w:w="5000" w:type="pct"/>
        <w:tblLayout w:type="fixed"/>
        <w:tblCellMar>
          <w:left w:w="70" w:type="dxa"/>
          <w:right w:w="70" w:type="dxa"/>
        </w:tblCellMar>
        <w:tblLook w:val="04A0" w:firstRow="1" w:lastRow="0" w:firstColumn="1" w:lastColumn="0" w:noHBand="0" w:noVBand="1"/>
      </w:tblPr>
      <w:tblGrid>
        <w:gridCol w:w="5244"/>
        <w:gridCol w:w="1270"/>
        <w:gridCol w:w="1284"/>
        <w:gridCol w:w="1272"/>
      </w:tblGrid>
      <w:tr w:rsidR="008A4BCF" w:rsidRPr="00E23AC3" w14:paraId="00AF8C5B" w14:textId="77777777" w:rsidTr="00B44AC3">
        <w:trPr>
          <w:trHeight w:val="283"/>
        </w:trPr>
        <w:tc>
          <w:tcPr>
            <w:tcW w:w="2891" w:type="pct"/>
            <w:shd w:val="clear" w:color="auto" w:fill="314364"/>
            <w:noWrap/>
            <w:vAlign w:val="center"/>
          </w:tcPr>
          <w:p w14:paraId="6C57AE70" w14:textId="77777777" w:rsidR="008A4BCF" w:rsidRPr="00E23AC3" w:rsidRDefault="008A4BCF" w:rsidP="00B44AC3">
            <w:pPr>
              <w:spacing w:after="0" w:line="240" w:lineRule="auto"/>
              <w:jc w:val="left"/>
              <w:rPr>
                <w:rFonts w:eastAsia="Calibri" w:cs="Segoe UI"/>
                <w:b/>
                <w:sz w:val="18"/>
                <w:szCs w:val="18"/>
              </w:rPr>
            </w:pPr>
            <w:r w:rsidRPr="00E23AC3">
              <w:rPr>
                <w:rFonts w:eastAsia="Times New Roman" w:cs="Segoe UI"/>
                <w:b/>
                <w:color w:val="FFFFFF"/>
                <w:sz w:val="18"/>
                <w:szCs w:val="18"/>
                <w:lang w:eastAsia="sk-SK"/>
              </w:rPr>
              <w:t xml:space="preserve">Príjmy kapitol ŠR </w:t>
            </w:r>
          </w:p>
        </w:tc>
        <w:tc>
          <w:tcPr>
            <w:tcW w:w="700" w:type="pct"/>
            <w:shd w:val="clear" w:color="auto" w:fill="314364"/>
            <w:noWrap/>
            <w:vAlign w:val="center"/>
          </w:tcPr>
          <w:p w14:paraId="7ACBE004" w14:textId="77777777" w:rsidR="008A4BCF" w:rsidRPr="00E23AC3" w:rsidRDefault="008A4BCF" w:rsidP="00B44AC3">
            <w:pPr>
              <w:spacing w:after="0" w:line="240" w:lineRule="auto"/>
              <w:jc w:val="right"/>
              <w:rPr>
                <w:rFonts w:eastAsia="Calibri" w:cs="Segoe UI"/>
                <w:b/>
                <w:color w:val="FFFFFF"/>
                <w:sz w:val="18"/>
                <w:szCs w:val="18"/>
              </w:rPr>
            </w:pPr>
            <w:r w:rsidRPr="00E23AC3">
              <w:rPr>
                <w:rFonts w:eastAsia="Calibri" w:cs="Segoe UI"/>
                <w:b/>
                <w:color w:val="FFFFFF"/>
                <w:sz w:val="18"/>
                <w:szCs w:val="18"/>
              </w:rPr>
              <w:t>2023 R</w:t>
            </w:r>
          </w:p>
        </w:tc>
        <w:tc>
          <w:tcPr>
            <w:tcW w:w="708" w:type="pct"/>
            <w:shd w:val="clear" w:color="auto" w:fill="314364"/>
            <w:noWrap/>
            <w:vAlign w:val="center"/>
          </w:tcPr>
          <w:p w14:paraId="7A5DF7DB" w14:textId="77777777" w:rsidR="008A4BCF" w:rsidRPr="00E23AC3" w:rsidRDefault="008A4BCF" w:rsidP="00B44AC3">
            <w:pPr>
              <w:spacing w:after="0" w:line="240" w:lineRule="auto"/>
              <w:jc w:val="right"/>
              <w:rPr>
                <w:rFonts w:eastAsia="Calibri" w:cs="Segoe UI"/>
                <w:b/>
                <w:sz w:val="18"/>
                <w:szCs w:val="18"/>
              </w:rPr>
            </w:pPr>
            <w:r w:rsidRPr="00E23AC3">
              <w:rPr>
                <w:rFonts w:eastAsia="Calibri" w:cs="Segoe UI"/>
                <w:b/>
                <w:color w:val="FFFFFF"/>
                <w:sz w:val="18"/>
                <w:szCs w:val="18"/>
              </w:rPr>
              <w:t>2023 S</w:t>
            </w:r>
          </w:p>
        </w:tc>
        <w:tc>
          <w:tcPr>
            <w:tcW w:w="701" w:type="pct"/>
            <w:shd w:val="clear" w:color="auto" w:fill="314364"/>
            <w:vAlign w:val="center"/>
          </w:tcPr>
          <w:p w14:paraId="01FA76E3" w14:textId="77777777" w:rsidR="008A4BCF" w:rsidRPr="00E23AC3" w:rsidRDefault="008A4BCF" w:rsidP="00B44AC3">
            <w:pPr>
              <w:spacing w:after="0" w:line="240" w:lineRule="auto"/>
              <w:jc w:val="right"/>
              <w:rPr>
                <w:rFonts w:eastAsia="Calibri" w:cs="Segoe UI"/>
                <w:b/>
                <w:color w:val="FFFFFF"/>
                <w:sz w:val="18"/>
                <w:szCs w:val="18"/>
              </w:rPr>
            </w:pPr>
            <w:r w:rsidRPr="00E23AC3">
              <w:rPr>
                <w:rFonts w:eastAsia="Calibri" w:cs="Segoe UI"/>
                <w:b/>
                <w:color w:val="FFFFFF"/>
                <w:sz w:val="18"/>
                <w:szCs w:val="18"/>
              </w:rPr>
              <w:t>% plnenia</w:t>
            </w:r>
          </w:p>
        </w:tc>
      </w:tr>
      <w:tr w:rsidR="008A4BCF" w:rsidRPr="00E23AC3" w14:paraId="69403934" w14:textId="77777777" w:rsidTr="00B44AC3">
        <w:trPr>
          <w:trHeight w:val="283"/>
        </w:trPr>
        <w:tc>
          <w:tcPr>
            <w:tcW w:w="2891" w:type="pct"/>
            <w:shd w:val="clear" w:color="auto" w:fill="auto"/>
            <w:noWrap/>
            <w:vAlign w:val="center"/>
            <w:hideMark/>
          </w:tcPr>
          <w:p w14:paraId="69A820C7" w14:textId="77777777" w:rsidR="008A4BCF" w:rsidRPr="00E23AC3" w:rsidRDefault="008A4BCF" w:rsidP="00B44AC3">
            <w:pPr>
              <w:spacing w:after="0" w:line="240" w:lineRule="auto"/>
              <w:jc w:val="left"/>
              <w:rPr>
                <w:rFonts w:eastAsia="Calibri" w:cs="Segoe UI"/>
                <w:sz w:val="18"/>
                <w:szCs w:val="18"/>
              </w:rPr>
            </w:pPr>
            <w:r w:rsidRPr="00E23AC3">
              <w:rPr>
                <w:rFonts w:eastAsia="Calibri" w:cs="Segoe UI"/>
                <w:sz w:val="18"/>
                <w:szCs w:val="18"/>
              </w:rPr>
              <w:t xml:space="preserve">Kancelária Národnej rady SR    </w:t>
            </w:r>
          </w:p>
        </w:tc>
        <w:tc>
          <w:tcPr>
            <w:tcW w:w="700" w:type="pct"/>
            <w:tcBorders>
              <w:top w:val="nil"/>
              <w:left w:val="nil"/>
              <w:bottom w:val="nil"/>
              <w:right w:val="nil"/>
            </w:tcBorders>
            <w:shd w:val="clear" w:color="auto" w:fill="auto"/>
            <w:noWrap/>
            <w:vAlign w:val="center"/>
          </w:tcPr>
          <w:p w14:paraId="71FE5916"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1 400</w:t>
            </w:r>
          </w:p>
        </w:tc>
        <w:tc>
          <w:tcPr>
            <w:tcW w:w="708" w:type="pct"/>
            <w:tcBorders>
              <w:top w:val="nil"/>
              <w:left w:val="nil"/>
              <w:bottom w:val="nil"/>
              <w:right w:val="nil"/>
            </w:tcBorders>
            <w:shd w:val="clear" w:color="auto" w:fill="auto"/>
            <w:noWrap/>
            <w:vAlign w:val="center"/>
          </w:tcPr>
          <w:p w14:paraId="45AC962E"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 xml:space="preserve"> 2 185 </w:t>
            </w:r>
          </w:p>
        </w:tc>
        <w:tc>
          <w:tcPr>
            <w:tcW w:w="701" w:type="pct"/>
            <w:tcBorders>
              <w:top w:val="nil"/>
              <w:left w:val="nil"/>
              <w:bottom w:val="nil"/>
              <w:right w:val="nil"/>
            </w:tcBorders>
            <w:vAlign w:val="center"/>
          </w:tcPr>
          <w:p w14:paraId="090A3FDA" w14:textId="77777777" w:rsidR="008A4BCF" w:rsidRPr="00E23AC3" w:rsidDel="007D57B1" w:rsidRDefault="008A4BCF" w:rsidP="00B44AC3">
            <w:pPr>
              <w:spacing w:after="0" w:line="240" w:lineRule="auto"/>
              <w:jc w:val="right"/>
              <w:rPr>
                <w:rFonts w:cs="Segoe UI"/>
                <w:sz w:val="18"/>
                <w:szCs w:val="18"/>
              </w:rPr>
            </w:pPr>
            <w:r>
              <w:rPr>
                <w:rFonts w:cs="Segoe UI"/>
                <w:sz w:val="18"/>
                <w:szCs w:val="18"/>
              </w:rPr>
              <w:t>156,1</w:t>
            </w:r>
          </w:p>
        </w:tc>
      </w:tr>
      <w:tr w:rsidR="008A4BCF" w:rsidRPr="00E23AC3" w14:paraId="57D788CF" w14:textId="77777777" w:rsidTr="00B44AC3">
        <w:trPr>
          <w:trHeight w:val="283"/>
        </w:trPr>
        <w:tc>
          <w:tcPr>
            <w:tcW w:w="2891" w:type="pct"/>
            <w:shd w:val="clear" w:color="auto" w:fill="auto"/>
            <w:noWrap/>
            <w:vAlign w:val="center"/>
            <w:hideMark/>
          </w:tcPr>
          <w:p w14:paraId="5FDF63C5" w14:textId="77777777" w:rsidR="008A4BCF" w:rsidRPr="00E23AC3" w:rsidRDefault="008A4BCF" w:rsidP="00B44AC3">
            <w:pPr>
              <w:spacing w:after="0" w:line="240" w:lineRule="auto"/>
              <w:jc w:val="left"/>
              <w:rPr>
                <w:rFonts w:eastAsia="Calibri" w:cs="Segoe UI"/>
                <w:sz w:val="18"/>
                <w:szCs w:val="18"/>
              </w:rPr>
            </w:pPr>
            <w:r w:rsidRPr="00E23AC3">
              <w:rPr>
                <w:rFonts w:eastAsia="Calibri" w:cs="Segoe UI"/>
                <w:sz w:val="18"/>
                <w:szCs w:val="18"/>
              </w:rPr>
              <w:t xml:space="preserve">Kancelária prezidenta SR          </w:t>
            </w:r>
          </w:p>
        </w:tc>
        <w:tc>
          <w:tcPr>
            <w:tcW w:w="700" w:type="pct"/>
            <w:tcBorders>
              <w:top w:val="nil"/>
              <w:left w:val="nil"/>
              <w:bottom w:val="nil"/>
              <w:right w:val="nil"/>
            </w:tcBorders>
            <w:shd w:val="clear" w:color="auto" w:fill="auto"/>
            <w:noWrap/>
            <w:vAlign w:val="center"/>
          </w:tcPr>
          <w:p w14:paraId="18035B47"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15</w:t>
            </w:r>
          </w:p>
        </w:tc>
        <w:tc>
          <w:tcPr>
            <w:tcW w:w="708" w:type="pct"/>
            <w:tcBorders>
              <w:top w:val="nil"/>
              <w:left w:val="nil"/>
              <w:bottom w:val="nil"/>
              <w:right w:val="nil"/>
            </w:tcBorders>
            <w:shd w:val="clear" w:color="auto" w:fill="auto"/>
            <w:noWrap/>
            <w:vAlign w:val="center"/>
          </w:tcPr>
          <w:p w14:paraId="53D17D0C"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 xml:space="preserve"> 20 </w:t>
            </w:r>
          </w:p>
        </w:tc>
        <w:tc>
          <w:tcPr>
            <w:tcW w:w="701" w:type="pct"/>
            <w:tcBorders>
              <w:top w:val="nil"/>
              <w:left w:val="nil"/>
              <w:bottom w:val="nil"/>
              <w:right w:val="nil"/>
            </w:tcBorders>
            <w:vAlign w:val="center"/>
          </w:tcPr>
          <w:p w14:paraId="26B70F6D" w14:textId="77777777" w:rsidR="008A4BCF" w:rsidRPr="00E23AC3" w:rsidDel="007D57B1" w:rsidRDefault="008A4BCF" w:rsidP="00B44AC3">
            <w:pPr>
              <w:spacing w:after="0" w:line="240" w:lineRule="auto"/>
              <w:jc w:val="right"/>
              <w:rPr>
                <w:rFonts w:cs="Segoe UI"/>
                <w:sz w:val="18"/>
                <w:szCs w:val="18"/>
              </w:rPr>
            </w:pPr>
            <w:r>
              <w:rPr>
                <w:rFonts w:cs="Segoe UI"/>
                <w:sz w:val="18"/>
                <w:szCs w:val="18"/>
              </w:rPr>
              <w:t>133,3</w:t>
            </w:r>
          </w:p>
        </w:tc>
      </w:tr>
      <w:tr w:rsidR="008A4BCF" w:rsidRPr="00E23AC3" w14:paraId="2E3CACFD" w14:textId="77777777" w:rsidTr="00B44AC3">
        <w:trPr>
          <w:trHeight w:val="283"/>
        </w:trPr>
        <w:tc>
          <w:tcPr>
            <w:tcW w:w="2891" w:type="pct"/>
            <w:shd w:val="clear" w:color="auto" w:fill="auto"/>
            <w:noWrap/>
            <w:vAlign w:val="center"/>
            <w:hideMark/>
          </w:tcPr>
          <w:p w14:paraId="02A86098" w14:textId="77777777" w:rsidR="008A4BCF" w:rsidRPr="00E23AC3" w:rsidRDefault="008A4BCF" w:rsidP="00B44AC3">
            <w:pPr>
              <w:spacing w:after="0" w:line="240" w:lineRule="auto"/>
              <w:jc w:val="left"/>
              <w:rPr>
                <w:rFonts w:eastAsia="Calibri" w:cs="Segoe UI"/>
                <w:sz w:val="18"/>
                <w:szCs w:val="18"/>
              </w:rPr>
            </w:pPr>
            <w:r w:rsidRPr="00E23AC3">
              <w:rPr>
                <w:rFonts w:eastAsia="Calibri" w:cs="Segoe UI"/>
                <w:sz w:val="18"/>
                <w:szCs w:val="18"/>
              </w:rPr>
              <w:t xml:space="preserve">Úrad vlády SR                  </w:t>
            </w:r>
          </w:p>
        </w:tc>
        <w:tc>
          <w:tcPr>
            <w:tcW w:w="700" w:type="pct"/>
            <w:tcBorders>
              <w:top w:val="nil"/>
              <w:left w:val="nil"/>
              <w:bottom w:val="nil"/>
              <w:right w:val="nil"/>
            </w:tcBorders>
            <w:shd w:val="clear" w:color="auto" w:fill="auto"/>
            <w:noWrap/>
            <w:vAlign w:val="center"/>
          </w:tcPr>
          <w:p w14:paraId="108E5035"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700</w:t>
            </w:r>
          </w:p>
        </w:tc>
        <w:tc>
          <w:tcPr>
            <w:tcW w:w="708" w:type="pct"/>
            <w:tcBorders>
              <w:top w:val="nil"/>
              <w:left w:val="nil"/>
              <w:bottom w:val="nil"/>
              <w:right w:val="nil"/>
            </w:tcBorders>
            <w:shd w:val="clear" w:color="auto" w:fill="auto"/>
            <w:noWrap/>
            <w:vAlign w:val="center"/>
          </w:tcPr>
          <w:p w14:paraId="3EA7C272"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 xml:space="preserve"> 784 </w:t>
            </w:r>
          </w:p>
        </w:tc>
        <w:tc>
          <w:tcPr>
            <w:tcW w:w="701" w:type="pct"/>
            <w:tcBorders>
              <w:top w:val="nil"/>
              <w:left w:val="nil"/>
              <w:bottom w:val="nil"/>
              <w:right w:val="nil"/>
            </w:tcBorders>
            <w:vAlign w:val="center"/>
          </w:tcPr>
          <w:p w14:paraId="44DB5AF1" w14:textId="77777777" w:rsidR="008A4BCF" w:rsidRPr="00E23AC3" w:rsidDel="007D57B1" w:rsidRDefault="008A4BCF" w:rsidP="00B44AC3">
            <w:pPr>
              <w:spacing w:after="0" w:line="240" w:lineRule="auto"/>
              <w:jc w:val="right"/>
              <w:rPr>
                <w:rFonts w:cs="Segoe UI"/>
                <w:sz w:val="18"/>
                <w:szCs w:val="18"/>
              </w:rPr>
            </w:pPr>
            <w:r>
              <w:rPr>
                <w:rFonts w:cs="Segoe UI"/>
                <w:sz w:val="18"/>
                <w:szCs w:val="18"/>
              </w:rPr>
              <w:t>112,0</w:t>
            </w:r>
          </w:p>
        </w:tc>
      </w:tr>
      <w:tr w:rsidR="008A4BCF" w:rsidRPr="00E23AC3" w14:paraId="510EC217" w14:textId="77777777" w:rsidTr="00B44AC3">
        <w:trPr>
          <w:trHeight w:val="283"/>
        </w:trPr>
        <w:tc>
          <w:tcPr>
            <w:tcW w:w="2891" w:type="pct"/>
            <w:shd w:val="clear" w:color="auto" w:fill="auto"/>
            <w:noWrap/>
            <w:vAlign w:val="center"/>
            <w:hideMark/>
          </w:tcPr>
          <w:p w14:paraId="68C52CCA" w14:textId="77777777" w:rsidR="008A4BCF" w:rsidRPr="00E23AC3" w:rsidRDefault="008A4BCF" w:rsidP="00B44AC3">
            <w:pPr>
              <w:spacing w:after="0" w:line="240" w:lineRule="auto"/>
              <w:jc w:val="left"/>
              <w:rPr>
                <w:rFonts w:eastAsia="Calibri" w:cs="Segoe UI"/>
                <w:sz w:val="18"/>
                <w:szCs w:val="18"/>
              </w:rPr>
            </w:pPr>
            <w:r w:rsidRPr="00E23AC3">
              <w:rPr>
                <w:rFonts w:eastAsia="Calibri" w:cs="Segoe UI"/>
                <w:sz w:val="18"/>
                <w:szCs w:val="18"/>
              </w:rPr>
              <w:t>Ministerstvo investícií, regionálneho rozvoja a informatizácie SR</w:t>
            </w:r>
          </w:p>
        </w:tc>
        <w:tc>
          <w:tcPr>
            <w:tcW w:w="700" w:type="pct"/>
            <w:tcBorders>
              <w:top w:val="nil"/>
              <w:left w:val="nil"/>
              <w:bottom w:val="nil"/>
              <w:right w:val="nil"/>
            </w:tcBorders>
            <w:shd w:val="clear" w:color="auto" w:fill="auto"/>
            <w:noWrap/>
            <w:vAlign w:val="center"/>
          </w:tcPr>
          <w:p w14:paraId="6F543B24"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1 469 022</w:t>
            </w:r>
          </w:p>
        </w:tc>
        <w:tc>
          <w:tcPr>
            <w:tcW w:w="708" w:type="pct"/>
            <w:tcBorders>
              <w:top w:val="nil"/>
              <w:left w:val="nil"/>
              <w:bottom w:val="nil"/>
              <w:right w:val="nil"/>
            </w:tcBorders>
            <w:shd w:val="clear" w:color="auto" w:fill="auto"/>
            <w:noWrap/>
            <w:vAlign w:val="center"/>
          </w:tcPr>
          <w:p w14:paraId="0D6DB44A"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 xml:space="preserve"> 1 088 037 </w:t>
            </w:r>
          </w:p>
        </w:tc>
        <w:tc>
          <w:tcPr>
            <w:tcW w:w="701" w:type="pct"/>
            <w:tcBorders>
              <w:top w:val="nil"/>
              <w:left w:val="nil"/>
              <w:bottom w:val="nil"/>
              <w:right w:val="nil"/>
            </w:tcBorders>
            <w:vAlign w:val="center"/>
          </w:tcPr>
          <w:p w14:paraId="44AA370D" w14:textId="77777777" w:rsidR="008A4BCF" w:rsidRPr="00E23AC3" w:rsidDel="007D57B1" w:rsidRDefault="008A4BCF" w:rsidP="00B44AC3">
            <w:pPr>
              <w:spacing w:after="0" w:line="240" w:lineRule="auto"/>
              <w:jc w:val="right"/>
              <w:rPr>
                <w:rFonts w:cs="Segoe UI"/>
                <w:sz w:val="18"/>
                <w:szCs w:val="18"/>
              </w:rPr>
            </w:pPr>
            <w:r>
              <w:rPr>
                <w:rFonts w:cs="Segoe UI"/>
                <w:sz w:val="18"/>
                <w:szCs w:val="18"/>
              </w:rPr>
              <w:t>74,1</w:t>
            </w:r>
          </w:p>
        </w:tc>
      </w:tr>
      <w:tr w:rsidR="008A4BCF" w:rsidRPr="00E23AC3" w14:paraId="514F6125" w14:textId="77777777" w:rsidTr="00B44AC3">
        <w:trPr>
          <w:trHeight w:val="283"/>
        </w:trPr>
        <w:tc>
          <w:tcPr>
            <w:tcW w:w="2891" w:type="pct"/>
            <w:shd w:val="clear" w:color="auto" w:fill="auto"/>
            <w:noWrap/>
            <w:vAlign w:val="center"/>
            <w:hideMark/>
          </w:tcPr>
          <w:p w14:paraId="3E38DA6D" w14:textId="77777777" w:rsidR="008A4BCF" w:rsidRPr="00E23AC3" w:rsidRDefault="008A4BCF" w:rsidP="00B44AC3">
            <w:pPr>
              <w:spacing w:after="0" w:line="240" w:lineRule="auto"/>
              <w:jc w:val="left"/>
              <w:rPr>
                <w:rFonts w:eastAsia="Calibri" w:cs="Segoe UI"/>
                <w:sz w:val="18"/>
                <w:szCs w:val="18"/>
              </w:rPr>
            </w:pPr>
            <w:r w:rsidRPr="00E23AC3">
              <w:rPr>
                <w:rFonts w:eastAsia="Calibri" w:cs="Segoe UI"/>
                <w:sz w:val="18"/>
                <w:szCs w:val="18"/>
              </w:rPr>
              <w:t xml:space="preserve">Kancelária Ústavného súdu SR                 </w:t>
            </w:r>
          </w:p>
        </w:tc>
        <w:tc>
          <w:tcPr>
            <w:tcW w:w="700" w:type="pct"/>
            <w:tcBorders>
              <w:top w:val="nil"/>
              <w:left w:val="nil"/>
              <w:bottom w:val="nil"/>
              <w:right w:val="nil"/>
            </w:tcBorders>
            <w:shd w:val="clear" w:color="auto" w:fill="auto"/>
            <w:noWrap/>
            <w:vAlign w:val="center"/>
          </w:tcPr>
          <w:p w14:paraId="26205AEB"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10</w:t>
            </w:r>
          </w:p>
        </w:tc>
        <w:tc>
          <w:tcPr>
            <w:tcW w:w="708" w:type="pct"/>
            <w:tcBorders>
              <w:top w:val="nil"/>
              <w:left w:val="nil"/>
              <w:bottom w:val="nil"/>
              <w:right w:val="nil"/>
            </w:tcBorders>
            <w:shd w:val="clear" w:color="auto" w:fill="auto"/>
            <w:noWrap/>
            <w:vAlign w:val="center"/>
          </w:tcPr>
          <w:p w14:paraId="424CC29C"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 xml:space="preserve"> 44 </w:t>
            </w:r>
          </w:p>
        </w:tc>
        <w:tc>
          <w:tcPr>
            <w:tcW w:w="701" w:type="pct"/>
            <w:tcBorders>
              <w:top w:val="nil"/>
              <w:left w:val="nil"/>
              <w:bottom w:val="nil"/>
              <w:right w:val="nil"/>
            </w:tcBorders>
            <w:vAlign w:val="center"/>
          </w:tcPr>
          <w:p w14:paraId="15D2C154" w14:textId="77777777" w:rsidR="008A4BCF" w:rsidRPr="00E23AC3" w:rsidDel="007D57B1" w:rsidRDefault="008A4BCF" w:rsidP="00B44AC3">
            <w:pPr>
              <w:spacing w:after="0" w:line="240" w:lineRule="auto"/>
              <w:jc w:val="right"/>
              <w:rPr>
                <w:rFonts w:cs="Segoe UI"/>
                <w:sz w:val="18"/>
                <w:szCs w:val="18"/>
              </w:rPr>
            </w:pPr>
            <w:r>
              <w:rPr>
                <w:rFonts w:cs="Segoe UI"/>
                <w:sz w:val="18"/>
                <w:szCs w:val="18"/>
              </w:rPr>
              <w:t>440,0</w:t>
            </w:r>
          </w:p>
        </w:tc>
      </w:tr>
      <w:tr w:rsidR="008A4BCF" w:rsidRPr="00E23AC3" w14:paraId="5142EBBA" w14:textId="77777777" w:rsidTr="00B44AC3">
        <w:trPr>
          <w:trHeight w:val="283"/>
        </w:trPr>
        <w:tc>
          <w:tcPr>
            <w:tcW w:w="2891" w:type="pct"/>
            <w:shd w:val="clear" w:color="auto" w:fill="auto"/>
            <w:noWrap/>
            <w:vAlign w:val="center"/>
            <w:hideMark/>
          </w:tcPr>
          <w:p w14:paraId="6D4EBA08" w14:textId="77777777" w:rsidR="008A4BCF" w:rsidRPr="00E23AC3" w:rsidRDefault="008A4BCF" w:rsidP="00B44AC3">
            <w:pPr>
              <w:spacing w:after="0" w:line="240" w:lineRule="auto"/>
              <w:jc w:val="left"/>
              <w:rPr>
                <w:rFonts w:eastAsia="Calibri" w:cs="Segoe UI"/>
                <w:sz w:val="18"/>
                <w:szCs w:val="18"/>
              </w:rPr>
            </w:pPr>
            <w:r w:rsidRPr="00E23AC3">
              <w:rPr>
                <w:rFonts w:eastAsia="Calibri" w:cs="Segoe UI"/>
                <w:sz w:val="18"/>
                <w:szCs w:val="18"/>
              </w:rPr>
              <w:t>Najvyšší súd SR</w:t>
            </w:r>
          </w:p>
        </w:tc>
        <w:tc>
          <w:tcPr>
            <w:tcW w:w="700" w:type="pct"/>
            <w:tcBorders>
              <w:top w:val="nil"/>
              <w:left w:val="nil"/>
              <w:bottom w:val="nil"/>
              <w:right w:val="nil"/>
            </w:tcBorders>
            <w:shd w:val="clear" w:color="auto" w:fill="auto"/>
            <w:noWrap/>
            <w:vAlign w:val="center"/>
          </w:tcPr>
          <w:p w14:paraId="0043ACD6"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10</w:t>
            </w:r>
          </w:p>
        </w:tc>
        <w:tc>
          <w:tcPr>
            <w:tcW w:w="708" w:type="pct"/>
            <w:tcBorders>
              <w:top w:val="nil"/>
              <w:left w:val="nil"/>
              <w:bottom w:val="nil"/>
              <w:right w:val="nil"/>
            </w:tcBorders>
            <w:shd w:val="clear" w:color="auto" w:fill="auto"/>
            <w:noWrap/>
            <w:vAlign w:val="center"/>
          </w:tcPr>
          <w:p w14:paraId="3F4A3ED2"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 xml:space="preserve"> 75 </w:t>
            </w:r>
          </w:p>
        </w:tc>
        <w:tc>
          <w:tcPr>
            <w:tcW w:w="701" w:type="pct"/>
            <w:tcBorders>
              <w:top w:val="nil"/>
              <w:left w:val="nil"/>
              <w:bottom w:val="nil"/>
              <w:right w:val="nil"/>
            </w:tcBorders>
            <w:vAlign w:val="center"/>
          </w:tcPr>
          <w:p w14:paraId="1E58D728" w14:textId="77777777" w:rsidR="008A4BCF" w:rsidRPr="00E23AC3" w:rsidDel="007D57B1" w:rsidRDefault="008A4BCF" w:rsidP="00B44AC3">
            <w:pPr>
              <w:spacing w:after="0" w:line="240" w:lineRule="auto"/>
              <w:jc w:val="right"/>
              <w:rPr>
                <w:rFonts w:cs="Segoe UI"/>
                <w:sz w:val="18"/>
                <w:szCs w:val="18"/>
              </w:rPr>
            </w:pPr>
            <w:r>
              <w:rPr>
                <w:rFonts w:cs="Segoe UI"/>
                <w:sz w:val="18"/>
                <w:szCs w:val="18"/>
              </w:rPr>
              <w:t>750,0</w:t>
            </w:r>
          </w:p>
        </w:tc>
      </w:tr>
      <w:tr w:rsidR="008A4BCF" w:rsidRPr="00E23AC3" w14:paraId="73E45F92" w14:textId="77777777" w:rsidTr="00B44AC3">
        <w:trPr>
          <w:trHeight w:val="283"/>
        </w:trPr>
        <w:tc>
          <w:tcPr>
            <w:tcW w:w="2891" w:type="pct"/>
            <w:shd w:val="clear" w:color="auto" w:fill="auto"/>
            <w:noWrap/>
            <w:vAlign w:val="center"/>
            <w:hideMark/>
          </w:tcPr>
          <w:p w14:paraId="0F5A2261" w14:textId="77777777" w:rsidR="008A4BCF" w:rsidRPr="00E23AC3" w:rsidRDefault="008A4BCF" w:rsidP="00B44AC3">
            <w:pPr>
              <w:spacing w:after="0" w:line="240" w:lineRule="auto"/>
              <w:jc w:val="left"/>
              <w:rPr>
                <w:rFonts w:eastAsia="Calibri" w:cs="Segoe UI"/>
                <w:sz w:val="18"/>
                <w:szCs w:val="18"/>
              </w:rPr>
            </w:pPr>
            <w:r w:rsidRPr="00E23AC3">
              <w:rPr>
                <w:rFonts w:eastAsia="Calibri" w:cs="Segoe UI"/>
                <w:sz w:val="18"/>
                <w:szCs w:val="18"/>
              </w:rPr>
              <w:t xml:space="preserve">Generálna prokuratúra SR       </w:t>
            </w:r>
          </w:p>
        </w:tc>
        <w:tc>
          <w:tcPr>
            <w:tcW w:w="700" w:type="pct"/>
            <w:tcBorders>
              <w:top w:val="nil"/>
              <w:left w:val="nil"/>
              <w:bottom w:val="nil"/>
              <w:right w:val="nil"/>
            </w:tcBorders>
            <w:shd w:val="clear" w:color="auto" w:fill="auto"/>
            <w:noWrap/>
            <w:vAlign w:val="center"/>
          </w:tcPr>
          <w:p w14:paraId="0FE5949F"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350</w:t>
            </w:r>
          </w:p>
        </w:tc>
        <w:tc>
          <w:tcPr>
            <w:tcW w:w="708" w:type="pct"/>
            <w:tcBorders>
              <w:top w:val="nil"/>
              <w:left w:val="nil"/>
              <w:bottom w:val="nil"/>
              <w:right w:val="nil"/>
            </w:tcBorders>
            <w:shd w:val="clear" w:color="auto" w:fill="auto"/>
            <w:noWrap/>
            <w:vAlign w:val="center"/>
          </w:tcPr>
          <w:p w14:paraId="75833FC5"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 xml:space="preserve"> 519 </w:t>
            </w:r>
          </w:p>
        </w:tc>
        <w:tc>
          <w:tcPr>
            <w:tcW w:w="701" w:type="pct"/>
            <w:tcBorders>
              <w:top w:val="nil"/>
              <w:left w:val="nil"/>
              <w:bottom w:val="nil"/>
              <w:right w:val="nil"/>
            </w:tcBorders>
            <w:vAlign w:val="center"/>
          </w:tcPr>
          <w:p w14:paraId="4732689E" w14:textId="77777777" w:rsidR="008A4BCF" w:rsidRPr="00E23AC3" w:rsidDel="007D57B1" w:rsidRDefault="008A4BCF" w:rsidP="00B44AC3">
            <w:pPr>
              <w:spacing w:after="0" w:line="240" w:lineRule="auto"/>
              <w:jc w:val="right"/>
              <w:rPr>
                <w:rFonts w:cs="Segoe UI"/>
                <w:sz w:val="18"/>
                <w:szCs w:val="18"/>
              </w:rPr>
            </w:pPr>
            <w:r>
              <w:rPr>
                <w:rFonts w:cs="Segoe UI"/>
                <w:sz w:val="18"/>
                <w:szCs w:val="18"/>
              </w:rPr>
              <w:t>148,3</w:t>
            </w:r>
          </w:p>
        </w:tc>
      </w:tr>
      <w:tr w:rsidR="008A4BCF" w:rsidRPr="00E23AC3" w14:paraId="51751628" w14:textId="77777777" w:rsidTr="00B44AC3">
        <w:trPr>
          <w:trHeight w:val="283"/>
        </w:trPr>
        <w:tc>
          <w:tcPr>
            <w:tcW w:w="2891" w:type="pct"/>
            <w:shd w:val="clear" w:color="auto" w:fill="auto"/>
            <w:noWrap/>
            <w:vAlign w:val="center"/>
            <w:hideMark/>
          </w:tcPr>
          <w:p w14:paraId="1B334CA4" w14:textId="77777777" w:rsidR="008A4BCF" w:rsidRPr="00E23AC3" w:rsidRDefault="008A4BCF" w:rsidP="00B44AC3">
            <w:pPr>
              <w:spacing w:after="0" w:line="240" w:lineRule="auto"/>
              <w:jc w:val="left"/>
              <w:rPr>
                <w:rFonts w:eastAsia="Calibri" w:cs="Segoe UI"/>
                <w:sz w:val="18"/>
                <w:szCs w:val="18"/>
              </w:rPr>
            </w:pPr>
            <w:r w:rsidRPr="00E23AC3">
              <w:rPr>
                <w:rFonts w:eastAsia="Calibri" w:cs="Segoe UI"/>
                <w:sz w:val="18"/>
                <w:szCs w:val="18"/>
              </w:rPr>
              <w:t xml:space="preserve">Najvyšší kontrolný úrad SR     </w:t>
            </w:r>
          </w:p>
        </w:tc>
        <w:tc>
          <w:tcPr>
            <w:tcW w:w="700" w:type="pct"/>
            <w:tcBorders>
              <w:top w:val="nil"/>
              <w:left w:val="nil"/>
              <w:bottom w:val="nil"/>
              <w:right w:val="nil"/>
            </w:tcBorders>
            <w:shd w:val="clear" w:color="auto" w:fill="auto"/>
            <w:noWrap/>
            <w:vAlign w:val="center"/>
          </w:tcPr>
          <w:p w14:paraId="1A0FF8F0"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20</w:t>
            </w:r>
          </w:p>
        </w:tc>
        <w:tc>
          <w:tcPr>
            <w:tcW w:w="708" w:type="pct"/>
            <w:tcBorders>
              <w:top w:val="nil"/>
              <w:left w:val="nil"/>
              <w:bottom w:val="nil"/>
              <w:right w:val="nil"/>
            </w:tcBorders>
            <w:shd w:val="clear" w:color="auto" w:fill="auto"/>
            <w:noWrap/>
            <w:vAlign w:val="center"/>
          </w:tcPr>
          <w:p w14:paraId="71CDBBFE"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 xml:space="preserve"> 13 </w:t>
            </w:r>
          </w:p>
        </w:tc>
        <w:tc>
          <w:tcPr>
            <w:tcW w:w="701" w:type="pct"/>
            <w:tcBorders>
              <w:top w:val="nil"/>
              <w:left w:val="nil"/>
              <w:bottom w:val="nil"/>
              <w:right w:val="nil"/>
            </w:tcBorders>
            <w:vAlign w:val="center"/>
          </w:tcPr>
          <w:p w14:paraId="7CB1F0F0" w14:textId="77777777" w:rsidR="008A4BCF" w:rsidRPr="00E23AC3" w:rsidDel="007D57B1" w:rsidRDefault="008A4BCF" w:rsidP="00B44AC3">
            <w:pPr>
              <w:spacing w:after="0" w:line="240" w:lineRule="auto"/>
              <w:ind w:hanging="217"/>
              <w:jc w:val="right"/>
              <w:rPr>
                <w:rFonts w:cs="Segoe UI"/>
                <w:sz w:val="18"/>
                <w:szCs w:val="18"/>
              </w:rPr>
            </w:pPr>
            <w:r>
              <w:rPr>
                <w:rFonts w:cs="Segoe UI"/>
                <w:sz w:val="18"/>
                <w:szCs w:val="18"/>
              </w:rPr>
              <w:t>65,0</w:t>
            </w:r>
          </w:p>
        </w:tc>
      </w:tr>
      <w:tr w:rsidR="008A4BCF" w:rsidRPr="00E23AC3" w14:paraId="74779778" w14:textId="77777777" w:rsidTr="00B44AC3">
        <w:trPr>
          <w:trHeight w:val="283"/>
        </w:trPr>
        <w:tc>
          <w:tcPr>
            <w:tcW w:w="2891" w:type="pct"/>
            <w:shd w:val="clear" w:color="auto" w:fill="auto"/>
            <w:noWrap/>
            <w:vAlign w:val="center"/>
            <w:hideMark/>
          </w:tcPr>
          <w:p w14:paraId="13DFD6D3" w14:textId="77777777" w:rsidR="008A4BCF" w:rsidRPr="00E23AC3" w:rsidRDefault="008A4BCF" w:rsidP="00B44AC3">
            <w:pPr>
              <w:spacing w:after="0" w:line="240" w:lineRule="auto"/>
              <w:jc w:val="left"/>
              <w:rPr>
                <w:rFonts w:eastAsia="Calibri" w:cs="Segoe UI"/>
                <w:sz w:val="18"/>
                <w:szCs w:val="18"/>
              </w:rPr>
            </w:pPr>
            <w:r w:rsidRPr="00E23AC3">
              <w:rPr>
                <w:rFonts w:eastAsia="Calibri" w:cs="Segoe UI"/>
                <w:sz w:val="18"/>
                <w:szCs w:val="18"/>
              </w:rPr>
              <w:t xml:space="preserve">Slovenská informačná služba    </w:t>
            </w:r>
          </w:p>
        </w:tc>
        <w:tc>
          <w:tcPr>
            <w:tcW w:w="700" w:type="pct"/>
            <w:tcBorders>
              <w:top w:val="nil"/>
              <w:left w:val="nil"/>
              <w:bottom w:val="nil"/>
              <w:right w:val="nil"/>
            </w:tcBorders>
            <w:shd w:val="clear" w:color="auto" w:fill="auto"/>
            <w:noWrap/>
            <w:vAlign w:val="center"/>
          </w:tcPr>
          <w:p w14:paraId="0D410B69"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200</w:t>
            </w:r>
          </w:p>
        </w:tc>
        <w:tc>
          <w:tcPr>
            <w:tcW w:w="708" w:type="pct"/>
            <w:tcBorders>
              <w:top w:val="nil"/>
              <w:left w:val="nil"/>
              <w:bottom w:val="nil"/>
              <w:right w:val="nil"/>
            </w:tcBorders>
            <w:shd w:val="clear" w:color="auto" w:fill="auto"/>
            <w:noWrap/>
            <w:vAlign w:val="center"/>
          </w:tcPr>
          <w:p w14:paraId="135F7BD0"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 xml:space="preserve"> 136 </w:t>
            </w:r>
          </w:p>
        </w:tc>
        <w:tc>
          <w:tcPr>
            <w:tcW w:w="701" w:type="pct"/>
            <w:tcBorders>
              <w:top w:val="nil"/>
              <w:left w:val="nil"/>
              <w:bottom w:val="nil"/>
              <w:right w:val="nil"/>
            </w:tcBorders>
            <w:vAlign w:val="center"/>
          </w:tcPr>
          <w:p w14:paraId="511D84AC" w14:textId="77777777" w:rsidR="008A4BCF" w:rsidRPr="00E23AC3" w:rsidDel="007D57B1" w:rsidRDefault="008A4BCF" w:rsidP="00B44AC3">
            <w:pPr>
              <w:spacing w:after="0" w:line="240" w:lineRule="auto"/>
              <w:jc w:val="right"/>
              <w:rPr>
                <w:rFonts w:cs="Segoe UI"/>
                <w:sz w:val="18"/>
                <w:szCs w:val="18"/>
              </w:rPr>
            </w:pPr>
            <w:r>
              <w:rPr>
                <w:rFonts w:cs="Segoe UI"/>
                <w:sz w:val="18"/>
                <w:szCs w:val="18"/>
              </w:rPr>
              <w:t>68,0</w:t>
            </w:r>
          </w:p>
        </w:tc>
      </w:tr>
      <w:tr w:rsidR="008A4BCF" w:rsidRPr="00E23AC3" w14:paraId="4533F3A8" w14:textId="77777777" w:rsidTr="00B44AC3">
        <w:trPr>
          <w:trHeight w:val="283"/>
        </w:trPr>
        <w:tc>
          <w:tcPr>
            <w:tcW w:w="2891" w:type="pct"/>
            <w:shd w:val="clear" w:color="auto" w:fill="auto"/>
            <w:noWrap/>
            <w:vAlign w:val="center"/>
            <w:hideMark/>
          </w:tcPr>
          <w:p w14:paraId="2AFAC065" w14:textId="77777777" w:rsidR="008A4BCF" w:rsidRPr="00E23AC3" w:rsidRDefault="008A4BCF" w:rsidP="00B44AC3">
            <w:pPr>
              <w:spacing w:after="0" w:line="240" w:lineRule="auto"/>
              <w:jc w:val="left"/>
              <w:rPr>
                <w:rFonts w:eastAsia="Calibri" w:cs="Segoe UI"/>
                <w:sz w:val="18"/>
                <w:szCs w:val="18"/>
              </w:rPr>
            </w:pPr>
            <w:r w:rsidRPr="00E23AC3">
              <w:rPr>
                <w:rFonts w:eastAsia="Calibri" w:cs="Segoe UI"/>
                <w:sz w:val="18"/>
                <w:szCs w:val="18"/>
              </w:rPr>
              <w:t>Ministerstvo zahraničných vecí a európskych záležitostí SR</w:t>
            </w:r>
          </w:p>
        </w:tc>
        <w:tc>
          <w:tcPr>
            <w:tcW w:w="700" w:type="pct"/>
            <w:tcBorders>
              <w:top w:val="nil"/>
              <w:left w:val="nil"/>
              <w:bottom w:val="nil"/>
              <w:right w:val="nil"/>
            </w:tcBorders>
            <w:shd w:val="clear" w:color="auto" w:fill="auto"/>
            <w:noWrap/>
            <w:vAlign w:val="center"/>
          </w:tcPr>
          <w:p w14:paraId="70B3A872"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10 850</w:t>
            </w:r>
          </w:p>
        </w:tc>
        <w:tc>
          <w:tcPr>
            <w:tcW w:w="708" w:type="pct"/>
            <w:tcBorders>
              <w:top w:val="nil"/>
              <w:left w:val="nil"/>
              <w:bottom w:val="nil"/>
              <w:right w:val="nil"/>
            </w:tcBorders>
            <w:shd w:val="clear" w:color="auto" w:fill="auto"/>
            <w:noWrap/>
            <w:vAlign w:val="center"/>
          </w:tcPr>
          <w:p w14:paraId="375221BD"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 xml:space="preserve"> 3 318 </w:t>
            </w:r>
          </w:p>
        </w:tc>
        <w:tc>
          <w:tcPr>
            <w:tcW w:w="701" w:type="pct"/>
            <w:tcBorders>
              <w:top w:val="nil"/>
              <w:left w:val="nil"/>
              <w:bottom w:val="nil"/>
              <w:right w:val="nil"/>
            </w:tcBorders>
            <w:vAlign w:val="center"/>
          </w:tcPr>
          <w:p w14:paraId="64E5211B" w14:textId="77777777" w:rsidR="008A4BCF" w:rsidRPr="00E23AC3" w:rsidDel="007D57B1" w:rsidRDefault="008A4BCF" w:rsidP="00B44AC3">
            <w:pPr>
              <w:spacing w:after="0" w:line="240" w:lineRule="auto"/>
              <w:jc w:val="right"/>
              <w:rPr>
                <w:rFonts w:cs="Segoe UI"/>
                <w:sz w:val="18"/>
                <w:szCs w:val="18"/>
              </w:rPr>
            </w:pPr>
            <w:r>
              <w:rPr>
                <w:rFonts w:cs="Segoe UI"/>
                <w:sz w:val="18"/>
                <w:szCs w:val="18"/>
              </w:rPr>
              <w:t>30,6</w:t>
            </w:r>
          </w:p>
        </w:tc>
      </w:tr>
      <w:tr w:rsidR="008A4BCF" w:rsidRPr="00E23AC3" w14:paraId="6E580472" w14:textId="77777777" w:rsidTr="00B44AC3">
        <w:trPr>
          <w:trHeight w:val="283"/>
        </w:trPr>
        <w:tc>
          <w:tcPr>
            <w:tcW w:w="2891" w:type="pct"/>
            <w:shd w:val="clear" w:color="auto" w:fill="auto"/>
            <w:noWrap/>
            <w:vAlign w:val="center"/>
            <w:hideMark/>
          </w:tcPr>
          <w:p w14:paraId="75174E9E" w14:textId="77777777" w:rsidR="008A4BCF" w:rsidRPr="00E23AC3" w:rsidRDefault="008A4BCF" w:rsidP="00B44AC3">
            <w:pPr>
              <w:spacing w:after="0" w:line="240" w:lineRule="auto"/>
              <w:jc w:val="left"/>
              <w:rPr>
                <w:rFonts w:eastAsia="Calibri" w:cs="Segoe UI"/>
                <w:sz w:val="18"/>
                <w:szCs w:val="18"/>
              </w:rPr>
            </w:pPr>
            <w:r w:rsidRPr="00E23AC3">
              <w:rPr>
                <w:rFonts w:eastAsia="Calibri" w:cs="Segoe UI"/>
                <w:sz w:val="18"/>
                <w:szCs w:val="18"/>
              </w:rPr>
              <w:t xml:space="preserve">Ministerstvo obrany SR         </w:t>
            </w:r>
          </w:p>
        </w:tc>
        <w:tc>
          <w:tcPr>
            <w:tcW w:w="700" w:type="pct"/>
            <w:tcBorders>
              <w:top w:val="nil"/>
              <w:left w:val="nil"/>
              <w:bottom w:val="nil"/>
              <w:right w:val="nil"/>
            </w:tcBorders>
            <w:shd w:val="clear" w:color="auto" w:fill="auto"/>
            <w:noWrap/>
            <w:vAlign w:val="center"/>
          </w:tcPr>
          <w:p w14:paraId="1A2FF465"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5 047</w:t>
            </w:r>
          </w:p>
        </w:tc>
        <w:tc>
          <w:tcPr>
            <w:tcW w:w="708" w:type="pct"/>
            <w:tcBorders>
              <w:top w:val="nil"/>
              <w:left w:val="nil"/>
              <w:bottom w:val="nil"/>
              <w:right w:val="nil"/>
            </w:tcBorders>
            <w:shd w:val="clear" w:color="auto" w:fill="auto"/>
            <w:noWrap/>
            <w:vAlign w:val="center"/>
          </w:tcPr>
          <w:p w14:paraId="3CBF76DF" w14:textId="77777777" w:rsidR="008A4BCF" w:rsidRPr="00E23AC3" w:rsidRDefault="008A4BCF" w:rsidP="00B44AC3">
            <w:pPr>
              <w:spacing w:after="0" w:line="240" w:lineRule="auto"/>
              <w:jc w:val="right"/>
              <w:rPr>
                <w:rFonts w:eastAsia="Calibri" w:cs="Segoe UI"/>
                <w:sz w:val="18"/>
                <w:szCs w:val="18"/>
              </w:rPr>
            </w:pPr>
            <w:r>
              <w:rPr>
                <w:rFonts w:cs="Segoe UI"/>
                <w:sz w:val="18"/>
                <w:szCs w:val="18"/>
              </w:rPr>
              <w:t>56 241</w:t>
            </w:r>
            <w:r w:rsidRPr="00DB26F8">
              <w:rPr>
                <w:rFonts w:cs="Segoe UI"/>
                <w:sz w:val="18"/>
                <w:szCs w:val="18"/>
              </w:rPr>
              <w:t xml:space="preserve"> </w:t>
            </w:r>
          </w:p>
        </w:tc>
        <w:tc>
          <w:tcPr>
            <w:tcW w:w="701" w:type="pct"/>
            <w:tcBorders>
              <w:top w:val="nil"/>
              <w:left w:val="nil"/>
              <w:bottom w:val="nil"/>
              <w:right w:val="nil"/>
            </w:tcBorders>
            <w:vAlign w:val="center"/>
          </w:tcPr>
          <w:p w14:paraId="18401AFC" w14:textId="77777777" w:rsidR="008A4BCF" w:rsidRPr="00E23AC3" w:rsidDel="007D57B1" w:rsidRDefault="008A4BCF" w:rsidP="00B44AC3">
            <w:pPr>
              <w:spacing w:after="0" w:line="240" w:lineRule="auto"/>
              <w:jc w:val="right"/>
              <w:rPr>
                <w:rFonts w:cs="Segoe UI"/>
                <w:sz w:val="18"/>
                <w:szCs w:val="18"/>
              </w:rPr>
            </w:pPr>
            <w:r>
              <w:rPr>
                <w:rFonts w:cs="Segoe UI"/>
                <w:sz w:val="18"/>
                <w:szCs w:val="18"/>
              </w:rPr>
              <w:t>1 114,3</w:t>
            </w:r>
          </w:p>
        </w:tc>
      </w:tr>
      <w:tr w:rsidR="008A4BCF" w:rsidRPr="00E23AC3" w14:paraId="7E26D651" w14:textId="77777777" w:rsidTr="00B44AC3">
        <w:trPr>
          <w:trHeight w:val="283"/>
        </w:trPr>
        <w:tc>
          <w:tcPr>
            <w:tcW w:w="2891" w:type="pct"/>
            <w:shd w:val="clear" w:color="auto" w:fill="auto"/>
            <w:noWrap/>
            <w:vAlign w:val="center"/>
            <w:hideMark/>
          </w:tcPr>
          <w:p w14:paraId="41AF6D85" w14:textId="77777777" w:rsidR="008A4BCF" w:rsidRPr="00E23AC3" w:rsidRDefault="008A4BCF" w:rsidP="00B44AC3">
            <w:pPr>
              <w:spacing w:after="0" w:line="240" w:lineRule="auto"/>
              <w:jc w:val="left"/>
              <w:rPr>
                <w:rFonts w:eastAsia="Calibri" w:cs="Segoe UI"/>
                <w:sz w:val="18"/>
                <w:szCs w:val="18"/>
              </w:rPr>
            </w:pPr>
            <w:r w:rsidRPr="00E23AC3">
              <w:rPr>
                <w:rFonts w:eastAsia="Calibri" w:cs="Segoe UI"/>
                <w:sz w:val="18"/>
                <w:szCs w:val="18"/>
              </w:rPr>
              <w:t xml:space="preserve">Ministerstvo vnútra SR         </w:t>
            </w:r>
          </w:p>
        </w:tc>
        <w:tc>
          <w:tcPr>
            <w:tcW w:w="700" w:type="pct"/>
            <w:tcBorders>
              <w:top w:val="nil"/>
              <w:left w:val="nil"/>
              <w:bottom w:val="nil"/>
              <w:right w:val="nil"/>
            </w:tcBorders>
            <w:shd w:val="clear" w:color="auto" w:fill="auto"/>
            <w:noWrap/>
            <w:vAlign w:val="center"/>
          </w:tcPr>
          <w:p w14:paraId="02095492"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254 103</w:t>
            </w:r>
          </w:p>
        </w:tc>
        <w:tc>
          <w:tcPr>
            <w:tcW w:w="708" w:type="pct"/>
            <w:tcBorders>
              <w:top w:val="nil"/>
              <w:left w:val="nil"/>
              <w:bottom w:val="nil"/>
              <w:right w:val="nil"/>
            </w:tcBorders>
            <w:shd w:val="clear" w:color="auto" w:fill="auto"/>
            <w:noWrap/>
            <w:vAlign w:val="center"/>
          </w:tcPr>
          <w:p w14:paraId="3AFE22EE"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 xml:space="preserve"> </w:t>
            </w:r>
            <w:r>
              <w:rPr>
                <w:rFonts w:cs="Segoe UI"/>
                <w:sz w:val="18"/>
                <w:szCs w:val="18"/>
              </w:rPr>
              <w:t>263 924</w:t>
            </w:r>
            <w:r w:rsidRPr="00DB26F8">
              <w:rPr>
                <w:rFonts w:cs="Segoe UI"/>
                <w:sz w:val="18"/>
                <w:szCs w:val="18"/>
              </w:rPr>
              <w:t xml:space="preserve"> </w:t>
            </w:r>
          </w:p>
        </w:tc>
        <w:tc>
          <w:tcPr>
            <w:tcW w:w="701" w:type="pct"/>
            <w:tcBorders>
              <w:top w:val="nil"/>
              <w:left w:val="nil"/>
              <w:bottom w:val="nil"/>
              <w:right w:val="nil"/>
            </w:tcBorders>
            <w:vAlign w:val="center"/>
          </w:tcPr>
          <w:p w14:paraId="428EDFA7" w14:textId="77777777" w:rsidR="008A4BCF" w:rsidRPr="00E23AC3" w:rsidDel="007D57B1" w:rsidRDefault="008A4BCF" w:rsidP="00B44AC3">
            <w:pPr>
              <w:spacing w:after="0" w:line="240" w:lineRule="auto"/>
              <w:jc w:val="right"/>
              <w:rPr>
                <w:rFonts w:cs="Segoe UI"/>
                <w:sz w:val="18"/>
                <w:szCs w:val="18"/>
              </w:rPr>
            </w:pPr>
            <w:r>
              <w:rPr>
                <w:rFonts w:cs="Segoe UI"/>
                <w:sz w:val="18"/>
                <w:szCs w:val="18"/>
              </w:rPr>
              <w:t>103,9</w:t>
            </w:r>
          </w:p>
        </w:tc>
      </w:tr>
      <w:tr w:rsidR="008A4BCF" w:rsidRPr="00E23AC3" w14:paraId="1B16AD3B" w14:textId="77777777" w:rsidTr="00B44AC3">
        <w:trPr>
          <w:trHeight w:val="283"/>
        </w:trPr>
        <w:tc>
          <w:tcPr>
            <w:tcW w:w="2891" w:type="pct"/>
            <w:shd w:val="clear" w:color="auto" w:fill="auto"/>
            <w:noWrap/>
            <w:vAlign w:val="center"/>
            <w:hideMark/>
          </w:tcPr>
          <w:p w14:paraId="32F8DAA9" w14:textId="77777777" w:rsidR="008A4BCF" w:rsidRPr="00E23AC3" w:rsidRDefault="008A4BCF" w:rsidP="00B44AC3">
            <w:pPr>
              <w:spacing w:after="0" w:line="240" w:lineRule="auto"/>
              <w:jc w:val="left"/>
              <w:rPr>
                <w:rFonts w:eastAsia="Calibri" w:cs="Segoe UI"/>
                <w:sz w:val="18"/>
                <w:szCs w:val="18"/>
              </w:rPr>
            </w:pPr>
            <w:r w:rsidRPr="00E23AC3">
              <w:rPr>
                <w:rFonts w:eastAsia="Calibri" w:cs="Segoe UI"/>
                <w:sz w:val="18"/>
                <w:szCs w:val="18"/>
              </w:rPr>
              <w:t xml:space="preserve">Ministerstvo spravodlivosti SR </w:t>
            </w:r>
          </w:p>
        </w:tc>
        <w:tc>
          <w:tcPr>
            <w:tcW w:w="700" w:type="pct"/>
            <w:tcBorders>
              <w:top w:val="nil"/>
              <w:left w:val="nil"/>
              <w:bottom w:val="nil"/>
              <w:right w:val="nil"/>
            </w:tcBorders>
            <w:shd w:val="clear" w:color="auto" w:fill="auto"/>
            <w:noWrap/>
            <w:vAlign w:val="center"/>
          </w:tcPr>
          <w:p w14:paraId="0FE95B57"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26 000</w:t>
            </w:r>
          </w:p>
        </w:tc>
        <w:tc>
          <w:tcPr>
            <w:tcW w:w="708" w:type="pct"/>
            <w:tcBorders>
              <w:top w:val="nil"/>
              <w:left w:val="nil"/>
              <w:bottom w:val="nil"/>
              <w:right w:val="nil"/>
            </w:tcBorders>
            <w:shd w:val="clear" w:color="auto" w:fill="auto"/>
            <w:noWrap/>
            <w:vAlign w:val="center"/>
          </w:tcPr>
          <w:p w14:paraId="0661D933"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 xml:space="preserve"> 40 78</w:t>
            </w:r>
            <w:r>
              <w:rPr>
                <w:rFonts w:cs="Segoe UI"/>
                <w:sz w:val="18"/>
                <w:szCs w:val="18"/>
              </w:rPr>
              <w:t>6</w:t>
            </w:r>
            <w:r w:rsidRPr="00DB26F8">
              <w:rPr>
                <w:rFonts w:cs="Segoe UI"/>
                <w:sz w:val="18"/>
                <w:szCs w:val="18"/>
              </w:rPr>
              <w:t xml:space="preserve"> </w:t>
            </w:r>
          </w:p>
        </w:tc>
        <w:tc>
          <w:tcPr>
            <w:tcW w:w="701" w:type="pct"/>
            <w:tcBorders>
              <w:top w:val="nil"/>
              <w:left w:val="nil"/>
              <w:bottom w:val="nil"/>
              <w:right w:val="nil"/>
            </w:tcBorders>
            <w:vAlign w:val="center"/>
          </w:tcPr>
          <w:p w14:paraId="72D61CAA" w14:textId="77777777" w:rsidR="008A4BCF" w:rsidRPr="00E23AC3" w:rsidDel="007D57B1" w:rsidRDefault="008A4BCF" w:rsidP="00B44AC3">
            <w:pPr>
              <w:spacing w:after="0" w:line="240" w:lineRule="auto"/>
              <w:jc w:val="right"/>
              <w:rPr>
                <w:rFonts w:cs="Segoe UI"/>
                <w:sz w:val="18"/>
                <w:szCs w:val="18"/>
              </w:rPr>
            </w:pPr>
            <w:r>
              <w:rPr>
                <w:rFonts w:cs="Segoe UI"/>
                <w:sz w:val="18"/>
                <w:szCs w:val="18"/>
              </w:rPr>
              <w:t>156,9</w:t>
            </w:r>
          </w:p>
        </w:tc>
      </w:tr>
      <w:tr w:rsidR="008A4BCF" w:rsidRPr="00E23AC3" w14:paraId="45279BAC" w14:textId="77777777" w:rsidTr="00B44AC3">
        <w:trPr>
          <w:trHeight w:val="283"/>
        </w:trPr>
        <w:tc>
          <w:tcPr>
            <w:tcW w:w="2891" w:type="pct"/>
            <w:shd w:val="clear" w:color="auto" w:fill="auto"/>
            <w:noWrap/>
            <w:vAlign w:val="center"/>
            <w:hideMark/>
          </w:tcPr>
          <w:p w14:paraId="5000737E" w14:textId="77777777" w:rsidR="008A4BCF" w:rsidRPr="00E23AC3" w:rsidRDefault="008A4BCF" w:rsidP="00B44AC3">
            <w:pPr>
              <w:spacing w:after="0" w:line="240" w:lineRule="auto"/>
              <w:jc w:val="left"/>
              <w:rPr>
                <w:rFonts w:eastAsia="Calibri" w:cs="Segoe UI"/>
                <w:sz w:val="18"/>
                <w:szCs w:val="18"/>
              </w:rPr>
            </w:pPr>
            <w:r w:rsidRPr="00E23AC3">
              <w:rPr>
                <w:rFonts w:eastAsia="Calibri" w:cs="Segoe UI"/>
                <w:sz w:val="18"/>
                <w:szCs w:val="18"/>
              </w:rPr>
              <w:t xml:space="preserve">Ministerstvo financií SR       </w:t>
            </w:r>
          </w:p>
        </w:tc>
        <w:tc>
          <w:tcPr>
            <w:tcW w:w="700" w:type="pct"/>
            <w:tcBorders>
              <w:top w:val="nil"/>
              <w:left w:val="nil"/>
              <w:bottom w:val="nil"/>
              <w:right w:val="nil"/>
            </w:tcBorders>
            <w:shd w:val="clear" w:color="auto" w:fill="auto"/>
            <w:noWrap/>
            <w:vAlign w:val="center"/>
          </w:tcPr>
          <w:p w14:paraId="3C5B986B"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73 209</w:t>
            </w:r>
          </w:p>
        </w:tc>
        <w:tc>
          <w:tcPr>
            <w:tcW w:w="708" w:type="pct"/>
            <w:tcBorders>
              <w:top w:val="nil"/>
              <w:left w:val="nil"/>
              <w:bottom w:val="nil"/>
              <w:right w:val="nil"/>
            </w:tcBorders>
            <w:shd w:val="clear" w:color="auto" w:fill="auto"/>
            <w:noWrap/>
            <w:vAlign w:val="center"/>
          </w:tcPr>
          <w:p w14:paraId="20F30D13"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 xml:space="preserve"> 145 404 </w:t>
            </w:r>
          </w:p>
        </w:tc>
        <w:tc>
          <w:tcPr>
            <w:tcW w:w="701" w:type="pct"/>
            <w:tcBorders>
              <w:top w:val="nil"/>
              <w:left w:val="nil"/>
              <w:bottom w:val="nil"/>
              <w:right w:val="nil"/>
            </w:tcBorders>
            <w:vAlign w:val="center"/>
          </w:tcPr>
          <w:p w14:paraId="27496154" w14:textId="77777777" w:rsidR="008A4BCF" w:rsidRPr="00E23AC3" w:rsidDel="007D57B1" w:rsidRDefault="008A4BCF" w:rsidP="00B44AC3">
            <w:pPr>
              <w:spacing w:after="0" w:line="240" w:lineRule="auto"/>
              <w:jc w:val="right"/>
              <w:rPr>
                <w:rFonts w:cs="Segoe UI"/>
                <w:sz w:val="18"/>
                <w:szCs w:val="18"/>
              </w:rPr>
            </w:pPr>
            <w:r>
              <w:rPr>
                <w:rFonts w:cs="Segoe UI"/>
                <w:sz w:val="18"/>
                <w:szCs w:val="18"/>
              </w:rPr>
              <w:t>198,6</w:t>
            </w:r>
          </w:p>
        </w:tc>
      </w:tr>
      <w:tr w:rsidR="008A4BCF" w:rsidRPr="00E23AC3" w14:paraId="36FA9855" w14:textId="77777777" w:rsidTr="00B44AC3">
        <w:trPr>
          <w:trHeight w:val="283"/>
        </w:trPr>
        <w:tc>
          <w:tcPr>
            <w:tcW w:w="2891" w:type="pct"/>
            <w:shd w:val="clear" w:color="auto" w:fill="auto"/>
            <w:noWrap/>
            <w:vAlign w:val="center"/>
            <w:hideMark/>
          </w:tcPr>
          <w:p w14:paraId="1B8BEC41" w14:textId="77777777" w:rsidR="008A4BCF" w:rsidRPr="00E23AC3" w:rsidRDefault="008A4BCF" w:rsidP="00B44AC3">
            <w:pPr>
              <w:spacing w:after="0" w:line="240" w:lineRule="auto"/>
              <w:jc w:val="left"/>
              <w:rPr>
                <w:rFonts w:eastAsia="Calibri" w:cs="Segoe UI"/>
                <w:sz w:val="18"/>
                <w:szCs w:val="18"/>
              </w:rPr>
            </w:pPr>
            <w:r w:rsidRPr="00E23AC3">
              <w:rPr>
                <w:rFonts w:eastAsia="Calibri" w:cs="Segoe UI"/>
                <w:sz w:val="18"/>
                <w:szCs w:val="18"/>
              </w:rPr>
              <w:t xml:space="preserve">Ministerstvo životného prostredia  SR  </w:t>
            </w:r>
          </w:p>
        </w:tc>
        <w:tc>
          <w:tcPr>
            <w:tcW w:w="700" w:type="pct"/>
            <w:tcBorders>
              <w:top w:val="nil"/>
              <w:left w:val="nil"/>
              <w:bottom w:val="nil"/>
              <w:right w:val="nil"/>
            </w:tcBorders>
            <w:shd w:val="clear" w:color="auto" w:fill="auto"/>
            <w:noWrap/>
            <w:vAlign w:val="center"/>
          </w:tcPr>
          <w:p w14:paraId="61F33A20"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1 034 795</w:t>
            </w:r>
          </w:p>
        </w:tc>
        <w:tc>
          <w:tcPr>
            <w:tcW w:w="708" w:type="pct"/>
            <w:tcBorders>
              <w:top w:val="nil"/>
              <w:left w:val="nil"/>
              <w:bottom w:val="nil"/>
              <w:right w:val="nil"/>
            </w:tcBorders>
            <w:shd w:val="clear" w:color="auto" w:fill="auto"/>
            <w:noWrap/>
            <w:vAlign w:val="center"/>
          </w:tcPr>
          <w:p w14:paraId="4B09C686"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 xml:space="preserve"> 553 062 </w:t>
            </w:r>
          </w:p>
        </w:tc>
        <w:tc>
          <w:tcPr>
            <w:tcW w:w="701" w:type="pct"/>
            <w:tcBorders>
              <w:top w:val="nil"/>
              <w:left w:val="nil"/>
              <w:bottom w:val="nil"/>
              <w:right w:val="nil"/>
            </w:tcBorders>
            <w:vAlign w:val="center"/>
          </w:tcPr>
          <w:p w14:paraId="5111E7E8" w14:textId="77777777" w:rsidR="008A4BCF" w:rsidRPr="00E23AC3" w:rsidDel="007D57B1" w:rsidRDefault="008A4BCF" w:rsidP="00B44AC3">
            <w:pPr>
              <w:spacing w:after="0" w:line="240" w:lineRule="auto"/>
              <w:jc w:val="right"/>
              <w:rPr>
                <w:rFonts w:cs="Segoe UI"/>
                <w:sz w:val="18"/>
                <w:szCs w:val="18"/>
              </w:rPr>
            </w:pPr>
            <w:r>
              <w:rPr>
                <w:rFonts w:cs="Segoe UI"/>
                <w:sz w:val="18"/>
                <w:szCs w:val="18"/>
              </w:rPr>
              <w:t>53,4</w:t>
            </w:r>
          </w:p>
        </w:tc>
      </w:tr>
      <w:tr w:rsidR="008A4BCF" w:rsidRPr="00E23AC3" w14:paraId="3B28B8B6" w14:textId="77777777" w:rsidTr="00B44AC3">
        <w:trPr>
          <w:trHeight w:val="283"/>
        </w:trPr>
        <w:tc>
          <w:tcPr>
            <w:tcW w:w="2891" w:type="pct"/>
            <w:shd w:val="clear" w:color="auto" w:fill="auto"/>
            <w:noWrap/>
            <w:vAlign w:val="center"/>
            <w:hideMark/>
          </w:tcPr>
          <w:p w14:paraId="46B2C1AE" w14:textId="77777777" w:rsidR="008A4BCF" w:rsidRPr="00E23AC3" w:rsidRDefault="008A4BCF" w:rsidP="00B44AC3">
            <w:pPr>
              <w:spacing w:after="0" w:line="240" w:lineRule="auto"/>
              <w:jc w:val="left"/>
              <w:rPr>
                <w:rFonts w:eastAsia="Calibri" w:cs="Segoe UI"/>
                <w:sz w:val="18"/>
                <w:szCs w:val="18"/>
              </w:rPr>
            </w:pPr>
            <w:r w:rsidRPr="00E23AC3">
              <w:rPr>
                <w:rFonts w:eastAsia="Calibri" w:cs="Segoe UI"/>
                <w:sz w:val="18"/>
                <w:szCs w:val="18"/>
              </w:rPr>
              <w:t>Ministerstvo školstva, vedy, výskumu a športu SR</w:t>
            </w:r>
          </w:p>
        </w:tc>
        <w:tc>
          <w:tcPr>
            <w:tcW w:w="700" w:type="pct"/>
            <w:tcBorders>
              <w:top w:val="nil"/>
              <w:left w:val="nil"/>
              <w:bottom w:val="nil"/>
              <w:right w:val="nil"/>
            </w:tcBorders>
            <w:shd w:val="clear" w:color="auto" w:fill="auto"/>
            <w:noWrap/>
            <w:vAlign w:val="center"/>
          </w:tcPr>
          <w:p w14:paraId="52BD1104"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253 697</w:t>
            </w:r>
          </w:p>
        </w:tc>
        <w:tc>
          <w:tcPr>
            <w:tcW w:w="708" w:type="pct"/>
            <w:tcBorders>
              <w:top w:val="nil"/>
              <w:left w:val="nil"/>
              <w:bottom w:val="nil"/>
              <w:right w:val="nil"/>
            </w:tcBorders>
            <w:shd w:val="clear" w:color="auto" w:fill="auto"/>
            <w:noWrap/>
            <w:vAlign w:val="center"/>
          </w:tcPr>
          <w:p w14:paraId="3A42BA5E"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 xml:space="preserve"> 291 513 </w:t>
            </w:r>
          </w:p>
        </w:tc>
        <w:tc>
          <w:tcPr>
            <w:tcW w:w="701" w:type="pct"/>
            <w:tcBorders>
              <w:top w:val="nil"/>
              <w:left w:val="nil"/>
              <w:bottom w:val="nil"/>
              <w:right w:val="nil"/>
            </w:tcBorders>
            <w:vAlign w:val="center"/>
          </w:tcPr>
          <w:p w14:paraId="2CF481EA" w14:textId="77777777" w:rsidR="008A4BCF" w:rsidRPr="00E23AC3" w:rsidDel="007D57B1" w:rsidRDefault="008A4BCF" w:rsidP="00B44AC3">
            <w:pPr>
              <w:spacing w:after="0" w:line="240" w:lineRule="auto"/>
              <w:jc w:val="right"/>
              <w:rPr>
                <w:rFonts w:cs="Segoe UI"/>
                <w:sz w:val="18"/>
                <w:szCs w:val="18"/>
              </w:rPr>
            </w:pPr>
            <w:r>
              <w:rPr>
                <w:rFonts w:cs="Segoe UI"/>
                <w:sz w:val="18"/>
                <w:szCs w:val="18"/>
              </w:rPr>
              <w:t>114,9</w:t>
            </w:r>
          </w:p>
        </w:tc>
      </w:tr>
      <w:tr w:rsidR="008A4BCF" w:rsidRPr="00E23AC3" w14:paraId="62AD89CC" w14:textId="77777777" w:rsidTr="00B44AC3">
        <w:trPr>
          <w:trHeight w:val="283"/>
        </w:trPr>
        <w:tc>
          <w:tcPr>
            <w:tcW w:w="2891" w:type="pct"/>
            <w:shd w:val="clear" w:color="auto" w:fill="auto"/>
            <w:noWrap/>
            <w:vAlign w:val="center"/>
            <w:hideMark/>
          </w:tcPr>
          <w:p w14:paraId="2442FBA1" w14:textId="77777777" w:rsidR="008A4BCF" w:rsidRPr="00E23AC3" w:rsidRDefault="008A4BCF" w:rsidP="00B44AC3">
            <w:pPr>
              <w:spacing w:after="0" w:line="240" w:lineRule="auto"/>
              <w:jc w:val="left"/>
              <w:rPr>
                <w:rFonts w:eastAsia="Calibri" w:cs="Segoe UI"/>
                <w:sz w:val="18"/>
                <w:szCs w:val="18"/>
              </w:rPr>
            </w:pPr>
            <w:r w:rsidRPr="00E23AC3">
              <w:rPr>
                <w:rFonts w:eastAsia="Calibri" w:cs="Segoe UI"/>
                <w:sz w:val="18"/>
                <w:szCs w:val="18"/>
              </w:rPr>
              <w:t xml:space="preserve">Ministerstvo zdravotníctva SR  </w:t>
            </w:r>
          </w:p>
        </w:tc>
        <w:tc>
          <w:tcPr>
            <w:tcW w:w="700" w:type="pct"/>
            <w:tcBorders>
              <w:top w:val="nil"/>
              <w:left w:val="nil"/>
              <w:bottom w:val="nil"/>
              <w:right w:val="nil"/>
            </w:tcBorders>
            <w:shd w:val="clear" w:color="auto" w:fill="auto"/>
            <w:noWrap/>
            <w:vAlign w:val="center"/>
          </w:tcPr>
          <w:p w14:paraId="38BC1D57"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46 615</w:t>
            </w:r>
          </w:p>
        </w:tc>
        <w:tc>
          <w:tcPr>
            <w:tcW w:w="708" w:type="pct"/>
            <w:tcBorders>
              <w:top w:val="nil"/>
              <w:left w:val="nil"/>
              <w:bottom w:val="nil"/>
              <w:right w:val="nil"/>
            </w:tcBorders>
            <w:shd w:val="clear" w:color="auto" w:fill="auto"/>
            <w:noWrap/>
            <w:vAlign w:val="center"/>
          </w:tcPr>
          <w:p w14:paraId="23BE61E2"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 xml:space="preserve"> 13 9</w:t>
            </w:r>
            <w:r>
              <w:rPr>
                <w:rFonts w:cs="Segoe UI"/>
                <w:sz w:val="18"/>
                <w:szCs w:val="18"/>
              </w:rPr>
              <w:t>07</w:t>
            </w:r>
            <w:r w:rsidRPr="00DB26F8">
              <w:rPr>
                <w:rFonts w:cs="Segoe UI"/>
                <w:sz w:val="18"/>
                <w:szCs w:val="18"/>
              </w:rPr>
              <w:t xml:space="preserve"> </w:t>
            </w:r>
          </w:p>
        </w:tc>
        <w:tc>
          <w:tcPr>
            <w:tcW w:w="701" w:type="pct"/>
            <w:tcBorders>
              <w:top w:val="nil"/>
              <w:left w:val="nil"/>
              <w:bottom w:val="nil"/>
              <w:right w:val="nil"/>
            </w:tcBorders>
            <w:vAlign w:val="center"/>
          </w:tcPr>
          <w:p w14:paraId="59BDD552" w14:textId="77777777" w:rsidR="008A4BCF" w:rsidRPr="00E23AC3" w:rsidDel="007D57B1" w:rsidRDefault="008A4BCF" w:rsidP="00B44AC3">
            <w:pPr>
              <w:spacing w:after="0" w:line="240" w:lineRule="auto"/>
              <w:jc w:val="right"/>
              <w:rPr>
                <w:rFonts w:cs="Segoe UI"/>
                <w:sz w:val="18"/>
                <w:szCs w:val="18"/>
              </w:rPr>
            </w:pPr>
            <w:r>
              <w:rPr>
                <w:rFonts w:cs="Segoe UI"/>
                <w:sz w:val="18"/>
                <w:szCs w:val="18"/>
              </w:rPr>
              <w:t>29,8</w:t>
            </w:r>
          </w:p>
        </w:tc>
      </w:tr>
      <w:tr w:rsidR="008A4BCF" w:rsidRPr="00E23AC3" w14:paraId="2F64029A" w14:textId="77777777" w:rsidTr="00B44AC3">
        <w:trPr>
          <w:trHeight w:val="283"/>
        </w:trPr>
        <w:tc>
          <w:tcPr>
            <w:tcW w:w="2891" w:type="pct"/>
            <w:shd w:val="clear" w:color="auto" w:fill="auto"/>
            <w:noWrap/>
            <w:vAlign w:val="center"/>
            <w:hideMark/>
          </w:tcPr>
          <w:p w14:paraId="368C3D3D" w14:textId="77777777" w:rsidR="008A4BCF" w:rsidRPr="00E23AC3" w:rsidRDefault="008A4BCF" w:rsidP="00B44AC3">
            <w:pPr>
              <w:spacing w:after="0" w:line="240" w:lineRule="auto"/>
              <w:jc w:val="left"/>
              <w:rPr>
                <w:rFonts w:eastAsia="Calibri" w:cs="Segoe UI"/>
                <w:sz w:val="18"/>
                <w:szCs w:val="18"/>
              </w:rPr>
            </w:pPr>
            <w:r w:rsidRPr="00E23AC3">
              <w:rPr>
                <w:rFonts w:eastAsia="Calibri" w:cs="Segoe UI"/>
                <w:sz w:val="18"/>
                <w:szCs w:val="18"/>
              </w:rPr>
              <w:t xml:space="preserve">Ministerstvo práce, sociálnych vecí a rodiny SR </w:t>
            </w:r>
          </w:p>
        </w:tc>
        <w:tc>
          <w:tcPr>
            <w:tcW w:w="700" w:type="pct"/>
            <w:tcBorders>
              <w:top w:val="nil"/>
              <w:left w:val="nil"/>
              <w:bottom w:val="nil"/>
              <w:right w:val="nil"/>
            </w:tcBorders>
            <w:shd w:val="clear" w:color="auto" w:fill="auto"/>
            <w:noWrap/>
            <w:vAlign w:val="center"/>
          </w:tcPr>
          <w:p w14:paraId="3D1616BE"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519 361</w:t>
            </w:r>
          </w:p>
        </w:tc>
        <w:tc>
          <w:tcPr>
            <w:tcW w:w="708" w:type="pct"/>
            <w:tcBorders>
              <w:top w:val="nil"/>
              <w:left w:val="nil"/>
              <w:bottom w:val="nil"/>
              <w:right w:val="nil"/>
            </w:tcBorders>
            <w:shd w:val="clear" w:color="auto" w:fill="auto"/>
            <w:noWrap/>
            <w:vAlign w:val="center"/>
          </w:tcPr>
          <w:p w14:paraId="137338BD"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 xml:space="preserve"> 310 595 </w:t>
            </w:r>
          </w:p>
        </w:tc>
        <w:tc>
          <w:tcPr>
            <w:tcW w:w="701" w:type="pct"/>
            <w:tcBorders>
              <w:top w:val="nil"/>
              <w:left w:val="nil"/>
              <w:bottom w:val="nil"/>
              <w:right w:val="nil"/>
            </w:tcBorders>
            <w:vAlign w:val="center"/>
          </w:tcPr>
          <w:p w14:paraId="4654699A" w14:textId="77777777" w:rsidR="008A4BCF" w:rsidRPr="00E23AC3" w:rsidDel="007D57B1" w:rsidRDefault="008A4BCF" w:rsidP="00B44AC3">
            <w:pPr>
              <w:spacing w:after="0" w:line="240" w:lineRule="auto"/>
              <w:jc w:val="right"/>
              <w:rPr>
                <w:rFonts w:cs="Segoe UI"/>
                <w:sz w:val="18"/>
                <w:szCs w:val="18"/>
              </w:rPr>
            </w:pPr>
            <w:r>
              <w:rPr>
                <w:rFonts w:cs="Segoe UI"/>
                <w:sz w:val="18"/>
                <w:szCs w:val="18"/>
              </w:rPr>
              <w:t>59,8</w:t>
            </w:r>
          </w:p>
        </w:tc>
      </w:tr>
      <w:tr w:rsidR="008A4BCF" w:rsidRPr="00E23AC3" w14:paraId="7222814B" w14:textId="77777777" w:rsidTr="00B44AC3">
        <w:trPr>
          <w:trHeight w:val="283"/>
        </w:trPr>
        <w:tc>
          <w:tcPr>
            <w:tcW w:w="2891" w:type="pct"/>
            <w:shd w:val="clear" w:color="auto" w:fill="auto"/>
            <w:noWrap/>
            <w:vAlign w:val="center"/>
            <w:hideMark/>
          </w:tcPr>
          <w:p w14:paraId="2AC496A1" w14:textId="77777777" w:rsidR="008A4BCF" w:rsidRPr="00E23AC3" w:rsidRDefault="008A4BCF" w:rsidP="00B44AC3">
            <w:pPr>
              <w:spacing w:after="0" w:line="240" w:lineRule="auto"/>
              <w:jc w:val="left"/>
              <w:rPr>
                <w:rFonts w:eastAsia="Calibri" w:cs="Segoe UI"/>
                <w:sz w:val="18"/>
                <w:szCs w:val="18"/>
              </w:rPr>
            </w:pPr>
            <w:r w:rsidRPr="00E23AC3">
              <w:rPr>
                <w:rFonts w:eastAsia="Calibri" w:cs="Segoe UI"/>
                <w:sz w:val="18"/>
                <w:szCs w:val="18"/>
              </w:rPr>
              <w:t xml:space="preserve">Ministerstvo kultúry SR        </w:t>
            </w:r>
          </w:p>
        </w:tc>
        <w:tc>
          <w:tcPr>
            <w:tcW w:w="700" w:type="pct"/>
            <w:tcBorders>
              <w:top w:val="nil"/>
              <w:left w:val="nil"/>
              <w:bottom w:val="nil"/>
              <w:right w:val="nil"/>
            </w:tcBorders>
            <w:shd w:val="clear" w:color="auto" w:fill="auto"/>
            <w:noWrap/>
            <w:vAlign w:val="center"/>
          </w:tcPr>
          <w:p w14:paraId="52D3594E"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1 000</w:t>
            </w:r>
          </w:p>
        </w:tc>
        <w:tc>
          <w:tcPr>
            <w:tcW w:w="708" w:type="pct"/>
            <w:tcBorders>
              <w:top w:val="nil"/>
              <w:left w:val="nil"/>
              <w:bottom w:val="nil"/>
              <w:right w:val="nil"/>
            </w:tcBorders>
            <w:shd w:val="clear" w:color="auto" w:fill="auto"/>
            <w:noWrap/>
            <w:vAlign w:val="center"/>
          </w:tcPr>
          <w:p w14:paraId="1115F5BB"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 xml:space="preserve"> 1 368 </w:t>
            </w:r>
          </w:p>
        </w:tc>
        <w:tc>
          <w:tcPr>
            <w:tcW w:w="701" w:type="pct"/>
            <w:tcBorders>
              <w:top w:val="nil"/>
              <w:left w:val="nil"/>
              <w:bottom w:val="nil"/>
              <w:right w:val="nil"/>
            </w:tcBorders>
            <w:vAlign w:val="center"/>
          </w:tcPr>
          <w:p w14:paraId="1280CC18" w14:textId="77777777" w:rsidR="008A4BCF" w:rsidRPr="00E23AC3" w:rsidDel="007D57B1" w:rsidRDefault="008A4BCF" w:rsidP="00B44AC3">
            <w:pPr>
              <w:spacing w:after="0" w:line="240" w:lineRule="auto"/>
              <w:jc w:val="right"/>
              <w:rPr>
                <w:rFonts w:cs="Segoe UI"/>
                <w:sz w:val="18"/>
                <w:szCs w:val="18"/>
              </w:rPr>
            </w:pPr>
            <w:r>
              <w:rPr>
                <w:rFonts w:cs="Segoe UI"/>
                <w:sz w:val="18"/>
                <w:szCs w:val="18"/>
              </w:rPr>
              <w:t>136,8</w:t>
            </w:r>
          </w:p>
        </w:tc>
      </w:tr>
      <w:tr w:rsidR="008A4BCF" w:rsidRPr="00E23AC3" w14:paraId="10D5013B" w14:textId="77777777" w:rsidTr="00B44AC3">
        <w:trPr>
          <w:trHeight w:val="283"/>
        </w:trPr>
        <w:tc>
          <w:tcPr>
            <w:tcW w:w="2891" w:type="pct"/>
            <w:shd w:val="clear" w:color="auto" w:fill="auto"/>
            <w:noWrap/>
            <w:vAlign w:val="center"/>
            <w:hideMark/>
          </w:tcPr>
          <w:p w14:paraId="30C70C83" w14:textId="77777777" w:rsidR="008A4BCF" w:rsidRPr="00E23AC3" w:rsidRDefault="008A4BCF" w:rsidP="00B44AC3">
            <w:pPr>
              <w:spacing w:after="0" w:line="240" w:lineRule="auto"/>
              <w:jc w:val="left"/>
              <w:rPr>
                <w:rFonts w:eastAsia="Calibri" w:cs="Segoe UI"/>
                <w:sz w:val="18"/>
                <w:szCs w:val="18"/>
              </w:rPr>
            </w:pPr>
            <w:r w:rsidRPr="00E23AC3">
              <w:rPr>
                <w:rFonts w:eastAsia="Calibri" w:cs="Segoe UI"/>
                <w:sz w:val="18"/>
                <w:szCs w:val="18"/>
              </w:rPr>
              <w:t xml:space="preserve">Ministerstvo hospodárstva SR   </w:t>
            </w:r>
          </w:p>
        </w:tc>
        <w:tc>
          <w:tcPr>
            <w:tcW w:w="700" w:type="pct"/>
            <w:tcBorders>
              <w:top w:val="nil"/>
              <w:left w:val="nil"/>
              <w:bottom w:val="nil"/>
              <w:right w:val="nil"/>
            </w:tcBorders>
            <w:shd w:val="clear" w:color="auto" w:fill="auto"/>
            <w:noWrap/>
            <w:vAlign w:val="center"/>
          </w:tcPr>
          <w:p w14:paraId="5F37D794"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545 86</w:t>
            </w:r>
            <w:r>
              <w:rPr>
                <w:rFonts w:cs="Segoe UI"/>
                <w:sz w:val="18"/>
                <w:szCs w:val="18"/>
              </w:rPr>
              <w:t>2</w:t>
            </w:r>
          </w:p>
        </w:tc>
        <w:tc>
          <w:tcPr>
            <w:tcW w:w="708" w:type="pct"/>
            <w:tcBorders>
              <w:top w:val="nil"/>
              <w:left w:val="nil"/>
              <w:bottom w:val="nil"/>
              <w:right w:val="nil"/>
            </w:tcBorders>
            <w:shd w:val="clear" w:color="auto" w:fill="auto"/>
            <w:noWrap/>
            <w:vAlign w:val="center"/>
          </w:tcPr>
          <w:p w14:paraId="7C56285F"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 xml:space="preserve"> 376 32</w:t>
            </w:r>
            <w:r>
              <w:rPr>
                <w:rFonts w:cs="Segoe UI"/>
                <w:sz w:val="18"/>
                <w:szCs w:val="18"/>
              </w:rPr>
              <w:t>1</w:t>
            </w:r>
            <w:r w:rsidRPr="00DB26F8">
              <w:rPr>
                <w:rFonts w:cs="Segoe UI"/>
                <w:sz w:val="18"/>
                <w:szCs w:val="18"/>
              </w:rPr>
              <w:t xml:space="preserve"> </w:t>
            </w:r>
          </w:p>
        </w:tc>
        <w:tc>
          <w:tcPr>
            <w:tcW w:w="701" w:type="pct"/>
            <w:tcBorders>
              <w:top w:val="nil"/>
              <w:left w:val="nil"/>
              <w:bottom w:val="nil"/>
              <w:right w:val="nil"/>
            </w:tcBorders>
            <w:vAlign w:val="center"/>
          </w:tcPr>
          <w:p w14:paraId="1057BC07" w14:textId="77777777" w:rsidR="008A4BCF" w:rsidRPr="00E23AC3" w:rsidDel="007D57B1" w:rsidRDefault="008A4BCF" w:rsidP="00B44AC3">
            <w:pPr>
              <w:spacing w:after="0" w:line="240" w:lineRule="auto"/>
              <w:jc w:val="right"/>
              <w:rPr>
                <w:rFonts w:cs="Segoe UI"/>
                <w:sz w:val="18"/>
                <w:szCs w:val="18"/>
              </w:rPr>
            </w:pPr>
            <w:r>
              <w:rPr>
                <w:rFonts w:cs="Segoe UI"/>
                <w:sz w:val="18"/>
                <w:szCs w:val="18"/>
              </w:rPr>
              <w:t>68,9</w:t>
            </w:r>
          </w:p>
        </w:tc>
      </w:tr>
      <w:tr w:rsidR="008A4BCF" w:rsidRPr="00E23AC3" w14:paraId="1E4C1F1C" w14:textId="77777777" w:rsidTr="00B44AC3">
        <w:trPr>
          <w:trHeight w:val="283"/>
        </w:trPr>
        <w:tc>
          <w:tcPr>
            <w:tcW w:w="2891" w:type="pct"/>
            <w:shd w:val="clear" w:color="auto" w:fill="auto"/>
            <w:noWrap/>
            <w:vAlign w:val="center"/>
            <w:hideMark/>
          </w:tcPr>
          <w:p w14:paraId="569D001C" w14:textId="77777777" w:rsidR="008A4BCF" w:rsidRPr="00E23AC3" w:rsidRDefault="008A4BCF" w:rsidP="00B44AC3">
            <w:pPr>
              <w:spacing w:after="0" w:line="240" w:lineRule="auto"/>
              <w:jc w:val="left"/>
              <w:rPr>
                <w:rFonts w:eastAsia="Calibri" w:cs="Segoe UI"/>
                <w:sz w:val="18"/>
                <w:szCs w:val="18"/>
              </w:rPr>
            </w:pPr>
            <w:r w:rsidRPr="00E23AC3">
              <w:rPr>
                <w:rFonts w:eastAsia="Calibri" w:cs="Segoe UI"/>
                <w:sz w:val="18"/>
                <w:szCs w:val="18"/>
              </w:rPr>
              <w:t xml:space="preserve">Ministerstvo pôdohospodárstva a rozvoja vidieka SR  </w:t>
            </w:r>
          </w:p>
        </w:tc>
        <w:tc>
          <w:tcPr>
            <w:tcW w:w="700" w:type="pct"/>
            <w:tcBorders>
              <w:top w:val="nil"/>
              <w:left w:val="nil"/>
              <w:bottom w:val="nil"/>
              <w:right w:val="nil"/>
            </w:tcBorders>
            <w:shd w:val="clear" w:color="auto" w:fill="auto"/>
            <w:noWrap/>
            <w:vAlign w:val="center"/>
          </w:tcPr>
          <w:p w14:paraId="601A1D8B"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644 474</w:t>
            </w:r>
          </w:p>
        </w:tc>
        <w:tc>
          <w:tcPr>
            <w:tcW w:w="708" w:type="pct"/>
            <w:tcBorders>
              <w:top w:val="nil"/>
              <w:left w:val="nil"/>
              <w:bottom w:val="nil"/>
              <w:right w:val="nil"/>
            </w:tcBorders>
            <w:shd w:val="clear" w:color="auto" w:fill="auto"/>
            <w:noWrap/>
            <w:vAlign w:val="center"/>
          </w:tcPr>
          <w:p w14:paraId="64EC427F"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 xml:space="preserve"> 503 887 </w:t>
            </w:r>
          </w:p>
        </w:tc>
        <w:tc>
          <w:tcPr>
            <w:tcW w:w="701" w:type="pct"/>
            <w:tcBorders>
              <w:top w:val="nil"/>
              <w:left w:val="nil"/>
              <w:bottom w:val="nil"/>
              <w:right w:val="nil"/>
            </w:tcBorders>
            <w:vAlign w:val="center"/>
          </w:tcPr>
          <w:p w14:paraId="56BFFCA5" w14:textId="77777777" w:rsidR="008A4BCF" w:rsidRPr="00E23AC3" w:rsidDel="007D57B1" w:rsidRDefault="008A4BCF" w:rsidP="00B44AC3">
            <w:pPr>
              <w:spacing w:after="0" w:line="240" w:lineRule="auto"/>
              <w:jc w:val="right"/>
              <w:rPr>
                <w:rFonts w:cs="Segoe UI"/>
                <w:sz w:val="18"/>
                <w:szCs w:val="18"/>
              </w:rPr>
            </w:pPr>
            <w:r>
              <w:rPr>
                <w:rFonts w:cs="Segoe UI"/>
                <w:sz w:val="18"/>
                <w:szCs w:val="18"/>
              </w:rPr>
              <w:t>78,2</w:t>
            </w:r>
          </w:p>
        </w:tc>
      </w:tr>
      <w:tr w:rsidR="008A4BCF" w:rsidRPr="00E23AC3" w14:paraId="2783E701" w14:textId="77777777" w:rsidTr="00B44AC3">
        <w:trPr>
          <w:trHeight w:val="283"/>
        </w:trPr>
        <w:tc>
          <w:tcPr>
            <w:tcW w:w="2891" w:type="pct"/>
            <w:shd w:val="clear" w:color="auto" w:fill="auto"/>
            <w:noWrap/>
            <w:vAlign w:val="center"/>
            <w:hideMark/>
          </w:tcPr>
          <w:p w14:paraId="69522E7D" w14:textId="77777777" w:rsidR="008A4BCF" w:rsidRPr="00E23AC3" w:rsidRDefault="008A4BCF" w:rsidP="00B44AC3">
            <w:pPr>
              <w:spacing w:after="0" w:line="240" w:lineRule="auto"/>
              <w:jc w:val="left"/>
              <w:rPr>
                <w:rFonts w:eastAsia="Calibri" w:cs="Segoe UI"/>
                <w:sz w:val="18"/>
                <w:szCs w:val="18"/>
              </w:rPr>
            </w:pPr>
            <w:r w:rsidRPr="00E23AC3">
              <w:rPr>
                <w:rFonts w:eastAsia="Calibri" w:cs="Segoe UI"/>
                <w:sz w:val="18"/>
                <w:szCs w:val="18"/>
              </w:rPr>
              <w:t xml:space="preserve">Ministerstvo dopravy, výstavby a regionálneho rozvoja SR  </w:t>
            </w:r>
          </w:p>
        </w:tc>
        <w:tc>
          <w:tcPr>
            <w:tcW w:w="700" w:type="pct"/>
            <w:tcBorders>
              <w:top w:val="nil"/>
              <w:left w:val="nil"/>
              <w:bottom w:val="nil"/>
              <w:right w:val="nil"/>
            </w:tcBorders>
            <w:shd w:val="clear" w:color="auto" w:fill="auto"/>
            <w:noWrap/>
            <w:vAlign w:val="center"/>
          </w:tcPr>
          <w:p w14:paraId="10CE6FE4"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935 793</w:t>
            </w:r>
          </w:p>
        </w:tc>
        <w:tc>
          <w:tcPr>
            <w:tcW w:w="708" w:type="pct"/>
            <w:tcBorders>
              <w:top w:val="nil"/>
              <w:left w:val="nil"/>
              <w:bottom w:val="nil"/>
              <w:right w:val="nil"/>
            </w:tcBorders>
            <w:shd w:val="clear" w:color="auto" w:fill="auto"/>
            <w:noWrap/>
            <w:vAlign w:val="center"/>
          </w:tcPr>
          <w:p w14:paraId="5AA748AE"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 xml:space="preserve"> 1 189 42</w:t>
            </w:r>
            <w:r>
              <w:rPr>
                <w:rFonts w:cs="Segoe UI"/>
                <w:sz w:val="18"/>
                <w:szCs w:val="18"/>
              </w:rPr>
              <w:t>6</w:t>
            </w:r>
            <w:r w:rsidRPr="00DB26F8">
              <w:rPr>
                <w:rFonts w:cs="Segoe UI"/>
                <w:sz w:val="18"/>
                <w:szCs w:val="18"/>
              </w:rPr>
              <w:t xml:space="preserve"> </w:t>
            </w:r>
          </w:p>
        </w:tc>
        <w:tc>
          <w:tcPr>
            <w:tcW w:w="701" w:type="pct"/>
            <w:tcBorders>
              <w:top w:val="nil"/>
              <w:left w:val="nil"/>
              <w:bottom w:val="nil"/>
              <w:right w:val="nil"/>
            </w:tcBorders>
            <w:vAlign w:val="center"/>
          </w:tcPr>
          <w:p w14:paraId="5E9C26A8" w14:textId="77777777" w:rsidR="008A4BCF" w:rsidRPr="00E23AC3" w:rsidDel="007D57B1" w:rsidRDefault="008A4BCF" w:rsidP="00B44AC3">
            <w:pPr>
              <w:spacing w:after="0" w:line="240" w:lineRule="auto"/>
              <w:jc w:val="right"/>
              <w:rPr>
                <w:rFonts w:cs="Segoe UI"/>
                <w:sz w:val="18"/>
                <w:szCs w:val="18"/>
              </w:rPr>
            </w:pPr>
            <w:r>
              <w:rPr>
                <w:rFonts w:cs="Segoe UI"/>
                <w:sz w:val="18"/>
                <w:szCs w:val="18"/>
              </w:rPr>
              <w:t>127,1</w:t>
            </w:r>
          </w:p>
        </w:tc>
      </w:tr>
      <w:tr w:rsidR="008A4BCF" w:rsidRPr="00E23AC3" w14:paraId="01F90AD1" w14:textId="77777777" w:rsidTr="00B44AC3">
        <w:trPr>
          <w:trHeight w:val="283"/>
        </w:trPr>
        <w:tc>
          <w:tcPr>
            <w:tcW w:w="2891" w:type="pct"/>
            <w:shd w:val="clear" w:color="auto" w:fill="auto"/>
            <w:noWrap/>
            <w:vAlign w:val="center"/>
            <w:hideMark/>
          </w:tcPr>
          <w:p w14:paraId="0A41E164" w14:textId="77777777" w:rsidR="008A4BCF" w:rsidRPr="00E23AC3" w:rsidRDefault="008A4BCF" w:rsidP="00B44AC3">
            <w:pPr>
              <w:spacing w:after="0" w:line="240" w:lineRule="auto"/>
              <w:jc w:val="left"/>
              <w:rPr>
                <w:rFonts w:eastAsia="Calibri" w:cs="Segoe UI"/>
                <w:sz w:val="18"/>
                <w:szCs w:val="18"/>
              </w:rPr>
            </w:pPr>
            <w:r w:rsidRPr="00E23AC3">
              <w:rPr>
                <w:rFonts w:eastAsia="Calibri" w:cs="Segoe UI"/>
                <w:sz w:val="18"/>
                <w:szCs w:val="18"/>
              </w:rPr>
              <w:t>Úrad geodézie, kartografie a katastra SR</w:t>
            </w:r>
          </w:p>
        </w:tc>
        <w:tc>
          <w:tcPr>
            <w:tcW w:w="700" w:type="pct"/>
            <w:tcBorders>
              <w:top w:val="nil"/>
              <w:left w:val="nil"/>
              <w:bottom w:val="nil"/>
              <w:right w:val="nil"/>
            </w:tcBorders>
            <w:shd w:val="clear" w:color="auto" w:fill="auto"/>
            <w:noWrap/>
            <w:vAlign w:val="center"/>
          </w:tcPr>
          <w:p w14:paraId="1C706C82"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230</w:t>
            </w:r>
          </w:p>
        </w:tc>
        <w:tc>
          <w:tcPr>
            <w:tcW w:w="708" w:type="pct"/>
            <w:tcBorders>
              <w:top w:val="nil"/>
              <w:left w:val="nil"/>
              <w:bottom w:val="nil"/>
              <w:right w:val="nil"/>
            </w:tcBorders>
            <w:shd w:val="clear" w:color="auto" w:fill="auto"/>
            <w:noWrap/>
            <w:vAlign w:val="center"/>
          </w:tcPr>
          <w:p w14:paraId="1FFF6D07"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 xml:space="preserve"> 394 </w:t>
            </w:r>
          </w:p>
        </w:tc>
        <w:tc>
          <w:tcPr>
            <w:tcW w:w="701" w:type="pct"/>
            <w:tcBorders>
              <w:top w:val="nil"/>
              <w:left w:val="nil"/>
              <w:bottom w:val="nil"/>
              <w:right w:val="nil"/>
            </w:tcBorders>
            <w:vAlign w:val="center"/>
          </w:tcPr>
          <w:p w14:paraId="2506690E" w14:textId="77777777" w:rsidR="008A4BCF" w:rsidRPr="00E23AC3" w:rsidDel="007D57B1" w:rsidRDefault="008A4BCF" w:rsidP="00B44AC3">
            <w:pPr>
              <w:spacing w:after="0" w:line="240" w:lineRule="auto"/>
              <w:jc w:val="right"/>
              <w:rPr>
                <w:rFonts w:cs="Segoe UI"/>
                <w:sz w:val="18"/>
                <w:szCs w:val="18"/>
              </w:rPr>
            </w:pPr>
            <w:r>
              <w:rPr>
                <w:rFonts w:cs="Segoe UI"/>
                <w:sz w:val="18"/>
                <w:szCs w:val="18"/>
              </w:rPr>
              <w:t>171,3</w:t>
            </w:r>
          </w:p>
        </w:tc>
      </w:tr>
      <w:tr w:rsidR="008A4BCF" w:rsidRPr="00E23AC3" w14:paraId="4F286738" w14:textId="77777777" w:rsidTr="00B44AC3">
        <w:trPr>
          <w:trHeight w:val="283"/>
        </w:trPr>
        <w:tc>
          <w:tcPr>
            <w:tcW w:w="2891" w:type="pct"/>
            <w:shd w:val="clear" w:color="auto" w:fill="auto"/>
            <w:noWrap/>
            <w:vAlign w:val="center"/>
            <w:hideMark/>
          </w:tcPr>
          <w:p w14:paraId="4A20A767" w14:textId="77777777" w:rsidR="008A4BCF" w:rsidRPr="00E23AC3" w:rsidRDefault="008A4BCF" w:rsidP="00B44AC3">
            <w:pPr>
              <w:spacing w:after="0" w:line="240" w:lineRule="auto"/>
              <w:jc w:val="left"/>
              <w:rPr>
                <w:rFonts w:eastAsia="Calibri" w:cs="Segoe UI"/>
                <w:sz w:val="18"/>
                <w:szCs w:val="18"/>
              </w:rPr>
            </w:pPr>
            <w:r w:rsidRPr="00E23AC3">
              <w:rPr>
                <w:rFonts w:eastAsia="Calibri" w:cs="Segoe UI"/>
                <w:sz w:val="18"/>
                <w:szCs w:val="18"/>
              </w:rPr>
              <w:t xml:space="preserve">Štatistický úrad SR            </w:t>
            </w:r>
          </w:p>
        </w:tc>
        <w:tc>
          <w:tcPr>
            <w:tcW w:w="700" w:type="pct"/>
            <w:tcBorders>
              <w:top w:val="nil"/>
              <w:left w:val="nil"/>
              <w:bottom w:val="nil"/>
              <w:right w:val="nil"/>
            </w:tcBorders>
            <w:shd w:val="clear" w:color="auto" w:fill="auto"/>
            <w:noWrap/>
            <w:vAlign w:val="center"/>
          </w:tcPr>
          <w:p w14:paraId="61C2EC17"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90</w:t>
            </w:r>
          </w:p>
        </w:tc>
        <w:tc>
          <w:tcPr>
            <w:tcW w:w="708" w:type="pct"/>
            <w:tcBorders>
              <w:top w:val="nil"/>
              <w:left w:val="nil"/>
              <w:bottom w:val="nil"/>
              <w:right w:val="nil"/>
            </w:tcBorders>
            <w:shd w:val="clear" w:color="auto" w:fill="auto"/>
            <w:noWrap/>
            <w:vAlign w:val="center"/>
          </w:tcPr>
          <w:p w14:paraId="0DE81EC0"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 xml:space="preserve"> 174 </w:t>
            </w:r>
          </w:p>
        </w:tc>
        <w:tc>
          <w:tcPr>
            <w:tcW w:w="701" w:type="pct"/>
            <w:tcBorders>
              <w:top w:val="nil"/>
              <w:left w:val="nil"/>
              <w:bottom w:val="nil"/>
              <w:right w:val="nil"/>
            </w:tcBorders>
            <w:vAlign w:val="center"/>
          </w:tcPr>
          <w:p w14:paraId="1CF070E9" w14:textId="77777777" w:rsidR="008A4BCF" w:rsidRPr="00E23AC3" w:rsidDel="007D57B1" w:rsidRDefault="008A4BCF" w:rsidP="00B44AC3">
            <w:pPr>
              <w:spacing w:after="0" w:line="240" w:lineRule="auto"/>
              <w:jc w:val="right"/>
              <w:rPr>
                <w:rFonts w:cs="Segoe UI"/>
                <w:sz w:val="18"/>
                <w:szCs w:val="18"/>
              </w:rPr>
            </w:pPr>
            <w:r>
              <w:rPr>
                <w:rFonts w:cs="Segoe UI"/>
                <w:sz w:val="18"/>
                <w:szCs w:val="18"/>
              </w:rPr>
              <w:t>193,3</w:t>
            </w:r>
          </w:p>
        </w:tc>
      </w:tr>
      <w:tr w:rsidR="008A4BCF" w:rsidRPr="00E23AC3" w14:paraId="74F1793B" w14:textId="77777777" w:rsidTr="00B44AC3">
        <w:trPr>
          <w:trHeight w:val="283"/>
        </w:trPr>
        <w:tc>
          <w:tcPr>
            <w:tcW w:w="2891" w:type="pct"/>
            <w:shd w:val="clear" w:color="auto" w:fill="auto"/>
            <w:noWrap/>
            <w:vAlign w:val="center"/>
            <w:hideMark/>
          </w:tcPr>
          <w:p w14:paraId="5C0CC19C" w14:textId="77777777" w:rsidR="008A4BCF" w:rsidRPr="00E23AC3" w:rsidRDefault="008A4BCF" w:rsidP="00B44AC3">
            <w:pPr>
              <w:spacing w:after="0" w:line="240" w:lineRule="auto"/>
              <w:jc w:val="left"/>
              <w:rPr>
                <w:rFonts w:eastAsia="Calibri" w:cs="Segoe UI"/>
                <w:sz w:val="18"/>
                <w:szCs w:val="18"/>
              </w:rPr>
            </w:pPr>
            <w:r w:rsidRPr="00E23AC3">
              <w:rPr>
                <w:rFonts w:eastAsia="Calibri" w:cs="Segoe UI"/>
                <w:sz w:val="18"/>
                <w:szCs w:val="18"/>
              </w:rPr>
              <w:t xml:space="preserve">Úrad pre verejné obstarávanie </w:t>
            </w:r>
          </w:p>
        </w:tc>
        <w:tc>
          <w:tcPr>
            <w:tcW w:w="700" w:type="pct"/>
            <w:tcBorders>
              <w:top w:val="nil"/>
              <w:left w:val="nil"/>
              <w:bottom w:val="nil"/>
              <w:right w:val="nil"/>
            </w:tcBorders>
            <w:shd w:val="clear" w:color="auto" w:fill="auto"/>
            <w:noWrap/>
            <w:vAlign w:val="center"/>
          </w:tcPr>
          <w:p w14:paraId="706C5795"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1 000</w:t>
            </w:r>
          </w:p>
        </w:tc>
        <w:tc>
          <w:tcPr>
            <w:tcW w:w="708" w:type="pct"/>
            <w:tcBorders>
              <w:top w:val="nil"/>
              <w:left w:val="nil"/>
              <w:bottom w:val="nil"/>
              <w:right w:val="nil"/>
            </w:tcBorders>
            <w:shd w:val="clear" w:color="auto" w:fill="auto"/>
            <w:noWrap/>
            <w:vAlign w:val="center"/>
          </w:tcPr>
          <w:p w14:paraId="0768EE23"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 xml:space="preserve"> 2 715 </w:t>
            </w:r>
          </w:p>
        </w:tc>
        <w:tc>
          <w:tcPr>
            <w:tcW w:w="701" w:type="pct"/>
            <w:tcBorders>
              <w:top w:val="nil"/>
              <w:left w:val="nil"/>
              <w:bottom w:val="nil"/>
              <w:right w:val="nil"/>
            </w:tcBorders>
            <w:vAlign w:val="center"/>
          </w:tcPr>
          <w:p w14:paraId="5F8463B1" w14:textId="77777777" w:rsidR="008A4BCF" w:rsidRPr="00E23AC3" w:rsidDel="007D57B1" w:rsidRDefault="008A4BCF" w:rsidP="00B44AC3">
            <w:pPr>
              <w:spacing w:after="0" w:line="240" w:lineRule="auto"/>
              <w:jc w:val="right"/>
              <w:rPr>
                <w:rFonts w:cs="Segoe UI"/>
                <w:sz w:val="18"/>
                <w:szCs w:val="18"/>
              </w:rPr>
            </w:pPr>
            <w:r>
              <w:rPr>
                <w:rFonts w:cs="Segoe UI"/>
                <w:sz w:val="18"/>
                <w:szCs w:val="18"/>
              </w:rPr>
              <w:t>271,5</w:t>
            </w:r>
          </w:p>
        </w:tc>
      </w:tr>
      <w:tr w:rsidR="008A4BCF" w:rsidRPr="00E23AC3" w14:paraId="5A93B5DB" w14:textId="77777777" w:rsidTr="00B44AC3">
        <w:trPr>
          <w:trHeight w:val="283"/>
        </w:trPr>
        <w:tc>
          <w:tcPr>
            <w:tcW w:w="2891" w:type="pct"/>
            <w:shd w:val="clear" w:color="auto" w:fill="auto"/>
            <w:noWrap/>
            <w:vAlign w:val="center"/>
            <w:hideMark/>
          </w:tcPr>
          <w:p w14:paraId="6EC4B6E7" w14:textId="77777777" w:rsidR="008A4BCF" w:rsidRPr="00E23AC3" w:rsidRDefault="008A4BCF" w:rsidP="00B44AC3">
            <w:pPr>
              <w:spacing w:after="0" w:line="240" w:lineRule="auto"/>
              <w:jc w:val="left"/>
              <w:rPr>
                <w:rFonts w:eastAsia="Calibri" w:cs="Segoe UI"/>
                <w:sz w:val="18"/>
                <w:szCs w:val="18"/>
              </w:rPr>
            </w:pPr>
            <w:r w:rsidRPr="00E23AC3">
              <w:rPr>
                <w:rFonts w:eastAsia="Calibri" w:cs="Segoe UI"/>
                <w:sz w:val="18"/>
                <w:szCs w:val="18"/>
              </w:rPr>
              <w:t>Úrad pre reguláciu sieťových  odvetví</w:t>
            </w:r>
          </w:p>
        </w:tc>
        <w:tc>
          <w:tcPr>
            <w:tcW w:w="700" w:type="pct"/>
            <w:tcBorders>
              <w:top w:val="nil"/>
              <w:left w:val="nil"/>
              <w:bottom w:val="nil"/>
              <w:right w:val="nil"/>
            </w:tcBorders>
            <w:shd w:val="clear" w:color="auto" w:fill="auto"/>
            <w:noWrap/>
            <w:vAlign w:val="center"/>
          </w:tcPr>
          <w:p w14:paraId="0BA9C078"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300</w:t>
            </w:r>
          </w:p>
        </w:tc>
        <w:tc>
          <w:tcPr>
            <w:tcW w:w="708" w:type="pct"/>
            <w:tcBorders>
              <w:top w:val="nil"/>
              <w:left w:val="nil"/>
              <w:bottom w:val="nil"/>
              <w:right w:val="nil"/>
            </w:tcBorders>
            <w:shd w:val="clear" w:color="auto" w:fill="auto"/>
            <w:noWrap/>
            <w:vAlign w:val="center"/>
          </w:tcPr>
          <w:p w14:paraId="0A497B83"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 xml:space="preserve"> 539 </w:t>
            </w:r>
          </w:p>
        </w:tc>
        <w:tc>
          <w:tcPr>
            <w:tcW w:w="701" w:type="pct"/>
            <w:tcBorders>
              <w:top w:val="nil"/>
              <w:left w:val="nil"/>
              <w:bottom w:val="nil"/>
              <w:right w:val="nil"/>
            </w:tcBorders>
            <w:vAlign w:val="center"/>
          </w:tcPr>
          <w:p w14:paraId="401401BE" w14:textId="77777777" w:rsidR="008A4BCF" w:rsidRPr="00E23AC3" w:rsidDel="007D57B1" w:rsidRDefault="008A4BCF" w:rsidP="00B44AC3">
            <w:pPr>
              <w:spacing w:after="0" w:line="240" w:lineRule="auto"/>
              <w:jc w:val="right"/>
              <w:rPr>
                <w:rFonts w:cs="Segoe UI"/>
                <w:sz w:val="18"/>
                <w:szCs w:val="18"/>
              </w:rPr>
            </w:pPr>
            <w:r>
              <w:rPr>
                <w:rFonts w:cs="Segoe UI"/>
                <w:sz w:val="18"/>
                <w:szCs w:val="18"/>
              </w:rPr>
              <w:t>179,7</w:t>
            </w:r>
          </w:p>
        </w:tc>
      </w:tr>
      <w:tr w:rsidR="008A4BCF" w:rsidRPr="00E23AC3" w14:paraId="60B042E1" w14:textId="77777777" w:rsidTr="00B44AC3">
        <w:trPr>
          <w:trHeight w:val="283"/>
        </w:trPr>
        <w:tc>
          <w:tcPr>
            <w:tcW w:w="2891" w:type="pct"/>
            <w:shd w:val="clear" w:color="auto" w:fill="auto"/>
            <w:noWrap/>
            <w:vAlign w:val="center"/>
            <w:hideMark/>
          </w:tcPr>
          <w:p w14:paraId="6FB4789C" w14:textId="77777777" w:rsidR="008A4BCF" w:rsidRPr="00E23AC3" w:rsidRDefault="008A4BCF" w:rsidP="00B44AC3">
            <w:pPr>
              <w:spacing w:after="0" w:line="240" w:lineRule="auto"/>
              <w:jc w:val="left"/>
              <w:rPr>
                <w:rFonts w:eastAsia="Calibri" w:cs="Segoe UI"/>
                <w:sz w:val="18"/>
                <w:szCs w:val="18"/>
              </w:rPr>
            </w:pPr>
            <w:r w:rsidRPr="00E23AC3">
              <w:rPr>
                <w:rFonts w:eastAsia="Calibri" w:cs="Segoe UI"/>
                <w:sz w:val="18"/>
                <w:szCs w:val="18"/>
              </w:rPr>
              <w:t xml:space="preserve">Úrad jadrového dozoru SR       </w:t>
            </w:r>
          </w:p>
        </w:tc>
        <w:tc>
          <w:tcPr>
            <w:tcW w:w="700" w:type="pct"/>
            <w:tcBorders>
              <w:top w:val="nil"/>
              <w:left w:val="nil"/>
              <w:bottom w:val="nil"/>
              <w:right w:val="nil"/>
            </w:tcBorders>
            <w:shd w:val="clear" w:color="auto" w:fill="auto"/>
            <w:noWrap/>
            <w:vAlign w:val="center"/>
          </w:tcPr>
          <w:p w14:paraId="7983E1A5"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9 946</w:t>
            </w:r>
          </w:p>
        </w:tc>
        <w:tc>
          <w:tcPr>
            <w:tcW w:w="708" w:type="pct"/>
            <w:tcBorders>
              <w:top w:val="nil"/>
              <w:left w:val="nil"/>
              <w:bottom w:val="nil"/>
              <w:right w:val="nil"/>
            </w:tcBorders>
            <w:shd w:val="clear" w:color="auto" w:fill="auto"/>
            <w:noWrap/>
            <w:vAlign w:val="center"/>
          </w:tcPr>
          <w:p w14:paraId="53746336"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 xml:space="preserve"> 10 044 </w:t>
            </w:r>
          </w:p>
        </w:tc>
        <w:tc>
          <w:tcPr>
            <w:tcW w:w="701" w:type="pct"/>
            <w:tcBorders>
              <w:top w:val="nil"/>
              <w:left w:val="nil"/>
              <w:bottom w:val="nil"/>
              <w:right w:val="nil"/>
            </w:tcBorders>
            <w:vAlign w:val="center"/>
          </w:tcPr>
          <w:p w14:paraId="330EFA97" w14:textId="77777777" w:rsidR="008A4BCF" w:rsidRPr="00E23AC3" w:rsidDel="007D57B1" w:rsidRDefault="008A4BCF" w:rsidP="00B44AC3">
            <w:pPr>
              <w:spacing w:after="0" w:line="240" w:lineRule="auto"/>
              <w:jc w:val="right"/>
              <w:rPr>
                <w:rFonts w:cs="Segoe UI"/>
                <w:sz w:val="18"/>
                <w:szCs w:val="18"/>
              </w:rPr>
            </w:pPr>
            <w:r>
              <w:rPr>
                <w:rFonts w:cs="Segoe UI"/>
                <w:sz w:val="18"/>
                <w:szCs w:val="18"/>
              </w:rPr>
              <w:t>101,0</w:t>
            </w:r>
          </w:p>
        </w:tc>
      </w:tr>
      <w:tr w:rsidR="008A4BCF" w:rsidRPr="00E23AC3" w14:paraId="1F8D710D" w14:textId="77777777" w:rsidTr="00B44AC3">
        <w:trPr>
          <w:trHeight w:val="283"/>
        </w:trPr>
        <w:tc>
          <w:tcPr>
            <w:tcW w:w="2891" w:type="pct"/>
            <w:shd w:val="clear" w:color="auto" w:fill="auto"/>
            <w:noWrap/>
            <w:vAlign w:val="center"/>
            <w:hideMark/>
          </w:tcPr>
          <w:p w14:paraId="65028B47" w14:textId="77777777" w:rsidR="008A4BCF" w:rsidRPr="00E23AC3" w:rsidRDefault="008A4BCF" w:rsidP="00B44AC3">
            <w:pPr>
              <w:spacing w:after="0" w:line="240" w:lineRule="auto"/>
              <w:jc w:val="left"/>
              <w:rPr>
                <w:rFonts w:eastAsia="Calibri" w:cs="Segoe UI"/>
                <w:sz w:val="18"/>
                <w:szCs w:val="18"/>
              </w:rPr>
            </w:pPr>
            <w:r w:rsidRPr="00E23AC3">
              <w:rPr>
                <w:rFonts w:eastAsia="Calibri" w:cs="Segoe UI"/>
                <w:sz w:val="18"/>
                <w:szCs w:val="18"/>
              </w:rPr>
              <w:t xml:space="preserve">Úrad priemyselného vlastníctva SR      </w:t>
            </w:r>
          </w:p>
        </w:tc>
        <w:tc>
          <w:tcPr>
            <w:tcW w:w="700" w:type="pct"/>
            <w:tcBorders>
              <w:top w:val="nil"/>
              <w:left w:val="nil"/>
              <w:bottom w:val="nil"/>
              <w:right w:val="nil"/>
            </w:tcBorders>
            <w:shd w:val="clear" w:color="auto" w:fill="auto"/>
            <w:noWrap/>
            <w:vAlign w:val="center"/>
          </w:tcPr>
          <w:p w14:paraId="2DA5FEF5"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3 845</w:t>
            </w:r>
          </w:p>
        </w:tc>
        <w:tc>
          <w:tcPr>
            <w:tcW w:w="708" w:type="pct"/>
            <w:tcBorders>
              <w:top w:val="nil"/>
              <w:left w:val="nil"/>
              <w:bottom w:val="nil"/>
              <w:right w:val="nil"/>
            </w:tcBorders>
            <w:shd w:val="clear" w:color="auto" w:fill="auto"/>
            <w:noWrap/>
            <w:vAlign w:val="center"/>
          </w:tcPr>
          <w:p w14:paraId="5432C083"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 xml:space="preserve"> 4 014 </w:t>
            </w:r>
          </w:p>
        </w:tc>
        <w:tc>
          <w:tcPr>
            <w:tcW w:w="701" w:type="pct"/>
            <w:tcBorders>
              <w:top w:val="nil"/>
              <w:left w:val="nil"/>
              <w:bottom w:val="nil"/>
              <w:right w:val="nil"/>
            </w:tcBorders>
            <w:vAlign w:val="center"/>
          </w:tcPr>
          <w:p w14:paraId="3A1054AE" w14:textId="77777777" w:rsidR="008A4BCF" w:rsidRPr="00E23AC3" w:rsidDel="007D57B1" w:rsidRDefault="008A4BCF" w:rsidP="00B44AC3">
            <w:pPr>
              <w:spacing w:after="0" w:line="240" w:lineRule="auto"/>
              <w:jc w:val="right"/>
              <w:rPr>
                <w:rFonts w:cs="Segoe UI"/>
                <w:sz w:val="18"/>
                <w:szCs w:val="18"/>
              </w:rPr>
            </w:pPr>
            <w:r>
              <w:rPr>
                <w:rFonts w:cs="Segoe UI"/>
                <w:sz w:val="18"/>
                <w:szCs w:val="18"/>
              </w:rPr>
              <w:t>104,4</w:t>
            </w:r>
          </w:p>
        </w:tc>
      </w:tr>
      <w:tr w:rsidR="008A4BCF" w:rsidRPr="00E23AC3" w14:paraId="16292A0B" w14:textId="77777777" w:rsidTr="00B44AC3">
        <w:trPr>
          <w:trHeight w:val="283"/>
        </w:trPr>
        <w:tc>
          <w:tcPr>
            <w:tcW w:w="2891" w:type="pct"/>
            <w:shd w:val="clear" w:color="auto" w:fill="auto"/>
            <w:noWrap/>
            <w:vAlign w:val="center"/>
            <w:hideMark/>
          </w:tcPr>
          <w:p w14:paraId="1036D166" w14:textId="77777777" w:rsidR="008A4BCF" w:rsidRPr="00E23AC3" w:rsidRDefault="008A4BCF" w:rsidP="00B44AC3">
            <w:pPr>
              <w:spacing w:after="0" w:line="240" w:lineRule="auto"/>
              <w:ind w:right="-207"/>
              <w:jc w:val="left"/>
              <w:rPr>
                <w:rFonts w:eastAsia="Calibri" w:cs="Segoe UI"/>
                <w:sz w:val="18"/>
                <w:szCs w:val="18"/>
              </w:rPr>
            </w:pPr>
            <w:r w:rsidRPr="00E23AC3">
              <w:rPr>
                <w:rFonts w:eastAsia="Calibri" w:cs="Segoe UI"/>
                <w:sz w:val="18"/>
                <w:szCs w:val="18"/>
              </w:rPr>
              <w:t>Úrad pre normalizáciu, metrológiu a skúšobníctvo SR</w:t>
            </w:r>
          </w:p>
        </w:tc>
        <w:tc>
          <w:tcPr>
            <w:tcW w:w="700" w:type="pct"/>
            <w:tcBorders>
              <w:top w:val="nil"/>
              <w:left w:val="nil"/>
              <w:bottom w:val="nil"/>
              <w:right w:val="nil"/>
            </w:tcBorders>
            <w:shd w:val="clear" w:color="auto" w:fill="auto"/>
            <w:noWrap/>
            <w:vAlign w:val="center"/>
          </w:tcPr>
          <w:p w14:paraId="220BE915"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1 000</w:t>
            </w:r>
          </w:p>
        </w:tc>
        <w:tc>
          <w:tcPr>
            <w:tcW w:w="708" w:type="pct"/>
            <w:tcBorders>
              <w:top w:val="nil"/>
              <w:left w:val="nil"/>
              <w:bottom w:val="nil"/>
              <w:right w:val="nil"/>
            </w:tcBorders>
            <w:shd w:val="clear" w:color="auto" w:fill="auto"/>
            <w:noWrap/>
            <w:vAlign w:val="center"/>
          </w:tcPr>
          <w:p w14:paraId="3DF998DB"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 xml:space="preserve"> 1 180 </w:t>
            </w:r>
          </w:p>
        </w:tc>
        <w:tc>
          <w:tcPr>
            <w:tcW w:w="701" w:type="pct"/>
            <w:tcBorders>
              <w:top w:val="nil"/>
              <w:left w:val="nil"/>
              <w:bottom w:val="nil"/>
              <w:right w:val="nil"/>
            </w:tcBorders>
            <w:vAlign w:val="center"/>
          </w:tcPr>
          <w:p w14:paraId="2B69D550" w14:textId="77777777" w:rsidR="008A4BCF" w:rsidRPr="00E23AC3" w:rsidDel="007D57B1" w:rsidRDefault="008A4BCF" w:rsidP="00B44AC3">
            <w:pPr>
              <w:spacing w:after="0" w:line="240" w:lineRule="auto"/>
              <w:jc w:val="right"/>
              <w:rPr>
                <w:rFonts w:cs="Segoe UI"/>
                <w:sz w:val="18"/>
                <w:szCs w:val="18"/>
              </w:rPr>
            </w:pPr>
            <w:r>
              <w:rPr>
                <w:rFonts w:cs="Segoe UI"/>
                <w:sz w:val="18"/>
                <w:szCs w:val="18"/>
              </w:rPr>
              <w:t>118,0</w:t>
            </w:r>
          </w:p>
        </w:tc>
      </w:tr>
      <w:tr w:rsidR="008A4BCF" w:rsidRPr="00E23AC3" w14:paraId="7AAE0051" w14:textId="77777777" w:rsidTr="00B44AC3">
        <w:trPr>
          <w:trHeight w:val="283"/>
        </w:trPr>
        <w:tc>
          <w:tcPr>
            <w:tcW w:w="2891" w:type="pct"/>
            <w:shd w:val="clear" w:color="auto" w:fill="auto"/>
            <w:noWrap/>
            <w:vAlign w:val="center"/>
            <w:hideMark/>
          </w:tcPr>
          <w:p w14:paraId="443EA284" w14:textId="77777777" w:rsidR="008A4BCF" w:rsidRPr="00E23AC3" w:rsidRDefault="008A4BCF" w:rsidP="00B44AC3">
            <w:pPr>
              <w:spacing w:after="0" w:line="240" w:lineRule="auto"/>
              <w:jc w:val="left"/>
              <w:rPr>
                <w:rFonts w:eastAsia="Calibri" w:cs="Segoe UI"/>
                <w:sz w:val="18"/>
                <w:szCs w:val="18"/>
              </w:rPr>
            </w:pPr>
            <w:r w:rsidRPr="00E23AC3">
              <w:rPr>
                <w:rFonts w:eastAsia="Calibri" w:cs="Segoe UI"/>
                <w:sz w:val="18"/>
                <w:szCs w:val="18"/>
              </w:rPr>
              <w:t xml:space="preserve">Protimonopolný úrad SR         </w:t>
            </w:r>
          </w:p>
        </w:tc>
        <w:tc>
          <w:tcPr>
            <w:tcW w:w="700" w:type="pct"/>
            <w:tcBorders>
              <w:top w:val="nil"/>
              <w:left w:val="nil"/>
              <w:bottom w:val="nil"/>
              <w:right w:val="nil"/>
            </w:tcBorders>
            <w:shd w:val="clear" w:color="auto" w:fill="auto"/>
            <w:noWrap/>
            <w:vAlign w:val="center"/>
          </w:tcPr>
          <w:p w14:paraId="31ED7679"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1 000</w:t>
            </w:r>
          </w:p>
        </w:tc>
        <w:tc>
          <w:tcPr>
            <w:tcW w:w="708" w:type="pct"/>
            <w:tcBorders>
              <w:top w:val="nil"/>
              <w:left w:val="nil"/>
              <w:bottom w:val="nil"/>
              <w:right w:val="nil"/>
            </w:tcBorders>
            <w:shd w:val="clear" w:color="auto" w:fill="auto"/>
            <w:noWrap/>
            <w:vAlign w:val="center"/>
          </w:tcPr>
          <w:p w14:paraId="7DE6D599"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 xml:space="preserve"> 1 209 </w:t>
            </w:r>
          </w:p>
        </w:tc>
        <w:tc>
          <w:tcPr>
            <w:tcW w:w="701" w:type="pct"/>
            <w:tcBorders>
              <w:top w:val="nil"/>
              <w:left w:val="nil"/>
              <w:bottom w:val="nil"/>
              <w:right w:val="nil"/>
            </w:tcBorders>
            <w:vAlign w:val="center"/>
          </w:tcPr>
          <w:p w14:paraId="1B9D4007" w14:textId="77777777" w:rsidR="008A4BCF" w:rsidRPr="00E23AC3" w:rsidDel="007D57B1" w:rsidRDefault="008A4BCF" w:rsidP="00B44AC3">
            <w:pPr>
              <w:spacing w:after="0" w:line="240" w:lineRule="auto"/>
              <w:jc w:val="right"/>
              <w:rPr>
                <w:rFonts w:cs="Segoe UI"/>
                <w:sz w:val="18"/>
                <w:szCs w:val="18"/>
              </w:rPr>
            </w:pPr>
            <w:r>
              <w:rPr>
                <w:rFonts w:cs="Segoe UI"/>
                <w:sz w:val="18"/>
                <w:szCs w:val="18"/>
              </w:rPr>
              <w:t>120,9</w:t>
            </w:r>
          </w:p>
        </w:tc>
      </w:tr>
      <w:tr w:rsidR="008A4BCF" w:rsidRPr="00E23AC3" w14:paraId="2B3538E9" w14:textId="77777777" w:rsidTr="00B44AC3">
        <w:trPr>
          <w:trHeight w:val="283"/>
        </w:trPr>
        <w:tc>
          <w:tcPr>
            <w:tcW w:w="2891" w:type="pct"/>
            <w:shd w:val="clear" w:color="auto" w:fill="auto"/>
            <w:noWrap/>
            <w:vAlign w:val="center"/>
            <w:hideMark/>
          </w:tcPr>
          <w:p w14:paraId="004F10FA" w14:textId="77777777" w:rsidR="008A4BCF" w:rsidRPr="00E23AC3" w:rsidRDefault="008A4BCF" w:rsidP="00B44AC3">
            <w:pPr>
              <w:spacing w:after="0" w:line="240" w:lineRule="auto"/>
              <w:jc w:val="left"/>
              <w:rPr>
                <w:rFonts w:eastAsia="Calibri" w:cs="Segoe UI"/>
                <w:sz w:val="18"/>
                <w:szCs w:val="18"/>
              </w:rPr>
            </w:pPr>
            <w:r w:rsidRPr="00E23AC3">
              <w:rPr>
                <w:rFonts w:eastAsia="Calibri" w:cs="Segoe UI"/>
                <w:sz w:val="18"/>
                <w:szCs w:val="18"/>
              </w:rPr>
              <w:t xml:space="preserve">Národný bezpečnostný úrad </w:t>
            </w:r>
          </w:p>
        </w:tc>
        <w:tc>
          <w:tcPr>
            <w:tcW w:w="700" w:type="pct"/>
            <w:tcBorders>
              <w:top w:val="nil"/>
              <w:left w:val="nil"/>
              <w:bottom w:val="nil"/>
              <w:right w:val="nil"/>
            </w:tcBorders>
            <w:shd w:val="clear" w:color="auto" w:fill="auto"/>
            <w:noWrap/>
            <w:vAlign w:val="center"/>
          </w:tcPr>
          <w:p w14:paraId="744AE982"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22</w:t>
            </w:r>
          </w:p>
        </w:tc>
        <w:tc>
          <w:tcPr>
            <w:tcW w:w="708" w:type="pct"/>
            <w:tcBorders>
              <w:top w:val="nil"/>
              <w:left w:val="nil"/>
              <w:bottom w:val="nil"/>
              <w:right w:val="nil"/>
            </w:tcBorders>
            <w:shd w:val="clear" w:color="auto" w:fill="auto"/>
            <w:noWrap/>
            <w:vAlign w:val="center"/>
          </w:tcPr>
          <w:p w14:paraId="78ED2440"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 xml:space="preserve"> 45 </w:t>
            </w:r>
          </w:p>
        </w:tc>
        <w:tc>
          <w:tcPr>
            <w:tcW w:w="701" w:type="pct"/>
            <w:tcBorders>
              <w:top w:val="nil"/>
              <w:left w:val="nil"/>
              <w:bottom w:val="nil"/>
              <w:right w:val="nil"/>
            </w:tcBorders>
            <w:vAlign w:val="center"/>
          </w:tcPr>
          <w:p w14:paraId="3C94956D" w14:textId="77777777" w:rsidR="008A4BCF" w:rsidRPr="00E23AC3" w:rsidDel="007D57B1" w:rsidRDefault="008A4BCF" w:rsidP="00B44AC3">
            <w:pPr>
              <w:spacing w:after="0" w:line="240" w:lineRule="auto"/>
              <w:jc w:val="right"/>
              <w:rPr>
                <w:rFonts w:cs="Segoe UI"/>
                <w:sz w:val="18"/>
                <w:szCs w:val="18"/>
              </w:rPr>
            </w:pPr>
            <w:r>
              <w:rPr>
                <w:rFonts w:cs="Segoe UI"/>
                <w:sz w:val="18"/>
                <w:szCs w:val="18"/>
              </w:rPr>
              <w:t>204,5</w:t>
            </w:r>
          </w:p>
        </w:tc>
      </w:tr>
      <w:tr w:rsidR="008A4BCF" w:rsidRPr="00E23AC3" w14:paraId="537B9C12" w14:textId="77777777" w:rsidTr="00B44AC3">
        <w:trPr>
          <w:trHeight w:val="283"/>
        </w:trPr>
        <w:tc>
          <w:tcPr>
            <w:tcW w:w="2891" w:type="pct"/>
            <w:shd w:val="clear" w:color="auto" w:fill="auto"/>
            <w:noWrap/>
            <w:vAlign w:val="center"/>
            <w:hideMark/>
          </w:tcPr>
          <w:p w14:paraId="33D512F8" w14:textId="77777777" w:rsidR="008A4BCF" w:rsidRPr="00E23AC3" w:rsidRDefault="008A4BCF" w:rsidP="00B44AC3">
            <w:pPr>
              <w:spacing w:after="0" w:line="240" w:lineRule="auto"/>
              <w:jc w:val="left"/>
              <w:rPr>
                <w:rFonts w:eastAsia="Calibri" w:cs="Segoe UI"/>
                <w:sz w:val="18"/>
                <w:szCs w:val="18"/>
              </w:rPr>
            </w:pPr>
            <w:r w:rsidRPr="00E23AC3">
              <w:rPr>
                <w:rFonts w:eastAsia="Calibri" w:cs="Segoe UI"/>
                <w:sz w:val="18"/>
                <w:szCs w:val="18"/>
              </w:rPr>
              <w:t>Správa štátnych hmotných rezerv SR</w:t>
            </w:r>
          </w:p>
        </w:tc>
        <w:tc>
          <w:tcPr>
            <w:tcW w:w="700" w:type="pct"/>
            <w:tcBorders>
              <w:top w:val="nil"/>
              <w:left w:val="nil"/>
              <w:bottom w:val="nil"/>
              <w:right w:val="nil"/>
            </w:tcBorders>
            <w:shd w:val="clear" w:color="auto" w:fill="auto"/>
            <w:noWrap/>
            <w:vAlign w:val="center"/>
          </w:tcPr>
          <w:p w14:paraId="10458325"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600</w:t>
            </w:r>
          </w:p>
        </w:tc>
        <w:tc>
          <w:tcPr>
            <w:tcW w:w="708" w:type="pct"/>
            <w:tcBorders>
              <w:top w:val="nil"/>
              <w:left w:val="nil"/>
              <w:bottom w:val="nil"/>
              <w:right w:val="nil"/>
            </w:tcBorders>
            <w:shd w:val="clear" w:color="auto" w:fill="auto"/>
            <w:noWrap/>
            <w:vAlign w:val="center"/>
          </w:tcPr>
          <w:p w14:paraId="55C4EE1E"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 xml:space="preserve"> 755 </w:t>
            </w:r>
          </w:p>
        </w:tc>
        <w:tc>
          <w:tcPr>
            <w:tcW w:w="701" w:type="pct"/>
            <w:tcBorders>
              <w:top w:val="nil"/>
              <w:left w:val="nil"/>
              <w:bottom w:val="nil"/>
              <w:right w:val="nil"/>
            </w:tcBorders>
            <w:vAlign w:val="center"/>
          </w:tcPr>
          <w:p w14:paraId="7EEFE044" w14:textId="77777777" w:rsidR="008A4BCF" w:rsidRPr="00E23AC3" w:rsidDel="007D57B1" w:rsidRDefault="008A4BCF" w:rsidP="00B44AC3">
            <w:pPr>
              <w:spacing w:after="0" w:line="240" w:lineRule="auto"/>
              <w:jc w:val="right"/>
              <w:rPr>
                <w:rFonts w:cs="Segoe UI"/>
                <w:sz w:val="18"/>
                <w:szCs w:val="18"/>
              </w:rPr>
            </w:pPr>
            <w:r>
              <w:rPr>
                <w:rFonts w:cs="Segoe UI"/>
                <w:sz w:val="18"/>
                <w:szCs w:val="18"/>
              </w:rPr>
              <w:t>125,8</w:t>
            </w:r>
          </w:p>
        </w:tc>
      </w:tr>
      <w:tr w:rsidR="008A4BCF" w:rsidRPr="00E23AC3" w14:paraId="6E634CB7" w14:textId="77777777" w:rsidTr="00B44AC3">
        <w:trPr>
          <w:trHeight w:val="283"/>
        </w:trPr>
        <w:tc>
          <w:tcPr>
            <w:tcW w:w="2891" w:type="pct"/>
            <w:shd w:val="clear" w:color="auto" w:fill="auto"/>
            <w:noWrap/>
            <w:vAlign w:val="center"/>
            <w:hideMark/>
          </w:tcPr>
          <w:p w14:paraId="481F32AF" w14:textId="77777777" w:rsidR="008A4BCF" w:rsidRPr="00E23AC3" w:rsidRDefault="008A4BCF" w:rsidP="00B44AC3">
            <w:pPr>
              <w:spacing w:after="0" w:line="240" w:lineRule="auto"/>
              <w:jc w:val="left"/>
              <w:rPr>
                <w:rFonts w:eastAsia="Calibri" w:cs="Segoe UI"/>
                <w:sz w:val="18"/>
                <w:szCs w:val="18"/>
              </w:rPr>
            </w:pPr>
            <w:r w:rsidRPr="00E23AC3">
              <w:rPr>
                <w:rFonts w:eastAsia="Calibri" w:cs="Segoe UI"/>
                <w:sz w:val="18"/>
                <w:szCs w:val="18"/>
              </w:rPr>
              <w:t>Všeobecná pokladničná správa</w:t>
            </w:r>
          </w:p>
        </w:tc>
        <w:tc>
          <w:tcPr>
            <w:tcW w:w="700" w:type="pct"/>
            <w:tcBorders>
              <w:top w:val="nil"/>
              <w:left w:val="nil"/>
              <w:right w:val="nil"/>
            </w:tcBorders>
            <w:shd w:val="clear" w:color="auto" w:fill="auto"/>
            <w:noWrap/>
            <w:vAlign w:val="center"/>
          </w:tcPr>
          <w:p w14:paraId="6FE83CBC"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20 848 118</w:t>
            </w:r>
          </w:p>
        </w:tc>
        <w:tc>
          <w:tcPr>
            <w:tcW w:w="708" w:type="pct"/>
            <w:tcBorders>
              <w:top w:val="nil"/>
              <w:left w:val="nil"/>
              <w:right w:val="nil"/>
            </w:tcBorders>
            <w:shd w:val="clear" w:color="auto" w:fill="auto"/>
            <w:noWrap/>
            <w:vAlign w:val="center"/>
          </w:tcPr>
          <w:p w14:paraId="3B6EFE58"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 xml:space="preserve"> 18 825 5</w:t>
            </w:r>
            <w:r>
              <w:rPr>
                <w:rFonts w:cs="Segoe UI"/>
                <w:sz w:val="18"/>
                <w:szCs w:val="18"/>
              </w:rPr>
              <w:t>25</w:t>
            </w:r>
            <w:r w:rsidRPr="00DB26F8">
              <w:rPr>
                <w:rFonts w:cs="Segoe UI"/>
                <w:sz w:val="18"/>
                <w:szCs w:val="18"/>
              </w:rPr>
              <w:t xml:space="preserve"> </w:t>
            </w:r>
          </w:p>
        </w:tc>
        <w:tc>
          <w:tcPr>
            <w:tcW w:w="701" w:type="pct"/>
            <w:tcBorders>
              <w:top w:val="nil"/>
              <w:left w:val="nil"/>
              <w:right w:val="nil"/>
            </w:tcBorders>
            <w:vAlign w:val="center"/>
          </w:tcPr>
          <w:p w14:paraId="2C204E29" w14:textId="77777777" w:rsidR="008A4BCF" w:rsidRPr="00E23AC3" w:rsidDel="007D57B1" w:rsidRDefault="008A4BCF" w:rsidP="00B44AC3">
            <w:pPr>
              <w:spacing w:after="0" w:line="240" w:lineRule="auto"/>
              <w:jc w:val="right"/>
              <w:rPr>
                <w:rFonts w:cs="Segoe UI"/>
                <w:sz w:val="18"/>
                <w:szCs w:val="18"/>
              </w:rPr>
            </w:pPr>
            <w:r>
              <w:rPr>
                <w:rFonts w:cs="Segoe UI"/>
                <w:sz w:val="18"/>
                <w:szCs w:val="18"/>
              </w:rPr>
              <w:t>90,3</w:t>
            </w:r>
          </w:p>
        </w:tc>
      </w:tr>
      <w:tr w:rsidR="008A4BCF" w:rsidRPr="00E23AC3" w14:paraId="04283A29" w14:textId="77777777" w:rsidTr="00B44AC3">
        <w:trPr>
          <w:trHeight w:val="283"/>
        </w:trPr>
        <w:tc>
          <w:tcPr>
            <w:tcW w:w="2891" w:type="pct"/>
            <w:shd w:val="clear" w:color="auto" w:fill="auto"/>
            <w:noWrap/>
            <w:vAlign w:val="center"/>
            <w:hideMark/>
          </w:tcPr>
          <w:p w14:paraId="7282EFCE" w14:textId="77777777" w:rsidR="008A4BCF" w:rsidRPr="00E23AC3" w:rsidRDefault="008A4BCF" w:rsidP="00B44AC3">
            <w:pPr>
              <w:spacing w:after="0" w:line="240" w:lineRule="auto"/>
              <w:jc w:val="left"/>
              <w:rPr>
                <w:rFonts w:eastAsia="Calibri" w:cs="Segoe UI"/>
                <w:sz w:val="18"/>
                <w:szCs w:val="18"/>
              </w:rPr>
            </w:pPr>
            <w:r w:rsidRPr="00E23AC3">
              <w:rPr>
                <w:rFonts w:eastAsia="Calibri" w:cs="Segoe UI"/>
                <w:sz w:val="18"/>
                <w:szCs w:val="18"/>
              </w:rPr>
              <w:t xml:space="preserve">Slovenská akadémia vied        </w:t>
            </w:r>
          </w:p>
        </w:tc>
        <w:tc>
          <w:tcPr>
            <w:tcW w:w="700" w:type="pct"/>
            <w:tcBorders>
              <w:top w:val="nil"/>
              <w:left w:val="nil"/>
              <w:bottom w:val="nil"/>
              <w:right w:val="nil"/>
            </w:tcBorders>
            <w:shd w:val="clear" w:color="auto" w:fill="auto"/>
            <w:noWrap/>
            <w:vAlign w:val="center"/>
          </w:tcPr>
          <w:p w14:paraId="24369E42"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10 500</w:t>
            </w:r>
          </w:p>
        </w:tc>
        <w:tc>
          <w:tcPr>
            <w:tcW w:w="708" w:type="pct"/>
            <w:tcBorders>
              <w:top w:val="nil"/>
              <w:left w:val="nil"/>
              <w:bottom w:val="nil"/>
              <w:right w:val="nil"/>
            </w:tcBorders>
            <w:shd w:val="clear" w:color="auto" w:fill="auto"/>
            <w:noWrap/>
            <w:vAlign w:val="center"/>
          </w:tcPr>
          <w:p w14:paraId="5E621D85"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 xml:space="preserve"> 262 </w:t>
            </w:r>
          </w:p>
        </w:tc>
        <w:tc>
          <w:tcPr>
            <w:tcW w:w="701" w:type="pct"/>
            <w:tcBorders>
              <w:top w:val="nil"/>
              <w:left w:val="nil"/>
              <w:bottom w:val="nil"/>
              <w:right w:val="nil"/>
            </w:tcBorders>
            <w:vAlign w:val="center"/>
          </w:tcPr>
          <w:p w14:paraId="75136575" w14:textId="77777777" w:rsidR="008A4BCF" w:rsidRPr="00E23AC3" w:rsidDel="007D57B1" w:rsidRDefault="008A4BCF" w:rsidP="00B44AC3">
            <w:pPr>
              <w:spacing w:after="0" w:line="240" w:lineRule="auto"/>
              <w:jc w:val="right"/>
              <w:rPr>
                <w:rFonts w:cs="Segoe UI"/>
                <w:sz w:val="18"/>
                <w:szCs w:val="18"/>
              </w:rPr>
            </w:pPr>
            <w:r>
              <w:rPr>
                <w:rFonts w:cs="Segoe UI"/>
                <w:sz w:val="18"/>
                <w:szCs w:val="18"/>
              </w:rPr>
              <w:t>2,5</w:t>
            </w:r>
          </w:p>
        </w:tc>
      </w:tr>
      <w:tr w:rsidR="008A4BCF" w:rsidRPr="00E23AC3" w14:paraId="28099640" w14:textId="77777777" w:rsidTr="00B44AC3">
        <w:trPr>
          <w:trHeight w:val="283"/>
        </w:trPr>
        <w:tc>
          <w:tcPr>
            <w:tcW w:w="2891" w:type="pct"/>
            <w:shd w:val="clear" w:color="auto" w:fill="auto"/>
            <w:noWrap/>
            <w:vAlign w:val="center"/>
            <w:hideMark/>
          </w:tcPr>
          <w:p w14:paraId="164BE5BA" w14:textId="77777777" w:rsidR="008A4BCF" w:rsidRPr="00E23AC3" w:rsidRDefault="008A4BCF" w:rsidP="00B44AC3">
            <w:pPr>
              <w:spacing w:after="0" w:line="240" w:lineRule="auto"/>
              <w:jc w:val="left"/>
              <w:rPr>
                <w:rFonts w:eastAsia="Calibri" w:cs="Segoe UI"/>
                <w:sz w:val="18"/>
                <w:szCs w:val="18"/>
              </w:rPr>
            </w:pPr>
            <w:r w:rsidRPr="00E23AC3">
              <w:rPr>
                <w:rFonts w:eastAsia="Calibri" w:cs="Segoe UI"/>
                <w:sz w:val="18"/>
                <w:szCs w:val="18"/>
              </w:rPr>
              <w:t>Kancelária súdnej rady SR</w:t>
            </w:r>
          </w:p>
        </w:tc>
        <w:tc>
          <w:tcPr>
            <w:tcW w:w="700" w:type="pct"/>
            <w:tcBorders>
              <w:top w:val="nil"/>
              <w:left w:val="nil"/>
              <w:bottom w:val="nil"/>
              <w:right w:val="nil"/>
            </w:tcBorders>
            <w:shd w:val="clear" w:color="auto" w:fill="auto"/>
            <w:noWrap/>
            <w:vAlign w:val="center"/>
          </w:tcPr>
          <w:p w14:paraId="78B8D833"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0</w:t>
            </w:r>
          </w:p>
        </w:tc>
        <w:tc>
          <w:tcPr>
            <w:tcW w:w="708" w:type="pct"/>
            <w:tcBorders>
              <w:top w:val="nil"/>
              <w:left w:val="nil"/>
              <w:bottom w:val="nil"/>
              <w:right w:val="nil"/>
            </w:tcBorders>
            <w:shd w:val="clear" w:color="auto" w:fill="auto"/>
            <w:noWrap/>
            <w:vAlign w:val="center"/>
          </w:tcPr>
          <w:p w14:paraId="664B0F3E"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 xml:space="preserve"> 3 </w:t>
            </w:r>
          </w:p>
        </w:tc>
        <w:tc>
          <w:tcPr>
            <w:tcW w:w="701" w:type="pct"/>
            <w:tcBorders>
              <w:top w:val="nil"/>
              <w:left w:val="nil"/>
              <w:bottom w:val="nil"/>
              <w:right w:val="nil"/>
            </w:tcBorders>
            <w:vAlign w:val="center"/>
          </w:tcPr>
          <w:p w14:paraId="68949AF5" w14:textId="77777777" w:rsidR="008A4BCF" w:rsidRPr="00E23AC3" w:rsidDel="007D57B1" w:rsidRDefault="008A4BCF" w:rsidP="00B44AC3">
            <w:pPr>
              <w:spacing w:after="0" w:line="240" w:lineRule="auto"/>
              <w:jc w:val="right"/>
              <w:rPr>
                <w:rFonts w:cs="Segoe UI"/>
                <w:sz w:val="18"/>
                <w:szCs w:val="18"/>
              </w:rPr>
            </w:pPr>
            <w:r>
              <w:rPr>
                <w:rFonts w:cs="Segoe UI"/>
                <w:sz w:val="18"/>
                <w:szCs w:val="18"/>
              </w:rPr>
              <w:t>-</w:t>
            </w:r>
          </w:p>
        </w:tc>
      </w:tr>
      <w:tr w:rsidR="008A4BCF" w:rsidRPr="00E23AC3" w14:paraId="708667BD" w14:textId="77777777" w:rsidTr="00B44AC3">
        <w:trPr>
          <w:trHeight w:val="283"/>
        </w:trPr>
        <w:tc>
          <w:tcPr>
            <w:tcW w:w="2891" w:type="pct"/>
            <w:shd w:val="clear" w:color="auto" w:fill="auto"/>
            <w:noWrap/>
            <w:vAlign w:val="center"/>
            <w:hideMark/>
          </w:tcPr>
          <w:p w14:paraId="12D5E8A6" w14:textId="77777777" w:rsidR="008A4BCF" w:rsidRPr="00E23AC3" w:rsidRDefault="008A4BCF" w:rsidP="00B44AC3">
            <w:pPr>
              <w:spacing w:after="0" w:line="240" w:lineRule="auto"/>
              <w:jc w:val="left"/>
              <w:rPr>
                <w:rFonts w:eastAsia="Calibri" w:cs="Segoe UI"/>
                <w:sz w:val="18"/>
                <w:szCs w:val="18"/>
              </w:rPr>
            </w:pPr>
            <w:r w:rsidRPr="00E23AC3">
              <w:rPr>
                <w:rFonts w:eastAsia="Calibri" w:cs="Segoe UI"/>
                <w:sz w:val="18"/>
                <w:szCs w:val="18"/>
              </w:rPr>
              <w:t>Kancelária Najvyššieho správneho súdu SR</w:t>
            </w:r>
          </w:p>
        </w:tc>
        <w:tc>
          <w:tcPr>
            <w:tcW w:w="700" w:type="pct"/>
            <w:tcBorders>
              <w:top w:val="nil"/>
              <w:left w:val="nil"/>
              <w:right w:val="nil"/>
            </w:tcBorders>
            <w:shd w:val="clear" w:color="auto" w:fill="auto"/>
            <w:noWrap/>
            <w:vAlign w:val="center"/>
          </w:tcPr>
          <w:p w14:paraId="334AE227"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0</w:t>
            </w:r>
          </w:p>
        </w:tc>
        <w:tc>
          <w:tcPr>
            <w:tcW w:w="708" w:type="pct"/>
            <w:tcBorders>
              <w:top w:val="nil"/>
              <w:left w:val="nil"/>
              <w:right w:val="nil"/>
            </w:tcBorders>
            <w:shd w:val="clear" w:color="auto" w:fill="auto"/>
            <w:noWrap/>
            <w:vAlign w:val="center"/>
          </w:tcPr>
          <w:p w14:paraId="5AD2AE56" w14:textId="77777777" w:rsidR="008A4BCF" w:rsidRPr="00E23AC3" w:rsidRDefault="008A4BCF" w:rsidP="00B44AC3">
            <w:pPr>
              <w:spacing w:after="0" w:line="240" w:lineRule="auto"/>
              <w:jc w:val="right"/>
              <w:rPr>
                <w:rFonts w:eastAsia="Calibri" w:cs="Segoe UI"/>
                <w:sz w:val="18"/>
                <w:szCs w:val="18"/>
              </w:rPr>
            </w:pPr>
            <w:r w:rsidRPr="00DB26F8">
              <w:rPr>
                <w:rFonts w:cs="Segoe UI"/>
                <w:sz w:val="18"/>
                <w:szCs w:val="18"/>
              </w:rPr>
              <w:t xml:space="preserve"> 23 </w:t>
            </w:r>
          </w:p>
        </w:tc>
        <w:tc>
          <w:tcPr>
            <w:tcW w:w="701" w:type="pct"/>
            <w:tcBorders>
              <w:top w:val="nil"/>
              <w:left w:val="nil"/>
              <w:right w:val="nil"/>
            </w:tcBorders>
            <w:vAlign w:val="center"/>
          </w:tcPr>
          <w:p w14:paraId="5F76ED9C" w14:textId="77777777" w:rsidR="008A4BCF" w:rsidRPr="00E23AC3" w:rsidDel="007D57B1" w:rsidRDefault="008A4BCF" w:rsidP="00B44AC3">
            <w:pPr>
              <w:spacing w:after="0" w:line="240" w:lineRule="auto"/>
              <w:jc w:val="right"/>
              <w:rPr>
                <w:rFonts w:cs="Segoe UI"/>
                <w:sz w:val="18"/>
                <w:szCs w:val="18"/>
              </w:rPr>
            </w:pPr>
            <w:r>
              <w:rPr>
                <w:rFonts w:cs="Segoe UI"/>
                <w:sz w:val="18"/>
                <w:szCs w:val="18"/>
              </w:rPr>
              <w:t>-</w:t>
            </w:r>
          </w:p>
        </w:tc>
      </w:tr>
      <w:tr w:rsidR="008A4BCF" w:rsidRPr="00E23AC3" w14:paraId="7F36740F" w14:textId="77777777" w:rsidTr="00B44AC3">
        <w:trPr>
          <w:trHeight w:val="283"/>
        </w:trPr>
        <w:tc>
          <w:tcPr>
            <w:tcW w:w="2891" w:type="pct"/>
            <w:tcBorders>
              <w:bottom w:val="single" w:sz="4" w:space="0" w:color="314364" w:themeColor="text2"/>
            </w:tcBorders>
            <w:shd w:val="clear" w:color="auto" w:fill="auto"/>
            <w:noWrap/>
            <w:vAlign w:val="center"/>
          </w:tcPr>
          <w:p w14:paraId="6F46B757" w14:textId="77777777" w:rsidR="008A4BCF" w:rsidRPr="00E23AC3" w:rsidRDefault="008A4BCF" w:rsidP="00B44AC3">
            <w:pPr>
              <w:spacing w:after="0" w:line="240" w:lineRule="auto"/>
              <w:jc w:val="left"/>
              <w:rPr>
                <w:rFonts w:eastAsia="Calibri" w:cs="Segoe UI"/>
                <w:sz w:val="18"/>
                <w:szCs w:val="18"/>
              </w:rPr>
            </w:pPr>
            <w:r w:rsidRPr="00E23AC3">
              <w:rPr>
                <w:rFonts w:eastAsia="Calibri" w:cs="Segoe UI"/>
                <w:sz w:val="18"/>
                <w:szCs w:val="18"/>
              </w:rPr>
              <w:t>Úrad pre územné plánovanie a výstavbu SR</w:t>
            </w:r>
          </w:p>
        </w:tc>
        <w:tc>
          <w:tcPr>
            <w:tcW w:w="700" w:type="pct"/>
            <w:tcBorders>
              <w:top w:val="nil"/>
              <w:left w:val="nil"/>
              <w:bottom w:val="single" w:sz="4" w:space="0" w:color="314364" w:themeColor="text2"/>
              <w:right w:val="nil"/>
            </w:tcBorders>
            <w:shd w:val="clear" w:color="auto" w:fill="auto"/>
            <w:noWrap/>
            <w:vAlign w:val="center"/>
          </w:tcPr>
          <w:p w14:paraId="06F48436" w14:textId="77777777" w:rsidR="008A4BCF" w:rsidRPr="00E23AC3" w:rsidDel="007D57B1" w:rsidRDefault="008A4BCF" w:rsidP="00B44AC3">
            <w:pPr>
              <w:spacing w:after="0" w:line="240" w:lineRule="auto"/>
              <w:jc w:val="right"/>
              <w:rPr>
                <w:rFonts w:cs="Segoe UI"/>
                <w:sz w:val="18"/>
                <w:szCs w:val="18"/>
              </w:rPr>
            </w:pPr>
            <w:r w:rsidRPr="00DB26F8">
              <w:rPr>
                <w:rFonts w:cs="Segoe UI"/>
                <w:sz w:val="18"/>
                <w:szCs w:val="18"/>
              </w:rPr>
              <w:t>0</w:t>
            </w:r>
          </w:p>
        </w:tc>
        <w:tc>
          <w:tcPr>
            <w:tcW w:w="708" w:type="pct"/>
            <w:tcBorders>
              <w:top w:val="nil"/>
              <w:left w:val="nil"/>
              <w:bottom w:val="single" w:sz="4" w:space="0" w:color="314364" w:themeColor="text2"/>
              <w:right w:val="nil"/>
            </w:tcBorders>
            <w:shd w:val="clear" w:color="auto" w:fill="auto"/>
            <w:noWrap/>
            <w:vAlign w:val="center"/>
          </w:tcPr>
          <w:p w14:paraId="6D80CBFA" w14:textId="77777777" w:rsidR="008A4BCF" w:rsidRPr="00E23AC3" w:rsidRDefault="008A4BCF" w:rsidP="00B44AC3">
            <w:pPr>
              <w:spacing w:after="0" w:line="240" w:lineRule="auto"/>
              <w:jc w:val="right"/>
              <w:rPr>
                <w:rFonts w:cs="Segoe UI"/>
                <w:sz w:val="18"/>
                <w:szCs w:val="18"/>
              </w:rPr>
            </w:pPr>
            <w:r w:rsidRPr="00DB26F8">
              <w:rPr>
                <w:rFonts w:cs="Segoe UI"/>
                <w:sz w:val="18"/>
                <w:szCs w:val="18"/>
              </w:rPr>
              <w:t xml:space="preserve"> 198 </w:t>
            </w:r>
          </w:p>
        </w:tc>
        <w:tc>
          <w:tcPr>
            <w:tcW w:w="701" w:type="pct"/>
            <w:tcBorders>
              <w:top w:val="nil"/>
              <w:left w:val="nil"/>
              <w:bottom w:val="single" w:sz="4" w:space="0" w:color="314364" w:themeColor="text2"/>
              <w:right w:val="nil"/>
            </w:tcBorders>
            <w:vAlign w:val="center"/>
          </w:tcPr>
          <w:p w14:paraId="011E3727" w14:textId="77777777" w:rsidR="008A4BCF" w:rsidRPr="00E23AC3" w:rsidDel="007D57B1" w:rsidRDefault="008A4BCF" w:rsidP="00B44AC3">
            <w:pPr>
              <w:spacing w:after="0" w:line="240" w:lineRule="auto"/>
              <w:jc w:val="right"/>
              <w:rPr>
                <w:rFonts w:cs="Segoe UI"/>
                <w:sz w:val="18"/>
                <w:szCs w:val="18"/>
              </w:rPr>
            </w:pPr>
            <w:r>
              <w:rPr>
                <w:rFonts w:cs="Segoe UI"/>
                <w:sz w:val="18"/>
                <w:szCs w:val="18"/>
              </w:rPr>
              <w:t>-</w:t>
            </w:r>
          </w:p>
        </w:tc>
      </w:tr>
      <w:tr w:rsidR="008A4BCF" w:rsidRPr="00E23AC3" w14:paraId="6FB53642" w14:textId="77777777" w:rsidTr="00B44AC3">
        <w:trPr>
          <w:trHeight w:val="283"/>
        </w:trPr>
        <w:tc>
          <w:tcPr>
            <w:tcW w:w="2891" w:type="pct"/>
            <w:tcBorders>
              <w:top w:val="single" w:sz="4" w:space="0" w:color="314364" w:themeColor="text2"/>
              <w:bottom w:val="single" w:sz="4" w:space="0" w:color="auto"/>
            </w:tcBorders>
            <w:shd w:val="clear" w:color="auto" w:fill="auto"/>
            <w:noWrap/>
            <w:vAlign w:val="center"/>
          </w:tcPr>
          <w:p w14:paraId="670F59AF" w14:textId="77777777" w:rsidR="008A4BCF" w:rsidRPr="00E23AC3" w:rsidRDefault="008A4BCF" w:rsidP="00B44AC3">
            <w:pPr>
              <w:spacing w:after="0" w:line="240" w:lineRule="auto"/>
              <w:jc w:val="left"/>
              <w:rPr>
                <w:rFonts w:eastAsia="Calibri" w:cs="Segoe UI"/>
                <w:sz w:val="18"/>
                <w:szCs w:val="18"/>
              </w:rPr>
            </w:pPr>
            <w:r w:rsidRPr="00E23AC3">
              <w:rPr>
                <w:rFonts w:eastAsia="Calibri" w:cs="Segoe UI"/>
                <w:b/>
                <w:sz w:val="18"/>
                <w:szCs w:val="18"/>
              </w:rPr>
              <w:t xml:space="preserve">SPOLU </w:t>
            </w:r>
          </w:p>
        </w:tc>
        <w:tc>
          <w:tcPr>
            <w:tcW w:w="700" w:type="pct"/>
            <w:tcBorders>
              <w:top w:val="single" w:sz="4" w:space="0" w:color="314364" w:themeColor="text2"/>
              <w:left w:val="nil"/>
              <w:bottom w:val="single" w:sz="4" w:space="0" w:color="auto"/>
              <w:right w:val="nil"/>
            </w:tcBorders>
            <w:shd w:val="clear" w:color="auto" w:fill="auto"/>
            <w:noWrap/>
            <w:vAlign w:val="center"/>
          </w:tcPr>
          <w:p w14:paraId="52F08C14" w14:textId="77777777" w:rsidR="008A4BCF" w:rsidRPr="00DB26F8" w:rsidDel="007D57B1" w:rsidRDefault="008A4BCF" w:rsidP="00B44AC3">
            <w:pPr>
              <w:spacing w:after="0" w:line="240" w:lineRule="auto"/>
              <w:jc w:val="right"/>
              <w:rPr>
                <w:rFonts w:cs="Segoe UI"/>
                <w:b/>
                <w:sz w:val="18"/>
                <w:szCs w:val="18"/>
              </w:rPr>
            </w:pPr>
            <w:r>
              <w:rPr>
                <w:rFonts w:cs="Segoe UI"/>
                <w:b/>
                <w:sz w:val="18"/>
                <w:szCs w:val="18"/>
              </w:rPr>
              <w:t>26 699 184</w:t>
            </w:r>
          </w:p>
        </w:tc>
        <w:tc>
          <w:tcPr>
            <w:tcW w:w="708" w:type="pct"/>
            <w:tcBorders>
              <w:top w:val="single" w:sz="4" w:space="0" w:color="314364" w:themeColor="text2"/>
              <w:left w:val="nil"/>
              <w:bottom w:val="single" w:sz="4" w:space="0" w:color="auto"/>
              <w:right w:val="nil"/>
            </w:tcBorders>
            <w:shd w:val="clear" w:color="auto" w:fill="auto"/>
            <w:noWrap/>
            <w:vAlign w:val="center"/>
          </w:tcPr>
          <w:p w14:paraId="713ABE9E" w14:textId="77777777" w:rsidR="008A4BCF" w:rsidRPr="00DB26F8" w:rsidDel="007D57B1" w:rsidRDefault="008A4BCF" w:rsidP="00B44AC3">
            <w:pPr>
              <w:spacing w:after="0" w:line="240" w:lineRule="auto"/>
              <w:jc w:val="right"/>
              <w:rPr>
                <w:rFonts w:cs="Segoe UI"/>
                <w:b/>
                <w:sz w:val="18"/>
                <w:szCs w:val="18"/>
              </w:rPr>
            </w:pPr>
            <w:r>
              <w:rPr>
                <w:rFonts w:cs="Segoe UI"/>
                <w:b/>
                <w:sz w:val="18"/>
                <w:szCs w:val="18"/>
              </w:rPr>
              <w:t>23 688 645</w:t>
            </w:r>
          </w:p>
        </w:tc>
        <w:tc>
          <w:tcPr>
            <w:tcW w:w="701" w:type="pct"/>
            <w:tcBorders>
              <w:top w:val="single" w:sz="4" w:space="0" w:color="314364" w:themeColor="text2"/>
              <w:left w:val="nil"/>
              <w:bottom w:val="single" w:sz="4" w:space="0" w:color="auto"/>
              <w:right w:val="nil"/>
            </w:tcBorders>
            <w:vAlign w:val="center"/>
          </w:tcPr>
          <w:p w14:paraId="75AFAE0E" w14:textId="77777777" w:rsidR="008A4BCF" w:rsidRPr="00E23AC3" w:rsidDel="007D57B1" w:rsidRDefault="008A4BCF" w:rsidP="00B44AC3">
            <w:pPr>
              <w:spacing w:after="0" w:line="240" w:lineRule="auto"/>
              <w:jc w:val="right"/>
              <w:rPr>
                <w:rFonts w:cs="Segoe UI"/>
                <w:b/>
                <w:sz w:val="18"/>
                <w:szCs w:val="18"/>
              </w:rPr>
            </w:pPr>
            <w:r>
              <w:rPr>
                <w:rFonts w:cs="Segoe UI"/>
                <w:b/>
                <w:sz w:val="18"/>
                <w:szCs w:val="18"/>
              </w:rPr>
              <w:t>88,7</w:t>
            </w:r>
          </w:p>
        </w:tc>
      </w:tr>
    </w:tbl>
    <w:p w14:paraId="15EF86D4" w14:textId="77777777" w:rsidR="008A4BCF" w:rsidRDefault="008A4BCF" w:rsidP="008A4BCF">
      <w:pPr>
        <w:pStyle w:val="Zdroj"/>
        <w:spacing w:after="0"/>
      </w:pPr>
      <w:r>
        <w:t>Zdroj: Návrh ŠZÚ 2023.</w:t>
      </w:r>
    </w:p>
    <w:p w14:paraId="21142871" w14:textId="77777777" w:rsidR="008A4BCF" w:rsidRDefault="008A4BCF" w:rsidP="008A4BCF">
      <w:pPr>
        <w:pStyle w:val="Zdroj"/>
        <w:spacing w:after="0"/>
      </w:pPr>
      <w:r w:rsidRPr="007A7DFF">
        <w:t>S – skutočnosť, R – rozpočet</w:t>
      </w:r>
    </w:p>
    <w:p w14:paraId="1D603E16" w14:textId="77777777" w:rsidR="008A4BCF" w:rsidRDefault="008A4BCF" w:rsidP="008A4BCF">
      <w:pPr>
        <w:pStyle w:val="Zdroj"/>
      </w:pPr>
      <w:r>
        <w:br w:type="page"/>
      </w:r>
    </w:p>
    <w:p w14:paraId="103A8CF7" w14:textId="77777777" w:rsidR="008A4BCF" w:rsidRDefault="008A4BCF" w:rsidP="008A4BCF">
      <w:pPr>
        <w:pStyle w:val="Popis"/>
        <w:keepNext/>
      </w:pPr>
      <w:r w:rsidRPr="00EA4CBA">
        <w:lastRenderedPageBreak/>
        <w:t xml:space="preserve">Tabuľka </w:t>
      </w:r>
      <w:r>
        <w:t>6: Výdavky podľa kapitol ŠR na hotovostnej báze za rok 2023</w:t>
      </w:r>
      <w:r w:rsidRPr="00A8009D">
        <w:t xml:space="preserve"> </w:t>
      </w:r>
      <w:r>
        <w:t>(</w:t>
      </w:r>
      <w:r w:rsidRPr="00A8009D">
        <w:t>v tis. eur</w:t>
      </w:r>
      <w:r>
        <w:t>)</w:t>
      </w:r>
    </w:p>
    <w:tbl>
      <w:tblPr>
        <w:tblW w:w="0" w:type="auto"/>
        <w:tblBorders>
          <w:bottom w:val="single" w:sz="4" w:space="0" w:color="314364" w:themeColor="text2"/>
        </w:tblBorders>
        <w:tblLayout w:type="fixed"/>
        <w:tblCellMar>
          <w:left w:w="70" w:type="dxa"/>
          <w:right w:w="70" w:type="dxa"/>
        </w:tblCellMar>
        <w:tblLook w:val="04A0" w:firstRow="1" w:lastRow="0" w:firstColumn="1" w:lastColumn="0" w:noHBand="0" w:noVBand="1"/>
      </w:tblPr>
      <w:tblGrid>
        <w:gridCol w:w="5387"/>
        <w:gridCol w:w="1134"/>
        <w:gridCol w:w="1276"/>
        <w:gridCol w:w="1273"/>
      </w:tblGrid>
      <w:tr w:rsidR="008A4BCF" w:rsidRPr="00C8044F" w14:paraId="550FC7BE" w14:textId="77777777" w:rsidTr="00B44AC3">
        <w:trPr>
          <w:trHeight w:val="283"/>
        </w:trPr>
        <w:tc>
          <w:tcPr>
            <w:tcW w:w="5387" w:type="dxa"/>
            <w:shd w:val="clear" w:color="auto" w:fill="314364"/>
            <w:noWrap/>
            <w:vAlign w:val="center"/>
          </w:tcPr>
          <w:p w14:paraId="313E9156" w14:textId="77777777" w:rsidR="008A4BCF" w:rsidRPr="00C8044F" w:rsidRDefault="008A4BCF" w:rsidP="00B44AC3">
            <w:pPr>
              <w:spacing w:after="0" w:line="240" w:lineRule="auto"/>
              <w:jc w:val="left"/>
              <w:rPr>
                <w:rFonts w:eastAsia="Times New Roman" w:cs="Segoe UI"/>
                <w:b/>
                <w:color w:val="FFFFFF"/>
                <w:sz w:val="18"/>
                <w:szCs w:val="18"/>
                <w:lang w:eastAsia="sk-SK"/>
              </w:rPr>
            </w:pPr>
            <w:r w:rsidRPr="00C8044F">
              <w:rPr>
                <w:rFonts w:eastAsia="Times New Roman" w:cs="Segoe UI"/>
                <w:b/>
                <w:color w:val="FFFFFF"/>
                <w:sz w:val="18"/>
                <w:szCs w:val="18"/>
                <w:lang w:eastAsia="sk-SK"/>
              </w:rPr>
              <w:t xml:space="preserve">Výdavky kapitol ŠR </w:t>
            </w:r>
          </w:p>
        </w:tc>
        <w:tc>
          <w:tcPr>
            <w:tcW w:w="1134" w:type="dxa"/>
            <w:shd w:val="clear" w:color="auto" w:fill="314364"/>
            <w:noWrap/>
            <w:vAlign w:val="center"/>
          </w:tcPr>
          <w:p w14:paraId="485A4D29" w14:textId="77777777" w:rsidR="008A4BCF" w:rsidRPr="00C8044F" w:rsidRDefault="008A4BCF" w:rsidP="00B44AC3">
            <w:pPr>
              <w:spacing w:after="0" w:line="240" w:lineRule="auto"/>
              <w:jc w:val="right"/>
              <w:rPr>
                <w:rFonts w:eastAsia="Times New Roman" w:cs="Segoe UI"/>
                <w:b/>
                <w:color w:val="FFFFFF"/>
                <w:sz w:val="18"/>
                <w:szCs w:val="18"/>
                <w:lang w:eastAsia="sk-SK"/>
              </w:rPr>
            </w:pPr>
            <w:r w:rsidRPr="00C8044F">
              <w:rPr>
                <w:rFonts w:eastAsia="Times New Roman" w:cs="Segoe UI"/>
                <w:b/>
                <w:color w:val="FFFFFF"/>
                <w:sz w:val="18"/>
                <w:szCs w:val="18"/>
                <w:lang w:eastAsia="sk-SK"/>
              </w:rPr>
              <w:t>202</w:t>
            </w:r>
            <w:r>
              <w:rPr>
                <w:rFonts w:eastAsia="Times New Roman" w:cs="Segoe UI"/>
                <w:b/>
                <w:color w:val="FFFFFF"/>
                <w:sz w:val="18"/>
                <w:szCs w:val="18"/>
                <w:lang w:eastAsia="sk-SK"/>
              </w:rPr>
              <w:t>3</w:t>
            </w:r>
            <w:r w:rsidRPr="00C8044F">
              <w:rPr>
                <w:rFonts w:eastAsia="Times New Roman" w:cs="Segoe UI"/>
                <w:b/>
                <w:color w:val="FFFFFF"/>
                <w:sz w:val="18"/>
                <w:szCs w:val="18"/>
                <w:lang w:eastAsia="sk-SK"/>
              </w:rPr>
              <w:t xml:space="preserve"> R</w:t>
            </w:r>
          </w:p>
        </w:tc>
        <w:tc>
          <w:tcPr>
            <w:tcW w:w="1276" w:type="dxa"/>
            <w:shd w:val="clear" w:color="auto" w:fill="314364"/>
            <w:noWrap/>
            <w:vAlign w:val="center"/>
          </w:tcPr>
          <w:p w14:paraId="4B4EEB38" w14:textId="77777777" w:rsidR="008A4BCF" w:rsidRPr="00C8044F" w:rsidRDefault="008A4BCF" w:rsidP="00B44AC3">
            <w:pPr>
              <w:spacing w:after="0" w:line="240" w:lineRule="auto"/>
              <w:jc w:val="right"/>
              <w:rPr>
                <w:rFonts w:eastAsia="Times New Roman" w:cs="Segoe UI"/>
                <w:b/>
                <w:color w:val="FFFFFF"/>
                <w:sz w:val="18"/>
                <w:szCs w:val="18"/>
                <w:lang w:eastAsia="sk-SK"/>
              </w:rPr>
            </w:pPr>
            <w:r w:rsidRPr="00C8044F">
              <w:rPr>
                <w:rFonts w:eastAsia="Times New Roman" w:cs="Segoe UI"/>
                <w:b/>
                <w:color w:val="FFFFFF"/>
                <w:sz w:val="18"/>
                <w:szCs w:val="18"/>
                <w:lang w:eastAsia="sk-SK"/>
              </w:rPr>
              <w:t>202</w:t>
            </w:r>
            <w:r>
              <w:rPr>
                <w:rFonts w:eastAsia="Times New Roman" w:cs="Segoe UI"/>
                <w:b/>
                <w:color w:val="FFFFFF"/>
                <w:sz w:val="18"/>
                <w:szCs w:val="18"/>
                <w:lang w:eastAsia="sk-SK"/>
              </w:rPr>
              <w:t>3</w:t>
            </w:r>
            <w:r w:rsidRPr="00C8044F">
              <w:rPr>
                <w:rFonts w:eastAsia="Times New Roman" w:cs="Segoe UI"/>
                <w:b/>
                <w:color w:val="FFFFFF"/>
                <w:sz w:val="18"/>
                <w:szCs w:val="18"/>
                <w:lang w:eastAsia="sk-SK"/>
              </w:rPr>
              <w:t xml:space="preserve"> S</w:t>
            </w:r>
          </w:p>
        </w:tc>
        <w:tc>
          <w:tcPr>
            <w:tcW w:w="1273" w:type="dxa"/>
            <w:shd w:val="clear" w:color="auto" w:fill="314364"/>
            <w:noWrap/>
            <w:vAlign w:val="center"/>
          </w:tcPr>
          <w:p w14:paraId="2DA2AE91" w14:textId="77777777" w:rsidR="008A4BCF" w:rsidRPr="00C8044F" w:rsidRDefault="008A4BCF" w:rsidP="00B44AC3">
            <w:pPr>
              <w:spacing w:after="0" w:line="240" w:lineRule="auto"/>
              <w:jc w:val="right"/>
              <w:rPr>
                <w:rFonts w:eastAsia="Times New Roman" w:cs="Segoe UI"/>
                <w:b/>
                <w:color w:val="FFFFFF"/>
                <w:sz w:val="18"/>
                <w:szCs w:val="18"/>
                <w:lang w:eastAsia="sk-SK"/>
              </w:rPr>
            </w:pPr>
            <w:r>
              <w:rPr>
                <w:rFonts w:eastAsia="Times New Roman" w:cs="Segoe UI"/>
                <w:b/>
                <w:color w:val="FFFFFF"/>
                <w:sz w:val="18"/>
                <w:szCs w:val="18"/>
                <w:lang w:eastAsia="sk-SK"/>
              </w:rPr>
              <w:t>% čerpania</w:t>
            </w:r>
          </w:p>
        </w:tc>
      </w:tr>
      <w:tr w:rsidR="008A4BCF" w:rsidRPr="00C8044F" w14:paraId="68A3B5D1" w14:textId="77777777" w:rsidTr="00B44AC3">
        <w:trPr>
          <w:trHeight w:val="283"/>
        </w:trPr>
        <w:tc>
          <w:tcPr>
            <w:tcW w:w="5387" w:type="dxa"/>
            <w:tcBorders>
              <w:right w:val="nil"/>
            </w:tcBorders>
            <w:shd w:val="clear" w:color="auto" w:fill="auto"/>
            <w:noWrap/>
            <w:vAlign w:val="bottom"/>
            <w:hideMark/>
          </w:tcPr>
          <w:p w14:paraId="596EA069" w14:textId="77777777" w:rsidR="008A4BCF" w:rsidRPr="00C8044F" w:rsidRDefault="008A4BCF" w:rsidP="00B44AC3">
            <w:pPr>
              <w:spacing w:after="0" w:line="240" w:lineRule="auto"/>
              <w:jc w:val="left"/>
              <w:rPr>
                <w:rFonts w:eastAsia="Times New Roman" w:cs="Segoe UI"/>
                <w:sz w:val="18"/>
                <w:szCs w:val="18"/>
                <w:lang w:eastAsia="sk-SK"/>
              </w:rPr>
            </w:pPr>
            <w:r w:rsidRPr="00C8044F">
              <w:rPr>
                <w:rFonts w:eastAsia="Times New Roman" w:cs="Segoe UI"/>
                <w:sz w:val="18"/>
                <w:szCs w:val="18"/>
                <w:lang w:eastAsia="sk-SK"/>
              </w:rPr>
              <w:t xml:space="preserve">Kancelária Národnej rady SR    </w:t>
            </w:r>
          </w:p>
        </w:tc>
        <w:tc>
          <w:tcPr>
            <w:tcW w:w="1134" w:type="dxa"/>
            <w:tcBorders>
              <w:top w:val="nil"/>
              <w:left w:val="nil"/>
              <w:bottom w:val="nil"/>
              <w:right w:val="nil"/>
            </w:tcBorders>
            <w:shd w:val="clear" w:color="auto" w:fill="auto"/>
            <w:noWrap/>
            <w:vAlign w:val="bottom"/>
          </w:tcPr>
          <w:p w14:paraId="040CB490"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42 331</w:t>
            </w:r>
          </w:p>
        </w:tc>
        <w:tc>
          <w:tcPr>
            <w:tcW w:w="1276" w:type="dxa"/>
            <w:tcBorders>
              <w:top w:val="nil"/>
              <w:left w:val="nil"/>
              <w:bottom w:val="nil"/>
              <w:right w:val="nil"/>
            </w:tcBorders>
            <w:shd w:val="clear" w:color="auto" w:fill="auto"/>
            <w:noWrap/>
            <w:vAlign w:val="bottom"/>
          </w:tcPr>
          <w:p w14:paraId="7677B8AC"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50 916</w:t>
            </w:r>
          </w:p>
        </w:tc>
        <w:tc>
          <w:tcPr>
            <w:tcW w:w="1273" w:type="dxa"/>
            <w:tcBorders>
              <w:top w:val="nil"/>
              <w:left w:val="nil"/>
              <w:bottom w:val="nil"/>
              <w:right w:val="nil"/>
            </w:tcBorders>
            <w:shd w:val="clear" w:color="auto" w:fill="auto"/>
            <w:noWrap/>
            <w:vAlign w:val="bottom"/>
          </w:tcPr>
          <w:p w14:paraId="69F49FCF" w14:textId="77777777" w:rsidR="008A4BCF" w:rsidRPr="00C8044F" w:rsidRDefault="008A4BCF" w:rsidP="00B44AC3">
            <w:pPr>
              <w:spacing w:after="0" w:line="240" w:lineRule="auto"/>
              <w:jc w:val="right"/>
              <w:rPr>
                <w:rFonts w:eastAsia="Times New Roman" w:cs="Segoe UI"/>
                <w:color w:val="000000"/>
                <w:sz w:val="18"/>
                <w:szCs w:val="18"/>
                <w:lang w:eastAsia="sk-SK"/>
              </w:rPr>
            </w:pPr>
            <w:r>
              <w:rPr>
                <w:rFonts w:cs="Segoe UI"/>
                <w:sz w:val="18"/>
                <w:szCs w:val="18"/>
              </w:rPr>
              <w:t>120,3</w:t>
            </w:r>
          </w:p>
        </w:tc>
      </w:tr>
      <w:tr w:rsidR="008A4BCF" w:rsidRPr="00C8044F" w14:paraId="2C5FB974" w14:textId="77777777" w:rsidTr="00B44AC3">
        <w:trPr>
          <w:trHeight w:val="283"/>
        </w:trPr>
        <w:tc>
          <w:tcPr>
            <w:tcW w:w="5387" w:type="dxa"/>
            <w:tcBorders>
              <w:right w:val="nil"/>
            </w:tcBorders>
            <w:shd w:val="clear" w:color="auto" w:fill="auto"/>
            <w:noWrap/>
            <w:vAlign w:val="bottom"/>
            <w:hideMark/>
          </w:tcPr>
          <w:p w14:paraId="6B830929" w14:textId="77777777" w:rsidR="008A4BCF" w:rsidRPr="00C8044F" w:rsidRDefault="008A4BCF" w:rsidP="00B44AC3">
            <w:pPr>
              <w:spacing w:after="0" w:line="240" w:lineRule="auto"/>
              <w:jc w:val="left"/>
              <w:rPr>
                <w:rFonts w:eastAsia="Times New Roman" w:cs="Segoe UI"/>
                <w:sz w:val="18"/>
                <w:szCs w:val="18"/>
                <w:lang w:eastAsia="sk-SK"/>
              </w:rPr>
            </w:pPr>
            <w:r w:rsidRPr="00C8044F">
              <w:rPr>
                <w:rFonts w:eastAsia="Times New Roman" w:cs="Segoe UI"/>
                <w:sz w:val="18"/>
                <w:szCs w:val="18"/>
                <w:lang w:eastAsia="sk-SK"/>
              </w:rPr>
              <w:t xml:space="preserve">Kancelária prezidenta SR          </w:t>
            </w:r>
          </w:p>
        </w:tc>
        <w:tc>
          <w:tcPr>
            <w:tcW w:w="1134" w:type="dxa"/>
            <w:tcBorders>
              <w:top w:val="nil"/>
              <w:left w:val="nil"/>
              <w:bottom w:val="nil"/>
              <w:right w:val="nil"/>
            </w:tcBorders>
            <w:shd w:val="clear" w:color="auto" w:fill="auto"/>
            <w:noWrap/>
            <w:vAlign w:val="bottom"/>
          </w:tcPr>
          <w:p w14:paraId="1D035BDD"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6 377</w:t>
            </w:r>
          </w:p>
        </w:tc>
        <w:tc>
          <w:tcPr>
            <w:tcW w:w="1276" w:type="dxa"/>
            <w:tcBorders>
              <w:top w:val="nil"/>
              <w:left w:val="nil"/>
              <w:bottom w:val="nil"/>
              <w:right w:val="nil"/>
            </w:tcBorders>
            <w:shd w:val="clear" w:color="auto" w:fill="auto"/>
            <w:noWrap/>
            <w:vAlign w:val="bottom"/>
          </w:tcPr>
          <w:p w14:paraId="24E7EB67"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8 673</w:t>
            </w:r>
          </w:p>
        </w:tc>
        <w:tc>
          <w:tcPr>
            <w:tcW w:w="1273" w:type="dxa"/>
            <w:tcBorders>
              <w:top w:val="nil"/>
              <w:left w:val="nil"/>
              <w:bottom w:val="nil"/>
              <w:right w:val="nil"/>
            </w:tcBorders>
            <w:shd w:val="clear" w:color="auto" w:fill="auto"/>
            <w:noWrap/>
            <w:vAlign w:val="bottom"/>
          </w:tcPr>
          <w:p w14:paraId="703E9825" w14:textId="77777777" w:rsidR="008A4BCF" w:rsidRPr="00C8044F" w:rsidRDefault="008A4BCF" w:rsidP="00B44AC3">
            <w:pPr>
              <w:spacing w:after="0" w:line="240" w:lineRule="auto"/>
              <w:jc w:val="right"/>
              <w:rPr>
                <w:rFonts w:eastAsia="Times New Roman" w:cs="Segoe UI"/>
                <w:color w:val="000000"/>
                <w:sz w:val="18"/>
                <w:szCs w:val="18"/>
                <w:lang w:eastAsia="sk-SK"/>
              </w:rPr>
            </w:pPr>
            <w:r>
              <w:rPr>
                <w:rFonts w:cs="Segoe UI"/>
                <w:sz w:val="18"/>
                <w:szCs w:val="18"/>
              </w:rPr>
              <w:t>136,0</w:t>
            </w:r>
          </w:p>
        </w:tc>
      </w:tr>
      <w:tr w:rsidR="008A4BCF" w:rsidRPr="00C8044F" w14:paraId="11B44082" w14:textId="77777777" w:rsidTr="00B44AC3">
        <w:trPr>
          <w:trHeight w:val="283"/>
        </w:trPr>
        <w:tc>
          <w:tcPr>
            <w:tcW w:w="5387" w:type="dxa"/>
            <w:tcBorders>
              <w:right w:val="nil"/>
            </w:tcBorders>
            <w:shd w:val="clear" w:color="auto" w:fill="auto"/>
            <w:noWrap/>
            <w:vAlign w:val="bottom"/>
            <w:hideMark/>
          </w:tcPr>
          <w:p w14:paraId="6F5A7446" w14:textId="77777777" w:rsidR="008A4BCF" w:rsidRPr="00C8044F" w:rsidRDefault="008A4BCF" w:rsidP="00B44AC3">
            <w:pPr>
              <w:spacing w:after="0" w:line="240" w:lineRule="auto"/>
              <w:jc w:val="left"/>
              <w:rPr>
                <w:rFonts w:eastAsia="Times New Roman" w:cs="Segoe UI"/>
                <w:sz w:val="18"/>
                <w:szCs w:val="18"/>
                <w:lang w:eastAsia="sk-SK"/>
              </w:rPr>
            </w:pPr>
            <w:r w:rsidRPr="00C8044F">
              <w:rPr>
                <w:rFonts w:eastAsia="Times New Roman" w:cs="Segoe UI"/>
                <w:sz w:val="18"/>
                <w:szCs w:val="18"/>
                <w:lang w:eastAsia="sk-SK"/>
              </w:rPr>
              <w:t xml:space="preserve">Úrad vlády SR                  </w:t>
            </w:r>
          </w:p>
        </w:tc>
        <w:tc>
          <w:tcPr>
            <w:tcW w:w="1134" w:type="dxa"/>
            <w:tcBorders>
              <w:top w:val="nil"/>
              <w:left w:val="nil"/>
              <w:bottom w:val="nil"/>
              <w:right w:val="nil"/>
            </w:tcBorders>
            <w:shd w:val="clear" w:color="auto" w:fill="auto"/>
            <w:noWrap/>
            <w:vAlign w:val="bottom"/>
          </w:tcPr>
          <w:p w14:paraId="7C2B9929"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193 214</w:t>
            </w:r>
          </w:p>
        </w:tc>
        <w:tc>
          <w:tcPr>
            <w:tcW w:w="1276" w:type="dxa"/>
            <w:tcBorders>
              <w:top w:val="nil"/>
              <w:left w:val="nil"/>
              <w:bottom w:val="nil"/>
              <w:right w:val="nil"/>
            </w:tcBorders>
            <w:shd w:val="clear" w:color="auto" w:fill="auto"/>
            <w:noWrap/>
            <w:vAlign w:val="bottom"/>
          </w:tcPr>
          <w:p w14:paraId="2F9FC44A"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106 319</w:t>
            </w:r>
          </w:p>
        </w:tc>
        <w:tc>
          <w:tcPr>
            <w:tcW w:w="1273" w:type="dxa"/>
            <w:tcBorders>
              <w:top w:val="nil"/>
              <w:left w:val="nil"/>
              <w:bottom w:val="nil"/>
              <w:right w:val="nil"/>
            </w:tcBorders>
            <w:shd w:val="clear" w:color="auto" w:fill="auto"/>
            <w:noWrap/>
            <w:vAlign w:val="bottom"/>
          </w:tcPr>
          <w:p w14:paraId="1F3A113E" w14:textId="77777777" w:rsidR="008A4BCF" w:rsidRPr="00C8044F" w:rsidRDefault="008A4BCF" w:rsidP="00B44AC3">
            <w:pPr>
              <w:spacing w:after="0" w:line="240" w:lineRule="auto"/>
              <w:jc w:val="right"/>
              <w:rPr>
                <w:rFonts w:eastAsia="Times New Roman" w:cs="Segoe UI"/>
                <w:color w:val="000000"/>
                <w:sz w:val="18"/>
                <w:szCs w:val="18"/>
                <w:lang w:eastAsia="sk-SK"/>
              </w:rPr>
            </w:pPr>
            <w:r>
              <w:rPr>
                <w:rFonts w:cs="Segoe UI"/>
                <w:sz w:val="18"/>
                <w:szCs w:val="18"/>
              </w:rPr>
              <w:t>55,0</w:t>
            </w:r>
          </w:p>
        </w:tc>
      </w:tr>
      <w:tr w:rsidR="008A4BCF" w:rsidRPr="00C8044F" w14:paraId="7563A605" w14:textId="77777777" w:rsidTr="00B44AC3">
        <w:trPr>
          <w:trHeight w:val="283"/>
        </w:trPr>
        <w:tc>
          <w:tcPr>
            <w:tcW w:w="5387" w:type="dxa"/>
            <w:tcBorders>
              <w:right w:val="nil"/>
            </w:tcBorders>
            <w:shd w:val="clear" w:color="auto" w:fill="auto"/>
            <w:noWrap/>
            <w:vAlign w:val="bottom"/>
            <w:hideMark/>
          </w:tcPr>
          <w:p w14:paraId="4B1B6B8E" w14:textId="77777777" w:rsidR="008A4BCF" w:rsidRPr="00C8044F" w:rsidRDefault="008A4BCF" w:rsidP="00B44AC3">
            <w:pPr>
              <w:spacing w:after="0" w:line="240" w:lineRule="auto"/>
              <w:jc w:val="left"/>
              <w:rPr>
                <w:rFonts w:eastAsia="Times New Roman" w:cs="Segoe UI"/>
                <w:sz w:val="18"/>
                <w:szCs w:val="18"/>
                <w:lang w:eastAsia="sk-SK"/>
              </w:rPr>
            </w:pPr>
            <w:r w:rsidRPr="00C8044F">
              <w:rPr>
                <w:rFonts w:eastAsia="Times New Roman" w:cs="Segoe UI"/>
                <w:sz w:val="18"/>
                <w:szCs w:val="18"/>
                <w:lang w:eastAsia="sk-SK"/>
              </w:rPr>
              <w:t>Ministerstvo investícií, regionálneho rozvoja a informatizácie SR</w:t>
            </w:r>
          </w:p>
        </w:tc>
        <w:tc>
          <w:tcPr>
            <w:tcW w:w="1134" w:type="dxa"/>
            <w:tcBorders>
              <w:top w:val="nil"/>
              <w:left w:val="nil"/>
              <w:bottom w:val="nil"/>
              <w:right w:val="nil"/>
            </w:tcBorders>
            <w:shd w:val="clear" w:color="auto" w:fill="auto"/>
            <w:noWrap/>
            <w:vAlign w:val="bottom"/>
          </w:tcPr>
          <w:p w14:paraId="75FA067E"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2 013 854</w:t>
            </w:r>
          </w:p>
        </w:tc>
        <w:tc>
          <w:tcPr>
            <w:tcW w:w="1276" w:type="dxa"/>
            <w:tcBorders>
              <w:top w:val="nil"/>
              <w:left w:val="nil"/>
              <w:bottom w:val="nil"/>
              <w:right w:val="nil"/>
            </w:tcBorders>
            <w:shd w:val="clear" w:color="auto" w:fill="auto"/>
            <w:noWrap/>
            <w:vAlign w:val="bottom"/>
          </w:tcPr>
          <w:p w14:paraId="13D7FCCC"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1 390 967</w:t>
            </w:r>
          </w:p>
        </w:tc>
        <w:tc>
          <w:tcPr>
            <w:tcW w:w="1273" w:type="dxa"/>
            <w:tcBorders>
              <w:top w:val="nil"/>
              <w:left w:val="nil"/>
              <w:bottom w:val="nil"/>
              <w:right w:val="nil"/>
            </w:tcBorders>
            <w:shd w:val="clear" w:color="auto" w:fill="auto"/>
            <w:noWrap/>
            <w:vAlign w:val="bottom"/>
          </w:tcPr>
          <w:p w14:paraId="6009DCAC" w14:textId="77777777" w:rsidR="008A4BCF" w:rsidRPr="00C8044F" w:rsidRDefault="008A4BCF" w:rsidP="00B44AC3">
            <w:pPr>
              <w:spacing w:after="0" w:line="240" w:lineRule="auto"/>
              <w:jc w:val="right"/>
              <w:rPr>
                <w:rFonts w:eastAsia="Times New Roman" w:cs="Segoe UI"/>
                <w:color w:val="000000"/>
                <w:sz w:val="18"/>
                <w:szCs w:val="18"/>
                <w:lang w:eastAsia="sk-SK"/>
              </w:rPr>
            </w:pPr>
            <w:r>
              <w:rPr>
                <w:rFonts w:cs="Segoe UI"/>
                <w:sz w:val="18"/>
                <w:szCs w:val="18"/>
              </w:rPr>
              <w:t>69,1</w:t>
            </w:r>
          </w:p>
        </w:tc>
      </w:tr>
      <w:tr w:rsidR="008A4BCF" w:rsidRPr="00C8044F" w14:paraId="1D4BC6F5" w14:textId="77777777" w:rsidTr="00B44AC3">
        <w:trPr>
          <w:trHeight w:val="283"/>
        </w:trPr>
        <w:tc>
          <w:tcPr>
            <w:tcW w:w="5387" w:type="dxa"/>
            <w:tcBorders>
              <w:right w:val="nil"/>
            </w:tcBorders>
            <w:shd w:val="clear" w:color="auto" w:fill="auto"/>
            <w:noWrap/>
            <w:vAlign w:val="bottom"/>
            <w:hideMark/>
          </w:tcPr>
          <w:p w14:paraId="0AE51178" w14:textId="77777777" w:rsidR="008A4BCF" w:rsidRPr="00C8044F" w:rsidRDefault="008A4BCF" w:rsidP="00B44AC3">
            <w:pPr>
              <w:spacing w:after="0" w:line="240" w:lineRule="auto"/>
              <w:jc w:val="left"/>
              <w:rPr>
                <w:rFonts w:eastAsia="Times New Roman" w:cs="Segoe UI"/>
                <w:sz w:val="18"/>
                <w:szCs w:val="18"/>
                <w:lang w:eastAsia="sk-SK"/>
              </w:rPr>
            </w:pPr>
            <w:r w:rsidRPr="00C8044F">
              <w:rPr>
                <w:rFonts w:eastAsia="Times New Roman" w:cs="Segoe UI"/>
                <w:sz w:val="18"/>
                <w:szCs w:val="18"/>
                <w:lang w:eastAsia="sk-SK"/>
              </w:rPr>
              <w:t xml:space="preserve">Kancelária Ústavného súdu SR                 </w:t>
            </w:r>
          </w:p>
        </w:tc>
        <w:tc>
          <w:tcPr>
            <w:tcW w:w="1134" w:type="dxa"/>
            <w:tcBorders>
              <w:top w:val="nil"/>
              <w:left w:val="nil"/>
              <w:bottom w:val="nil"/>
              <w:right w:val="nil"/>
            </w:tcBorders>
            <w:shd w:val="clear" w:color="auto" w:fill="auto"/>
            <w:noWrap/>
            <w:vAlign w:val="bottom"/>
          </w:tcPr>
          <w:p w14:paraId="10DBE19E"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8 148</w:t>
            </w:r>
          </w:p>
        </w:tc>
        <w:tc>
          <w:tcPr>
            <w:tcW w:w="1276" w:type="dxa"/>
            <w:tcBorders>
              <w:top w:val="nil"/>
              <w:left w:val="nil"/>
              <w:bottom w:val="nil"/>
              <w:right w:val="nil"/>
            </w:tcBorders>
            <w:shd w:val="clear" w:color="auto" w:fill="auto"/>
            <w:noWrap/>
            <w:vAlign w:val="bottom"/>
          </w:tcPr>
          <w:p w14:paraId="5E6B26A4"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10 095</w:t>
            </w:r>
          </w:p>
        </w:tc>
        <w:tc>
          <w:tcPr>
            <w:tcW w:w="1273" w:type="dxa"/>
            <w:tcBorders>
              <w:top w:val="nil"/>
              <w:left w:val="nil"/>
              <w:bottom w:val="nil"/>
              <w:right w:val="nil"/>
            </w:tcBorders>
            <w:shd w:val="clear" w:color="auto" w:fill="auto"/>
            <w:noWrap/>
            <w:vAlign w:val="bottom"/>
          </w:tcPr>
          <w:p w14:paraId="4FB63CEA" w14:textId="77777777" w:rsidR="008A4BCF" w:rsidRPr="00C8044F" w:rsidRDefault="008A4BCF" w:rsidP="00B44AC3">
            <w:pPr>
              <w:spacing w:after="0" w:line="240" w:lineRule="auto"/>
              <w:jc w:val="right"/>
              <w:rPr>
                <w:rFonts w:eastAsia="Times New Roman" w:cs="Segoe UI"/>
                <w:color w:val="000000"/>
                <w:sz w:val="18"/>
                <w:szCs w:val="18"/>
                <w:lang w:eastAsia="sk-SK"/>
              </w:rPr>
            </w:pPr>
            <w:r>
              <w:rPr>
                <w:rFonts w:cs="Segoe UI"/>
                <w:sz w:val="18"/>
                <w:szCs w:val="18"/>
              </w:rPr>
              <w:t>123,9</w:t>
            </w:r>
          </w:p>
        </w:tc>
      </w:tr>
      <w:tr w:rsidR="008A4BCF" w:rsidRPr="00C8044F" w14:paraId="451BDFC9" w14:textId="77777777" w:rsidTr="00B44AC3">
        <w:trPr>
          <w:trHeight w:val="283"/>
        </w:trPr>
        <w:tc>
          <w:tcPr>
            <w:tcW w:w="5387" w:type="dxa"/>
            <w:tcBorders>
              <w:right w:val="nil"/>
            </w:tcBorders>
            <w:shd w:val="clear" w:color="auto" w:fill="auto"/>
            <w:noWrap/>
            <w:vAlign w:val="bottom"/>
            <w:hideMark/>
          </w:tcPr>
          <w:p w14:paraId="7F1C78B2" w14:textId="77777777" w:rsidR="008A4BCF" w:rsidRPr="00C8044F" w:rsidRDefault="008A4BCF" w:rsidP="00B44AC3">
            <w:pPr>
              <w:spacing w:after="0" w:line="240" w:lineRule="auto"/>
              <w:jc w:val="left"/>
              <w:rPr>
                <w:rFonts w:eastAsia="Times New Roman" w:cs="Segoe UI"/>
                <w:sz w:val="18"/>
                <w:szCs w:val="18"/>
                <w:lang w:eastAsia="sk-SK"/>
              </w:rPr>
            </w:pPr>
            <w:r>
              <w:rPr>
                <w:rFonts w:eastAsia="Times New Roman" w:cs="Segoe UI"/>
                <w:sz w:val="18"/>
                <w:szCs w:val="18"/>
                <w:lang w:eastAsia="sk-SK"/>
              </w:rPr>
              <w:t xml:space="preserve">Kancelária </w:t>
            </w:r>
            <w:r w:rsidRPr="00C8044F">
              <w:rPr>
                <w:rFonts w:eastAsia="Times New Roman" w:cs="Segoe UI"/>
                <w:sz w:val="18"/>
                <w:szCs w:val="18"/>
                <w:lang w:eastAsia="sk-SK"/>
              </w:rPr>
              <w:t>Najvyšš</w:t>
            </w:r>
            <w:r>
              <w:rPr>
                <w:rFonts w:eastAsia="Times New Roman" w:cs="Segoe UI"/>
                <w:sz w:val="18"/>
                <w:szCs w:val="18"/>
                <w:lang w:eastAsia="sk-SK"/>
              </w:rPr>
              <w:t>ieho</w:t>
            </w:r>
            <w:r w:rsidRPr="00C8044F">
              <w:rPr>
                <w:rFonts w:eastAsia="Times New Roman" w:cs="Segoe UI"/>
                <w:sz w:val="18"/>
                <w:szCs w:val="18"/>
                <w:lang w:eastAsia="sk-SK"/>
              </w:rPr>
              <w:t xml:space="preserve"> súd</w:t>
            </w:r>
            <w:r>
              <w:rPr>
                <w:rFonts w:eastAsia="Times New Roman" w:cs="Segoe UI"/>
                <w:sz w:val="18"/>
                <w:szCs w:val="18"/>
                <w:lang w:eastAsia="sk-SK"/>
              </w:rPr>
              <w:t>u</w:t>
            </w:r>
            <w:r w:rsidRPr="00C8044F">
              <w:rPr>
                <w:rFonts w:eastAsia="Times New Roman" w:cs="Segoe UI"/>
                <w:sz w:val="18"/>
                <w:szCs w:val="18"/>
                <w:lang w:eastAsia="sk-SK"/>
              </w:rPr>
              <w:t xml:space="preserve"> SR</w:t>
            </w:r>
          </w:p>
        </w:tc>
        <w:tc>
          <w:tcPr>
            <w:tcW w:w="1134" w:type="dxa"/>
            <w:tcBorders>
              <w:top w:val="nil"/>
              <w:left w:val="nil"/>
              <w:bottom w:val="nil"/>
              <w:right w:val="nil"/>
            </w:tcBorders>
            <w:shd w:val="clear" w:color="auto" w:fill="auto"/>
            <w:noWrap/>
            <w:vAlign w:val="bottom"/>
          </w:tcPr>
          <w:p w14:paraId="024F40C0"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15 548</w:t>
            </w:r>
          </w:p>
        </w:tc>
        <w:tc>
          <w:tcPr>
            <w:tcW w:w="1276" w:type="dxa"/>
            <w:tcBorders>
              <w:top w:val="nil"/>
              <w:left w:val="nil"/>
              <w:bottom w:val="nil"/>
              <w:right w:val="nil"/>
            </w:tcBorders>
            <w:shd w:val="clear" w:color="auto" w:fill="auto"/>
            <w:noWrap/>
            <w:vAlign w:val="bottom"/>
          </w:tcPr>
          <w:p w14:paraId="3573B16F"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15 639</w:t>
            </w:r>
          </w:p>
        </w:tc>
        <w:tc>
          <w:tcPr>
            <w:tcW w:w="1273" w:type="dxa"/>
            <w:tcBorders>
              <w:top w:val="nil"/>
              <w:left w:val="nil"/>
              <w:bottom w:val="nil"/>
              <w:right w:val="nil"/>
            </w:tcBorders>
            <w:shd w:val="clear" w:color="auto" w:fill="auto"/>
            <w:noWrap/>
            <w:vAlign w:val="bottom"/>
          </w:tcPr>
          <w:p w14:paraId="326AC532" w14:textId="77777777" w:rsidR="008A4BCF" w:rsidRPr="00C8044F" w:rsidRDefault="008A4BCF" w:rsidP="00B44AC3">
            <w:pPr>
              <w:spacing w:after="0" w:line="240" w:lineRule="auto"/>
              <w:jc w:val="right"/>
              <w:rPr>
                <w:rFonts w:eastAsia="Times New Roman" w:cs="Segoe UI"/>
                <w:color w:val="000000"/>
                <w:sz w:val="18"/>
                <w:szCs w:val="18"/>
                <w:lang w:eastAsia="sk-SK"/>
              </w:rPr>
            </w:pPr>
            <w:r>
              <w:rPr>
                <w:rFonts w:cs="Segoe UI"/>
                <w:sz w:val="18"/>
                <w:szCs w:val="18"/>
              </w:rPr>
              <w:t>100,6</w:t>
            </w:r>
          </w:p>
        </w:tc>
      </w:tr>
      <w:tr w:rsidR="008A4BCF" w:rsidRPr="00C8044F" w14:paraId="2DDB4171" w14:textId="77777777" w:rsidTr="00B44AC3">
        <w:trPr>
          <w:trHeight w:val="283"/>
        </w:trPr>
        <w:tc>
          <w:tcPr>
            <w:tcW w:w="5387" w:type="dxa"/>
            <w:tcBorders>
              <w:right w:val="nil"/>
            </w:tcBorders>
            <w:shd w:val="clear" w:color="auto" w:fill="auto"/>
            <w:noWrap/>
            <w:vAlign w:val="bottom"/>
            <w:hideMark/>
          </w:tcPr>
          <w:p w14:paraId="59650CF1" w14:textId="77777777" w:rsidR="008A4BCF" w:rsidRPr="00C8044F" w:rsidRDefault="008A4BCF" w:rsidP="00B44AC3">
            <w:pPr>
              <w:spacing w:after="0" w:line="240" w:lineRule="auto"/>
              <w:jc w:val="left"/>
              <w:rPr>
                <w:rFonts w:eastAsia="Times New Roman" w:cs="Segoe UI"/>
                <w:sz w:val="18"/>
                <w:szCs w:val="18"/>
                <w:lang w:eastAsia="sk-SK"/>
              </w:rPr>
            </w:pPr>
            <w:r w:rsidRPr="00C8044F">
              <w:rPr>
                <w:rFonts w:eastAsia="Times New Roman" w:cs="Segoe UI"/>
                <w:sz w:val="18"/>
                <w:szCs w:val="18"/>
                <w:lang w:eastAsia="sk-SK"/>
              </w:rPr>
              <w:t xml:space="preserve">Generálna prokuratúra SR       </w:t>
            </w:r>
          </w:p>
        </w:tc>
        <w:tc>
          <w:tcPr>
            <w:tcW w:w="1134" w:type="dxa"/>
            <w:tcBorders>
              <w:top w:val="nil"/>
              <w:left w:val="nil"/>
              <w:bottom w:val="nil"/>
              <w:right w:val="nil"/>
            </w:tcBorders>
            <w:shd w:val="clear" w:color="auto" w:fill="auto"/>
            <w:noWrap/>
            <w:vAlign w:val="bottom"/>
          </w:tcPr>
          <w:p w14:paraId="14AE5B1C"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128 154</w:t>
            </w:r>
          </w:p>
        </w:tc>
        <w:tc>
          <w:tcPr>
            <w:tcW w:w="1276" w:type="dxa"/>
            <w:tcBorders>
              <w:top w:val="nil"/>
              <w:left w:val="nil"/>
              <w:bottom w:val="nil"/>
              <w:right w:val="nil"/>
            </w:tcBorders>
            <w:shd w:val="clear" w:color="auto" w:fill="auto"/>
            <w:noWrap/>
            <w:vAlign w:val="bottom"/>
          </w:tcPr>
          <w:p w14:paraId="7FEA07AD"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139 600</w:t>
            </w:r>
          </w:p>
        </w:tc>
        <w:tc>
          <w:tcPr>
            <w:tcW w:w="1273" w:type="dxa"/>
            <w:tcBorders>
              <w:top w:val="nil"/>
              <w:left w:val="nil"/>
              <w:bottom w:val="nil"/>
              <w:right w:val="nil"/>
            </w:tcBorders>
            <w:shd w:val="clear" w:color="auto" w:fill="auto"/>
            <w:noWrap/>
            <w:vAlign w:val="bottom"/>
          </w:tcPr>
          <w:p w14:paraId="50357521" w14:textId="77777777" w:rsidR="008A4BCF" w:rsidRPr="00C8044F" w:rsidRDefault="008A4BCF" w:rsidP="00B44AC3">
            <w:pPr>
              <w:spacing w:after="0" w:line="240" w:lineRule="auto"/>
              <w:jc w:val="right"/>
              <w:rPr>
                <w:rFonts w:eastAsia="Times New Roman" w:cs="Segoe UI"/>
                <w:color w:val="000000"/>
                <w:sz w:val="18"/>
                <w:szCs w:val="18"/>
                <w:lang w:eastAsia="sk-SK"/>
              </w:rPr>
            </w:pPr>
            <w:r>
              <w:rPr>
                <w:rFonts w:cs="Segoe UI"/>
                <w:sz w:val="18"/>
                <w:szCs w:val="18"/>
              </w:rPr>
              <w:t>108,9</w:t>
            </w:r>
          </w:p>
        </w:tc>
      </w:tr>
      <w:tr w:rsidR="008A4BCF" w:rsidRPr="00C8044F" w14:paraId="6D2E0B7D" w14:textId="77777777" w:rsidTr="00B44AC3">
        <w:trPr>
          <w:trHeight w:val="283"/>
        </w:trPr>
        <w:tc>
          <w:tcPr>
            <w:tcW w:w="5387" w:type="dxa"/>
            <w:tcBorders>
              <w:right w:val="nil"/>
            </w:tcBorders>
            <w:shd w:val="clear" w:color="auto" w:fill="auto"/>
            <w:noWrap/>
            <w:vAlign w:val="bottom"/>
            <w:hideMark/>
          </w:tcPr>
          <w:p w14:paraId="4F6A4658" w14:textId="77777777" w:rsidR="008A4BCF" w:rsidRPr="00C8044F" w:rsidRDefault="008A4BCF" w:rsidP="00B44AC3">
            <w:pPr>
              <w:spacing w:after="0" w:line="240" w:lineRule="auto"/>
              <w:jc w:val="left"/>
              <w:rPr>
                <w:rFonts w:eastAsia="Times New Roman" w:cs="Segoe UI"/>
                <w:sz w:val="18"/>
                <w:szCs w:val="18"/>
                <w:lang w:eastAsia="sk-SK"/>
              </w:rPr>
            </w:pPr>
            <w:r w:rsidRPr="00C8044F">
              <w:rPr>
                <w:rFonts w:eastAsia="Times New Roman" w:cs="Segoe UI"/>
                <w:sz w:val="18"/>
                <w:szCs w:val="18"/>
                <w:lang w:eastAsia="sk-SK"/>
              </w:rPr>
              <w:t xml:space="preserve">Najvyšší kontrolný úrad SR     </w:t>
            </w:r>
          </w:p>
        </w:tc>
        <w:tc>
          <w:tcPr>
            <w:tcW w:w="1134" w:type="dxa"/>
            <w:tcBorders>
              <w:top w:val="nil"/>
              <w:left w:val="nil"/>
              <w:bottom w:val="nil"/>
              <w:right w:val="nil"/>
            </w:tcBorders>
            <w:shd w:val="clear" w:color="auto" w:fill="auto"/>
            <w:noWrap/>
            <w:vAlign w:val="bottom"/>
          </w:tcPr>
          <w:p w14:paraId="3B1983F2"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13 904</w:t>
            </w:r>
          </w:p>
        </w:tc>
        <w:tc>
          <w:tcPr>
            <w:tcW w:w="1276" w:type="dxa"/>
            <w:tcBorders>
              <w:top w:val="nil"/>
              <w:left w:val="nil"/>
              <w:bottom w:val="nil"/>
              <w:right w:val="nil"/>
            </w:tcBorders>
            <w:shd w:val="clear" w:color="auto" w:fill="auto"/>
            <w:noWrap/>
            <w:vAlign w:val="bottom"/>
          </w:tcPr>
          <w:p w14:paraId="5CE7BCEB"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16 017</w:t>
            </w:r>
          </w:p>
        </w:tc>
        <w:tc>
          <w:tcPr>
            <w:tcW w:w="1273" w:type="dxa"/>
            <w:tcBorders>
              <w:top w:val="nil"/>
              <w:left w:val="nil"/>
              <w:bottom w:val="nil"/>
              <w:right w:val="nil"/>
            </w:tcBorders>
            <w:shd w:val="clear" w:color="auto" w:fill="auto"/>
            <w:noWrap/>
            <w:vAlign w:val="bottom"/>
          </w:tcPr>
          <w:p w14:paraId="414773B0" w14:textId="77777777" w:rsidR="008A4BCF" w:rsidRPr="00C8044F" w:rsidRDefault="008A4BCF" w:rsidP="00B44AC3">
            <w:pPr>
              <w:spacing w:after="0" w:line="240" w:lineRule="auto"/>
              <w:jc w:val="right"/>
              <w:rPr>
                <w:rFonts w:eastAsia="Times New Roman" w:cs="Segoe UI"/>
                <w:color w:val="000000"/>
                <w:sz w:val="18"/>
                <w:szCs w:val="18"/>
                <w:lang w:eastAsia="sk-SK"/>
              </w:rPr>
            </w:pPr>
            <w:r>
              <w:rPr>
                <w:rFonts w:cs="Segoe UI"/>
                <w:sz w:val="18"/>
                <w:szCs w:val="18"/>
              </w:rPr>
              <w:t>115,2</w:t>
            </w:r>
          </w:p>
        </w:tc>
      </w:tr>
      <w:tr w:rsidR="008A4BCF" w:rsidRPr="00C8044F" w14:paraId="3C32810F" w14:textId="77777777" w:rsidTr="00B44AC3">
        <w:trPr>
          <w:trHeight w:val="283"/>
        </w:trPr>
        <w:tc>
          <w:tcPr>
            <w:tcW w:w="5387" w:type="dxa"/>
            <w:tcBorders>
              <w:right w:val="nil"/>
            </w:tcBorders>
            <w:shd w:val="clear" w:color="auto" w:fill="auto"/>
            <w:noWrap/>
            <w:vAlign w:val="bottom"/>
            <w:hideMark/>
          </w:tcPr>
          <w:p w14:paraId="1A7BB179" w14:textId="77777777" w:rsidR="008A4BCF" w:rsidRPr="00C8044F" w:rsidRDefault="008A4BCF" w:rsidP="00B44AC3">
            <w:pPr>
              <w:spacing w:after="0" w:line="240" w:lineRule="auto"/>
              <w:jc w:val="left"/>
              <w:rPr>
                <w:rFonts w:eastAsia="Times New Roman" w:cs="Segoe UI"/>
                <w:sz w:val="18"/>
                <w:szCs w:val="18"/>
                <w:lang w:eastAsia="sk-SK"/>
              </w:rPr>
            </w:pPr>
            <w:r w:rsidRPr="00C8044F">
              <w:rPr>
                <w:rFonts w:eastAsia="Times New Roman" w:cs="Segoe UI"/>
                <w:sz w:val="18"/>
                <w:szCs w:val="18"/>
                <w:lang w:eastAsia="sk-SK"/>
              </w:rPr>
              <w:t xml:space="preserve">Slovenská informačná služba    </w:t>
            </w:r>
          </w:p>
        </w:tc>
        <w:tc>
          <w:tcPr>
            <w:tcW w:w="1134" w:type="dxa"/>
            <w:tcBorders>
              <w:top w:val="nil"/>
              <w:left w:val="nil"/>
              <w:bottom w:val="nil"/>
              <w:right w:val="nil"/>
            </w:tcBorders>
            <w:shd w:val="clear" w:color="auto" w:fill="auto"/>
            <w:noWrap/>
            <w:vAlign w:val="bottom"/>
          </w:tcPr>
          <w:p w14:paraId="16543A90"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76 543</w:t>
            </w:r>
          </w:p>
        </w:tc>
        <w:tc>
          <w:tcPr>
            <w:tcW w:w="1276" w:type="dxa"/>
            <w:tcBorders>
              <w:top w:val="nil"/>
              <w:left w:val="nil"/>
              <w:bottom w:val="nil"/>
              <w:right w:val="nil"/>
            </w:tcBorders>
            <w:shd w:val="clear" w:color="auto" w:fill="auto"/>
            <w:noWrap/>
            <w:vAlign w:val="bottom"/>
          </w:tcPr>
          <w:p w14:paraId="3857645B"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81 625</w:t>
            </w:r>
          </w:p>
        </w:tc>
        <w:tc>
          <w:tcPr>
            <w:tcW w:w="1273" w:type="dxa"/>
            <w:tcBorders>
              <w:top w:val="nil"/>
              <w:left w:val="nil"/>
              <w:bottom w:val="nil"/>
              <w:right w:val="nil"/>
            </w:tcBorders>
            <w:shd w:val="clear" w:color="auto" w:fill="auto"/>
            <w:noWrap/>
            <w:vAlign w:val="bottom"/>
          </w:tcPr>
          <w:p w14:paraId="0BB1B9D3" w14:textId="77777777" w:rsidR="008A4BCF" w:rsidRPr="00C8044F" w:rsidRDefault="008A4BCF" w:rsidP="00B44AC3">
            <w:pPr>
              <w:spacing w:after="0" w:line="240" w:lineRule="auto"/>
              <w:jc w:val="right"/>
              <w:rPr>
                <w:rFonts w:eastAsia="Times New Roman" w:cs="Segoe UI"/>
                <w:color w:val="000000"/>
                <w:sz w:val="18"/>
                <w:szCs w:val="18"/>
                <w:lang w:eastAsia="sk-SK"/>
              </w:rPr>
            </w:pPr>
            <w:r>
              <w:rPr>
                <w:rFonts w:cs="Segoe UI"/>
                <w:sz w:val="18"/>
                <w:szCs w:val="18"/>
              </w:rPr>
              <w:t>106,6</w:t>
            </w:r>
          </w:p>
        </w:tc>
      </w:tr>
      <w:tr w:rsidR="008A4BCF" w:rsidRPr="00C8044F" w14:paraId="0474FF02" w14:textId="77777777" w:rsidTr="00B44AC3">
        <w:trPr>
          <w:trHeight w:val="283"/>
        </w:trPr>
        <w:tc>
          <w:tcPr>
            <w:tcW w:w="5387" w:type="dxa"/>
            <w:tcBorders>
              <w:right w:val="nil"/>
            </w:tcBorders>
            <w:shd w:val="clear" w:color="auto" w:fill="auto"/>
            <w:noWrap/>
            <w:vAlign w:val="bottom"/>
            <w:hideMark/>
          </w:tcPr>
          <w:p w14:paraId="788DF922" w14:textId="77777777" w:rsidR="008A4BCF" w:rsidRPr="00C8044F" w:rsidRDefault="008A4BCF" w:rsidP="00B44AC3">
            <w:pPr>
              <w:spacing w:after="0" w:line="240" w:lineRule="auto"/>
              <w:ind w:right="-12"/>
              <w:jc w:val="left"/>
              <w:rPr>
                <w:rFonts w:eastAsia="Times New Roman" w:cs="Segoe UI"/>
                <w:sz w:val="18"/>
                <w:szCs w:val="18"/>
                <w:lang w:eastAsia="sk-SK"/>
              </w:rPr>
            </w:pPr>
            <w:r w:rsidRPr="00C8044F">
              <w:rPr>
                <w:rFonts w:eastAsia="Times New Roman" w:cs="Segoe UI"/>
                <w:sz w:val="18"/>
                <w:szCs w:val="18"/>
                <w:lang w:eastAsia="sk-SK"/>
              </w:rPr>
              <w:t>Ministerstvo zahraničných vecí a európskych záležitostí SR</w:t>
            </w:r>
          </w:p>
        </w:tc>
        <w:tc>
          <w:tcPr>
            <w:tcW w:w="1134" w:type="dxa"/>
            <w:tcBorders>
              <w:top w:val="nil"/>
              <w:left w:val="nil"/>
              <w:bottom w:val="nil"/>
              <w:right w:val="nil"/>
            </w:tcBorders>
            <w:shd w:val="clear" w:color="auto" w:fill="auto"/>
            <w:noWrap/>
            <w:vAlign w:val="bottom"/>
          </w:tcPr>
          <w:p w14:paraId="799B81A3"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175 277</w:t>
            </w:r>
          </w:p>
        </w:tc>
        <w:tc>
          <w:tcPr>
            <w:tcW w:w="1276" w:type="dxa"/>
            <w:tcBorders>
              <w:top w:val="nil"/>
              <w:left w:val="nil"/>
              <w:bottom w:val="nil"/>
              <w:right w:val="nil"/>
            </w:tcBorders>
            <w:shd w:val="clear" w:color="auto" w:fill="auto"/>
            <w:noWrap/>
            <w:vAlign w:val="bottom"/>
          </w:tcPr>
          <w:p w14:paraId="5DC946D2"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187 799</w:t>
            </w:r>
          </w:p>
        </w:tc>
        <w:tc>
          <w:tcPr>
            <w:tcW w:w="1273" w:type="dxa"/>
            <w:tcBorders>
              <w:top w:val="nil"/>
              <w:left w:val="nil"/>
              <w:bottom w:val="nil"/>
              <w:right w:val="nil"/>
            </w:tcBorders>
            <w:shd w:val="clear" w:color="auto" w:fill="auto"/>
            <w:noWrap/>
            <w:vAlign w:val="bottom"/>
          </w:tcPr>
          <w:p w14:paraId="0DAEC2D4" w14:textId="77777777" w:rsidR="008A4BCF" w:rsidRPr="00C8044F" w:rsidRDefault="008A4BCF" w:rsidP="00B44AC3">
            <w:pPr>
              <w:spacing w:after="0" w:line="240" w:lineRule="auto"/>
              <w:jc w:val="right"/>
              <w:rPr>
                <w:rFonts w:eastAsia="Times New Roman" w:cs="Segoe UI"/>
                <w:color w:val="000000"/>
                <w:sz w:val="18"/>
                <w:szCs w:val="18"/>
                <w:lang w:eastAsia="sk-SK"/>
              </w:rPr>
            </w:pPr>
            <w:r>
              <w:rPr>
                <w:rFonts w:cs="Segoe UI"/>
                <w:sz w:val="18"/>
                <w:szCs w:val="18"/>
              </w:rPr>
              <w:t>107,1</w:t>
            </w:r>
          </w:p>
        </w:tc>
      </w:tr>
      <w:tr w:rsidR="008A4BCF" w:rsidRPr="00C8044F" w14:paraId="6A1180E6" w14:textId="77777777" w:rsidTr="00B44AC3">
        <w:trPr>
          <w:trHeight w:val="283"/>
        </w:trPr>
        <w:tc>
          <w:tcPr>
            <w:tcW w:w="5387" w:type="dxa"/>
            <w:tcBorders>
              <w:right w:val="nil"/>
            </w:tcBorders>
            <w:shd w:val="clear" w:color="auto" w:fill="auto"/>
            <w:noWrap/>
            <w:vAlign w:val="bottom"/>
            <w:hideMark/>
          </w:tcPr>
          <w:p w14:paraId="1767A7DA" w14:textId="77777777" w:rsidR="008A4BCF" w:rsidRPr="00C8044F" w:rsidRDefault="008A4BCF" w:rsidP="00B44AC3">
            <w:pPr>
              <w:spacing w:after="0" w:line="240" w:lineRule="auto"/>
              <w:jc w:val="left"/>
              <w:rPr>
                <w:rFonts w:eastAsia="Times New Roman" w:cs="Segoe UI"/>
                <w:sz w:val="18"/>
                <w:szCs w:val="18"/>
                <w:lang w:eastAsia="sk-SK"/>
              </w:rPr>
            </w:pPr>
            <w:r w:rsidRPr="00C8044F">
              <w:rPr>
                <w:rFonts w:eastAsia="Times New Roman" w:cs="Segoe UI"/>
                <w:sz w:val="18"/>
                <w:szCs w:val="18"/>
                <w:lang w:eastAsia="sk-SK"/>
              </w:rPr>
              <w:t xml:space="preserve">Ministerstvo obrany SR         </w:t>
            </w:r>
          </w:p>
        </w:tc>
        <w:tc>
          <w:tcPr>
            <w:tcW w:w="1134" w:type="dxa"/>
            <w:tcBorders>
              <w:top w:val="nil"/>
              <w:left w:val="nil"/>
              <w:bottom w:val="nil"/>
              <w:right w:val="nil"/>
            </w:tcBorders>
            <w:shd w:val="clear" w:color="auto" w:fill="auto"/>
            <w:noWrap/>
            <w:vAlign w:val="bottom"/>
          </w:tcPr>
          <w:p w14:paraId="7E9F0B8A"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2 092 834</w:t>
            </w:r>
          </w:p>
        </w:tc>
        <w:tc>
          <w:tcPr>
            <w:tcW w:w="1276" w:type="dxa"/>
            <w:tcBorders>
              <w:top w:val="nil"/>
              <w:left w:val="nil"/>
              <w:bottom w:val="nil"/>
              <w:right w:val="nil"/>
            </w:tcBorders>
            <w:shd w:val="clear" w:color="auto" w:fill="auto"/>
            <w:noWrap/>
            <w:vAlign w:val="bottom"/>
          </w:tcPr>
          <w:p w14:paraId="368AB9ED"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2 133 300</w:t>
            </w:r>
          </w:p>
        </w:tc>
        <w:tc>
          <w:tcPr>
            <w:tcW w:w="1273" w:type="dxa"/>
            <w:tcBorders>
              <w:top w:val="nil"/>
              <w:left w:val="nil"/>
              <w:bottom w:val="nil"/>
              <w:right w:val="nil"/>
            </w:tcBorders>
            <w:shd w:val="clear" w:color="auto" w:fill="auto"/>
            <w:noWrap/>
            <w:vAlign w:val="bottom"/>
          </w:tcPr>
          <w:p w14:paraId="030B7844" w14:textId="77777777" w:rsidR="008A4BCF" w:rsidRPr="00C8044F" w:rsidRDefault="008A4BCF" w:rsidP="00B44AC3">
            <w:pPr>
              <w:spacing w:after="0" w:line="240" w:lineRule="auto"/>
              <w:jc w:val="right"/>
              <w:rPr>
                <w:rFonts w:eastAsia="Times New Roman" w:cs="Segoe UI"/>
                <w:color w:val="000000"/>
                <w:sz w:val="18"/>
                <w:szCs w:val="18"/>
                <w:lang w:eastAsia="sk-SK"/>
              </w:rPr>
            </w:pPr>
            <w:r>
              <w:rPr>
                <w:rFonts w:cs="Segoe UI"/>
                <w:sz w:val="18"/>
                <w:szCs w:val="18"/>
              </w:rPr>
              <w:t>101,9</w:t>
            </w:r>
          </w:p>
        </w:tc>
      </w:tr>
      <w:tr w:rsidR="008A4BCF" w:rsidRPr="00C8044F" w14:paraId="41B058F2" w14:textId="77777777" w:rsidTr="00B44AC3">
        <w:trPr>
          <w:trHeight w:val="283"/>
        </w:trPr>
        <w:tc>
          <w:tcPr>
            <w:tcW w:w="5387" w:type="dxa"/>
            <w:tcBorders>
              <w:right w:val="nil"/>
            </w:tcBorders>
            <w:shd w:val="clear" w:color="auto" w:fill="auto"/>
            <w:noWrap/>
            <w:vAlign w:val="bottom"/>
            <w:hideMark/>
          </w:tcPr>
          <w:p w14:paraId="3C8ADA3D" w14:textId="77777777" w:rsidR="008A4BCF" w:rsidRPr="00C8044F" w:rsidRDefault="008A4BCF" w:rsidP="00B44AC3">
            <w:pPr>
              <w:spacing w:after="0" w:line="240" w:lineRule="auto"/>
              <w:jc w:val="left"/>
              <w:rPr>
                <w:rFonts w:eastAsia="Times New Roman" w:cs="Segoe UI"/>
                <w:sz w:val="18"/>
                <w:szCs w:val="18"/>
                <w:lang w:eastAsia="sk-SK"/>
              </w:rPr>
            </w:pPr>
            <w:r w:rsidRPr="00C8044F">
              <w:rPr>
                <w:rFonts w:eastAsia="Times New Roman" w:cs="Segoe UI"/>
                <w:sz w:val="18"/>
                <w:szCs w:val="18"/>
                <w:lang w:eastAsia="sk-SK"/>
              </w:rPr>
              <w:t xml:space="preserve">Ministerstvo vnútra SR         </w:t>
            </w:r>
          </w:p>
        </w:tc>
        <w:tc>
          <w:tcPr>
            <w:tcW w:w="1134" w:type="dxa"/>
            <w:tcBorders>
              <w:top w:val="nil"/>
              <w:left w:val="nil"/>
              <w:bottom w:val="nil"/>
              <w:right w:val="nil"/>
            </w:tcBorders>
            <w:shd w:val="clear" w:color="auto" w:fill="auto"/>
            <w:noWrap/>
            <w:vAlign w:val="bottom"/>
          </w:tcPr>
          <w:p w14:paraId="35E3291B"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1 873 007</w:t>
            </w:r>
          </w:p>
        </w:tc>
        <w:tc>
          <w:tcPr>
            <w:tcW w:w="1276" w:type="dxa"/>
            <w:tcBorders>
              <w:top w:val="nil"/>
              <w:left w:val="nil"/>
              <w:bottom w:val="nil"/>
              <w:right w:val="nil"/>
            </w:tcBorders>
            <w:shd w:val="clear" w:color="auto" w:fill="auto"/>
            <w:noWrap/>
            <w:vAlign w:val="bottom"/>
          </w:tcPr>
          <w:p w14:paraId="66ACCD91"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2 217 108</w:t>
            </w:r>
          </w:p>
        </w:tc>
        <w:tc>
          <w:tcPr>
            <w:tcW w:w="1273" w:type="dxa"/>
            <w:tcBorders>
              <w:top w:val="nil"/>
              <w:left w:val="nil"/>
              <w:bottom w:val="nil"/>
              <w:right w:val="nil"/>
            </w:tcBorders>
            <w:shd w:val="clear" w:color="auto" w:fill="auto"/>
            <w:noWrap/>
            <w:vAlign w:val="bottom"/>
          </w:tcPr>
          <w:p w14:paraId="0E572EF0" w14:textId="77777777" w:rsidR="008A4BCF" w:rsidRPr="00C8044F" w:rsidRDefault="008A4BCF" w:rsidP="00B44AC3">
            <w:pPr>
              <w:spacing w:after="0" w:line="240" w:lineRule="auto"/>
              <w:jc w:val="right"/>
              <w:rPr>
                <w:rFonts w:eastAsia="Times New Roman" w:cs="Segoe UI"/>
                <w:color w:val="000000"/>
                <w:sz w:val="18"/>
                <w:szCs w:val="18"/>
                <w:lang w:eastAsia="sk-SK"/>
              </w:rPr>
            </w:pPr>
            <w:r>
              <w:rPr>
                <w:rFonts w:cs="Segoe UI"/>
                <w:sz w:val="18"/>
                <w:szCs w:val="18"/>
              </w:rPr>
              <w:t>118,4</w:t>
            </w:r>
          </w:p>
        </w:tc>
      </w:tr>
      <w:tr w:rsidR="008A4BCF" w:rsidRPr="00C8044F" w14:paraId="71095F05" w14:textId="77777777" w:rsidTr="00B44AC3">
        <w:trPr>
          <w:trHeight w:val="283"/>
        </w:trPr>
        <w:tc>
          <w:tcPr>
            <w:tcW w:w="5387" w:type="dxa"/>
            <w:tcBorders>
              <w:right w:val="nil"/>
            </w:tcBorders>
            <w:shd w:val="clear" w:color="auto" w:fill="auto"/>
            <w:noWrap/>
            <w:vAlign w:val="bottom"/>
            <w:hideMark/>
          </w:tcPr>
          <w:p w14:paraId="255118C1" w14:textId="77777777" w:rsidR="008A4BCF" w:rsidRPr="00C8044F" w:rsidRDefault="008A4BCF" w:rsidP="00B44AC3">
            <w:pPr>
              <w:spacing w:after="0" w:line="240" w:lineRule="auto"/>
              <w:jc w:val="left"/>
              <w:rPr>
                <w:rFonts w:eastAsia="Times New Roman" w:cs="Segoe UI"/>
                <w:sz w:val="18"/>
                <w:szCs w:val="18"/>
                <w:lang w:eastAsia="sk-SK"/>
              </w:rPr>
            </w:pPr>
            <w:r w:rsidRPr="00C8044F">
              <w:rPr>
                <w:rFonts w:eastAsia="Times New Roman" w:cs="Segoe UI"/>
                <w:sz w:val="18"/>
                <w:szCs w:val="18"/>
                <w:lang w:eastAsia="sk-SK"/>
              </w:rPr>
              <w:t xml:space="preserve">Ministerstvo spravodlivosti SR </w:t>
            </w:r>
          </w:p>
        </w:tc>
        <w:tc>
          <w:tcPr>
            <w:tcW w:w="1134" w:type="dxa"/>
            <w:tcBorders>
              <w:top w:val="nil"/>
              <w:left w:val="nil"/>
              <w:bottom w:val="nil"/>
              <w:right w:val="nil"/>
            </w:tcBorders>
            <w:shd w:val="clear" w:color="auto" w:fill="auto"/>
            <w:noWrap/>
            <w:vAlign w:val="bottom"/>
          </w:tcPr>
          <w:p w14:paraId="332F599D"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806 263</w:t>
            </w:r>
          </w:p>
        </w:tc>
        <w:tc>
          <w:tcPr>
            <w:tcW w:w="1276" w:type="dxa"/>
            <w:tcBorders>
              <w:top w:val="nil"/>
              <w:left w:val="nil"/>
              <w:bottom w:val="nil"/>
              <w:right w:val="nil"/>
            </w:tcBorders>
            <w:shd w:val="clear" w:color="auto" w:fill="auto"/>
            <w:noWrap/>
            <w:vAlign w:val="bottom"/>
          </w:tcPr>
          <w:p w14:paraId="3A8DAA09"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699 929</w:t>
            </w:r>
          </w:p>
        </w:tc>
        <w:tc>
          <w:tcPr>
            <w:tcW w:w="1273" w:type="dxa"/>
            <w:tcBorders>
              <w:top w:val="nil"/>
              <w:left w:val="nil"/>
              <w:bottom w:val="nil"/>
              <w:right w:val="nil"/>
            </w:tcBorders>
            <w:shd w:val="clear" w:color="auto" w:fill="auto"/>
            <w:noWrap/>
            <w:vAlign w:val="bottom"/>
          </w:tcPr>
          <w:p w14:paraId="67C0F87A" w14:textId="77777777" w:rsidR="008A4BCF" w:rsidRPr="00C8044F" w:rsidRDefault="008A4BCF" w:rsidP="00B44AC3">
            <w:pPr>
              <w:spacing w:after="0" w:line="240" w:lineRule="auto"/>
              <w:jc w:val="right"/>
              <w:rPr>
                <w:rFonts w:eastAsia="Times New Roman" w:cs="Segoe UI"/>
                <w:color w:val="000000"/>
                <w:sz w:val="18"/>
                <w:szCs w:val="18"/>
                <w:lang w:eastAsia="sk-SK"/>
              </w:rPr>
            </w:pPr>
            <w:r>
              <w:rPr>
                <w:rFonts w:cs="Segoe UI"/>
                <w:sz w:val="18"/>
                <w:szCs w:val="18"/>
              </w:rPr>
              <w:t>86,8</w:t>
            </w:r>
          </w:p>
        </w:tc>
      </w:tr>
      <w:tr w:rsidR="008A4BCF" w:rsidRPr="00C8044F" w14:paraId="659C1F69" w14:textId="77777777" w:rsidTr="00B44AC3">
        <w:trPr>
          <w:trHeight w:val="283"/>
        </w:trPr>
        <w:tc>
          <w:tcPr>
            <w:tcW w:w="5387" w:type="dxa"/>
            <w:tcBorders>
              <w:right w:val="nil"/>
            </w:tcBorders>
            <w:shd w:val="clear" w:color="auto" w:fill="auto"/>
            <w:noWrap/>
            <w:vAlign w:val="bottom"/>
            <w:hideMark/>
          </w:tcPr>
          <w:p w14:paraId="0F8F48F1" w14:textId="77777777" w:rsidR="008A4BCF" w:rsidRPr="00C8044F" w:rsidRDefault="008A4BCF" w:rsidP="00B44AC3">
            <w:pPr>
              <w:spacing w:after="0" w:line="240" w:lineRule="auto"/>
              <w:jc w:val="left"/>
              <w:rPr>
                <w:rFonts w:eastAsia="Times New Roman" w:cs="Segoe UI"/>
                <w:sz w:val="18"/>
                <w:szCs w:val="18"/>
                <w:lang w:eastAsia="sk-SK"/>
              </w:rPr>
            </w:pPr>
            <w:r w:rsidRPr="00C8044F">
              <w:rPr>
                <w:rFonts w:eastAsia="Times New Roman" w:cs="Segoe UI"/>
                <w:sz w:val="18"/>
                <w:szCs w:val="18"/>
                <w:lang w:eastAsia="sk-SK"/>
              </w:rPr>
              <w:t xml:space="preserve">Ministerstvo financií SR       </w:t>
            </w:r>
          </w:p>
        </w:tc>
        <w:tc>
          <w:tcPr>
            <w:tcW w:w="1134" w:type="dxa"/>
            <w:tcBorders>
              <w:top w:val="nil"/>
              <w:left w:val="nil"/>
              <w:bottom w:val="nil"/>
              <w:right w:val="nil"/>
            </w:tcBorders>
            <w:shd w:val="clear" w:color="auto" w:fill="auto"/>
            <w:noWrap/>
            <w:vAlign w:val="bottom"/>
          </w:tcPr>
          <w:p w14:paraId="06EDFE6D"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615 852</w:t>
            </w:r>
          </w:p>
        </w:tc>
        <w:tc>
          <w:tcPr>
            <w:tcW w:w="1276" w:type="dxa"/>
            <w:tcBorders>
              <w:top w:val="nil"/>
              <w:left w:val="nil"/>
              <w:bottom w:val="nil"/>
              <w:right w:val="nil"/>
            </w:tcBorders>
            <w:shd w:val="clear" w:color="auto" w:fill="auto"/>
            <w:noWrap/>
            <w:vAlign w:val="bottom"/>
          </w:tcPr>
          <w:p w14:paraId="734649E7"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671 299</w:t>
            </w:r>
          </w:p>
        </w:tc>
        <w:tc>
          <w:tcPr>
            <w:tcW w:w="1273" w:type="dxa"/>
            <w:tcBorders>
              <w:top w:val="nil"/>
              <w:left w:val="nil"/>
              <w:bottom w:val="nil"/>
              <w:right w:val="nil"/>
            </w:tcBorders>
            <w:shd w:val="clear" w:color="auto" w:fill="auto"/>
            <w:noWrap/>
            <w:vAlign w:val="bottom"/>
          </w:tcPr>
          <w:p w14:paraId="6A8E067F" w14:textId="77777777" w:rsidR="008A4BCF" w:rsidRPr="00C8044F" w:rsidRDefault="008A4BCF" w:rsidP="00B44AC3">
            <w:pPr>
              <w:spacing w:after="0" w:line="240" w:lineRule="auto"/>
              <w:jc w:val="right"/>
              <w:rPr>
                <w:rFonts w:eastAsia="Times New Roman" w:cs="Segoe UI"/>
                <w:color w:val="000000"/>
                <w:sz w:val="18"/>
                <w:szCs w:val="18"/>
                <w:lang w:eastAsia="sk-SK"/>
              </w:rPr>
            </w:pPr>
            <w:r>
              <w:rPr>
                <w:rFonts w:cs="Segoe UI"/>
                <w:sz w:val="18"/>
                <w:szCs w:val="18"/>
              </w:rPr>
              <w:t>109,1</w:t>
            </w:r>
          </w:p>
        </w:tc>
      </w:tr>
      <w:tr w:rsidR="008A4BCF" w:rsidRPr="00C8044F" w14:paraId="22C82E2E" w14:textId="77777777" w:rsidTr="00B44AC3">
        <w:trPr>
          <w:trHeight w:val="283"/>
        </w:trPr>
        <w:tc>
          <w:tcPr>
            <w:tcW w:w="5387" w:type="dxa"/>
            <w:tcBorders>
              <w:right w:val="nil"/>
            </w:tcBorders>
            <w:shd w:val="clear" w:color="auto" w:fill="auto"/>
            <w:noWrap/>
            <w:vAlign w:val="bottom"/>
            <w:hideMark/>
          </w:tcPr>
          <w:p w14:paraId="316DE0DA" w14:textId="77777777" w:rsidR="008A4BCF" w:rsidRPr="00C8044F" w:rsidRDefault="008A4BCF" w:rsidP="00B44AC3">
            <w:pPr>
              <w:spacing w:after="0" w:line="240" w:lineRule="auto"/>
              <w:jc w:val="left"/>
              <w:rPr>
                <w:rFonts w:eastAsia="Times New Roman" w:cs="Segoe UI"/>
                <w:sz w:val="18"/>
                <w:szCs w:val="18"/>
                <w:lang w:eastAsia="sk-SK"/>
              </w:rPr>
            </w:pPr>
            <w:r w:rsidRPr="00C8044F">
              <w:rPr>
                <w:rFonts w:eastAsia="Times New Roman" w:cs="Segoe UI"/>
                <w:sz w:val="18"/>
                <w:szCs w:val="18"/>
                <w:lang w:eastAsia="sk-SK"/>
              </w:rPr>
              <w:t xml:space="preserve">Ministerstvo životného prostredia  SR  </w:t>
            </w:r>
          </w:p>
        </w:tc>
        <w:tc>
          <w:tcPr>
            <w:tcW w:w="1134" w:type="dxa"/>
            <w:tcBorders>
              <w:top w:val="nil"/>
              <w:left w:val="nil"/>
              <w:bottom w:val="nil"/>
              <w:right w:val="nil"/>
            </w:tcBorders>
            <w:shd w:val="clear" w:color="auto" w:fill="auto"/>
            <w:noWrap/>
            <w:vAlign w:val="bottom"/>
          </w:tcPr>
          <w:p w14:paraId="5F57DFA3"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1 681 143</w:t>
            </w:r>
          </w:p>
        </w:tc>
        <w:tc>
          <w:tcPr>
            <w:tcW w:w="1276" w:type="dxa"/>
            <w:tcBorders>
              <w:top w:val="nil"/>
              <w:left w:val="nil"/>
              <w:bottom w:val="nil"/>
              <w:right w:val="nil"/>
            </w:tcBorders>
            <w:shd w:val="clear" w:color="auto" w:fill="auto"/>
            <w:noWrap/>
            <w:vAlign w:val="bottom"/>
          </w:tcPr>
          <w:p w14:paraId="492B6541"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855 393</w:t>
            </w:r>
          </w:p>
        </w:tc>
        <w:tc>
          <w:tcPr>
            <w:tcW w:w="1273" w:type="dxa"/>
            <w:tcBorders>
              <w:top w:val="nil"/>
              <w:left w:val="nil"/>
              <w:bottom w:val="nil"/>
              <w:right w:val="nil"/>
            </w:tcBorders>
            <w:shd w:val="clear" w:color="auto" w:fill="auto"/>
            <w:noWrap/>
            <w:vAlign w:val="bottom"/>
          </w:tcPr>
          <w:p w14:paraId="20D83DD1" w14:textId="77777777" w:rsidR="008A4BCF" w:rsidRPr="00C8044F" w:rsidRDefault="008A4BCF" w:rsidP="00B44AC3">
            <w:pPr>
              <w:spacing w:after="0" w:line="240" w:lineRule="auto"/>
              <w:jc w:val="right"/>
              <w:rPr>
                <w:rFonts w:eastAsia="Times New Roman" w:cs="Segoe UI"/>
                <w:color w:val="000000"/>
                <w:sz w:val="18"/>
                <w:szCs w:val="18"/>
                <w:lang w:eastAsia="sk-SK"/>
              </w:rPr>
            </w:pPr>
            <w:r>
              <w:rPr>
                <w:rFonts w:cs="Segoe UI"/>
                <w:sz w:val="18"/>
                <w:szCs w:val="18"/>
              </w:rPr>
              <w:t>50,9</w:t>
            </w:r>
          </w:p>
        </w:tc>
      </w:tr>
      <w:tr w:rsidR="008A4BCF" w:rsidRPr="00C8044F" w14:paraId="471E9992" w14:textId="77777777" w:rsidTr="00B44AC3">
        <w:trPr>
          <w:trHeight w:val="283"/>
        </w:trPr>
        <w:tc>
          <w:tcPr>
            <w:tcW w:w="5387" w:type="dxa"/>
            <w:tcBorders>
              <w:right w:val="nil"/>
            </w:tcBorders>
            <w:shd w:val="clear" w:color="auto" w:fill="auto"/>
            <w:noWrap/>
            <w:vAlign w:val="bottom"/>
            <w:hideMark/>
          </w:tcPr>
          <w:p w14:paraId="74A0577A" w14:textId="77777777" w:rsidR="008A4BCF" w:rsidRPr="00C8044F" w:rsidRDefault="008A4BCF" w:rsidP="00B44AC3">
            <w:pPr>
              <w:spacing w:after="0" w:line="240" w:lineRule="auto"/>
              <w:jc w:val="left"/>
              <w:rPr>
                <w:rFonts w:eastAsia="Times New Roman" w:cs="Segoe UI"/>
                <w:sz w:val="18"/>
                <w:szCs w:val="18"/>
                <w:lang w:eastAsia="sk-SK"/>
              </w:rPr>
            </w:pPr>
            <w:r w:rsidRPr="00C8044F">
              <w:rPr>
                <w:rFonts w:eastAsia="Times New Roman" w:cs="Segoe UI"/>
                <w:sz w:val="18"/>
                <w:szCs w:val="18"/>
                <w:lang w:eastAsia="sk-SK"/>
              </w:rPr>
              <w:t>Ministerstvo školstva, vedy, výskumu a športu SR</w:t>
            </w:r>
          </w:p>
        </w:tc>
        <w:tc>
          <w:tcPr>
            <w:tcW w:w="1134" w:type="dxa"/>
            <w:tcBorders>
              <w:top w:val="nil"/>
              <w:left w:val="nil"/>
              <w:bottom w:val="nil"/>
              <w:right w:val="nil"/>
            </w:tcBorders>
            <w:shd w:val="clear" w:color="auto" w:fill="auto"/>
            <w:noWrap/>
            <w:vAlign w:val="bottom"/>
          </w:tcPr>
          <w:p w14:paraId="4648C913"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4 031 072</w:t>
            </w:r>
          </w:p>
        </w:tc>
        <w:tc>
          <w:tcPr>
            <w:tcW w:w="1276" w:type="dxa"/>
            <w:tcBorders>
              <w:top w:val="nil"/>
              <w:left w:val="nil"/>
              <w:bottom w:val="nil"/>
              <w:right w:val="nil"/>
            </w:tcBorders>
            <w:shd w:val="clear" w:color="auto" w:fill="auto"/>
            <w:noWrap/>
            <w:vAlign w:val="bottom"/>
          </w:tcPr>
          <w:p w14:paraId="7156AB27"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4 106 037</w:t>
            </w:r>
          </w:p>
        </w:tc>
        <w:tc>
          <w:tcPr>
            <w:tcW w:w="1273" w:type="dxa"/>
            <w:tcBorders>
              <w:top w:val="nil"/>
              <w:left w:val="nil"/>
              <w:bottom w:val="nil"/>
              <w:right w:val="nil"/>
            </w:tcBorders>
            <w:shd w:val="clear" w:color="auto" w:fill="auto"/>
            <w:noWrap/>
            <w:vAlign w:val="bottom"/>
          </w:tcPr>
          <w:p w14:paraId="24F0DB6D" w14:textId="77777777" w:rsidR="008A4BCF" w:rsidRPr="00C8044F" w:rsidRDefault="008A4BCF" w:rsidP="00B44AC3">
            <w:pPr>
              <w:spacing w:after="0" w:line="240" w:lineRule="auto"/>
              <w:jc w:val="right"/>
              <w:rPr>
                <w:rFonts w:eastAsia="Times New Roman" w:cs="Segoe UI"/>
                <w:color w:val="000000"/>
                <w:sz w:val="18"/>
                <w:szCs w:val="18"/>
                <w:lang w:eastAsia="sk-SK"/>
              </w:rPr>
            </w:pPr>
            <w:r>
              <w:rPr>
                <w:rFonts w:cs="Segoe UI"/>
                <w:sz w:val="18"/>
                <w:szCs w:val="18"/>
              </w:rPr>
              <w:t>101,9</w:t>
            </w:r>
          </w:p>
        </w:tc>
      </w:tr>
      <w:tr w:rsidR="008A4BCF" w:rsidRPr="00C8044F" w14:paraId="728A569C" w14:textId="77777777" w:rsidTr="00B44AC3">
        <w:trPr>
          <w:trHeight w:val="283"/>
        </w:trPr>
        <w:tc>
          <w:tcPr>
            <w:tcW w:w="5387" w:type="dxa"/>
            <w:tcBorders>
              <w:right w:val="nil"/>
            </w:tcBorders>
            <w:shd w:val="clear" w:color="auto" w:fill="auto"/>
            <w:noWrap/>
            <w:vAlign w:val="bottom"/>
            <w:hideMark/>
          </w:tcPr>
          <w:p w14:paraId="7BF65FFC" w14:textId="77777777" w:rsidR="008A4BCF" w:rsidRPr="00C8044F" w:rsidRDefault="008A4BCF" w:rsidP="00B44AC3">
            <w:pPr>
              <w:spacing w:after="0" w:line="240" w:lineRule="auto"/>
              <w:jc w:val="left"/>
              <w:rPr>
                <w:rFonts w:eastAsia="Times New Roman" w:cs="Segoe UI"/>
                <w:sz w:val="18"/>
                <w:szCs w:val="18"/>
                <w:lang w:eastAsia="sk-SK"/>
              </w:rPr>
            </w:pPr>
            <w:r w:rsidRPr="00C8044F">
              <w:rPr>
                <w:rFonts w:eastAsia="Times New Roman" w:cs="Segoe UI"/>
                <w:sz w:val="18"/>
                <w:szCs w:val="18"/>
                <w:lang w:eastAsia="sk-SK"/>
              </w:rPr>
              <w:t xml:space="preserve">Ministerstvo zdravotníctva SR  </w:t>
            </w:r>
          </w:p>
        </w:tc>
        <w:tc>
          <w:tcPr>
            <w:tcW w:w="1134" w:type="dxa"/>
            <w:tcBorders>
              <w:top w:val="nil"/>
              <w:left w:val="nil"/>
              <w:bottom w:val="nil"/>
              <w:right w:val="nil"/>
            </w:tcBorders>
            <w:shd w:val="clear" w:color="auto" w:fill="auto"/>
            <w:noWrap/>
            <w:vAlign w:val="bottom"/>
          </w:tcPr>
          <w:p w14:paraId="35CD409B"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2 550 276</w:t>
            </w:r>
          </w:p>
        </w:tc>
        <w:tc>
          <w:tcPr>
            <w:tcW w:w="1276" w:type="dxa"/>
            <w:tcBorders>
              <w:top w:val="nil"/>
              <w:left w:val="nil"/>
              <w:bottom w:val="nil"/>
              <w:right w:val="nil"/>
            </w:tcBorders>
            <w:shd w:val="clear" w:color="auto" w:fill="auto"/>
            <w:noWrap/>
            <w:vAlign w:val="bottom"/>
          </w:tcPr>
          <w:p w14:paraId="1E34501B"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2 445 012</w:t>
            </w:r>
          </w:p>
        </w:tc>
        <w:tc>
          <w:tcPr>
            <w:tcW w:w="1273" w:type="dxa"/>
            <w:tcBorders>
              <w:top w:val="nil"/>
              <w:left w:val="nil"/>
              <w:bottom w:val="nil"/>
              <w:right w:val="nil"/>
            </w:tcBorders>
            <w:shd w:val="clear" w:color="auto" w:fill="auto"/>
            <w:noWrap/>
            <w:vAlign w:val="bottom"/>
          </w:tcPr>
          <w:p w14:paraId="57F1CE76" w14:textId="77777777" w:rsidR="008A4BCF" w:rsidRPr="00C8044F" w:rsidRDefault="008A4BCF" w:rsidP="00B44AC3">
            <w:pPr>
              <w:spacing w:after="0" w:line="240" w:lineRule="auto"/>
              <w:jc w:val="right"/>
              <w:rPr>
                <w:rFonts w:eastAsia="Times New Roman" w:cs="Segoe UI"/>
                <w:color w:val="000000"/>
                <w:sz w:val="18"/>
                <w:szCs w:val="18"/>
                <w:lang w:eastAsia="sk-SK"/>
              </w:rPr>
            </w:pPr>
            <w:r>
              <w:rPr>
                <w:rFonts w:cs="Segoe UI"/>
                <w:sz w:val="18"/>
                <w:szCs w:val="18"/>
              </w:rPr>
              <w:t>95,9</w:t>
            </w:r>
          </w:p>
        </w:tc>
      </w:tr>
      <w:tr w:rsidR="008A4BCF" w:rsidRPr="00C8044F" w14:paraId="547CF514" w14:textId="77777777" w:rsidTr="00B44AC3">
        <w:trPr>
          <w:trHeight w:val="283"/>
        </w:trPr>
        <w:tc>
          <w:tcPr>
            <w:tcW w:w="5387" w:type="dxa"/>
            <w:tcBorders>
              <w:right w:val="nil"/>
            </w:tcBorders>
            <w:shd w:val="clear" w:color="auto" w:fill="auto"/>
            <w:noWrap/>
            <w:vAlign w:val="bottom"/>
            <w:hideMark/>
          </w:tcPr>
          <w:p w14:paraId="4029A565" w14:textId="77777777" w:rsidR="008A4BCF" w:rsidRPr="00C8044F" w:rsidRDefault="008A4BCF" w:rsidP="00B44AC3">
            <w:pPr>
              <w:spacing w:after="0" w:line="240" w:lineRule="auto"/>
              <w:ind w:right="-72"/>
              <w:jc w:val="left"/>
              <w:rPr>
                <w:rFonts w:eastAsia="Times New Roman" w:cs="Segoe UI"/>
                <w:sz w:val="18"/>
                <w:szCs w:val="18"/>
                <w:lang w:eastAsia="sk-SK"/>
              </w:rPr>
            </w:pPr>
            <w:r w:rsidRPr="00C8044F">
              <w:rPr>
                <w:rFonts w:eastAsia="Times New Roman" w:cs="Segoe UI"/>
                <w:sz w:val="18"/>
                <w:szCs w:val="18"/>
                <w:lang w:eastAsia="sk-SK"/>
              </w:rPr>
              <w:t xml:space="preserve">Ministerstvo práce, sociálnych vecí a rodiny SR </w:t>
            </w:r>
          </w:p>
        </w:tc>
        <w:tc>
          <w:tcPr>
            <w:tcW w:w="1134" w:type="dxa"/>
            <w:tcBorders>
              <w:top w:val="nil"/>
              <w:left w:val="nil"/>
              <w:bottom w:val="nil"/>
              <w:right w:val="nil"/>
            </w:tcBorders>
            <w:shd w:val="clear" w:color="auto" w:fill="auto"/>
            <w:noWrap/>
            <w:vAlign w:val="bottom"/>
          </w:tcPr>
          <w:p w14:paraId="18BADDF3"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5 110 570</w:t>
            </w:r>
          </w:p>
        </w:tc>
        <w:tc>
          <w:tcPr>
            <w:tcW w:w="1276" w:type="dxa"/>
            <w:tcBorders>
              <w:top w:val="nil"/>
              <w:left w:val="nil"/>
              <w:bottom w:val="nil"/>
              <w:right w:val="nil"/>
            </w:tcBorders>
            <w:shd w:val="clear" w:color="auto" w:fill="auto"/>
            <w:noWrap/>
            <w:vAlign w:val="bottom"/>
          </w:tcPr>
          <w:p w14:paraId="53E166FA"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4 914 356</w:t>
            </w:r>
          </w:p>
        </w:tc>
        <w:tc>
          <w:tcPr>
            <w:tcW w:w="1273" w:type="dxa"/>
            <w:tcBorders>
              <w:top w:val="nil"/>
              <w:left w:val="nil"/>
              <w:bottom w:val="nil"/>
              <w:right w:val="nil"/>
            </w:tcBorders>
            <w:shd w:val="clear" w:color="auto" w:fill="auto"/>
            <w:noWrap/>
            <w:vAlign w:val="bottom"/>
          </w:tcPr>
          <w:p w14:paraId="09386B67" w14:textId="77777777" w:rsidR="008A4BCF" w:rsidRPr="00C8044F" w:rsidRDefault="008A4BCF" w:rsidP="00B44AC3">
            <w:pPr>
              <w:spacing w:after="0" w:line="240" w:lineRule="auto"/>
              <w:jc w:val="right"/>
              <w:rPr>
                <w:rFonts w:eastAsia="Times New Roman" w:cs="Segoe UI"/>
                <w:color w:val="000000"/>
                <w:sz w:val="18"/>
                <w:szCs w:val="18"/>
                <w:lang w:eastAsia="sk-SK"/>
              </w:rPr>
            </w:pPr>
            <w:r>
              <w:rPr>
                <w:rFonts w:cs="Segoe UI"/>
                <w:sz w:val="18"/>
                <w:szCs w:val="18"/>
              </w:rPr>
              <w:t>96,2</w:t>
            </w:r>
          </w:p>
        </w:tc>
      </w:tr>
      <w:tr w:rsidR="008A4BCF" w:rsidRPr="00C8044F" w14:paraId="74D23101" w14:textId="77777777" w:rsidTr="00B44AC3">
        <w:trPr>
          <w:trHeight w:val="283"/>
        </w:trPr>
        <w:tc>
          <w:tcPr>
            <w:tcW w:w="5387" w:type="dxa"/>
            <w:tcBorders>
              <w:right w:val="nil"/>
            </w:tcBorders>
            <w:shd w:val="clear" w:color="auto" w:fill="auto"/>
            <w:noWrap/>
            <w:vAlign w:val="bottom"/>
            <w:hideMark/>
          </w:tcPr>
          <w:p w14:paraId="58D2F5FA" w14:textId="77777777" w:rsidR="008A4BCF" w:rsidRPr="00C8044F" w:rsidRDefault="008A4BCF" w:rsidP="00B44AC3">
            <w:pPr>
              <w:spacing w:after="0" w:line="240" w:lineRule="auto"/>
              <w:jc w:val="left"/>
              <w:rPr>
                <w:rFonts w:eastAsia="Times New Roman" w:cs="Segoe UI"/>
                <w:sz w:val="18"/>
                <w:szCs w:val="18"/>
                <w:lang w:eastAsia="sk-SK"/>
              </w:rPr>
            </w:pPr>
            <w:r w:rsidRPr="00C8044F">
              <w:rPr>
                <w:rFonts w:eastAsia="Times New Roman" w:cs="Segoe UI"/>
                <w:sz w:val="18"/>
                <w:szCs w:val="18"/>
                <w:lang w:eastAsia="sk-SK"/>
              </w:rPr>
              <w:t xml:space="preserve">Ministerstvo kultúry SR        </w:t>
            </w:r>
          </w:p>
        </w:tc>
        <w:tc>
          <w:tcPr>
            <w:tcW w:w="1134" w:type="dxa"/>
            <w:tcBorders>
              <w:top w:val="nil"/>
              <w:left w:val="nil"/>
              <w:bottom w:val="nil"/>
              <w:right w:val="nil"/>
            </w:tcBorders>
            <w:shd w:val="clear" w:color="auto" w:fill="auto"/>
            <w:noWrap/>
            <w:vAlign w:val="bottom"/>
          </w:tcPr>
          <w:p w14:paraId="30335F5F"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334 746</w:t>
            </w:r>
          </w:p>
        </w:tc>
        <w:tc>
          <w:tcPr>
            <w:tcW w:w="1276" w:type="dxa"/>
            <w:tcBorders>
              <w:top w:val="nil"/>
              <w:left w:val="nil"/>
              <w:bottom w:val="nil"/>
              <w:right w:val="nil"/>
            </w:tcBorders>
            <w:shd w:val="clear" w:color="auto" w:fill="auto"/>
            <w:noWrap/>
            <w:vAlign w:val="bottom"/>
          </w:tcPr>
          <w:p w14:paraId="3DDE9A66"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446 316</w:t>
            </w:r>
          </w:p>
        </w:tc>
        <w:tc>
          <w:tcPr>
            <w:tcW w:w="1273" w:type="dxa"/>
            <w:tcBorders>
              <w:top w:val="nil"/>
              <w:left w:val="nil"/>
              <w:bottom w:val="nil"/>
              <w:right w:val="nil"/>
            </w:tcBorders>
            <w:shd w:val="clear" w:color="auto" w:fill="auto"/>
            <w:noWrap/>
            <w:vAlign w:val="bottom"/>
          </w:tcPr>
          <w:p w14:paraId="1FD6218F" w14:textId="77777777" w:rsidR="008A4BCF" w:rsidRPr="00C8044F" w:rsidRDefault="008A4BCF" w:rsidP="00B44AC3">
            <w:pPr>
              <w:spacing w:after="0" w:line="240" w:lineRule="auto"/>
              <w:jc w:val="right"/>
              <w:rPr>
                <w:rFonts w:eastAsia="Times New Roman" w:cs="Segoe UI"/>
                <w:color w:val="000000"/>
                <w:sz w:val="18"/>
                <w:szCs w:val="18"/>
                <w:lang w:eastAsia="sk-SK"/>
              </w:rPr>
            </w:pPr>
            <w:r>
              <w:rPr>
                <w:rFonts w:cs="Segoe UI"/>
                <w:sz w:val="18"/>
                <w:szCs w:val="18"/>
              </w:rPr>
              <w:t>133,3</w:t>
            </w:r>
          </w:p>
        </w:tc>
      </w:tr>
      <w:tr w:rsidR="008A4BCF" w:rsidRPr="00C8044F" w14:paraId="56F99D1E" w14:textId="77777777" w:rsidTr="00B44AC3">
        <w:trPr>
          <w:trHeight w:val="283"/>
        </w:trPr>
        <w:tc>
          <w:tcPr>
            <w:tcW w:w="5387" w:type="dxa"/>
            <w:tcBorders>
              <w:right w:val="nil"/>
            </w:tcBorders>
            <w:shd w:val="clear" w:color="auto" w:fill="auto"/>
            <w:noWrap/>
            <w:vAlign w:val="bottom"/>
            <w:hideMark/>
          </w:tcPr>
          <w:p w14:paraId="3EAEED32" w14:textId="77777777" w:rsidR="008A4BCF" w:rsidRPr="00C8044F" w:rsidRDefault="008A4BCF" w:rsidP="00B44AC3">
            <w:pPr>
              <w:spacing w:after="0" w:line="240" w:lineRule="auto"/>
              <w:jc w:val="left"/>
              <w:rPr>
                <w:rFonts w:eastAsia="Times New Roman" w:cs="Segoe UI"/>
                <w:sz w:val="18"/>
                <w:szCs w:val="18"/>
                <w:lang w:eastAsia="sk-SK"/>
              </w:rPr>
            </w:pPr>
            <w:r w:rsidRPr="00C8044F">
              <w:rPr>
                <w:rFonts w:eastAsia="Times New Roman" w:cs="Segoe UI"/>
                <w:sz w:val="18"/>
                <w:szCs w:val="18"/>
                <w:lang w:eastAsia="sk-SK"/>
              </w:rPr>
              <w:t xml:space="preserve">Ministerstvo hospodárstva SR   </w:t>
            </w:r>
          </w:p>
        </w:tc>
        <w:tc>
          <w:tcPr>
            <w:tcW w:w="1134" w:type="dxa"/>
            <w:tcBorders>
              <w:top w:val="nil"/>
              <w:left w:val="nil"/>
              <w:bottom w:val="nil"/>
              <w:right w:val="nil"/>
            </w:tcBorders>
            <w:shd w:val="clear" w:color="auto" w:fill="auto"/>
            <w:noWrap/>
            <w:vAlign w:val="bottom"/>
          </w:tcPr>
          <w:p w14:paraId="57CE7E7D"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2 249 042</w:t>
            </w:r>
          </w:p>
        </w:tc>
        <w:tc>
          <w:tcPr>
            <w:tcW w:w="1276" w:type="dxa"/>
            <w:tcBorders>
              <w:top w:val="nil"/>
              <w:left w:val="nil"/>
              <w:bottom w:val="nil"/>
              <w:right w:val="nil"/>
            </w:tcBorders>
            <w:shd w:val="clear" w:color="auto" w:fill="auto"/>
            <w:noWrap/>
            <w:vAlign w:val="bottom"/>
          </w:tcPr>
          <w:p w14:paraId="27D76DC2"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3 470 869</w:t>
            </w:r>
          </w:p>
        </w:tc>
        <w:tc>
          <w:tcPr>
            <w:tcW w:w="1273" w:type="dxa"/>
            <w:tcBorders>
              <w:top w:val="nil"/>
              <w:left w:val="nil"/>
              <w:bottom w:val="nil"/>
              <w:right w:val="nil"/>
            </w:tcBorders>
            <w:shd w:val="clear" w:color="auto" w:fill="auto"/>
            <w:noWrap/>
            <w:vAlign w:val="bottom"/>
          </w:tcPr>
          <w:p w14:paraId="0E9A77FB" w14:textId="77777777" w:rsidR="008A4BCF" w:rsidRPr="00C8044F" w:rsidRDefault="008A4BCF" w:rsidP="00B44AC3">
            <w:pPr>
              <w:spacing w:after="0" w:line="240" w:lineRule="auto"/>
              <w:jc w:val="right"/>
              <w:rPr>
                <w:rFonts w:eastAsia="Times New Roman" w:cs="Segoe UI"/>
                <w:color w:val="000000"/>
                <w:sz w:val="18"/>
                <w:szCs w:val="18"/>
                <w:lang w:eastAsia="sk-SK"/>
              </w:rPr>
            </w:pPr>
            <w:r>
              <w:rPr>
                <w:rFonts w:cs="Segoe UI"/>
                <w:sz w:val="18"/>
                <w:szCs w:val="18"/>
              </w:rPr>
              <w:t>154,3</w:t>
            </w:r>
          </w:p>
        </w:tc>
      </w:tr>
      <w:tr w:rsidR="008A4BCF" w:rsidRPr="00C8044F" w14:paraId="5FE341A9" w14:textId="77777777" w:rsidTr="00B44AC3">
        <w:trPr>
          <w:trHeight w:val="283"/>
        </w:trPr>
        <w:tc>
          <w:tcPr>
            <w:tcW w:w="5387" w:type="dxa"/>
            <w:tcBorders>
              <w:right w:val="nil"/>
            </w:tcBorders>
            <w:shd w:val="clear" w:color="auto" w:fill="auto"/>
            <w:noWrap/>
            <w:vAlign w:val="bottom"/>
            <w:hideMark/>
          </w:tcPr>
          <w:p w14:paraId="410D65EF" w14:textId="77777777" w:rsidR="008A4BCF" w:rsidRPr="00C8044F" w:rsidRDefault="008A4BCF" w:rsidP="00B44AC3">
            <w:pPr>
              <w:spacing w:after="0" w:line="240" w:lineRule="auto"/>
              <w:jc w:val="left"/>
              <w:rPr>
                <w:rFonts w:eastAsia="Times New Roman" w:cs="Segoe UI"/>
                <w:sz w:val="18"/>
                <w:szCs w:val="18"/>
                <w:lang w:eastAsia="sk-SK"/>
              </w:rPr>
            </w:pPr>
            <w:r w:rsidRPr="00C8044F">
              <w:rPr>
                <w:rFonts w:eastAsia="Times New Roman" w:cs="Segoe UI"/>
                <w:sz w:val="18"/>
                <w:szCs w:val="18"/>
                <w:lang w:eastAsia="sk-SK"/>
              </w:rPr>
              <w:t xml:space="preserve">Ministerstvo pôdohospodárstva a rozvoja vidieka SR  </w:t>
            </w:r>
          </w:p>
        </w:tc>
        <w:tc>
          <w:tcPr>
            <w:tcW w:w="1134" w:type="dxa"/>
            <w:tcBorders>
              <w:top w:val="nil"/>
              <w:left w:val="nil"/>
              <w:bottom w:val="nil"/>
              <w:right w:val="nil"/>
            </w:tcBorders>
            <w:shd w:val="clear" w:color="auto" w:fill="auto"/>
            <w:noWrap/>
            <w:vAlign w:val="bottom"/>
          </w:tcPr>
          <w:p w14:paraId="3A0C5A17"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953 734</w:t>
            </w:r>
          </w:p>
        </w:tc>
        <w:tc>
          <w:tcPr>
            <w:tcW w:w="1276" w:type="dxa"/>
            <w:tcBorders>
              <w:top w:val="nil"/>
              <w:left w:val="nil"/>
              <w:bottom w:val="nil"/>
              <w:right w:val="nil"/>
            </w:tcBorders>
            <w:shd w:val="clear" w:color="auto" w:fill="auto"/>
            <w:noWrap/>
            <w:vAlign w:val="bottom"/>
          </w:tcPr>
          <w:p w14:paraId="06E8FD26"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823 077</w:t>
            </w:r>
          </w:p>
        </w:tc>
        <w:tc>
          <w:tcPr>
            <w:tcW w:w="1273" w:type="dxa"/>
            <w:tcBorders>
              <w:top w:val="nil"/>
              <w:left w:val="nil"/>
              <w:bottom w:val="nil"/>
              <w:right w:val="nil"/>
            </w:tcBorders>
            <w:shd w:val="clear" w:color="auto" w:fill="auto"/>
            <w:noWrap/>
            <w:vAlign w:val="bottom"/>
          </w:tcPr>
          <w:p w14:paraId="334457A6" w14:textId="77777777" w:rsidR="008A4BCF" w:rsidRPr="00C8044F" w:rsidRDefault="008A4BCF" w:rsidP="00B44AC3">
            <w:pPr>
              <w:spacing w:after="0" w:line="240" w:lineRule="auto"/>
              <w:jc w:val="right"/>
              <w:rPr>
                <w:rFonts w:eastAsia="Times New Roman" w:cs="Segoe UI"/>
                <w:color w:val="000000"/>
                <w:sz w:val="18"/>
                <w:szCs w:val="18"/>
                <w:lang w:eastAsia="sk-SK"/>
              </w:rPr>
            </w:pPr>
            <w:r>
              <w:rPr>
                <w:rFonts w:cs="Segoe UI"/>
                <w:sz w:val="18"/>
                <w:szCs w:val="18"/>
              </w:rPr>
              <w:t>86,3</w:t>
            </w:r>
          </w:p>
        </w:tc>
      </w:tr>
      <w:tr w:rsidR="008A4BCF" w:rsidRPr="00C8044F" w14:paraId="51A30095" w14:textId="77777777" w:rsidTr="00B44AC3">
        <w:trPr>
          <w:trHeight w:val="283"/>
        </w:trPr>
        <w:tc>
          <w:tcPr>
            <w:tcW w:w="5387" w:type="dxa"/>
            <w:tcBorders>
              <w:right w:val="nil"/>
            </w:tcBorders>
            <w:shd w:val="clear" w:color="auto" w:fill="auto"/>
            <w:noWrap/>
            <w:vAlign w:val="bottom"/>
            <w:hideMark/>
          </w:tcPr>
          <w:p w14:paraId="2C5ADFBD" w14:textId="77777777" w:rsidR="008A4BCF" w:rsidRPr="00C8044F" w:rsidRDefault="008A4BCF" w:rsidP="00B44AC3">
            <w:pPr>
              <w:spacing w:after="0" w:line="240" w:lineRule="auto"/>
              <w:jc w:val="left"/>
              <w:rPr>
                <w:rFonts w:eastAsia="Times New Roman" w:cs="Segoe UI"/>
                <w:sz w:val="18"/>
                <w:szCs w:val="18"/>
                <w:lang w:eastAsia="sk-SK"/>
              </w:rPr>
            </w:pPr>
            <w:r w:rsidRPr="00C8044F">
              <w:rPr>
                <w:rFonts w:eastAsia="Times New Roman" w:cs="Segoe UI"/>
                <w:sz w:val="18"/>
                <w:szCs w:val="18"/>
                <w:lang w:eastAsia="sk-SK"/>
              </w:rPr>
              <w:t xml:space="preserve">Ministerstvo dopravy, výstavby a regionálneho rozvoja SR  </w:t>
            </w:r>
          </w:p>
        </w:tc>
        <w:tc>
          <w:tcPr>
            <w:tcW w:w="1134" w:type="dxa"/>
            <w:tcBorders>
              <w:top w:val="nil"/>
              <w:left w:val="nil"/>
              <w:bottom w:val="nil"/>
              <w:right w:val="nil"/>
            </w:tcBorders>
            <w:shd w:val="clear" w:color="auto" w:fill="auto"/>
            <w:noWrap/>
            <w:vAlign w:val="bottom"/>
          </w:tcPr>
          <w:p w14:paraId="35462C5A"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2 834 973</w:t>
            </w:r>
          </w:p>
        </w:tc>
        <w:tc>
          <w:tcPr>
            <w:tcW w:w="1276" w:type="dxa"/>
            <w:tcBorders>
              <w:top w:val="nil"/>
              <w:left w:val="nil"/>
              <w:bottom w:val="nil"/>
              <w:right w:val="nil"/>
            </w:tcBorders>
            <w:shd w:val="clear" w:color="auto" w:fill="auto"/>
            <w:noWrap/>
            <w:vAlign w:val="bottom"/>
          </w:tcPr>
          <w:p w14:paraId="6020589A"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2 818 724</w:t>
            </w:r>
          </w:p>
        </w:tc>
        <w:tc>
          <w:tcPr>
            <w:tcW w:w="1273" w:type="dxa"/>
            <w:tcBorders>
              <w:top w:val="nil"/>
              <w:left w:val="nil"/>
              <w:bottom w:val="nil"/>
              <w:right w:val="nil"/>
            </w:tcBorders>
            <w:shd w:val="clear" w:color="auto" w:fill="auto"/>
            <w:noWrap/>
            <w:vAlign w:val="bottom"/>
          </w:tcPr>
          <w:p w14:paraId="53F3F8F7" w14:textId="77777777" w:rsidR="008A4BCF" w:rsidRPr="00C8044F" w:rsidRDefault="008A4BCF" w:rsidP="00B44AC3">
            <w:pPr>
              <w:spacing w:after="0" w:line="240" w:lineRule="auto"/>
              <w:jc w:val="right"/>
              <w:rPr>
                <w:rFonts w:eastAsia="Times New Roman" w:cs="Segoe UI"/>
                <w:color w:val="000000"/>
                <w:sz w:val="18"/>
                <w:szCs w:val="18"/>
                <w:lang w:eastAsia="sk-SK"/>
              </w:rPr>
            </w:pPr>
            <w:r>
              <w:rPr>
                <w:rFonts w:cs="Segoe UI"/>
                <w:sz w:val="18"/>
                <w:szCs w:val="18"/>
              </w:rPr>
              <w:t>99,4</w:t>
            </w:r>
          </w:p>
        </w:tc>
      </w:tr>
      <w:tr w:rsidR="008A4BCF" w:rsidRPr="00C8044F" w14:paraId="2B84F06B" w14:textId="77777777" w:rsidTr="00B44AC3">
        <w:trPr>
          <w:trHeight w:val="283"/>
        </w:trPr>
        <w:tc>
          <w:tcPr>
            <w:tcW w:w="5387" w:type="dxa"/>
            <w:tcBorders>
              <w:right w:val="nil"/>
            </w:tcBorders>
            <w:shd w:val="clear" w:color="auto" w:fill="auto"/>
            <w:noWrap/>
            <w:vAlign w:val="bottom"/>
            <w:hideMark/>
          </w:tcPr>
          <w:p w14:paraId="755A40B2" w14:textId="77777777" w:rsidR="008A4BCF" w:rsidRPr="00C8044F" w:rsidRDefault="008A4BCF" w:rsidP="00B44AC3">
            <w:pPr>
              <w:spacing w:after="0" w:line="240" w:lineRule="auto"/>
              <w:jc w:val="left"/>
              <w:rPr>
                <w:rFonts w:eastAsia="Times New Roman" w:cs="Segoe UI"/>
                <w:sz w:val="18"/>
                <w:szCs w:val="18"/>
                <w:lang w:eastAsia="sk-SK"/>
              </w:rPr>
            </w:pPr>
            <w:r w:rsidRPr="00C8044F">
              <w:rPr>
                <w:rFonts w:eastAsia="Times New Roman" w:cs="Segoe UI"/>
                <w:sz w:val="18"/>
                <w:szCs w:val="18"/>
                <w:lang w:eastAsia="sk-SK"/>
              </w:rPr>
              <w:t>Úrad geodézie, kartografie a katastra SR</w:t>
            </w:r>
          </w:p>
        </w:tc>
        <w:tc>
          <w:tcPr>
            <w:tcW w:w="1134" w:type="dxa"/>
            <w:tcBorders>
              <w:top w:val="nil"/>
              <w:left w:val="nil"/>
              <w:bottom w:val="nil"/>
              <w:right w:val="nil"/>
            </w:tcBorders>
            <w:shd w:val="clear" w:color="auto" w:fill="auto"/>
            <w:noWrap/>
            <w:vAlign w:val="bottom"/>
          </w:tcPr>
          <w:p w14:paraId="2270F470"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20 601</w:t>
            </w:r>
          </w:p>
        </w:tc>
        <w:tc>
          <w:tcPr>
            <w:tcW w:w="1276" w:type="dxa"/>
            <w:tcBorders>
              <w:top w:val="nil"/>
              <w:left w:val="nil"/>
              <w:bottom w:val="nil"/>
              <w:right w:val="nil"/>
            </w:tcBorders>
            <w:shd w:val="clear" w:color="auto" w:fill="auto"/>
            <w:noWrap/>
            <w:vAlign w:val="bottom"/>
          </w:tcPr>
          <w:p w14:paraId="625E2542"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26 762</w:t>
            </w:r>
          </w:p>
        </w:tc>
        <w:tc>
          <w:tcPr>
            <w:tcW w:w="1273" w:type="dxa"/>
            <w:tcBorders>
              <w:top w:val="nil"/>
              <w:left w:val="nil"/>
              <w:bottom w:val="nil"/>
              <w:right w:val="nil"/>
            </w:tcBorders>
            <w:shd w:val="clear" w:color="auto" w:fill="auto"/>
            <w:noWrap/>
            <w:vAlign w:val="bottom"/>
          </w:tcPr>
          <w:p w14:paraId="50C83423" w14:textId="77777777" w:rsidR="008A4BCF" w:rsidRPr="00C8044F" w:rsidRDefault="008A4BCF" w:rsidP="00B44AC3">
            <w:pPr>
              <w:spacing w:after="0" w:line="240" w:lineRule="auto"/>
              <w:jc w:val="right"/>
              <w:rPr>
                <w:rFonts w:eastAsia="Times New Roman" w:cs="Segoe UI"/>
                <w:color w:val="000000"/>
                <w:sz w:val="18"/>
                <w:szCs w:val="18"/>
                <w:lang w:eastAsia="sk-SK"/>
              </w:rPr>
            </w:pPr>
            <w:r>
              <w:rPr>
                <w:rFonts w:cs="Segoe UI"/>
                <w:sz w:val="18"/>
                <w:szCs w:val="18"/>
              </w:rPr>
              <w:t>129,9</w:t>
            </w:r>
          </w:p>
        </w:tc>
      </w:tr>
      <w:tr w:rsidR="008A4BCF" w:rsidRPr="00C8044F" w14:paraId="36BFB5A0" w14:textId="77777777" w:rsidTr="00B44AC3">
        <w:trPr>
          <w:trHeight w:val="283"/>
        </w:trPr>
        <w:tc>
          <w:tcPr>
            <w:tcW w:w="5387" w:type="dxa"/>
            <w:tcBorders>
              <w:right w:val="nil"/>
            </w:tcBorders>
            <w:shd w:val="clear" w:color="auto" w:fill="auto"/>
            <w:noWrap/>
            <w:vAlign w:val="bottom"/>
            <w:hideMark/>
          </w:tcPr>
          <w:p w14:paraId="2607FA36" w14:textId="77777777" w:rsidR="008A4BCF" w:rsidRPr="00C8044F" w:rsidRDefault="008A4BCF" w:rsidP="00B44AC3">
            <w:pPr>
              <w:spacing w:after="0" w:line="240" w:lineRule="auto"/>
              <w:jc w:val="left"/>
              <w:rPr>
                <w:rFonts w:eastAsia="Times New Roman" w:cs="Segoe UI"/>
                <w:sz w:val="18"/>
                <w:szCs w:val="18"/>
                <w:lang w:eastAsia="sk-SK"/>
              </w:rPr>
            </w:pPr>
            <w:r w:rsidRPr="00C8044F">
              <w:rPr>
                <w:rFonts w:eastAsia="Times New Roman" w:cs="Segoe UI"/>
                <w:sz w:val="18"/>
                <w:szCs w:val="18"/>
                <w:lang w:eastAsia="sk-SK"/>
              </w:rPr>
              <w:t xml:space="preserve">Štatistický úrad SR            </w:t>
            </w:r>
          </w:p>
        </w:tc>
        <w:tc>
          <w:tcPr>
            <w:tcW w:w="1134" w:type="dxa"/>
            <w:tcBorders>
              <w:top w:val="nil"/>
              <w:left w:val="nil"/>
              <w:bottom w:val="nil"/>
              <w:right w:val="nil"/>
            </w:tcBorders>
            <w:shd w:val="clear" w:color="auto" w:fill="auto"/>
            <w:noWrap/>
            <w:vAlign w:val="bottom"/>
          </w:tcPr>
          <w:p w14:paraId="1B16AC15"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34 113</w:t>
            </w:r>
          </w:p>
        </w:tc>
        <w:tc>
          <w:tcPr>
            <w:tcW w:w="1276" w:type="dxa"/>
            <w:tcBorders>
              <w:top w:val="nil"/>
              <w:left w:val="nil"/>
              <w:bottom w:val="nil"/>
              <w:right w:val="nil"/>
            </w:tcBorders>
            <w:shd w:val="clear" w:color="auto" w:fill="auto"/>
            <w:noWrap/>
            <w:vAlign w:val="bottom"/>
          </w:tcPr>
          <w:p w14:paraId="4FD45986"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52 630</w:t>
            </w:r>
          </w:p>
        </w:tc>
        <w:tc>
          <w:tcPr>
            <w:tcW w:w="1273" w:type="dxa"/>
            <w:tcBorders>
              <w:top w:val="nil"/>
              <w:left w:val="nil"/>
              <w:bottom w:val="nil"/>
              <w:right w:val="nil"/>
            </w:tcBorders>
            <w:shd w:val="clear" w:color="auto" w:fill="auto"/>
            <w:noWrap/>
            <w:vAlign w:val="bottom"/>
          </w:tcPr>
          <w:p w14:paraId="207B56DA" w14:textId="77777777" w:rsidR="008A4BCF" w:rsidRPr="00C8044F" w:rsidRDefault="008A4BCF" w:rsidP="00B44AC3">
            <w:pPr>
              <w:spacing w:after="0" w:line="240" w:lineRule="auto"/>
              <w:jc w:val="right"/>
              <w:rPr>
                <w:rFonts w:eastAsia="Times New Roman" w:cs="Segoe UI"/>
                <w:color w:val="000000"/>
                <w:sz w:val="18"/>
                <w:szCs w:val="18"/>
                <w:lang w:eastAsia="sk-SK"/>
              </w:rPr>
            </w:pPr>
            <w:r>
              <w:rPr>
                <w:rFonts w:cs="Segoe UI"/>
                <w:sz w:val="18"/>
                <w:szCs w:val="18"/>
              </w:rPr>
              <w:t>154,3</w:t>
            </w:r>
          </w:p>
        </w:tc>
      </w:tr>
      <w:tr w:rsidR="008A4BCF" w:rsidRPr="00C8044F" w14:paraId="764B0BBC" w14:textId="77777777" w:rsidTr="00B44AC3">
        <w:trPr>
          <w:trHeight w:val="283"/>
        </w:trPr>
        <w:tc>
          <w:tcPr>
            <w:tcW w:w="5387" w:type="dxa"/>
            <w:tcBorders>
              <w:right w:val="nil"/>
            </w:tcBorders>
            <w:shd w:val="clear" w:color="auto" w:fill="auto"/>
            <w:noWrap/>
            <w:vAlign w:val="bottom"/>
            <w:hideMark/>
          </w:tcPr>
          <w:p w14:paraId="73A77916" w14:textId="77777777" w:rsidR="008A4BCF" w:rsidRPr="00C8044F" w:rsidRDefault="008A4BCF" w:rsidP="00B44AC3">
            <w:pPr>
              <w:spacing w:after="0" w:line="240" w:lineRule="auto"/>
              <w:jc w:val="left"/>
              <w:rPr>
                <w:rFonts w:eastAsia="Times New Roman" w:cs="Segoe UI"/>
                <w:sz w:val="18"/>
                <w:szCs w:val="18"/>
                <w:lang w:eastAsia="sk-SK"/>
              </w:rPr>
            </w:pPr>
            <w:r w:rsidRPr="00C8044F">
              <w:rPr>
                <w:rFonts w:eastAsia="Times New Roman" w:cs="Segoe UI"/>
                <w:sz w:val="18"/>
                <w:szCs w:val="18"/>
                <w:lang w:eastAsia="sk-SK"/>
              </w:rPr>
              <w:t xml:space="preserve">Úrad pre verejné obstarávanie </w:t>
            </w:r>
          </w:p>
        </w:tc>
        <w:tc>
          <w:tcPr>
            <w:tcW w:w="1134" w:type="dxa"/>
            <w:tcBorders>
              <w:top w:val="nil"/>
              <w:left w:val="nil"/>
              <w:bottom w:val="nil"/>
              <w:right w:val="nil"/>
            </w:tcBorders>
            <w:shd w:val="clear" w:color="auto" w:fill="auto"/>
            <w:noWrap/>
            <w:vAlign w:val="bottom"/>
          </w:tcPr>
          <w:p w14:paraId="7ADD4982"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15 592</w:t>
            </w:r>
          </w:p>
        </w:tc>
        <w:tc>
          <w:tcPr>
            <w:tcW w:w="1276" w:type="dxa"/>
            <w:tcBorders>
              <w:top w:val="nil"/>
              <w:left w:val="nil"/>
              <w:bottom w:val="nil"/>
              <w:right w:val="nil"/>
            </w:tcBorders>
            <w:shd w:val="clear" w:color="auto" w:fill="auto"/>
            <w:noWrap/>
            <w:vAlign w:val="bottom"/>
          </w:tcPr>
          <w:p w14:paraId="1659FEA2"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16 373</w:t>
            </w:r>
          </w:p>
        </w:tc>
        <w:tc>
          <w:tcPr>
            <w:tcW w:w="1273" w:type="dxa"/>
            <w:tcBorders>
              <w:top w:val="nil"/>
              <w:left w:val="nil"/>
              <w:bottom w:val="nil"/>
              <w:right w:val="nil"/>
            </w:tcBorders>
            <w:shd w:val="clear" w:color="auto" w:fill="auto"/>
            <w:noWrap/>
            <w:vAlign w:val="bottom"/>
          </w:tcPr>
          <w:p w14:paraId="158A50D0" w14:textId="77777777" w:rsidR="008A4BCF" w:rsidRPr="00C8044F" w:rsidRDefault="008A4BCF" w:rsidP="00B44AC3">
            <w:pPr>
              <w:spacing w:after="0" w:line="240" w:lineRule="auto"/>
              <w:jc w:val="right"/>
              <w:rPr>
                <w:rFonts w:eastAsia="Times New Roman" w:cs="Segoe UI"/>
                <w:color w:val="000000"/>
                <w:sz w:val="18"/>
                <w:szCs w:val="18"/>
                <w:lang w:eastAsia="sk-SK"/>
              </w:rPr>
            </w:pPr>
            <w:r>
              <w:rPr>
                <w:rFonts w:cs="Segoe UI"/>
                <w:sz w:val="18"/>
                <w:szCs w:val="18"/>
              </w:rPr>
              <w:t>105,0</w:t>
            </w:r>
          </w:p>
        </w:tc>
      </w:tr>
      <w:tr w:rsidR="008A4BCF" w:rsidRPr="00C8044F" w14:paraId="3F5D02A2" w14:textId="77777777" w:rsidTr="00B44AC3">
        <w:trPr>
          <w:trHeight w:val="283"/>
        </w:trPr>
        <w:tc>
          <w:tcPr>
            <w:tcW w:w="5387" w:type="dxa"/>
            <w:tcBorders>
              <w:right w:val="nil"/>
            </w:tcBorders>
            <w:shd w:val="clear" w:color="auto" w:fill="auto"/>
            <w:noWrap/>
            <w:vAlign w:val="bottom"/>
            <w:hideMark/>
          </w:tcPr>
          <w:p w14:paraId="380E12C6" w14:textId="77777777" w:rsidR="008A4BCF" w:rsidRPr="00C8044F" w:rsidRDefault="008A4BCF" w:rsidP="00B44AC3">
            <w:pPr>
              <w:spacing w:after="0" w:line="240" w:lineRule="auto"/>
              <w:jc w:val="left"/>
              <w:rPr>
                <w:rFonts w:eastAsia="Times New Roman" w:cs="Segoe UI"/>
                <w:sz w:val="18"/>
                <w:szCs w:val="18"/>
                <w:lang w:eastAsia="sk-SK"/>
              </w:rPr>
            </w:pPr>
            <w:r w:rsidRPr="00C8044F">
              <w:rPr>
                <w:rFonts w:eastAsia="Times New Roman" w:cs="Segoe UI"/>
                <w:sz w:val="18"/>
                <w:szCs w:val="18"/>
                <w:lang w:eastAsia="sk-SK"/>
              </w:rPr>
              <w:t>Úrad pre reguláciu sieťových  odvetví</w:t>
            </w:r>
          </w:p>
        </w:tc>
        <w:tc>
          <w:tcPr>
            <w:tcW w:w="1134" w:type="dxa"/>
            <w:tcBorders>
              <w:top w:val="nil"/>
              <w:left w:val="nil"/>
              <w:bottom w:val="nil"/>
              <w:right w:val="nil"/>
            </w:tcBorders>
            <w:shd w:val="clear" w:color="auto" w:fill="auto"/>
            <w:noWrap/>
            <w:vAlign w:val="bottom"/>
          </w:tcPr>
          <w:p w14:paraId="0EF309ED"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5 615</w:t>
            </w:r>
          </w:p>
        </w:tc>
        <w:tc>
          <w:tcPr>
            <w:tcW w:w="1276" w:type="dxa"/>
            <w:tcBorders>
              <w:top w:val="nil"/>
              <w:left w:val="nil"/>
              <w:bottom w:val="nil"/>
              <w:right w:val="nil"/>
            </w:tcBorders>
            <w:shd w:val="clear" w:color="auto" w:fill="auto"/>
            <w:noWrap/>
            <w:vAlign w:val="bottom"/>
          </w:tcPr>
          <w:p w14:paraId="1CD09454"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6 373</w:t>
            </w:r>
          </w:p>
        </w:tc>
        <w:tc>
          <w:tcPr>
            <w:tcW w:w="1273" w:type="dxa"/>
            <w:tcBorders>
              <w:top w:val="nil"/>
              <w:left w:val="nil"/>
              <w:bottom w:val="nil"/>
              <w:right w:val="nil"/>
            </w:tcBorders>
            <w:shd w:val="clear" w:color="auto" w:fill="auto"/>
            <w:noWrap/>
            <w:vAlign w:val="bottom"/>
          </w:tcPr>
          <w:p w14:paraId="08D71C15" w14:textId="77777777" w:rsidR="008A4BCF" w:rsidRPr="00C8044F" w:rsidRDefault="008A4BCF" w:rsidP="00B44AC3">
            <w:pPr>
              <w:spacing w:after="0" w:line="240" w:lineRule="auto"/>
              <w:jc w:val="right"/>
              <w:rPr>
                <w:rFonts w:eastAsia="Times New Roman" w:cs="Segoe UI"/>
                <w:color w:val="000000"/>
                <w:sz w:val="18"/>
                <w:szCs w:val="18"/>
                <w:lang w:eastAsia="sk-SK"/>
              </w:rPr>
            </w:pPr>
            <w:r>
              <w:rPr>
                <w:rFonts w:cs="Segoe UI"/>
                <w:sz w:val="18"/>
                <w:szCs w:val="18"/>
              </w:rPr>
              <w:t>113,5</w:t>
            </w:r>
          </w:p>
        </w:tc>
      </w:tr>
      <w:tr w:rsidR="008A4BCF" w:rsidRPr="00C8044F" w14:paraId="5464E316" w14:textId="77777777" w:rsidTr="00B44AC3">
        <w:trPr>
          <w:trHeight w:val="283"/>
        </w:trPr>
        <w:tc>
          <w:tcPr>
            <w:tcW w:w="5387" w:type="dxa"/>
            <w:tcBorders>
              <w:right w:val="nil"/>
            </w:tcBorders>
            <w:shd w:val="clear" w:color="auto" w:fill="auto"/>
            <w:noWrap/>
            <w:vAlign w:val="bottom"/>
            <w:hideMark/>
          </w:tcPr>
          <w:p w14:paraId="6E3AD2BF" w14:textId="77777777" w:rsidR="008A4BCF" w:rsidRPr="00C8044F" w:rsidRDefault="008A4BCF" w:rsidP="00B44AC3">
            <w:pPr>
              <w:spacing w:after="0" w:line="240" w:lineRule="auto"/>
              <w:jc w:val="left"/>
              <w:rPr>
                <w:rFonts w:eastAsia="Times New Roman" w:cs="Segoe UI"/>
                <w:sz w:val="18"/>
                <w:szCs w:val="18"/>
                <w:lang w:eastAsia="sk-SK"/>
              </w:rPr>
            </w:pPr>
            <w:r w:rsidRPr="00C8044F">
              <w:rPr>
                <w:rFonts w:eastAsia="Times New Roman" w:cs="Segoe UI"/>
                <w:sz w:val="18"/>
                <w:szCs w:val="18"/>
                <w:lang w:eastAsia="sk-SK"/>
              </w:rPr>
              <w:t xml:space="preserve">Úrad jadrového dozoru SR       </w:t>
            </w:r>
          </w:p>
        </w:tc>
        <w:tc>
          <w:tcPr>
            <w:tcW w:w="1134" w:type="dxa"/>
            <w:tcBorders>
              <w:top w:val="nil"/>
              <w:left w:val="nil"/>
              <w:bottom w:val="nil"/>
              <w:right w:val="nil"/>
            </w:tcBorders>
            <w:shd w:val="clear" w:color="auto" w:fill="auto"/>
            <w:noWrap/>
            <w:vAlign w:val="bottom"/>
          </w:tcPr>
          <w:p w14:paraId="61B3D7AE"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11 794</w:t>
            </w:r>
          </w:p>
        </w:tc>
        <w:tc>
          <w:tcPr>
            <w:tcW w:w="1276" w:type="dxa"/>
            <w:tcBorders>
              <w:top w:val="nil"/>
              <w:left w:val="nil"/>
              <w:bottom w:val="nil"/>
              <w:right w:val="nil"/>
            </w:tcBorders>
            <w:shd w:val="clear" w:color="auto" w:fill="auto"/>
            <w:noWrap/>
            <w:vAlign w:val="bottom"/>
          </w:tcPr>
          <w:p w14:paraId="4B661670"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12 302</w:t>
            </w:r>
          </w:p>
        </w:tc>
        <w:tc>
          <w:tcPr>
            <w:tcW w:w="1273" w:type="dxa"/>
            <w:tcBorders>
              <w:top w:val="nil"/>
              <w:left w:val="nil"/>
              <w:bottom w:val="nil"/>
              <w:right w:val="nil"/>
            </w:tcBorders>
            <w:shd w:val="clear" w:color="auto" w:fill="auto"/>
            <w:noWrap/>
            <w:vAlign w:val="bottom"/>
          </w:tcPr>
          <w:p w14:paraId="26779391" w14:textId="77777777" w:rsidR="008A4BCF" w:rsidRPr="00C8044F" w:rsidRDefault="008A4BCF" w:rsidP="00B44AC3">
            <w:pPr>
              <w:spacing w:after="0" w:line="240" w:lineRule="auto"/>
              <w:jc w:val="right"/>
              <w:rPr>
                <w:rFonts w:eastAsia="Times New Roman" w:cs="Segoe UI"/>
                <w:color w:val="000000"/>
                <w:sz w:val="18"/>
                <w:szCs w:val="18"/>
                <w:lang w:eastAsia="sk-SK"/>
              </w:rPr>
            </w:pPr>
            <w:r>
              <w:rPr>
                <w:rFonts w:cs="Segoe UI"/>
                <w:sz w:val="18"/>
                <w:szCs w:val="18"/>
              </w:rPr>
              <w:t>104,3</w:t>
            </w:r>
          </w:p>
        </w:tc>
      </w:tr>
      <w:tr w:rsidR="008A4BCF" w:rsidRPr="00C8044F" w14:paraId="6D124A72" w14:textId="77777777" w:rsidTr="00B44AC3">
        <w:trPr>
          <w:trHeight w:val="283"/>
        </w:trPr>
        <w:tc>
          <w:tcPr>
            <w:tcW w:w="5387" w:type="dxa"/>
            <w:tcBorders>
              <w:right w:val="nil"/>
            </w:tcBorders>
            <w:shd w:val="clear" w:color="auto" w:fill="auto"/>
            <w:noWrap/>
            <w:vAlign w:val="bottom"/>
            <w:hideMark/>
          </w:tcPr>
          <w:p w14:paraId="3D68B2C9" w14:textId="77777777" w:rsidR="008A4BCF" w:rsidRPr="00C8044F" w:rsidRDefault="008A4BCF" w:rsidP="00B44AC3">
            <w:pPr>
              <w:spacing w:after="0" w:line="240" w:lineRule="auto"/>
              <w:jc w:val="left"/>
              <w:rPr>
                <w:rFonts w:eastAsia="Times New Roman" w:cs="Segoe UI"/>
                <w:sz w:val="18"/>
                <w:szCs w:val="18"/>
                <w:lang w:eastAsia="sk-SK"/>
              </w:rPr>
            </w:pPr>
            <w:r w:rsidRPr="00C8044F">
              <w:rPr>
                <w:rFonts w:eastAsia="Times New Roman" w:cs="Segoe UI"/>
                <w:sz w:val="18"/>
                <w:szCs w:val="18"/>
                <w:lang w:eastAsia="sk-SK"/>
              </w:rPr>
              <w:t xml:space="preserve">Úrad priemyselného vlastníctva SR      </w:t>
            </w:r>
          </w:p>
        </w:tc>
        <w:tc>
          <w:tcPr>
            <w:tcW w:w="1134" w:type="dxa"/>
            <w:tcBorders>
              <w:top w:val="nil"/>
              <w:left w:val="nil"/>
              <w:bottom w:val="nil"/>
              <w:right w:val="nil"/>
            </w:tcBorders>
            <w:shd w:val="clear" w:color="auto" w:fill="auto"/>
            <w:noWrap/>
            <w:vAlign w:val="bottom"/>
          </w:tcPr>
          <w:p w14:paraId="749FA328"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4 752</w:t>
            </w:r>
          </w:p>
        </w:tc>
        <w:tc>
          <w:tcPr>
            <w:tcW w:w="1276" w:type="dxa"/>
            <w:tcBorders>
              <w:top w:val="nil"/>
              <w:left w:val="nil"/>
              <w:bottom w:val="nil"/>
              <w:right w:val="nil"/>
            </w:tcBorders>
            <w:shd w:val="clear" w:color="auto" w:fill="auto"/>
            <w:noWrap/>
            <w:vAlign w:val="bottom"/>
          </w:tcPr>
          <w:p w14:paraId="2B432314"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6 522</w:t>
            </w:r>
          </w:p>
        </w:tc>
        <w:tc>
          <w:tcPr>
            <w:tcW w:w="1273" w:type="dxa"/>
            <w:tcBorders>
              <w:top w:val="nil"/>
              <w:left w:val="nil"/>
              <w:bottom w:val="nil"/>
              <w:right w:val="nil"/>
            </w:tcBorders>
            <w:shd w:val="clear" w:color="auto" w:fill="auto"/>
            <w:noWrap/>
            <w:vAlign w:val="bottom"/>
          </w:tcPr>
          <w:p w14:paraId="49A57F52" w14:textId="77777777" w:rsidR="008A4BCF" w:rsidRPr="00C8044F" w:rsidRDefault="008A4BCF" w:rsidP="00B44AC3">
            <w:pPr>
              <w:spacing w:after="0" w:line="240" w:lineRule="auto"/>
              <w:jc w:val="right"/>
              <w:rPr>
                <w:rFonts w:eastAsia="Times New Roman" w:cs="Segoe UI"/>
                <w:color w:val="000000"/>
                <w:sz w:val="18"/>
                <w:szCs w:val="18"/>
                <w:lang w:eastAsia="sk-SK"/>
              </w:rPr>
            </w:pPr>
            <w:r>
              <w:rPr>
                <w:rFonts w:cs="Segoe UI"/>
                <w:sz w:val="18"/>
                <w:szCs w:val="18"/>
              </w:rPr>
              <w:t>137,2</w:t>
            </w:r>
          </w:p>
        </w:tc>
      </w:tr>
      <w:tr w:rsidR="008A4BCF" w:rsidRPr="00C8044F" w14:paraId="0385A262" w14:textId="77777777" w:rsidTr="00B44AC3">
        <w:trPr>
          <w:trHeight w:val="283"/>
        </w:trPr>
        <w:tc>
          <w:tcPr>
            <w:tcW w:w="5387" w:type="dxa"/>
            <w:tcBorders>
              <w:right w:val="nil"/>
            </w:tcBorders>
            <w:shd w:val="clear" w:color="auto" w:fill="auto"/>
            <w:noWrap/>
            <w:vAlign w:val="bottom"/>
            <w:hideMark/>
          </w:tcPr>
          <w:p w14:paraId="71BEF990" w14:textId="77777777" w:rsidR="008A4BCF" w:rsidRPr="00C8044F" w:rsidRDefault="008A4BCF" w:rsidP="00B44AC3">
            <w:pPr>
              <w:spacing w:after="0" w:line="240" w:lineRule="auto"/>
              <w:jc w:val="left"/>
              <w:rPr>
                <w:rFonts w:eastAsia="Times New Roman" w:cs="Segoe UI"/>
                <w:sz w:val="18"/>
                <w:szCs w:val="18"/>
                <w:lang w:eastAsia="sk-SK"/>
              </w:rPr>
            </w:pPr>
            <w:r w:rsidRPr="00C8044F">
              <w:rPr>
                <w:rFonts w:eastAsia="Times New Roman" w:cs="Segoe UI"/>
                <w:sz w:val="18"/>
                <w:szCs w:val="18"/>
                <w:lang w:eastAsia="sk-SK"/>
              </w:rPr>
              <w:t>Úrad pre normalizáciu, metrológiu a skúšobníctvo SR</w:t>
            </w:r>
          </w:p>
        </w:tc>
        <w:tc>
          <w:tcPr>
            <w:tcW w:w="1134" w:type="dxa"/>
            <w:tcBorders>
              <w:top w:val="nil"/>
              <w:left w:val="nil"/>
              <w:bottom w:val="nil"/>
              <w:right w:val="nil"/>
            </w:tcBorders>
            <w:shd w:val="clear" w:color="auto" w:fill="auto"/>
            <w:noWrap/>
            <w:vAlign w:val="bottom"/>
          </w:tcPr>
          <w:p w14:paraId="4678F6C8"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8 550</w:t>
            </w:r>
          </w:p>
        </w:tc>
        <w:tc>
          <w:tcPr>
            <w:tcW w:w="1276" w:type="dxa"/>
            <w:tcBorders>
              <w:top w:val="nil"/>
              <w:left w:val="nil"/>
              <w:bottom w:val="nil"/>
              <w:right w:val="nil"/>
            </w:tcBorders>
            <w:shd w:val="clear" w:color="auto" w:fill="auto"/>
            <w:noWrap/>
            <w:vAlign w:val="bottom"/>
          </w:tcPr>
          <w:p w14:paraId="29A03F08"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9 568</w:t>
            </w:r>
          </w:p>
        </w:tc>
        <w:tc>
          <w:tcPr>
            <w:tcW w:w="1273" w:type="dxa"/>
            <w:tcBorders>
              <w:top w:val="nil"/>
              <w:left w:val="nil"/>
              <w:bottom w:val="nil"/>
              <w:right w:val="nil"/>
            </w:tcBorders>
            <w:shd w:val="clear" w:color="auto" w:fill="auto"/>
            <w:noWrap/>
            <w:vAlign w:val="bottom"/>
          </w:tcPr>
          <w:p w14:paraId="039EF0B9" w14:textId="77777777" w:rsidR="008A4BCF" w:rsidRPr="00C8044F" w:rsidRDefault="008A4BCF" w:rsidP="00B44AC3">
            <w:pPr>
              <w:spacing w:after="0" w:line="240" w:lineRule="auto"/>
              <w:jc w:val="right"/>
              <w:rPr>
                <w:rFonts w:eastAsia="Times New Roman" w:cs="Segoe UI"/>
                <w:color w:val="000000"/>
                <w:sz w:val="18"/>
                <w:szCs w:val="18"/>
                <w:lang w:eastAsia="sk-SK"/>
              </w:rPr>
            </w:pPr>
            <w:r>
              <w:rPr>
                <w:rFonts w:cs="Segoe UI"/>
                <w:sz w:val="18"/>
                <w:szCs w:val="18"/>
              </w:rPr>
              <w:t>111,9</w:t>
            </w:r>
          </w:p>
        </w:tc>
      </w:tr>
      <w:tr w:rsidR="008A4BCF" w:rsidRPr="00C8044F" w14:paraId="2B6C63E8" w14:textId="77777777" w:rsidTr="00B44AC3">
        <w:trPr>
          <w:trHeight w:val="283"/>
        </w:trPr>
        <w:tc>
          <w:tcPr>
            <w:tcW w:w="5387" w:type="dxa"/>
            <w:tcBorders>
              <w:right w:val="nil"/>
            </w:tcBorders>
            <w:shd w:val="clear" w:color="auto" w:fill="auto"/>
            <w:noWrap/>
            <w:vAlign w:val="bottom"/>
            <w:hideMark/>
          </w:tcPr>
          <w:p w14:paraId="38B32D6B" w14:textId="77777777" w:rsidR="008A4BCF" w:rsidRPr="00C8044F" w:rsidRDefault="008A4BCF" w:rsidP="00B44AC3">
            <w:pPr>
              <w:spacing w:after="0" w:line="240" w:lineRule="auto"/>
              <w:jc w:val="left"/>
              <w:rPr>
                <w:rFonts w:eastAsia="Times New Roman" w:cs="Segoe UI"/>
                <w:sz w:val="18"/>
                <w:szCs w:val="18"/>
                <w:lang w:eastAsia="sk-SK"/>
              </w:rPr>
            </w:pPr>
            <w:r w:rsidRPr="00C8044F">
              <w:rPr>
                <w:rFonts w:eastAsia="Times New Roman" w:cs="Segoe UI"/>
                <w:sz w:val="18"/>
                <w:szCs w:val="18"/>
                <w:lang w:eastAsia="sk-SK"/>
              </w:rPr>
              <w:t xml:space="preserve">Protimonopolný úrad SR         </w:t>
            </w:r>
          </w:p>
        </w:tc>
        <w:tc>
          <w:tcPr>
            <w:tcW w:w="1134" w:type="dxa"/>
            <w:tcBorders>
              <w:top w:val="nil"/>
              <w:left w:val="nil"/>
              <w:bottom w:val="nil"/>
              <w:right w:val="nil"/>
            </w:tcBorders>
            <w:shd w:val="clear" w:color="auto" w:fill="auto"/>
            <w:noWrap/>
            <w:vAlign w:val="bottom"/>
          </w:tcPr>
          <w:p w14:paraId="4CE234F7"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3 291</w:t>
            </w:r>
          </w:p>
        </w:tc>
        <w:tc>
          <w:tcPr>
            <w:tcW w:w="1276" w:type="dxa"/>
            <w:tcBorders>
              <w:top w:val="nil"/>
              <w:left w:val="nil"/>
              <w:bottom w:val="nil"/>
              <w:right w:val="nil"/>
            </w:tcBorders>
            <w:shd w:val="clear" w:color="auto" w:fill="auto"/>
            <w:noWrap/>
            <w:vAlign w:val="bottom"/>
          </w:tcPr>
          <w:p w14:paraId="1D16D26E"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3 540</w:t>
            </w:r>
          </w:p>
        </w:tc>
        <w:tc>
          <w:tcPr>
            <w:tcW w:w="1273" w:type="dxa"/>
            <w:tcBorders>
              <w:top w:val="nil"/>
              <w:left w:val="nil"/>
              <w:bottom w:val="nil"/>
              <w:right w:val="nil"/>
            </w:tcBorders>
            <w:shd w:val="clear" w:color="auto" w:fill="auto"/>
            <w:noWrap/>
            <w:vAlign w:val="bottom"/>
          </w:tcPr>
          <w:p w14:paraId="0F93929E" w14:textId="77777777" w:rsidR="008A4BCF" w:rsidRPr="00C8044F" w:rsidRDefault="008A4BCF" w:rsidP="00B44AC3">
            <w:pPr>
              <w:spacing w:after="0" w:line="240" w:lineRule="auto"/>
              <w:jc w:val="right"/>
              <w:rPr>
                <w:rFonts w:eastAsia="Times New Roman" w:cs="Segoe UI"/>
                <w:color w:val="000000"/>
                <w:sz w:val="18"/>
                <w:szCs w:val="18"/>
                <w:lang w:eastAsia="sk-SK"/>
              </w:rPr>
            </w:pPr>
            <w:r>
              <w:rPr>
                <w:rFonts w:cs="Segoe UI"/>
                <w:sz w:val="18"/>
                <w:szCs w:val="18"/>
              </w:rPr>
              <w:t>107,6</w:t>
            </w:r>
          </w:p>
        </w:tc>
      </w:tr>
      <w:tr w:rsidR="008A4BCF" w:rsidRPr="00C8044F" w14:paraId="66511814" w14:textId="77777777" w:rsidTr="00B44AC3">
        <w:trPr>
          <w:trHeight w:val="283"/>
        </w:trPr>
        <w:tc>
          <w:tcPr>
            <w:tcW w:w="5387" w:type="dxa"/>
            <w:tcBorders>
              <w:right w:val="nil"/>
            </w:tcBorders>
            <w:shd w:val="clear" w:color="auto" w:fill="auto"/>
            <w:noWrap/>
            <w:vAlign w:val="bottom"/>
            <w:hideMark/>
          </w:tcPr>
          <w:p w14:paraId="78419112" w14:textId="77777777" w:rsidR="008A4BCF" w:rsidRPr="00C8044F" w:rsidRDefault="008A4BCF" w:rsidP="00B44AC3">
            <w:pPr>
              <w:spacing w:after="0" w:line="240" w:lineRule="auto"/>
              <w:jc w:val="left"/>
              <w:rPr>
                <w:rFonts w:eastAsia="Times New Roman" w:cs="Segoe UI"/>
                <w:sz w:val="18"/>
                <w:szCs w:val="18"/>
                <w:lang w:eastAsia="sk-SK"/>
              </w:rPr>
            </w:pPr>
            <w:r w:rsidRPr="00C8044F">
              <w:rPr>
                <w:rFonts w:eastAsia="Times New Roman" w:cs="Segoe UI"/>
                <w:sz w:val="18"/>
                <w:szCs w:val="18"/>
                <w:lang w:eastAsia="sk-SK"/>
              </w:rPr>
              <w:t xml:space="preserve">Národný bezpečnostný úrad </w:t>
            </w:r>
          </w:p>
        </w:tc>
        <w:tc>
          <w:tcPr>
            <w:tcW w:w="1134" w:type="dxa"/>
            <w:tcBorders>
              <w:top w:val="nil"/>
              <w:left w:val="nil"/>
              <w:bottom w:val="nil"/>
              <w:right w:val="nil"/>
            </w:tcBorders>
            <w:shd w:val="clear" w:color="auto" w:fill="auto"/>
            <w:noWrap/>
            <w:vAlign w:val="bottom"/>
          </w:tcPr>
          <w:p w14:paraId="06675EEC"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14 612</w:t>
            </w:r>
          </w:p>
        </w:tc>
        <w:tc>
          <w:tcPr>
            <w:tcW w:w="1276" w:type="dxa"/>
            <w:tcBorders>
              <w:top w:val="nil"/>
              <w:left w:val="nil"/>
              <w:bottom w:val="nil"/>
              <w:right w:val="nil"/>
            </w:tcBorders>
            <w:shd w:val="clear" w:color="auto" w:fill="auto"/>
            <w:noWrap/>
            <w:vAlign w:val="bottom"/>
          </w:tcPr>
          <w:p w14:paraId="46B12F1E"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19 423</w:t>
            </w:r>
          </w:p>
        </w:tc>
        <w:tc>
          <w:tcPr>
            <w:tcW w:w="1273" w:type="dxa"/>
            <w:tcBorders>
              <w:top w:val="nil"/>
              <w:left w:val="nil"/>
              <w:bottom w:val="nil"/>
              <w:right w:val="nil"/>
            </w:tcBorders>
            <w:shd w:val="clear" w:color="auto" w:fill="auto"/>
            <w:noWrap/>
            <w:vAlign w:val="bottom"/>
          </w:tcPr>
          <w:p w14:paraId="16697242" w14:textId="77777777" w:rsidR="008A4BCF" w:rsidRPr="00C8044F" w:rsidRDefault="008A4BCF" w:rsidP="00B44AC3">
            <w:pPr>
              <w:spacing w:after="0" w:line="240" w:lineRule="auto"/>
              <w:jc w:val="right"/>
              <w:rPr>
                <w:rFonts w:eastAsia="Times New Roman" w:cs="Segoe UI"/>
                <w:color w:val="000000"/>
                <w:sz w:val="18"/>
                <w:szCs w:val="18"/>
                <w:lang w:eastAsia="sk-SK"/>
              </w:rPr>
            </w:pPr>
            <w:r>
              <w:rPr>
                <w:rFonts w:cs="Segoe UI"/>
                <w:sz w:val="18"/>
                <w:szCs w:val="18"/>
              </w:rPr>
              <w:t>132,9</w:t>
            </w:r>
          </w:p>
        </w:tc>
      </w:tr>
      <w:tr w:rsidR="008A4BCF" w:rsidRPr="00C8044F" w14:paraId="6CE66B23" w14:textId="77777777" w:rsidTr="00B44AC3">
        <w:trPr>
          <w:trHeight w:val="283"/>
        </w:trPr>
        <w:tc>
          <w:tcPr>
            <w:tcW w:w="5387" w:type="dxa"/>
            <w:tcBorders>
              <w:right w:val="nil"/>
            </w:tcBorders>
            <w:shd w:val="clear" w:color="auto" w:fill="auto"/>
            <w:noWrap/>
            <w:vAlign w:val="bottom"/>
            <w:hideMark/>
          </w:tcPr>
          <w:p w14:paraId="5015A9C1" w14:textId="77777777" w:rsidR="008A4BCF" w:rsidRPr="00C8044F" w:rsidRDefault="008A4BCF" w:rsidP="00B44AC3">
            <w:pPr>
              <w:spacing w:after="0" w:line="240" w:lineRule="auto"/>
              <w:jc w:val="left"/>
              <w:rPr>
                <w:rFonts w:eastAsia="Times New Roman" w:cs="Segoe UI"/>
                <w:sz w:val="18"/>
                <w:szCs w:val="18"/>
                <w:lang w:eastAsia="sk-SK"/>
              </w:rPr>
            </w:pPr>
            <w:r w:rsidRPr="00C8044F">
              <w:rPr>
                <w:rFonts w:eastAsia="Times New Roman" w:cs="Segoe UI"/>
                <w:sz w:val="18"/>
                <w:szCs w:val="18"/>
                <w:lang w:eastAsia="sk-SK"/>
              </w:rPr>
              <w:t>Správa štátnych hmotných rezerv SR</w:t>
            </w:r>
          </w:p>
        </w:tc>
        <w:tc>
          <w:tcPr>
            <w:tcW w:w="1134" w:type="dxa"/>
            <w:tcBorders>
              <w:top w:val="nil"/>
              <w:left w:val="nil"/>
              <w:bottom w:val="nil"/>
              <w:right w:val="nil"/>
            </w:tcBorders>
            <w:shd w:val="clear" w:color="auto" w:fill="auto"/>
            <w:noWrap/>
            <w:vAlign w:val="bottom"/>
          </w:tcPr>
          <w:p w14:paraId="6A1E3FEE"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9 109</w:t>
            </w:r>
          </w:p>
        </w:tc>
        <w:tc>
          <w:tcPr>
            <w:tcW w:w="1276" w:type="dxa"/>
            <w:tcBorders>
              <w:top w:val="nil"/>
              <w:left w:val="nil"/>
              <w:bottom w:val="nil"/>
              <w:right w:val="nil"/>
            </w:tcBorders>
            <w:shd w:val="clear" w:color="auto" w:fill="auto"/>
            <w:noWrap/>
            <w:vAlign w:val="bottom"/>
          </w:tcPr>
          <w:p w14:paraId="2587801A"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17 824</w:t>
            </w:r>
          </w:p>
        </w:tc>
        <w:tc>
          <w:tcPr>
            <w:tcW w:w="1273" w:type="dxa"/>
            <w:tcBorders>
              <w:top w:val="nil"/>
              <w:left w:val="nil"/>
              <w:bottom w:val="nil"/>
              <w:right w:val="nil"/>
            </w:tcBorders>
            <w:shd w:val="clear" w:color="auto" w:fill="auto"/>
            <w:noWrap/>
            <w:vAlign w:val="bottom"/>
          </w:tcPr>
          <w:p w14:paraId="5A4A3BD6" w14:textId="77777777" w:rsidR="008A4BCF" w:rsidRPr="00C8044F" w:rsidRDefault="008A4BCF" w:rsidP="00B44AC3">
            <w:pPr>
              <w:spacing w:after="0" w:line="240" w:lineRule="auto"/>
              <w:jc w:val="right"/>
              <w:rPr>
                <w:rFonts w:eastAsia="Times New Roman" w:cs="Segoe UI"/>
                <w:color w:val="000000"/>
                <w:sz w:val="18"/>
                <w:szCs w:val="18"/>
                <w:lang w:eastAsia="sk-SK"/>
              </w:rPr>
            </w:pPr>
            <w:r>
              <w:rPr>
                <w:rFonts w:cs="Segoe UI"/>
                <w:sz w:val="18"/>
                <w:szCs w:val="18"/>
              </w:rPr>
              <w:t>195,7</w:t>
            </w:r>
          </w:p>
        </w:tc>
      </w:tr>
      <w:tr w:rsidR="008A4BCF" w:rsidRPr="00C8044F" w14:paraId="42FD4F8C" w14:textId="77777777" w:rsidTr="00B44AC3">
        <w:trPr>
          <w:trHeight w:val="283"/>
        </w:trPr>
        <w:tc>
          <w:tcPr>
            <w:tcW w:w="5387" w:type="dxa"/>
            <w:tcBorders>
              <w:right w:val="nil"/>
            </w:tcBorders>
            <w:shd w:val="clear" w:color="auto" w:fill="auto"/>
            <w:noWrap/>
            <w:vAlign w:val="bottom"/>
            <w:hideMark/>
          </w:tcPr>
          <w:p w14:paraId="5EA91B38" w14:textId="77777777" w:rsidR="008A4BCF" w:rsidRPr="00C8044F" w:rsidRDefault="008A4BCF" w:rsidP="00B44AC3">
            <w:pPr>
              <w:spacing w:after="0" w:line="240" w:lineRule="auto"/>
              <w:jc w:val="left"/>
              <w:rPr>
                <w:rFonts w:eastAsia="Times New Roman" w:cs="Segoe UI"/>
                <w:sz w:val="18"/>
                <w:szCs w:val="18"/>
                <w:lang w:eastAsia="sk-SK"/>
              </w:rPr>
            </w:pPr>
            <w:r w:rsidRPr="00C8044F">
              <w:rPr>
                <w:rFonts w:eastAsia="Times New Roman" w:cs="Segoe UI"/>
                <w:sz w:val="18"/>
                <w:szCs w:val="18"/>
                <w:lang w:eastAsia="sk-SK"/>
              </w:rPr>
              <w:t xml:space="preserve">Všeobecná pokladničná správa   </w:t>
            </w:r>
          </w:p>
        </w:tc>
        <w:tc>
          <w:tcPr>
            <w:tcW w:w="1134" w:type="dxa"/>
            <w:tcBorders>
              <w:top w:val="nil"/>
              <w:left w:val="nil"/>
              <w:bottom w:val="nil"/>
              <w:right w:val="nil"/>
            </w:tcBorders>
            <w:shd w:val="clear" w:color="auto" w:fill="auto"/>
            <w:noWrap/>
            <w:vAlign w:val="bottom"/>
          </w:tcPr>
          <w:p w14:paraId="188616C7"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6 926 082</w:t>
            </w:r>
          </w:p>
        </w:tc>
        <w:tc>
          <w:tcPr>
            <w:tcW w:w="1276" w:type="dxa"/>
            <w:tcBorders>
              <w:top w:val="nil"/>
              <w:left w:val="nil"/>
              <w:bottom w:val="nil"/>
              <w:right w:val="nil"/>
            </w:tcBorders>
            <w:shd w:val="clear" w:color="auto" w:fill="auto"/>
            <w:noWrap/>
            <w:vAlign w:val="bottom"/>
          </w:tcPr>
          <w:p w14:paraId="6B248531"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3 435 876</w:t>
            </w:r>
          </w:p>
        </w:tc>
        <w:tc>
          <w:tcPr>
            <w:tcW w:w="1273" w:type="dxa"/>
            <w:tcBorders>
              <w:top w:val="nil"/>
              <w:left w:val="nil"/>
              <w:bottom w:val="nil"/>
              <w:right w:val="nil"/>
            </w:tcBorders>
            <w:shd w:val="clear" w:color="auto" w:fill="auto"/>
            <w:noWrap/>
            <w:vAlign w:val="bottom"/>
          </w:tcPr>
          <w:p w14:paraId="73168BC7" w14:textId="77777777" w:rsidR="008A4BCF" w:rsidRPr="00C8044F" w:rsidRDefault="008A4BCF" w:rsidP="00B44AC3">
            <w:pPr>
              <w:spacing w:after="0" w:line="240" w:lineRule="auto"/>
              <w:jc w:val="right"/>
              <w:rPr>
                <w:rFonts w:eastAsia="Times New Roman" w:cs="Segoe UI"/>
                <w:color w:val="000000"/>
                <w:sz w:val="18"/>
                <w:szCs w:val="18"/>
                <w:lang w:eastAsia="sk-SK"/>
              </w:rPr>
            </w:pPr>
            <w:r>
              <w:rPr>
                <w:rFonts w:cs="Segoe UI"/>
                <w:sz w:val="18"/>
                <w:szCs w:val="18"/>
              </w:rPr>
              <w:t>49,6</w:t>
            </w:r>
          </w:p>
        </w:tc>
      </w:tr>
      <w:tr w:rsidR="008A4BCF" w:rsidRPr="00C8044F" w14:paraId="3949B762" w14:textId="77777777" w:rsidTr="00B44AC3">
        <w:trPr>
          <w:trHeight w:val="283"/>
        </w:trPr>
        <w:tc>
          <w:tcPr>
            <w:tcW w:w="5387" w:type="dxa"/>
            <w:tcBorders>
              <w:right w:val="nil"/>
            </w:tcBorders>
            <w:shd w:val="clear" w:color="auto" w:fill="auto"/>
            <w:noWrap/>
            <w:vAlign w:val="bottom"/>
            <w:hideMark/>
          </w:tcPr>
          <w:p w14:paraId="0AE18A40" w14:textId="77777777" w:rsidR="008A4BCF" w:rsidRPr="00C8044F" w:rsidRDefault="008A4BCF" w:rsidP="00B44AC3">
            <w:pPr>
              <w:spacing w:after="0" w:line="240" w:lineRule="auto"/>
              <w:jc w:val="left"/>
              <w:rPr>
                <w:rFonts w:eastAsia="Times New Roman" w:cs="Segoe UI"/>
                <w:sz w:val="18"/>
                <w:szCs w:val="18"/>
                <w:lang w:eastAsia="sk-SK"/>
              </w:rPr>
            </w:pPr>
            <w:r w:rsidRPr="00C8044F">
              <w:rPr>
                <w:rFonts w:eastAsia="Times New Roman" w:cs="Segoe UI"/>
                <w:sz w:val="18"/>
                <w:szCs w:val="18"/>
                <w:lang w:eastAsia="sk-SK"/>
              </w:rPr>
              <w:t xml:space="preserve">Slovenská akadémia vied        </w:t>
            </w:r>
          </w:p>
        </w:tc>
        <w:tc>
          <w:tcPr>
            <w:tcW w:w="1134" w:type="dxa"/>
            <w:tcBorders>
              <w:top w:val="nil"/>
              <w:left w:val="nil"/>
              <w:bottom w:val="nil"/>
              <w:right w:val="nil"/>
            </w:tcBorders>
            <w:shd w:val="clear" w:color="auto" w:fill="auto"/>
            <w:noWrap/>
            <w:vAlign w:val="bottom"/>
          </w:tcPr>
          <w:p w14:paraId="09816B4E"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113 745</w:t>
            </w:r>
          </w:p>
        </w:tc>
        <w:tc>
          <w:tcPr>
            <w:tcW w:w="1276" w:type="dxa"/>
            <w:tcBorders>
              <w:top w:val="nil"/>
              <w:left w:val="nil"/>
              <w:bottom w:val="nil"/>
              <w:right w:val="nil"/>
            </w:tcBorders>
            <w:shd w:val="clear" w:color="auto" w:fill="auto"/>
            <w:noWrap/>
            <w:vAlign w:val="bottom"/>
          </w:tcPr>
          <w:p w14:paraId="44FE4FB3"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115 434</w:t>
            </w:r>
          </w:p>
        </w:tc>
        <w:tc>
          <w:tcPr>
            <w:tcW w:w="1273" w:type="dxa"/>
            <w:tcBorders>
              <w:top w:val="nil"/>
              <w:left w:val="nil"/>
              <w:bottom w:val="nil"/>
              <w:right w:val="nil"/>
            </w:tcBorders>
            <w:shd w:val="clear" w:color="auto" w:fill="auto"/>
            <w:noWrap/>
            <w:vAlign w:val="bottom"/>
          </w:tcPr>
          <w:p w14:paraId="6B4460FD" w14:textId="77777777" w:rsidR="008A4BCF" w:rsidRPr="00C8044F" w:rsidRDefault="008A4BCF" w:rsidP="00B44AC3">
            <w:pPr>
              <w:spacing w:after="0" w:line="240" w:lineRule="auto"/>
              <w:jc w:val="right"/>
              <w:rPr>
                <w:rFonts w:eastAsia="Times New Roman" w:cs="Segoe UI"/>
                <w:color w:val="000000"/>
                <w:sz w:val="18"/>
                <w:szCs w:val="18"/>
                <w:lang w:eastAsia="sk-SK"/>
              </w:rPr>
            </w:pPr>
            <w:r>
              <w:rPr>
                <w:rFonts w:cs="Segoe UI"/>
                <w:sz w:val="18"/>
                <w:szCs w:val="18"/>
              </w:rPr>
              <w:t>101,5</w:t>
            </w:r>
          </w:p>
        </w:tc>
      </w:tr>
      <w:tr w:rsidR="008A4BCF" w:rsidRPr="00C8044F" w14:paraId="2695BE7C" w14:textId="77777777" w:rsidTr="00B44AC3">
        <w:trPr>
          <w:trHeight w:val="283"/>
        </w:trPr>
        <w:tc>
          <w:tcPr>
            <w:tcW w:w="5387" w:type="dxa"/>
            <w:tcBorders>
              <w:bottom w:val="nil"/>
              <w:right w:val="nil"/>
            </w:tcBorders>
            <w:shd w:val="clear" w:color="auto" w:fill="auto"/>
            <w:noWrap/>
            <w:vAlign w:val="bottom"/>
            <w:hideMark/>
          </w:tcPr>
          <w:p w14:paraId="5C0CEC9D" w14:textId="77777777" w:rsidR="008A4BCF" w:rsidRPr="00C8044F" w:rsidRDefault="008A4BCF" w:rsidP="00B44AC3">
            <w:pPr>
              <w:spacing w:after="0" w:line="240" w:lineRule="auto"/>
              <w:jc w:val="left"/>
              <w:rPr>
                <w:rFonts w:eastAsia="Times New Roman" w:cs="Segoe UI"/>
                <w:sz w:val="18"/>
                <w:szCs w:val="18"/>
                <w:lang w:eastAsia="sk-SK"/>
              </w:rPr>
            </w:pPr>
            <w:r w:rsidRPr="00C8044F">
              <w:rPr>
                <w:rFonts w:eastAsia="Times New Roman" w:cs="Segoe UI"/>
                <w:sz w:val="18"/>
                <w:szCs w:val="18"/>
                <w:lang w:eastAsia="sk-SK"/>
              </w:rPr>
              <w:t>Kancelária súdnej rady SR</w:t>
            </w:r>
          </w:p>
        </w:tc>
        <w:tc>
          <w:tcPr>
            <w:tcW w:w="1134" w:type="dxa"/>
            <w:tcBorders>
              <w:top w:val="nil"/>
              <w:left w:val="nil"/>
              <w:bottom w:val="nil"/>
              <w:right w:val="nil"/>
            </w:tcBorders>
            <w:shd w:val="clear" w:color="auto" w:fill="auto"/>
            <w:noWrap/>
            <w:vAlign w:val="bottom"/>
          </w:tcPr>
          <w:p w14:paraId="76DE1DD8"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2 475</w:t>
            </w:r>
          </w:p>
        </w:tc>
        <w:tc>
          <w:tcPr>
            <w:tcW w:w="1276" w:type="dxa"/>
            <w:tcBorders>
              <w:top w:val="nil"/>
              <w:left w:val="nil"/>
              <w:bottom w:val="nil"/>
              <w:right w:val="nil"/>
            </w:tcBorders>
            <w:shd w:val="clear" w:color="auto" w:fill="auto"/>
            <w:noWrap/>
            <w:vAlign w:val="bottom"/>
          </w:tcPr>
          <w:p w14:paraId="422BED5E"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2 651</w:t>
            </w:r>
          </w:p>
        </w:tc>
        <w:tc>
          <w:tcPr>
            <w:tcW w:w="1273" w:type="dxa"/>
            <w:tcBorders>
              <w:top w:val="nil"/>
              <w:left w:val="nil"/>
              <w:bottom w:val="nil"/>
              <w:right w:val="nil"/>
            </w:tcBorders>
            <w:shd w:val="clear" w:color="auto" w:fill="auto"/>
            <w:noWrap/>
            <w:vAlign w:val="bottom"/>
          </w:tcPr>
          <w:p w14:paraId="2A3DF967" w14:textId="77777777" w:rsidR="008A4BCF" w:rsidRPr="00C8044F" w:rsidRDefault="008A4BCF" w:rsidP="00B44AC3">
            <w:pPr>
              <w:spacing w:after="0" w:line="240" w:lineRule="auto"/>
              <w:jc w:val="right"/>
              <w:rPr>
                <w:rFonts w:eastAsia="Times New Roman" w:cs="Segoe UI"/>
                <w:color w:val="000000"/>
                <w:sz w:val="18"/>
                <w:szCs w:val="18"/>
                <w:lang w:eastAsia="sk-SK"/>
              </w:rPr>
            </w:pPr>
            <w:r>
              <w:rPr>
                <w:rFonts w:cs="Segoe UI"/>
                <w:sz w:val="18"/>
                <w:szCs w:val="18"/>
              </w:rPr>
              <w:t>107,1</w:t>
            </w:r>
          </w:p>
        </w:tc>
      </w:tr>
      <w:tr w:rsidR="008A4BCF" w:rsidRPr="00C8044F" w14:paraId="79C458D3" w14:textId="77777777" w:rsidTr="00B44AC3">
        <w:trPr>
          <w:trHeight w:val="283"/>
        </w:trPr>
        <w:tc>
          <w:tcPr>
            <w:tcW w:w="5387" w:type="dxa"/>
            <w:tcBorders>
              <w:bottom w:val="nil"/>
              <w:right w:val="nil"/>
            </w:tcBorders>
            <w:shd w:val="clear" w:color="auto" w:fill="auto"/>
            <w:noWrap/>
            <w:vAlign w:val="bottom"/>
            <w:hideMark/>
          </w:tcPr>
          <w:p w14:paraId="59B95B42" w14:textId="77777777" w:rsidR="008A4BCF" w:rsidRPr="00C8044F" w:rsidRDefault="008A4BCF" w:rsidP="00B44AC3">
            <w:pPr>
              <w:spacing w:after="0" w:line="240" w:lineRule="auto"/>
              <w:jc w:val="left"/>
              <w:rPr>
                <w:rFonts w:eastAsia="Times New Roman" w:cs="Segoe UI"/>
                <w:sz w:val="18"/>
                <w:szCs w:val="18"/>
                <w:lang w:eastAsia="sk-SK"/>
              </w:rPr>
            </w:pPr>
            <w:r w:rsidRPr="00C8044F">
              <w:rPr>
                <w:rFonts w:eastAsia="Times New Roman" w:cs="Segoe UI"/>
                <w:sz w:val="18"/>
                <w:szCs w:val="18"/>
                <w:lang w:eastAsia="sk-SK"/>
              </w:rPr>
              <w:t>Kancelária Najvyššieho správneho súdu SR</w:t>
            </w:r>
          </w:p>
        </w:tc>
        <w:tc>
          <w:tcPr>
            <w:tcW w:w="1134" w:type="dxa"/>
            <w:tcBorders>
              <w:top w:val="nil"/>
              <w:left w:val="nil"/>
              <w:bottom w:val="nil"/>
              <w:right w:val="nil"/>
            </w:tcBorders>
            <w:shd w:val="clear" w:color="auto" w:fill="auto"/>
            <w:noWrap/>
            <w:vAlign w:val="bottom"/>
          </w:tcPr>
          <w:p w14:paraId="36EEE65E"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7 678</w:t>
            </w:r>
          </w:p>
        </w:tc>
        <w:tc>
          <w:tcPr>
            <w:tcW w:w="1276" w:type="dxa"/>
            <w:tcBorders>
              <w:top w:val="nil"/>
              <w:left w:val="nil"/>
              <w:bottom w:val="nil"/>
              <w:right w:val="nil"/>
            </w:tcBorders>
            <w:shd w:val="clear" w:color="auto" w:fill="auto"/>
            <w:noWrap/>
            <w:vAlign w:val="bottom"/>
          </w:tcPr>
          <w:p w14:paraId="06087380" w14:textId="77777777" w:rsidR="008A4BCF" w:rsidRPr="00C8044F" w:rsidRDefault="008A4BCF" w:rsidP="00B44AC3">
            <w:pPr>
              <w:spacing w:after="0" w:line="240" w:lineRule="auto"/>
              <w:jc w:val="right"/>
              <w:rPr>
                <w:rFonts w:eastAsia="Times New Roman" w:cs="Segoe UI"/>
                <w:sz w:val="18"/>
                <w:szCs w:val="18"/>
                <w:lang w:eastAsia="sk-SK"/>
              </w:rPr>
            </w:pPr>
            <w:r>
              <w:rPr>
                <w:rFonts w:cs="Segoe UI"/>
                <w:sz w:val="18"/>
                <w:szCs w:val="18"/>
              </w:rPr>
              <w:t>7 252</w:t>
            </w:r>
          </w:p>
        </w:tc>
        <w:tc>
          <w:tcPr>
            <w:tcW w:w="1273" w:type="dxa"/>
            <w:tcBorders>
              <w:top w:val="nil"/>
              <w:left w:val="nil"/>
              <w:bottom w:val="nil"/>
              <w:right w:val="nil"/>
            </w:tcBorders>
            <w:shd w:val="clear" w:color="auto" w:fill="auto"/>
            <w:noWrap/>
            <w:vAlign w:val="bottom"/>
          </w:tcPr>
          <w:p w14:paraId="0D43B6B1" w14:textId="77777777" w:rsidR="008A4BCF" w:rsidRPr="00C8044F" w:rsidRDefault="008A4BCF" w:rsidP="00B44AC3">
            <w:pPr>
              <w:spacing w:after="0" w:line="240" w:lineRule="auto"/>
              <w:jc w:val="right"/>
              <w:rPr>
                <w:rFonts w:eastAsia="Times New Roman" w:cs="Segoe UI"/>
                <w:color w:val="000000"/>
                <w:sz w:val="18"/>
                <w:szCs w:val="18"/>
                <w:lang w:eastAsia="sk-SK"/>
              </w:rPr>
            </w:pPr>
            <w:r>
              <w:rPr>
                <w:rFonts w:cs="Segoe UI"/>
                <w:sz w:val="18"/>
                <w:szCs w:val="18"/>
              </w:rPr>
              <w:t>94,5</w:t>
            </w:r>
          </w:p>
        </w:tc>
      </w:tr>
      <w:tr w:rsidR="008A4BCF" w:rsidRPr="00C8044F" w14:paraId="5CB76EF7" w14:textId="77777777" w:rsidTr="00B44AC3">
        <w:trPr>
          <w:trHeight w:val="283"/>
        </w:trPr>
        <w:tc>
          <w:tcPr>
            <w:tcW w:w="5387" w:type="dxa"/>
            <w:tcBorders>
              <w:bottom w:val="single" w:sz="4" w:space="0" w:color="314364" w:themeColor="text2"/>
              <w:right w:val="nil"/>
            </w:tcBorders>
            <w:shd w:val="clear" w:color="auto" w:fill="auto"/>
            <w:noWrap/>
            <w:vAlign w:val="bottom"/>
          </w:tcPr>
          <w:p w14:paraId="7C907D27" w14:textId="77777777" w:rsidR="008A4BCF" w:rsidRPr="00C8044F" w:rsidRDefault="008A4BCF" w:rsidP="00B44AC3">
            <w:pPr>
              <w:spacing w:after="0" w:line="240" w:lineRule="auto"/>
              <w:jc w:val="left"/>
              <w:rPr>
                <w:rFonts w:eastAsia="Times New Roman" w:cs="Segoe UI"/>
                <w:sz w:val="18"/>
                <w:szCs w:val="18"/>
                <w:lang w:eastAsia="sk-SK"/>
              </w:rPr>
            </w:pPr>
            <w:r>
              <w:rPr>
                <w:rFonts w:eastAsia="Times New Roman" w:cs="Segoe UI"/>
                <w:sz w:val="18"/>
                <w:szCs w:val="18"/>
                <w:lang w:eastAsia="sk-SK"/>
              </w:rPr>
              <w:t>Úrad pre územné plánovanie a výstavbu SR</w:t>
            </w:r>
          </w:p>
        </w:tc>
        <w:tc>
          <w:tcPr>
            <w:tcW w:w="1134" w:type="dxa"/>
            <w:tcBorders>
              <w:top w:val="nil"/>
              <w:left w:val="nil"/>
              <w:bottom w:val="single" w:sz="4" w:space="0" w:color="314364" w:themeColor="text2"/>
              <w:right w:val="nil"/>
            </w:tcBorders>
            <w:shd w:val="clear" w:color="auto" w:fill="auto"/>
            <w:noWrap/>
            <w:vAlign w:val="bottom"/>
          </w:tcPr>
          <w:p w14:paraId="4E1E2D97" w14:textId="77777777" w:rsidR="008A4BCF" w:rsidRPr="00C8044F" w:rsidDel="008B086C" w:rsidRDefault="008A4BCF" w:rsidP="00B44AC3">
            <w:pPr>
              <w:spacing w:after="0" w:line="240" w:lineRule="auto"/>
              <w:jc w:val="right"/>
              <w:rPr>
                <w:rFonts w:cs="Segoe UI"/>
                <w:sz w:val="18"/>
                <w:szCs w:val="18"/>
              </w:rPr>
            </w:pPr>
            <w:r>
              <w:rPr>
                <w:rFonts w:cs="Segoe UI"/>
                <w:sz w:val="18"/>
                <w:szCs w:val="18"/>
              </w:rPr>
              <w:t>55 957</w:t>
            </w:r>
          </w:p>
        </w:tc>
        <w:tc>
          <w:tcPr>
            <w:tcW w:w="1276" w:type="dxa"/>
            <w:tcBorders>
              <w:top w:val="nil"/>
              <w:left w:val="nil"/>
              <w:bottom w:val="single" w:sz="4" w:space="0" w:color="314364" w:themeColor="text2"/>
              <w:right w:val="nil"/>
            </w:tcBorders>
            <w:shd w:val="clear" w:color="auto" w:fill="auto"/>
            <w:noWrap/>
            <w:vAlign w:val="bottom"/>
          </w:tcPr>
          <w:p w14:paraId="76C7CD66" w14:textId="77777777" w:rsidR="008A4BCF" w:rsidRPr="00C8044F" w:rsidDel="008B086C" w:rsidRDefault="008A4BCF" w:rsidP="00B44AC3">
            <w:pPr>
              <w:spacing w:after="0" w:line="240" w:lineRule="auto"/>
              <w:jc w:val="right"/>
              <w:rPr>
                <w:rFonts w:cs="Segoe UI"/>
                <w:sz w:val="18"/>
                <w:szCs w:val="18"/>
              </w:rPr>
            </w:pPr>
            <w:r>
              <w:rPr>
                <w:rFonts w:cs="Segoe UI"/>
                <w:sz w:val="18"/>
                <w:szCs w:val="18"/>
              </w:rPr>
              <w:t>22 382</w:t>
            </w:r>
          </w:p>
        </w:tc>
        <w:tc>
          <w:tcPr>
            <w:tcW w:w="1273" w:type="dxa"/>
            <w:tcBorders>
              <w:top w:val="nil"/>
              <w:left w:val="nil"/>
              <w:bottom w:val="single" w:sz="4" w:space="0" w:color="314364" w:themeColor="text2"/>
              <w:right w:val="nil"/>
            </w:tcBorders>
            <w:shd w:val="clear" w:color="auto" w:fill="auto"/>
            <w:noWrap/>
            <w:vAlign w:val="bottom"/>
          </w:tcPr>
          <w:p w14:paraId="6A1FB032" w14:textId="77777777" w:rsidR="008A4BCF" w:rsidRPr="00C8044F" w:rsidDel="008B086C" w:rsidRDefault="008A4BCF" w:rsidP="00B44AC3">
            <w:pPr>
              <w:spacing w:after="0" w:line="240" w:lineRule="auto"/>
              <w:jc w:val="right"/>
              <w:rPr>
                <w:rFonts w:cs="Segoe UI"/>
                <w:sz w:val="18"/>
                <w:szCs w:val="18"/>
              </w:rPr>
            </w:pPr>
            <w:r>
              <w:rPr>
                <w:rFonts w:cs="Segoe UI"/>
                <w:sz w:val="18"/>
                <w:szCs w:val="18"/>
              </w:rPr>
              <w:t>40,0</w:t>
            </w:r>
          </w:p>
        </w:tc>
      </w:tr>
      <w:tr w:rsidR="008A4BCF" w:rsidRPr="00C8044F" w14:paraId="0D50415C" w14:textId="77777777" w:rsidTr="00B44AC3">
        <w:trPr>
          <w:trHeight w:val="283"/>
        </w:trPr>
        <w:tc>
          <w:tcPr>
            <w:tcW w:w="5387" w:type="dxa"/>
            <w:tcBorders>
              <w:top w:val="single" w:sz="4" w:space="0" w:color="314364" w:themeColor="text2"/>
              <w:bottom w:val="single" w:sz="4" w:space="0" w:color="auto"/>
              <w:right w:val="nil"/>
            </w:tcBorders>
            <w:shd w:val="clear" w:color="auto" w:fill="auto"/>
            <w:noWrap/>
            <w:vAlign w:val="bottom"/>
          </w:tcPr>
          <w:p w14:paraId="0428DCCA" w14:textId="77777777" w:rsidR="008A4BCF" w:rsidRPr="00C8044F" w:rsidRDefault="008A4BCF" w:rsidP="00B44AC3">
            <w:pPr>
              <w:spacing w:after="0" w:line="240" w:lineRule="auto"/>
              <w:jc w:val="left"/>
              <w:rPr>
                <w:rFonts w:eastAsia="Times New Roman" w:cs="Segoe UI"/>
                <w:sz w:val="18"/>
                <w:szCs w:val="18"/>
                <w:lang w:eastAsia="sk-SK"/>
              </w:rPr>
            </w:pPr>
            <w:r>
              <w:rPr>
                <w:rFonts w:eastAsia="Times New Roman" w:cs="Segoe UI"/>
                <w:b/>
                <w:bCs/>
                <w:sz w:val="18"/>
                <w:szCs w:val="18"/>
                <w:lang w:eastAsia="sk-SK"/>
              </w:rPr>
              <w:t>SPOLU</w:t>
            </w:r>
          </w:p>
        </w:tc>
        <w:tc>
          <w:tcPr>
            <w:tcW w:w="1134" w:type="dxa"/>
            <w:tcBorders>
              <w:top w:val="single" w:sz="4" w:space="0" w:color="314364" w:themeColor="text2"/>
              <w:left w:val="nil"/>
              <w:bottom w:val="single" w:sz="4" w:space="0" w:color="auto"/>
              <w:right w:val="nil"/>
            </w:tcBorders>
            <w:shd w:val="clear" w:color="auto" w:fill="auto"/>
            <w:noWrap/>
            <w:vAlign w:val="bottom"/>
          </w:tcPr>
          <w:p w14:paraId="2EAAE9CE" w14:textId="77777777" w:rsidR="008A4BCF" w:rsidRPr="00DB26F8" w:rsidDel="008B086C" w:rsidRDefault="008A4BCF" w:rsidP="00B44AC3">
            <w:pPr>
              <w:spacing w:after="0" w:line="240" w:lineRule="auto"/>
              <w:jc w:val="right"/>
              <w:rPr>
                <w:rFonts w:cs="Segoe UI"/>
                <w:b/>
                <w:sz w:val="18"/>
                <w:szCs w:val="18"/>
              </w:rPr>
            </w:pPr>
            <w:r w:rsidRPr="00DB26F8">
              <w:rPr>
                <w:rFonts w:cs="Segoe UI"/>
                <w:b/>
                <w:sz w:val="18"/>
                <w:szCs w:val="18"/>
              </w:rPr>
              <w:t>35 040 558</w:t>
            </w:r>
          </w:p>
        </w:tc>
        <w:tc>
          <w:tcPr>
            <w:tcW w:w="1276" w:type="dxa"/>
            <w:tcBorders>
              <w:top w:val="single" w:sz="4" w:space="0" w:color="314364" w:themeColor="text2"/>
              <w:left w:val="nil"/>
              <w:bottom w:val="single" w:sz="4" w:space="0" w:color="auto"/>
              <w:right w:val="nil"/>
            </w:tcBorders>
            <w:shd w:val="clear" w:color="auto" w:fill="auto"/>
            <w:noWrap/>
            <w:vAlign w:val="bottom"/>
          </w:tcPr>
          <w:p w14:paraId="6DD8550E" w14:textId="77777777" w:rsidR="008A4BCF" w:rsidRPr="00DB26F8" w:rsidDel="008B086C" w:rsidRDefault="008A4BCF" w:rsidP="00B44AC3">
            <w:pPr>
              <w:spacing w:after="0" w:line="240" w:lineRule="auto"/>
              <w:jc w:val="right"/>
              <w:rPr>
                <w:rFonts w:cs="Segoe UI"/>
                <w:b/>
                <w:sz w:val="18"/>
                <w:szCs w:val="18"/>
              </w:rPr>
            </w:pPr>
            <w:r>
              <w:rPr>
                <w:rFonts w:cs="Segoe UI"/>
                <w:b/>
                <w:sz w:val="18"/>
                <w:szCs w:val="18"/>
              </w:rPr>
              <w:t>31 363 982</w:t>
            </w:r>
          </w:p>
        </w:tc>
        <w:tc>
          <w:tcPr>
            <w:tcW w:w="1273" w:type="dxa"/>
            <w:tcBorders>
              <w:top w:val="single" w:sz="4" w:space="0" w:color="314364" w:themeColor="text2"/>
              <w:left w:val="nil"/>
              <w:bottom w:val="single" w:sz="4" w:space="0" w:color="auto"/>
              <w:right w:val="nil"/>
            </w:tcBorders>
            <w:shd w:val="clear" w:color="auto" w:fill="auto"/>
            <w:noWrap/>
            <w:vAlign w:val="bottom"/>
          </w:tcPr>
          <w:p w14:paraId="1F43F665" w14:textId="77777777" w:rsidR="008A4BCF" w:rsidRPr="00DB26F8" w:rsidDel="008B086C" w:rsidRDefault="008A4BCF" w:rsidP="00B44AC3">
            <w:pPr>
              <w:spacing w:after="0" w:line="240" w:lineRule="auto"/>
              <w:jc w:val="right"/>
              <w:rPr>
                <w:rFonts w:cs="Segoe UI"/>
                <w:b/>
                <w:sz w:val="18"/>
                <w:szCs w:val="18"/>
              </w:rPr>
            </w:pPr>
            <w:r>
              <w:rPr>
                <w:rFonts w:cs="Segoe UI"/>
                <w:b/>
                <w:sz w:val="18"/>
                <w:szCs w:val="18"/>
              </w:rPr>
              <w:t>89,5</w:t>
            </w:r>
          </w:p>
        </w:tc>
      </w:tr>
    </w:tbl>
    <w:p w14:paraId="5AE81088" w14:textId="77777777" w:rsidR="008A4BCF" w:rsidRDefault="008A4BCF" w:rsidP="008A4BCF">
      <w:pPr>
        <w:pStyle w:val="Zdroj"/>
        <w:spacing w:after="0"/>
      </w:pPr>
      <w:r>
        <w:t>Zdroj: Návrh ŠZÚ 2023.</w:t>
      </w:r>
    </w:p>
    <w:p w14:paraId="13CF0E65" w14:textId="77777777" w:rsidR="008A4BCF" w:rsidRDefault="008A4BCF" w:rsidP="008A4BCF">
      <w:pPr>
        <w:pStyle w:val="Zdroj"/>
        <w:spacing w:after="0"/>
      </w:pPr>
      <w:r w:rsidRPr="007A7DFF">
        <w:t>S – skutočnosť, R – rozpočet</w:t>
      </w:r>
    </w:p>
    <w:p w14:paraId="0967FC21" w14:textId="77777777" w:rsidR="008A4BCF" w:rsidRDefault="008A4BCF" w:rsidP="008A4BCF">
      <w:pPr>
        <w:pStyle w:val="Zdroj"/>
        <w:spacing w:after="0"/>
      </w:pPr>
    </w:p>
    <w:p w14:paraId="754043BE" w14:textId="77777777" w:rsidR="008A4BCF" w:rsidRDefault="008A4BCF" w:rsidP="008A4BCF">
      <w:pPr>
        <w:spacing w:after="0"/>
        <w:rPr>
          <w:rFonts w:eastAsia="Calibri" w:cs="Times New Roman"/>
          <w:b/>
          <w:color w:val="314364" w:themeColor="text2"/>
          <w:szCs w:val="18"/>
        </w:rPr>
      </w:pPr>
      <w:r>
        <w:rPr>
          <w:rFonts w:eastAsia="Calibri" w:cs="Times New Roman"/>
          <w:b/>
          <w:color w:val="314364" w:themeColor="text2"/>
          <w:szCs w:val="18"/>
        </w:rPr>
        <w:br w:type="page"/>
      </w:r>
    </w:p>
    <w:p w14:paraId="3D73D459" w14:textId="77777777" w:rsidR="008A4BCF" w:rsidRPr="004558BC" w:rsidRDefault="008A4BCF" w:rsidP="008A4BCF">
      <w:pPr>
        <w:spacing w:after="0"/>
        <w:rPr>
          <w:rFonts w:eastAsia="Calibri" w:cs="Times New Roman"/>
          <w:b/>
          <w:color w:val="314364" w:themeColor="text2"/>
          <w:szCs w:val="18"/>
        </w:rPr>
      </w:pPr>
      <w:r w:rsidRPr="00983ED3">
        <w:rPr>
          <w:rFonts w:eastAsia="Calibri" w:cs="Times New Roman"/>
          <w:b/>
          <w:color w:val="314364" w:themeColor="text2"/>
          <w:szCs w:val="18"/>
        </w:rPr>
        <w:lastRenderedPageBreak/>
        <w:t xml:space="preserve">Tabuľka </w:t>
      </w:r>
      <w:r>
        <w:rPr>
          <w:rFonts w:eastAsia="Calibri" w:cs="Times New Roman"/>
          <w:b/>
          <w:color w:val="314364" w:themeColor="text2"/>
          <w:szCs w:val="18"/>
        </w:rPr>
        <w:t>7:</w:t>
      </w:r>
      <w:r w:rsidRPr="00983ED3">
        <w:rPr>
          <w:rFonts w:eastAsia="Calibri" w:cs="Times New Roman"/>
          <w:b/>
          <w:color w:val="314364" w:themeColor="text2"/>
          <w:szCs w:val="18"/>
        </w:rPr>
        <w:t xml:space="preserve"> Vybrané výdavky ŠR na realizáciu programov vlády SR</w:t>
      </w:r>
      <w:r>
        <w:rPr>
          <w:rFonts w:eastAsia="Calibri" w:cs="Times New Roman"/>
          <w:b/>
          <w:color w:val="314364" w:themeColor="text2"/>
          <w:szCs w:val="18"/>
        </w:rPr>
        <w:t xml:space="preserve"> za rok 2023 (v tis.</w:t>
      </w:r>
      <w:r w:rsidRPr="00983ED3">
        <w:rPr>
          <w:rFonts w:eastAsia="Calibri" w:cs="Times New Roman"/>
          <w:b/>
          <w:color w:val="314364" w:themeColor="text2"/>
          <w:szCs w:val="18"/>
        </w:rPr>
        <w:t xml:space="preserve"> eur)</w:t>
      </w:r>
      <w:r>
        <w:rPr>
          <w:rFonts w:eastAsia="Calibri" w:cs="Times New Roman"/>
          <w:b/>
          <w:color w:val="314364" w:themeColor="text2"/>
          <w:szCs w:val="18"/>
        </w:rPr>
        <w:t xml:space="preserve"> </w:t>
      </w:r>
    </w:p>
    <w:tbl>
      <w:tblPr>
        <w:tblW w:w="0" w:type="auto"/>
        <w:tblLayout w:type="fixed"/>
        <w:tblCellMar>
          <w:left w:w="70" w:type="dxa"/>
          <w:right w:w="70" w:type="dxa"/>
        </w:tblCellMar>
        <w:tblLook w:val="04A0" w:firstRow="1" w:lastRow="0" w:firstColumn="1" w:lastColumn="0" w:noHBand="0" w:noVBand="1"/>
      </w:tblPr>
      <w:tblGrid>
        <w:gridCol w:w="1763"/>
        <w:gridCol w:w="4191"/>
        <w:gridCol w:w="1276"/>
        <w:gridCol w:w="1200"/>
        <w:gridCol w:w="640"/>
      </w:tblGrid>
      <w:tr w:rsidR="008A4BCF" w:rsidRPr="001724FB" w14:paraId="2DB54C4B" w14:textId="77777777" w:rsidTr="00B44AC3">
        <w:trPr>
          <w:trHeight w:val="283"/>
        </w:trPr>
        <w:tc>
          <w:tcPr>
            <w:tcW w:w="1763" w:type="dxa"/>
            <w:tcBorders>
              <w:top w:val="nil"/>
              <w:left w:val="nil"/>
              <w:bottom w:val="nil"/>
              <w:right w:val="nil"/>
            </w:tcBorders>
            <w:shd w:val="clear" w:color="000000" w:fill="314364"/>
            <w:vAlign w:val="center"/>
            <w:hideMark/>
          </w:tcPr>
          <w:p w14:paraId="1FA62BC8" w14:textId="77777777" w:rsidR="008A4BCF" w:rsidRPr="001724FB" w:rsidRDefault="008A4BCF" w:rsidP="00B44AC3">
            <w:pPr>
              <w:spacing w:after="0" w:line="240" w:lineRule="auto"/>
              <w:jc w:val="left"/>
              <w:rPr>
                <w:rFonts w:eastAsia="Times New Roman" w:cs="Segoe UI"/>
                <w:b/>
                <w:bCs/>
                <w:color w:val="FFFFFF"/>
                <w:sz w:val="18"/>
                <w:szCs w:val="18"/>
                <w:lang w:eastAsia="sk-SK"/>
              </w:rPr>
            </w:pPr>
            <w:r w:rsidRPr="001724FB">
              <w:rPr>
                <w:rFonts w:eastAsia="Times New Roman" w:cs="Segoe UI"/>
                <w:b/>
                <w:bCs/>
                <w:color w:val="FFFFFF"/>
                <w:sz w:val="18"/>
                <w:szCs w:val="18"/>
                <w:lang w:eastAsia="sk-SK"/>
              </w:rPr>
              <w:t>Ukazovateľ</w:t>
            </w:r>
          </w:p>
        </w:tc>
        <w:tc>
          <w:tcPr>
            <w:tcW w:w="4191" w:type="dxa"/>
            <w:tcBorders>
              <w:top w:val="nil"/>
              <w:left w:val="nil"/>
              <w:bottom w:val="nil"/>
              <w:right w:val="nil"/>
            </w:tcBorders>
            <w:shd w:val="clear" w:color="000000" w:fill="314364"/>
            <w:vAlign w:val="center"/>
            <w:hideMark/>
          </w:tcPr>
          <w:p w14:paraId="44EA5C24" w14:textId="77777777" w:rsidR="008A4BCF" w:rsidRPr="001724FB" w:rsidRDefault="008A4BCF" w:rsidP="00B44AC3">
            <w:pPr>
              <w:spacing w:after="0" w:line="240" w:lineRule="auto"/>
              <w:jc w:val="left"/>
              <w:rPr>
                <w:rFonts w:eastAsia="Times New Roman" w:cs="Segoe UI"/>
                <w:b/>
                <w:bCs/>
                <w:color w:val="FFFFFF"/>
                <w:sz w:val="18"/>
                <w:szCs w:val="18"/>
                <w:lang w:eastAsia="sk-SK"/>
              </w:rPr>
            </w:pPr>
            <w:r w:rsidRPr="001724FB">
              <w:rPr>
                <w:rFonts w:eastAsia="Times New Roman" w:cs="Segoe UI"/>
                <w:b/>
                <w:bCs/>
                <w:color w:val="FFFFFF"/>
                <w:sz w:val="18"/>
                <w:szCs w:val="18"/>
                <w:lang w:eastAsia="sk-SK"/>
              </w:rPr>
              <w:t>Program</w:t>
            </w:r>
          </w:p>
        </w:tc>
        <w:tc>
          <w:tcPr>
            <w:tcW w:w="1276" w:type="dxa"/>
            <w:tcBorders>
              <w:top w:val="nil"/>
              <w:left w:val="nil"/>
              <w:bottom w:val="nil"/>
              <w:right w:val="nil"/>
            </w:tcBorders>
            <w:shd w:val="clear" w:color="000000" w:fill="314364"/>
            <w:vAlign w:val="center"/>
            <w:hideMark/>
          </w:tcPr>
          <w:p w14:paraId="6DDDABAA" w14:textId="77777777" w:rsidR="008A4BCF" w:rsidRPr="001724FB" w:rsidRDefault="008A4BCF" w:rsidP="00B44AC3">
            <w:pPr>
              <w:spacing w:after="0" w:line="240" w:lineRule="auto"/>
              <w:jc w:val="right"/>
              <w:rPr>
                <w:rFonts w:eastAsia="Times New Roman" w:cs="Segoe UI"/>
                <w:b/>
                <w:bCs/>
                <w:color w:val="FFFFFF"/>
                <w:sz w:val="18"/>
                <w:szCs w:val="18"/>
                <w:lang w:eastAsia="sk-SK"/>
              </w:rPr>
            </w:pPr>
            <w:r>
              <w:rPr>
                <w:rFonts w:eastAsia="Times New Roman" w:cs="Segoe UI"/>
                <w:b/>
                <w:bCs/>
                <w:color w:val="FFFFFF"/>
                <w:sz w:val="18"/>
                <w:szCs w:val="18"/>
                <w:lang w:eastAsia="sk-SK"/>
              </w:rPr>
              <w:t>2023 R</w:t>
            </w:r>
          </w:p>
        </w:tc>
        <w:tc>
          <w:tcPr>
            <w:tcW w:w="1200" w:type="dxa"/>
            <w:tcBorders>
              <w:top w:val="nil"/>
              <w:left w:val="nil"/>
              <w:bottom w:val="nil"/>
              <w:right w:val="nil"/>
            </w:tcBorders>
            <w:shd w:val="clear" w:color="000000" w:fill="314364"/>
            <w:vAlign w:val="center"/>
            <w:hideMark/>
          </w:tcPr>
          <w:p w14:paraId="6C0F89BF" w14:textId="77777777" w:rsidR="008A4BCF" w:rsidRPr="001724FB" w:rsidRDefault="008A4BCF" w:rsidP="00B44AC3">
            <w:pPr>
              <w:spacing w:after="0" w:line="240" w:lineRule="auto"/>
              <w:jc w:val="right"/>
              <w:rPr>
                <w:rFonts w:eastAsia="Times New Roman" w:cs="Segoe UI"/>
                <w:b/>
                <w:bCs/>
                <w:color w:val="FFFFFF"/>
                <w:sz w:val="18"/>
                <w:szCs w:val="18"/>
                <w:lang w:eastAsia="sk-SK"/>
              </w:rPr>
            </w:pPr>
            <w:r>
              <w:rPr>
                <w:rFonts w:eastAsia="Times New Roman" w:cs="Segoe UI"/>
                <w:b/>
                <w:bCs/>
                <w:color w:val="FFFFFF"/>
                <w:sz w:val="18"/>
                <w:szCs w:val="18"/>
                <w:lang w:eastAsia="sk-SK"/>
              </w:rPr>
              <w:t>2023 S</w:t>
            </w:r>
          </w:p>
        </w:tc>
        <w:tc>
          <w:tcPr>
            <w:tcW w:w="640" w:type="dxa"/>
            <w:tcBorders>
              <w:top w:val="nil"/>
              <w:left w:val="nil"/>
              <w:bottom w:val="nil"/>
              <w:right w:val="nil"/>
            </w:tcBorders>
            <w:shd w:val="clear" w:color="000000" w:fill="314364"/>
            <w:vAlign w:val="center"/>
            <w:hideMark/>
          </w:tcPr>
          <w:p w14:paraId="2B24614B" w14:textId="77777777" w:rsidR="008A4BCF" w:rsidRPr="001724FB" w:rsidRDefault="008A4BCF" w:rsidP="00B44AC3">
            <w:pPr>
              <w:spacing w:after="0" w:line="240" w:lineRule="auto"/>
              <w:jc w:val="right"/>
              <w:rPr>
                <w:rFonts w:eastAsia="Times New Roman" w:cs="Segoe UI"/>
                <w:b/>
                <w:bCs/>
                <w:color w:val="FFFFFF"/>
                <w:sz w:val="18"/>
                <w:szCs w:val="18"/>
                <w:lang w:eastAsia="sk-SK"/>
              </w:rPr>
            </w:pPr>
            <w:r w:rsidRPr="001724FB">
              <w:rPr>
                <w:rFonts w:eastAsia="Times New Roman" w:cs="Segoe UI"/>
                <w:b/>
                <w:bCs/>
                <w:color w:val="FFFFFF"/>
                <w:sz w:val="18"/>
                <w:szCs w:val="18"/>
                <w:lang w:eastAsia="sk-SK"/>
              </w:rPr>
              <w:t>Index</w:t>
            </w:r>
          </w:p>
        </w:tc>
      </w:tr>
      <w:tr w:rsidR="008A4BCF" w:rsidRPr="001724FB" w14:paraId="2DDA0E55" w14:textId="77777777" w:rsidTr="00B44AC3">
        <w:trPr>
          <w:trHeight w:val="283"/>
        </w:trPr>
        <w:tc>
          <w:tcPr>
            <w:tcW w:w="1763" w:type="dxa"/>
            <w:vMerge w:val="restart"/>
            <w:tcBorders>
              <w:top w:val="nil"/>
              <w:left w:val="nil"/>
              <w:bottom w:val="single" w:sz="8" w:space="0" w:color="000000"/>
              <w:right w:val="nil"/>
            </w:tcBorders>
            <w:shd w:val="clear" w:color="auto" w:fill="auto"/>
            <w:vAlign w:val="center"/>
            <w:hideMark/>
          </w:tcPr>
          <w:p w14:paraId="1F3CAF1E" w14:textId="77777777" w:rsidR="008A4BCF" w:rsidRPr="001724FB" w:rsidRDefault="008A4BCF" w:rsidP="00B44AC3">
            <w:pPr>
              <w:spacing w:after="0" w:line="240" w:lineRule="auto"/>
              <w:jc w:val="left"/>
              <w:rPr>
                <w:rFonts w:eastAsia="Times New Roman" w:cs="Segoe UI"/>
                <w:color w:val="000000"/>
                <w:sz w:val="18"/>
                <w:szCs w:val="18"/>
                <w:lang w:eastAsia="sk-SK"/>
              </w:rPr>
            </w:pPr>
            <w:r>
              <w:rPr>
                <w:rFonts w:eastAsia="Times New Roman" w:cs="Segoe UI"/>
                <w:color w:val="000000"/>
                <w:sz w:val="18"/>
                <w:szCs w:val="18"/>
                <w:lang w:eastAsia="sk-SK"/>
              </w:rPr>
              <w:t>MO</w:t>
            </w:r>
            <w:r w:rsidRPr="001724FB">
              <w:rPr>
                <w:rFonts w:eastAsia="Times New Roman" w:cs="Segoe UI"/>
                <w:color w:val="000000"/>
                <w:sz w:val="18"/>
                <w:szCs w:val="18"/>
                <w:lang w:eastAsia="sk-SK"/>
              </w:rPr>
              <w:t xml:space="preserve"> SR</w:t>
            </w:r>
          </w:p>
        </w:tc>
        <w:tc>
          <w:tcPr>
            <w:tcW w:w="4191" w:type="dxa"/>
            <w:tcBorders>
              <w:top w:val="nil"/>
              <w:left w:val="nil"/>
              <w:bottom w:val="nil"/>
              <w:right w:val="nil"/>
            </w:tcBorders>
            <w:shd w:val="clear" w:color="auto" w:fill="auto"/>
            <w:vAlign w:val="center"/>
            <w:hideMark/>
          </w:tcPr>
          <w:p w14:paraId="7616CB84" w14:textId="77777777" w:rsidR="008A4BCF" w:rsidRPr="001724FB" w:rsidRDefault="008A4BCF" w:rsidP="00B44AC3">
            <w:pPr>
              <w:spacing w:after="0" w:line="240" w:lineRule="auto"/>
              <w:jc w:val="left"/>
              <w:rPr>
                <w:rFonts w:eastAsia="Times New Roman" w:cs="Segoe UI"/>
                <w:color w:val="000000"/>
                <w:sz w:val="18"/>
                <w:szCs w:val="18"/>
                <w:lang w:eastAsia="sk-SK"/>
              </w:rPr>
            </w:pPr>
            <w:r w:rsidRPr="001724FB">
              <w:rPr>
                <w:rFonts w:eastAsia="Times New Roman" w:cs="Segoe UI"/>
                <w:color w:val="000000"/>
                <w:sz w:val="18"/>
                <w:szCs w:val="18"/>
                <w:lang w:eastAsia="sk-SK"/>
              </w:rPr>
              <w:t>095 Rozvoj obrany</w:t>
            </w:r>
          </w:p>
        </w:tc>
        <w:tc>
          <w:tcPr>
            <w:tcW w:w="1276" w:type="dxa"/>
            <w:tcBorders>
              <w:top w:val="nil"/>
              <w:left w:val="nil"/>
              <w:bottom w:val="nil"/>
              <w:right w:val="nil"/>
            </w:tcBorders>
            <w:shd w:val="clear" w:color="auto" w:fill="auto"/>
            <w:vAlign w:val="center"/>
            <w:hideMark/>
          </w:tcPr>
          <w:p w14:paraId="638A7AF1"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380 958</w:t>
            </w:r>
          </w:p>
        </w:tc>
        <w:tc>
          <w:tcPr>
            <w:tcW w:w="1200" w:type="dxa"/>
            <w:tcBorders>
              <w:top w:val="nil"/>
              <w:left w:val="nil"/>
              <w:bottom w:val="nil"/>
              <w:right w:val="nil"/>
            </w:tcBorders>
            <w:shd w:val="clear" w:color="auto" w:fill="auto"/>
            <w:vAlign w:val="center"/>
            <w:hideMark/>
          </w:tcPr>
          <w:p w14:paraId="529B5048"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605 253</w:t>
            </w:r>
          </w:p>
        </w:tc>
        <w:tc>
          <w:tcPr>
            <w:tcW w:w="640" w:type="dxa"/>
            <w:tcBorders>
              <w:top w:val="nil"/>
              <w:left w:val="nil"/>
              <w:bottom w:val="nil"/>
              <w:right w:val="nil"/>
            </w:tcBorders>
            <w:shd w:val="clear" w:color="auto" w:fill="auto"/>
            <w:vAlign w:val="center"/>
            <w:hideMark/>
          </w:tcPr>
          <w:p w14:paraId="2B63C71B"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159</w:t>
            </w:r>
          </w:p>
        </w:tc>
      </w:tr>
      <w:tr w:rsidR="008A4BCF" w:rsidRPr="001724FB" w14:paraId="48C6E1B7" w14:textId="77777777" w:rsidTr="00B44AC3">
        <w:trPr>
          <w:trHeight w:val="283"/>
        </w:trPr>
        <w:tc>
          <w:tcPr>
            <w:tcW w:w="1763" w:type="dxa"/>
            <w:vMerge/>
            <w:tcBorders>
              <w:top w:val="nil"/>
              <w:left w:val="nil"/>
              <w:bottom w:val="single" w:sz="8" w:space="0" w:color="000000"/>
              <w:right w:val="nil"/>
            </w:tcBorders>
            <w:vAlign w:val="center"/>
            <w:hideMark/>
          </w:tcPr>
          <w:p w14:paraId="21649D36" w14:textId="77777777" w:rsidR="008A4BCF" w:rsidRPr="001724FB" w:rsidRDefault="008A4BCF" w:rsidP="00B44AC3">
            <w:pPr>
              <w:spacing w:after="0" w:line="240" w:lineRule="auto"/>
              <w:jc w:val="left"/>
              <w:rPr>
                <w:rFonts w:eastAsia="Times New Roman" w:cs="Segoe UI"/>
                <w:color w:val="000000"/>
                <w:sz w:val="18"/>
                <w:szCs w:val="18"/>
                <w:lang w:eastAsia="sk-SK"/>
              </w:rPr>
            </w:pPr>
          </w:p>
        </w:tc>
        <w:tc>
          <w:tcPr>
            <w:tcW w:w="4191" w:type="dxa"/>
            <w:tcBorders>
              <w:top w:val="nil"/>
              <w:left w:val="nil"/>
              <w:bottom w:val="nil"/>
              <w:right w:val="nil"/>
            </w:tcBorders>
            <w:shd w:val="clear" w:color="auto" w:fill="auto"/>
            <w:vAlign w:val="center"/>
            <w:hideMark/>
          </w:tcPr>
          <w:p w14:paraId="2BEFDB4A" w14:textId="77777777" w:rsidR="008A4BCF" w:rsidRPr="001724FB" w:rsidRDefault="008A4BCF" w:rsidP="00B44AC3">
            <w:pPr>
              <w:spacing w:after="0" w:line="240" w:lineRule="auto"/>
              <w:jc w:val="left"/>
              <w:rPr>
                <w:rFonts w:eastAsia="Times New Roman" w:cs="Segoe UI"/>
                <w:color w:val="000000"/>
                <w:sz w:val="18"/>
                <w:szCs w:val="18"/>
                <w:lang w:eastAsia="sk-SK"/>
              </w:rPr>
            </w:pPr>
            <w:r w:rsidRPr="001724FB">
              <w:rPr>
                <w:rFonts w:eastAsia="Times New Roman" w:cs="Segoe UI"/>
                <w:color w:val="000000"/>
                <w:sz w:val="18"/>
                <w:szCs w:val="18"/>
                <w:lang w:eastAsia="sk-SK"/>
              </w:rPr>
              <w:t>096 Obrana</w:t>
            </w:r>
          </w:p>
        </w:tc>
        <w:tc>
          <w:tcPr>
            <w:tcW w:w="1276" w:type="dxa"/>
            <w:tcBorders>
              <w:top w:val="nil"/>
              <w:left w:val="nil"/>
              <w:bottom w:val="nil"/>
              <w:right w:val="nil"/>
            </w:tcBorders>
            <w:shd w:val="clear" w:color="auto" w:fill="auto"/>
            <w:vAlign w:val="center"/>
            <w:hideMark/>
          </w:tcPr>
          <w:p w14:paraId="2BBC61FA"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1 704 241</w:t>
            </w:r>
          </w:p>
        </w:tc>
        <w:tc>
          <w:tcPr>
            <w:tcW w:w="1200" w:type="dxa"/>
            <w:tcBorders>
              <w:top w:val="nil"/>
              <w:left w:val="nil"/>
              <w:bottom w:val="nil"/>
              <w:right w:val="nil"/>
            </w:tcBorders>
            <w:shd w:val="clear" w:color="auto" w:fill="auto"/>
            <w:vAlign w:val="center"/>
            <w:hideMark/>
          </w:tcPr>
          <w:p w14:paraId="75078138"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1 279 254</w:t>
            </w:r>
          </w:p>
        </w:tc>
        <w:tc>
          <w:tcPr>
            <w:tcW w:w="640" w:type="dxa"/>
            <w:tcBorders>
              <w:top w:val="nil"/>
              <w:left w:val="nil"/>
              <w:bottom w:val="nil"/>
              <w:right w:val="nil"/>
            </w:tcBorders>
            <w:shd w:val="clear" w:color="auto" w:fill="auto"/>
            <w:vAlign w:val="center"/>
            <w:hideMark/>
          </w:tcPr>
          <w:p w14:paraId="3BF53389"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75</w:t>
            </w:r>
          </w:p>
        </w:tc>
      </w:tr>
      <w:tr w:rsidR="008A4BCF" w:rsidRPr="001724FB" w14:paraId="51D57CC5" w14:textId="77777777" w:rsidTr="00B44AC3">
        <w:trPr>
          <w:trHeight w:val="283"/>
        </w:trPr>
        <w:tc>
          <w:tcPr>
            <w:tcW w:w="1763" w:type="dxa"/>
            <w:vMerge w:val="restart"/>
            <w:tcBorders>
              <w:top w:val="nil"/>
              <w:left w:val="nil"/>
              <w:bottom w:val="single" w:sz="8" w:space="0" w:color="000000"/>
              <w:right w:val="nil"/>
            </w:tcBorders>
            <w:shd w:val="clear" w:color="auto" w:fill="auto"/>
            <w:vAlign w:val="center"/>
            <w:hideMark/>
          </w:tcPr>
          <w:p w14:paraId="10CE063F" w14:textId="77777777" w:rsidR="008A4BCF" w:rsidRPr="001724FB" w:rsidRDefault="008A4BCF" w:rsidP="00B44AC3">
            <w:pPr>
              <w:spacing w:after="0" w:line="240" w:lineRule="auto"/>
              <w:jc w:val="left"/>
              <w:rPr>
                <w:rFonts w:eastAsia="Times New Roman" w:cs="Segoe UI"/>
                <w:color w:val="000000"/>
                <w:sz w:val="18"/>
                <w:szCs w:val="18"/>
                <w:lang w:eastAsia="sk-SK"/>
              </w:rPr>
            </w:pPr>
            <w:r>
              <w:rPr>
                <w:rFonts w:eastAsia="Times New Roman" w:cs="Segoe UI"/>
                <w:color w:val="000000"/>
                <w:sz w:val="18"/>
                <w:szCs w:val="18"/>
                <w:lang w:eastAsia="sk-SK"/>
              </w:rPr>
              <w:t>MV</w:t>
            </w:r>
            <w:r w:rsidRPr="001724FB">
              <w:rPr>
                <w:rFonts w:eastAsia="Times New Roman" w:cs="Segoe UI"/>
                <w:color w:val="000000"/>
                <w:sz w:val="18"/>
                <w:szCs w:val="18"/>
                <w:lang w:eastAsia="sk-SK"/>
              </w:rPr>
              <w:t xml:space="preserve"> SR</w:t>
            </w:r>
          </w:p>
        </w:tc>
        <w:tc>
          <w:tcPr>
            <w:tcW w:w="4191" w:type="dxa"/>
            <w:tcBorders>
              <w:top w:val="single" w:sz="8" w:space="0" w:color="auto"/>
              <w:left w:val="nil"/>
              <w:bottom w:val="nil"/>
              <w:right w:val="nil"/>
            </w:tcBorders>
            <w:shd w:val="clear" w:color="auto" w:fill="auto"/>
            <w:vAlign w:val="center"/>
            <w:hideMark/>
          </w:tcPr>
          <w:p w14:paraId="4AD24D6B" w14:textId="77777777" w:rsidR="008A4BCF" w:rsidRPr="001724FB" w:rsidRDefault="008A4BCF" w:rsidP="00B44AC3">
            <w:pPr>
              <w:spacing w:after="0" w:line="240" w:lineRule="auto"/>
              <w:jc w:val="left"/>
              <w:rPr>
                <w:rFonts w:eastAsia="Times New Roman" w:cs="Segoe UI"/>
                <w:color w:val="000000"/>
                <w:sz w:val="18"/>
                <w:szCs w:val="18"/>
                <w:lang w:eastAsia="sk-SK"/>
              </w:rPr>
            </w:pPr>
            <w:r w:rsidRPr="001724FB">
              <w:rPr>
                <w:rFonts w:eastAsia="Times New Roman" w:cs="Segoe UI"/>
                <w:color w:val="000000"/>
                <w:sz w:val="18"/>
                <w:szCs w:val="18"/>
                <w:lang w:eastAsia="sk-SK"/>
              </w:rPr>
              <w:t>0D6 Efektívna a spoľahlivá štátna správa</w:t>
            </w:r>
          </w:p>
        </w:tc>
        <w:tc>
          <w:tcPr>
            <w:tcW w:w="1276" w:type="dxa"/>
            <w:tcBorders>
              <w:top w:val="single" w:sz="8" w:space="0" w:color="auto"/>
              <w:left w:val="nil"/>
              <w:bottom w:val="nil"/>
              <w:right w:val="nil"/>
            </w:tcBorders>
            <w:shd w:val="clear" w:color="auto" w:fill="auto"/>
            <w:vAlign w:val="center"/>
            <w:hideMark/>
          </w:tcPr>
          <w:p w14:paraId="00F0D3FF"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1 543 453</w:t>
            </w:r>
          </w:p>
        </w:tc>
        <w:tc>
          <w:tcPr>
            <w:tcW w:w="1200" w:type="dxa"/>
            <w:tcBorders>
              <w:top w:val="single" w:sz="8" w:space="0" w:color="auto"/>
              <w:left w:val="nil"/>
              <w:bottom w:val="nil"/>
              <w:right w:val="nil"/>
            </w:tcBorders>
            <w:shd w:val="clear" w:color="auto" w:fill="auto"/>
            <w:vAlign w:val="center"/>
            <w:hideMark/>
          </w:tcPr>
          <w:p w14:paraId="3201941C"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1 730 353</w:t>
            </w:r>
          </w:p>
        </w:tc>
        <w:tc>
          <w:tcPr>
            <w:tcW w:w="640" w:type="dxa"/>
            <w:tcBorders>
              <w:top w:val="single" w:sz="8" w:space="0" w:color="auto"/>
              <w:left w:val="nil"/>
              <w:bottom w:val="nil"/>
              <w:right w:val="nil"/>
            </w:tcBorders>
            <w:shd w:val="clear" w:color="auto" w:fill="auto"/>
            <w:vAlign w:val="center"/>
            <w:hideMark/>
          </w:tcPr>
          <w:p w14:paraId="019BD20A"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112</w:t>
            </w:r>
          </w:p>
        </w:tc>
      </w:tr>
      <w:tr w:rsidR="008A4BCF" w:rsidRPr="001724FB" w14:paraId="3E72C26D" w14:textId="77777777" w:rsidTr="00B44AC3">
        <w:trPr>
          <w:trHeight w:val="283"/>
        </w:trPr>
        <w:tc>
          <w:tcPr>
            <w:tcW w:w="1763" w:type="dxa"/>
            <w:vMerge/>
            <w:tcBorders>
              <w:top w:val="nil"/>
              <w:left w:val="nil"/>
              <w:bottom w:val="single" w:sz="8" w:space="0" w:color="000000"/>
              <w:right w:val="nil"/>
            </w:tcBorders>
            <w:vAlign w:val="center"/>
            <w:hideMark/>
          </w:tcPr>
          <w:p w14:paraId="06207D6E" w14:textId="77777777" w:rsidR="008A4BCF" w:rsidRPr="001724FB" w:rsidRDefault="008A4BCF" w:rsidP="00B44AC3">
            <w:pPr>
              <w:spacing w:after="0" w:line="240" w:lineRule="auto"/>
              <w:jc w:val="left"/>
              <w:rPr>
                <w:rFonts w:eastAsia="Times New Roman" w:cs="Segoe UI"/>
                <w:color w:val="000000"/>
                <w:sz w:val="18"/>
                <w:szCs w:val="18"/>
                <w:lang w:eastAsia="sk-SK"/>
              </w:rPr>
            </w:pPr>
          </w:p>
        </w:tc>
        <w:tc>
          <w:tcPr>
            <w:tcW w:w="4191" w:type="dxa"/>
            <w:tcBorders>
              <w:top w:val="nil"/>
              <w:left w:val="nil"/>
              <w:bottom w:val="nil"/>
              <w:right w:val="nil"/>
            </w:tcBorders>
            <w:shd w:val="clear" w:color="auto" w:fill="auto"/>
            <w:vAlign w:val="center"/>
            <w:hideMark/>
          </w:tcPr>
          <w:p w14:paraId="2778A2DB" w14:textId="77777777" w:rsidR="008A4BCF" w:rsidRPr="001724FB" w:rsidRDefault="008A4BCF" w:rsidP="00B44AC3">
            <w:pPr>
              <w:spacing w:after="0" w:line="240" w:lineRule="auto"/>
              <w:jc w:val="left"/>
              <w:rPr>
                <w:rFonts w:eastAsia="Times New Roman" w:cs="Segoe UI"/>
                <w:color w:val="000000"/>
                <w:sz w:val="18"/>
                <w:szCs w:val="18"/>
                <w:lang w:eastAsia="sk-SK"/>
              </w:rPr>
            </w:pPr>
            <w:r w:rsidRPr="001724FB">
              <w:rPr>
                <w:rFonts w:eastAsia="Times New Roman" w:cs="Segoe UI"/>
                <w:color w:val="000000"/>
                <w:sz w:val="18"/>
                <w:szCs w:val="18"/>
                <w:lang w:eastAsia="sk-SK"/>
              </w:rPr>
              <w:t>0EK Informačné technológie financované zo štátneho rozpočtu</w:t>
            </w:r>
          </w:p>
        </w:tc>
        <w:tc>
          <w:tcPr>
            <w:tcW w:w="1276" w:type="dxa"/>
            <w:tcBorders>
              <w:top w:val="nil"/>
              <w:left w:val="nil"/>
              <w:bottom w:val="nil"/>
              <w:right w:val="nil"/>
            </w:tcBorders>
            <w:shd w:val="clear" w:color="auto" w:fill="auto"/>
            <w:vAlign w:val="center"/>
            <w:hideMark/>
          </w:tcPr>
          <w:p w14:paraId="5A0C6062"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106 124</w:t>
            </w:r>
          </w:p>
        </w:tc>
        <w:tc>
          <w:tcPr>
            <w:tcW w:w="1200" w:type="dxa"/>
            <w:tcBorders>
              <w:top w:val="nil"/>
              <w:left w:val="nil"/>
              <w:bottom w:val="nil"/>
              <w:right w:val="nil"/>
            </w:tcBorders>
            <w:shd w:val="clear" w:color="auto" w:fill="auto"/>
            <w:vAlign w:val="center"/>
            <w:hideMark/>
          </w:tcPr>
          <w:p w14:paraId="27DA6B9E"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194 764</w:t>
            </w:r>
          </w:p>
        </w:tc>
        <w:tc>
          <w:tcPr>
            <w:tcW w:w="640" w:type="dxa"/>
            <w:tcBorders>
              <w:top w:val="nil"/>
              <w:left w:val="nil"/>
              <w:bottom w:val="nil"/>
              <w:right w:val="nil"/>
            </w:tcBorders>
            <w:shd w:val="clear" w:color="auto" w:fill="auto"/>
            <w:vAlign w:val="center"/>
            <w:hideMark/>
          </w:tcPr>
          <w:p w14:paraId="015F41FA"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184</w:t>
            </w:r>
          </w:p>
        </w:tc>
      </w:tr>
      <w:tr w:rsidR="008A4BCF" w:rsidRPr="001724FB" w14:paraId="574E2C15" w14:textId="77777777" w:rsidTr="00B44AC3">
        <w:trPr>
          <w:trHeight w:val="283"/>
        </w:trPr>
        <w:tc>
          <w:tcPr>
            <w:tcW w:w="1763" w:type="dxa"/>
            <w:vMerge/>
            <w:tcBorders>
              <w:top w:val="nil"/>
              <w:left w:val="nil"/>
              <w:bottom w:val="single" w:sz="8" w:space="0" w:color="000000"/>
              <w:right w:val="nil"/>
            </w:tcBorders>
            <w:vAlign w:val="center"/>
            <w:hideMark/>
          </w:tcPr>
          <w:p w14:paraId="5399A8B0" w14:textId="77777777" w:rsidR="008A4BCF" w:rsidRPr="001724FB" w:rsidRDefault="008A4BCF" w:rsidP="00B44AC3">
            <w:pPr>
              <w:spacing w:after="0" w:line="240" w:lineRule="auto"/>
              <w:jc w:val="left"/>
              <w:rPr>
                <w:rFonts w:eastAsia="Times New Roman" w:cs="Segoe UI"/>
                <w:color w:val="000000"/>
                <w:sz w:val="18"/>
                <w:szCs w:val="18"/>
                <w:lang w:eastAsia="sk-SK"/>
              </w:rPr>
            </w:pPr>
          </w:p>
        </w:tc>
        <w:tc>
          <w:tcPr>
            <w:tcW w:w="4191" w:type="dxa"/>
            <w:tcBorders>
              <w:top w:val="nil"/>
              <w:left w:val="nil"/>
              <w:bottom w:val="single" w:sz="8" w:space="0" w:color="auto"/>
              <w:right w:val="nil"/>
            </w:tcBorders>
            <w:shd w:val="clear" w:color="auto" w:fill="auto"/>
            <w:vAlign w:val="center"/>
            <w:hideMark/>
          </w:tcPr>
          <w:p w14:paraId="48E94C1E" w14:textId="77777777" w:rsidR="008A4BCF" w:rsidRPr="001724FB" w:rsidRDefault="008A4BCF" w:rsidP="00B44AC3">
            <w:pPr>
              <w:spacing w:after="0" w:line="240" w:lineRule="auto"/>
              <w:jc w:val="left"/>
              <w:rPr>
                <w:rFonts w:eastAsia="Times New Roman" w:cs="Segoe UI"/>
                <w:color w:val="000000"/>
                <w:sz w:val="18"/>
                <w:szCs w:val="18"/>
                <w:lang w:eastAsia="sk-SK"/>
              </w:rPr>
            </w:pPr>
            <w:r w:rsidRPr="001724FB">
              <w:rPr>
                <w:rFonts w:eastAsia="Times New Roman" w:cs="Segoe UI"/>
                <w:color w:val="000000"/>
                <w:sz w:val="18"/>
                <w:szCs w:val="18"/>
                <w:lang w:eastAsia="sk-SK"/>
              </w:rPr>
              <w:t>06G Ľudské zdroje</w:t>
            </w:r>
          </w:p>
        </w:tc>
        <w:tc>
          <w:tcPr>
            <w:tcW w:w="1276" w:type="dxa"/>
            <w:tcBorders>
              <w:top w:val="nil"/>
              <w:left w:val="nil"/>
              <w:bottom w:val="single" w:sz="8" w:space="0" w:color="auto"/>
              <w:right w:val="nil"/>
            </w:tcBorders>
            <w:shd w:val="clear" w:color="auto" w:fill="auto"/>
            <w:vAlign w:val="center"/>
            <w:hideMark/>
          </w:tcPr>
          <w:p w14:paraId="3919EF1E"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132 400</w:t>
            </w:r>
          </w:p>
        </w:tc>
        <w:tc>
          <w:tcPr>
            <w:tcW w:w="1200" w:type="dxa"/>
            <w:tcBorders>
              <w:top w:val="nil"/>
              <w:left w:val="nil"/>
              <w:bottom w:val="single" w:sz="8" w:space="0" w:color="auto"/>
              <w:right w:val="nil"/>
            </w:tcBorders>
            <w:shd w:val="clear" w:color="auto" w:fill="auto"/>
            <w:vAlign w:val="center"/>
            <w:hideMark/>
          </w:tcPr>
          <w:p w14:paraId="32F73208"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128 559</w:t>
            </w:r>
          </w:p>
        </w:tc>
        <w:tc>
          <w:tcPr>
            <w:tcW w:w="640" w:type="dxa"/>
            <w:tcBorders>
              <w:top w:val="nil"/>
              <w:left w:val="nil"/>
              <w:bottom w:val="single" w:sz="8" w:space="0" w:color="auto"/>
              <w:right w:val="nil"/>
            </w:tcBorders>
            <w:shd w:val="clear" w:color="auto" w:fill="auto"/>
            <w:vAlign w:val="center"/>
            <w:hideMark/>
          </w:tcPr>
          <w:p w14:paraId="50473878"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97</w:t>
            </w:r>
          </w:p>
        </w:tc>
      </w:tr>
      <w:tr w:rsidR="008A4BCF" w:rsidRPr="001724FB" w14:paraId="21E17583" w14:textId="77777777" w:rsidTr="00B44AC3">
        <w:trPr>
          <w:trHeight w:val="283"/>
        </w:trPr>
        <w:tc>
          <w:tcPr>
            <w:tcW w:w="1763" w:type="dxa"/>
            <w:vMerge w:val="restart"/>
            <w:tcBorders>
              <w:top w:val="nil"/>
              <w:left w:val="nil"/>
              <w:bottom w:val="single" w:sz="8" w:space="0" w:color="000000"/>
              <w:right w:val="nil"/>
            </w:tcBorders>
            <w:shd w:val="clear" w:color="auto" w:fill="auto"/>
            <w:vAlign w:val="center"/>
            <w:hideMark/>
          </w:tcPr>
          <w:p w14:paraId="6CFE0F52" w14:textId="77777777" w:rsidR="008A4BCF" w:rsidRPr="001724FB" w:rsidRDefault="008A4BCF" w:rsidP="00B44AC3">
            <w:pPr>
              <w:spacing w:after="0" w:line="240" w:lineRule="auto"/>
              <w:jc w:val="left"/>
              <w:rPr>
                <w:rFonts w:eastAsia="Times New Roman" w:cs="Segoe UI"/>
                <w:color w:val="000000"/>
                <w:sz w:val="18"/>
                <w:szCs w:val="18"/>
                <w:lang w:eastAsia="sk-SK"/>
              </w:rPr>
            </w:pPr>
            <w:r>
              <w:rPr>
                <w:rFonts w:eastAsia="Times New Roman" w:cs="Segoe UI"/>
                <w:color w:val="000000"/>
                <w:sz w:val="18"/>
                <w:szCs w:val="18"/>
                <w:lang w:eastAsia="sk-SK"/>
              </w:rPr>
              <w:t>MS</w:t>
            </w:r>
            <w:r w:rsidRPr="001724FB">
              <w:rPr>
                <w:rFonts w:eastAsia="Times New Roman" w:cs="Segoe UI"/>
                <w:color w:val="000000"/>
                <w:sz w:val="18"/>
                <w:szCs w:val="18"/>
                <w:lang w:eastAsia="sk-SK"/>
              </w:rPr>
              <w:t xml:space="preserve"> SR</w:t>
            </w:r>
          </w:p>
        </w:tc>
        <w:tc>
          <w:tcPr>
            <w:tcW w:w="4191" w:type="dxa"/>
            <w:tcBorders>
              <w:top w:val="nil"/>
              <w:left w:val="nil"/>
              <w:bottom w:val="nil"/>
              <w:right w:val="nil"/>
            </w:tcBorders>
            <w:shd w:val="clear" w:color="auto" w:fill="auto"/>
            <w:vAlign w:val="center"/>
            <w:hideMark/>
          </w:tcPr>
          <w:p w14:paraId="699EB9FE" w14:textId="77777777" w:rsidR="008A4BCF" w:rsidRPr="001724FB" w:rsidRDefault="008A4BCF" w:rsidP="00B44AC3">
            <w:pPr>
              <w:spacing w:after="0" w:line="240" w:lineRule="auto"/>
              <w:jc w:val="left"/>
              <w:rPr>
                <w:rFonts w:eastAsia="Times New Roman" w:cs="Segoe UI"/>
                <w:color w:val="000000"/>
                <w:sz w:val="18"/>
                <w:szCs w:val="18"/>
                <w:lang w:eastAsia="sk-SK"/>
              </w:rPr>
            </w:pPr>
            <w:r w:rsidRPr="001724FB">
              <w:rPr>
                <w:rFonts w:eastAsia="Times New Roman" w:cs="Segoe UI"/>
                <w:color w:val="000000"/>
                <w:sz w:val="18"/>
                <w:szCs w:val="18"/>
                <w:lang w:eastAsia="sk-SK"/>
              </w:rPr>
              <w:t>070 Väzenstvo</w:t>
            </w:r>
          </w:p>
        </w:tc>
        <w:tc>
          <w:tcPr>
            <w:tcW w:w="1276" w:type="dxa"/>
            <w:tcBorders>
              <w:top w:val="nil"/>
              <w:left w:val="nil"/>
              <w:bottom w:val="nil"/>
              <w:right w:val="nil"/>
            </w:tcBorders>
            <w:shd w:val="clear" w:color="auto" w:fill="auto"/>
            <w:vAlign w:val="center"/>
            <w:hideMark/>
          </w:tcPr>
          <w:p w14:paraId="09523332"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271 861</w:t>
            </w:r>
          </w:p>
        </w:tc>
        <w:tc>
          <w:tcPr>
            <w:tcW w:w="1200" w:type="dxa"/>
            <w:tcBorders>
              <w:top w:val="nil"/>
              <w:left w:val="nil"/>
              <w:bottom w:val="nil"/>
              <w:right w:val="nil"/>
            </w:tcBorders>
            <w:shd w:val="clear" w:color="auto" w:fill="auto"/>
            <w:vAlign w:val="center"/>
            <w:hideMark/>
          </w:tcPr>
          <w:p w14:paraId="3182CA8D"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263 119</w:t>
            </w:r>
          </w:p>
        </w:tc>
        <w:tc>
          <w:tcPr>
            <w:tcW w:w="640" w:type="dxa"/>
            <w:tcBorders>
              <w:top w:val="nil"/>
              <w:left w:val="nil"/>
              <w:bottom w:val="nil"/>
              <w:right w:val="nil"/>
            </w:tcBorders>
            <w:shd w:val="clear" w:color="auto" w:fill="auto"/>
            <w:vAlign w:val="center"/>
            <w:hideMark/>
          </w:tcPr>
          <w:p w14:paraId="01A13E58"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97</w:t>
            </w:r>
          </w:p>
        </w:tc>
      </w:tr>
      <w:tr w:rsidR="008A4BCF" w:rsidRPr="001724FB" w14:paraId="6097A828" w14:textId="77777777" w:rsidTr="00B44AC3">
        <w:trPr>
          <w:trHeight w:val="283"/>
        </w:trPr>
        <w:tc>
          <w:tcPr>
            <w:tcW w:w="1763" w:type="dxa"/>
            <w:vMerge/>
            <w:tcBorders>
              <w:top w:val="nil"/>
              <w:left w:val="nil"/>
              <w:bottom w:val="single" w:sz="8" w:space="0" w:color="000000"/>
              <w:right w:val="nil"/>
            </w:tcBorders>
            <w:vAlign w:val="center"/>
            <w:hideMark/>
          </w:tcPr>
          <w:p w14:paraId="6165D744" w14:textId="77777777" w:rsidR="008A4BCF" w:rsidRPr="001724FB" w:rsidRDefault="008A4BCF" w:rsidP="00B44AC3">
            <w:pPr>
              <w:spacing w:after="0" w:line="240" w:lineRule="auto"/>
              <w:jc w:val="left"/>
              <w:rPr>
                <w:rFonts w:eastAsia="Times New Roman" w:cs="Segoe UI"/>
                <w:color w:val="000000"/>
                <w:sz w:val="18"/>
                <w:szCs w:val="18"/>
                <w:lang w:eastAsia="sk-SK"/>
              </w:rPr>
            </w:pPr>
          </w:p>
        </w:tc>
        <w:tc>
          <w:tcPr>
            <w:tcW w:w="4191" w:type="dxa"/>
            <w:tcBorders>
              <w:top w:val="nil"/>
              <w:left w:val="nil"/>
              <w:bottom w:val="nil"/>
              <w:right w:val="nil"/>
            </w:tcBorders>
            <w:shd w:val="clear" w:color="auto" w:fill="auto"/>
            <w:vAlign w:val="center"/>
            <w:hideMark/>
          </w:tcPr>
          <w:p w14:paraId="1B002548" w14:textId="77777777" w:rsidR="008A4BCF" w:rsidRPr="001724FB" w:rsidRDefault="008A4BCF" w:rsidP="00B44AC3">
            <w:pPr>
              <w:spacing w:after="0" w:line="240" w:lineRule="auto"/>
              <w:jc w:val="left"/>
              <w:rPr>
                <w:rFonts w:eastAsia="Times New Roman" w:cs="Segoe UI"/>
                <w:color w:val="000000"/>
                <w:sz w:val="18"/>
                <w:szCs w:val="18"/>
                <w:lang w:eastAsia="sk-SK"/>
              </w:rPr>
            </w:pPr>
            <w:r w:rsidRPr="001724FB">
              <w:rPr>
                <w:rFonts w:eastAsia="Times New Roman" w:cs="Segoe UI"/>
                <w:color w:val="000000"/>
                <w:sz w:val="18"/>
                <w:szCs w:val="18"/>
                <w:lang w:eastAsia="sk-SK"/>
              </w:rPr>
              <w:t>08P Financovanie systému súdnictva</w:t>
            </w:r>
          </w:p>
        </w:tc>
        <w:tc>
          <w:tcPr>
            <w:tcW w:w="1276" w:type="dxa"/>
            <w:tcBorders>
              <w:top w:val="nil"/>
              <w:left w:val="nil"/>
              <w:bottom w:val="nil"/>
              <w:right w:val="nil"/>
            </w:tcBorders>
            <w:shd w:val="clear" w:color="auto" w:fill="auto"/>
            <w:vAlign w:val="center"/>
            <w:hideMark/>
          </w:tcPr>
          <w:p w14:paraId="6FA30795"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480 774</w:t>
            </w:r>
          </w:p>
        </w:tc>
        <w:tc>
          <w:tcPr>
            <w:tcW w:w="1200" w:type="dxa"/>
            <w:tcBorders>
              <w:top w:val="nil"/>
              <w:left w:val="nil"/>
              <w:bottom w:val="nil"/>
              <w:right w:val="nil"/>
            </w:tcBorders>
            <w:shd w:val="clear" w:color="auto" w:fill="auto"/>
            <w:vAlign w:val="center"/>
            <w:hideMark/>
          </w:tcPr>
          <w:p w14:paraId="5C66C375"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311 612</w:t>
            </w:r>
          </w:p>
        </w:tc>
        <w:tc>
          <w:tcPr>
            <w:tcW w:w="640" w:type="dxa"/>
            <w:tcBorders>
              <w:top w:val="nil"/>
              <w:left w:val="nil"/>
              <w:bottom w:val="nil"/>
              <w:right w:val="nil"/>
            </w:tcBorders>
            <w:shd w:val="clear" w:color="auto" w:fill="auto"/>
            <w:vAlign w:val="center"/>
            <w:hideMark/>
          </w:tcPr>
          <w:p w14:paraId="6D6541BC"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65</w:t>
            </w:r>
          </w:p>
        </w:tc>
      </w:tr>
      <w:tr w:rsidR="008A4BCF" w:rsidRPr="001724FB" w14:paraId="3B9836E7" w14:textId="77777777" w:rsidTr="00B44AC3">
        <w:trPr>
          <w:trHeight w:val="283"/>
        </w:trPr>
        <w:tc>
          <w:tcPr>
            <w:tcW w:w="1763" w:type="dxa"/>
            <w:vMerge w:val="restart"/>
            <w:tcBorders>
              <w:top w:val="nil"/>
              <w:left w:val="nil"/>
              <w:bottom w:val="single" w:sz="8" w:space="0" w:color="000000"/>
              <w:right w:val="nil"/>
            </w:tcBorders>
            <w:shd w:val="clear" w:color="auto" w:fill="auto"/>
            <w:vAlign w:val="center"/>
            <w:hideMark/>
          </w:tcPr>
          <w:p w14:paraId="351ADEDF" w14:textId="77777777" w:rsidR="008A4BCF" w:rsidRPr="001724FB" w:rsidRDefault="008A4BCF" w:rsidP="00B44AC3">
            <w:pPr>
              <w:spacing w:after="0" w:line="240" w:lineRule="auto"/>
              <w:jc w:val="left"/>
              <w:rPr>
                <w:rFonts w:eastAsia="Times New Roman" w:cs="Segoe UI"/>
                <w:color w:val="000000"/>
                <w:sz w:val="18"/>
                <w:szCs w:val="18"/>
                <w:lang w:eastAsia="sk-SK"/>
              </w:rPr>
            </w:pPr>
            <w:r>
              <w:rPr>
                <w:rFonts w:eastAsia="Times New Roman" w:cs="Segoe UI"/>
                <w:color w:val="000000"/>
                <w:sz w:val="18"/>
                <w:szCs w:val="18"/>
                <w:lang w:eastAsia="sk-SK"/>
              </w:rPr>
              <w:t>MF SR</w:t>
            </w:r>
          </w:p>
        </w:tc>
        <w:tc>
          <w:tcPr>
            <w:tcW w:w="4191" w:type="dxa"/>
            <w:tcBorders>
              <w:top w:val="single" w:sz="8" w:space="0" w:color="auto"/>
              <w:left w:val="nil"/>
              <w:bottom w:val="nil"/>
              <w:right w:val="nil"/>
            </w:tcBorders>
            <w:shd w:val="clear" w:color="auto" w:fill="auto"/>
            <w:vAlign w:val="center"/>
            <w:hideMark/>
          </w:tcPr>
          <w:p w14:paraId="62E4F0C5" w14:textId="77777777" w:rsidR="008A4BCF" w:rsidRPr="001724FB" w:rsidRDefault="008A4BCF" w:rsidP="00B44AC3">
            <w:pPr>
              <w:spacing w:after="0" w:line="240" w:lineRule="auto"/>
              <w:jc w:val="left"/>
              <w:rPr>
                <w:rFonts w:eastAsia="Times New Roman" w:cs="Segoe UI"/>
                <w:color w:val="000000"/>
                <w:sz w:val="18"/>
                <w:szCs w:val="18"/>
                <w:lang w:eastAsia="sk-SK"/>
              </w:rPr>
            </w:pPr>
            <w:r w:rsidRPr="001724FB">
              <w:rPr>
                <w:rFonts w:eastAsia="Times New Roman" w:cs="Segoe UI"/>
                <w:color w:val="000000"/>
                <w:sz w:val="18"/>
                <w:szCs w:val="18"/>
                <w:lang w:eastAsia="sk-SK"/>
              </w:rPr>
              <w:t>072 Výber daní, cla a odvodov</w:t>
            </w:r>
          </w:p>
        </w:tc>
        <w:tc>
          <w:tcPr>
            <w:tcW w:w="1276" w:type="dxa"/>
            <w:tcBorders>
              <w:top w:val="single" w:sz="8" w:space="0" w:color="auto"/>
              <w:left w:val="nil"/>
              <w:bottom w:val="nil"/>
              <w:right w:val="nil"/>
            </w:tcBorders>
            <w:shd w:val="clear" w:color="auto" w:fill="auto"/>
            <w:vAlign w:val="center"/>
            <w:hideMark/>
          </w:tcPr>
          <w:p w14:paraId="03F594A8"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386 307</w:t>
            </w:r>
          </w:p>
        </w:tc>
        <w:tc>
          <w:tcPr>
            <w:tcW w:w="1200" w:type="dxa"/>
            <w:tcBorders>
              <w:top w:val="single" w:sz="8" w:space="0" w:color="auto"/>
              <w:left w:val="nil"/>
              <w:bottom w:val="nil"/>
              <w:right w:val="nil"/>
            </w:tcBorders>
            <w:shd w:val="clear" w:color="auto" w:fill="auto"/>
            <w:vAlign w:val="center"/>
            <w:hideMark/>
          </w:tcPr>
          <w:p w14:paraId="7F549166"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348 824</w:t>
            </w:r>
          </w:p>
        </w:tc>
        <w:tc>
          <w:tcPr>
            <w:tcW w:w="640" w:type="dxa"/>
            <w:tcBorders>
              <w:top w:val="single" w:sz="8" w:space="0" w:color="auto"/>
              <w:left w:val="nil"/>
              <w:bottom w:val="nil"/>
              <w:right w:val="nil"/>
            </w:tcBorders>
            <w:shd w:val="clear" w:color="auto" w:fill="auto"/>
            <w:vAlign w:val="center"/>
            <w:hideMark/>
          </w:tcPr>
          <w:p w14:paraId="6A5AE1E0"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90</w:t>
            </w:r>
          </w:p>
        </w:tc>
      </w:tr>
      <w:tr w:rsidR="008A4BCF" w:rsidRPr="001724FB" w14:paraId="12D1C3E5" w14:textId="77777777" w:rsidTr="00B44AC3">
        <w:trPr>
          <w:trHeight w:val="283"/>
        </w:trPr>
        <w:tc>
          <w:tcPr>
            <w:tcW w:w="1763" w:type="dxa"/>
            <w:vMerge/>
            <w:tcBorders>
              <w:top w:val="nil"/>
              <w:left w:val="nil"/>
              <w:bottom w:val="single" w:sz="8" w:space="0" w:color="000000"/>
              <w:right w:val="nil"/>
            </w:tcBorders>
            <w:vAlign w:val="center"/>
            <w:hideMark/>
          </w:tcPr>
          <w:p w14:paraId="597EFE4E" w14:textId="77777777" w:rsidR="008A4BCF" w:rsidRPr="001724FB" w:rsidRDefault="008A4BCF" w:rsidP="00B44AC3">
            <w:pPr>
              <w:spacing w:after="0" w:line="240" w:lineRule="auto"/>
              <w:jc w:val="left"/>
              <w:rPr>
                <w:rFonts w:eastAsia="Times New Roman" w:cs="Segoe UI"/>
                <w:color w:val="000000"/>
                <w:sz w:val="18"/>
                <w:szCs w:val="18"/>
                <w:lang w:eastAsia="sk-SK"/>
              </w:rPr>
            </w:pPr>
          </w:p>
        </w:tc>
        <w:tc>
          <w:tcPr>
            <w:tcW w:w="4191" w:type="dxa"/>
            <w:tcBorders>
              <w:top w:val="nil"/>
              <w:left w:val="nil"/>
              <w:bottom w:val="nil"/>
              <w:right w:val="nil"/>
            </w:tcBorders>
            <w:shd w:val="clear" w:color="auto" w:fill="auto"/>
            <w:vAlign w:val="center"/>
            <w:hideMark/>
          </w:tcPr>
          <w:p w14:paraId="77EECDA0" w14:textId="77777777" w:rsidR="008A4BCF" w:rsidRPr="001724FB" w:rsidRDefault="008A4BCF" w:rsidP="00B44AC3">
            <w:pPr>
              <w:spacing w:after="0" w:line="240" w:lineRule="auto"/>
              <w:jc w:val="left"/>
              <w:rPr>
                <w:rFonts w:eastAsia="Times New Roman" w:cs="Segoe UI"/>
                <w:color w:val="000000"/>
                <w:sz w:val="18"/>
                <w:szCs w:val="18"/>
                <w:lang w:eastAsia="sk-SK"/>
              </w:rPr>
            </w:pPr>
            <w:r w:rsidRPr="001724FB">
              <w:rPr>
                <w:rFonts w:eastAsia="Times New Roman" w:cs="Segoe UI"/>
                <w:color w:val="000000"/>
                <w:sz w:val="18"/>
                <w:szCs w:val="18"/>
                <w:lang w:eastAsia="sk-SK"/>
              </w:rPr>
              <w:t xml:space="preserve">074 Tvorba metodiky, riadenie, kontrola, vládny audit a vnútorný audit verejných financií </w:t>
            </w:r>
          </w:p>
        </w:tc>
        <w:tc>
          <w:tcPr>
            <w:tcW w:w="1276" w:type="dxa"/>
            <w:tcBorders>
              <w:top w:val="nil"/>
              <w:left w:val="nil"/>
              <w:bottom w:val="nil"/>
              <w:right w:val="nil"/>
            </w:tcBorders>
            <w:shd w:val="clear" w:color="auto" w:fill="auto"/>
            <w:vAlign w:val="center"/>
            <w:hideMark/>
          </w:tcPr>
          <w:p w14:paraId="1F53646B"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84 987</w:t>
            </w:r>
          </w:p>
        </w:tc>
        <w:tc>
          <w:tcPr>
            <w:tcW w:w="1200" w:type="dxa"/>
            <w:tcBorders>
              <w:top w:val="nil"/>
              <w:left w:val="nil"/>
              <w:bottom w:val="nil"/>
              <w:right w:val="nil"/>
            </w:tcBorders>
            <w:shd w:val="clear" w:color="auto" w:fill="auto"/>
            <w:vAlign w:val="center"/>
            <w:hideMark/>
          </w:tcPr>
          <w:p w14:paraId="5D4028EC"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83 961</w:t>
            </w:r>
          </w:p>
        </w:tc>
        <w:tc>
          <w:tcPr>
            <w:tcW w:w="640" w:type="dxa"/>
            <w:tcBorders>
              <w:top w:val="nil"/>
              <w:left w:val="nil"/>
              <w:bottom w:val="nil"/>
              <w:right w:val="nil"/>
            </w:tcBorders>
            <w:shd w:val="clear" w:color="auto" w:fill="auto"/>
            <w:vAlign w:val="center"/>
            <w:hideMark/>
          </w:tcPr>
          <w:p w14:paraId="016ECD97"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99</w:t>
            </w:r>
          </w:p>
        </w:tc>
      </w:tr>
      <w:tr w:rsidR="008A4BCF" w:rsidRPr="001724FB" w14:paraId="478A2529" w14:textId="77777777" w:rsidTr="00B44AC3">
        <w:trPr>
          <w:trHeight w:val="283"/>
        </w:trPr>
        <w:tc>
          <w:tcPr>
            <w:tcW w:w="1763" w:type="dxa"/>
            <w:vMerge/>
            <w:tcBorders>
              <w:top w:val="nil"/>
              <w:left w:val="nil"/>
              <w:bottom w:val="single" w:sz="8" w:space="0" w:color="000000"/>
              <w:right w:val="nil"/>
            </w:tcBorders>
            <w:vAlign w:val="center"/>
            <w:hideMark/>
          </w:tcPr>
          <w:p w14:paraId="1454D7DA" w14:textId="77777777" w:rsidR="008A4BCF" w:rsidRPr="001724FB" w:rsidRDefault="008A4BCF" w:rsidP="00B44AC3">
            <w:pPr>
              <w:spacing w:after="0" w:line="240" w:lineRule="auto"/>
              <w:jc w:val="left"/>
              <w:rPr>
                <w:rFonts w:eastAsia="Times New Roman" w:cs="Segoe UI"/>
                <w:color w:val="000000"/>
                <w:sz w:val="18"/>
                <w:szCs w:val="18"/>
                <w:lang w:eastAsia="sk-SK"/>
              </w:rPr>
            </w:pPr>
          </w:p>
        </w:tc>
        <w:tc>
          <w:tcPr>
            <w:tcW w:w="4191" w:type="dxa"/>
            <w:tcBorders>
              <w:top w:val="nil"/>
              <w:left w:val="nil"/>
              <w:bottom w:val="single" w:sz="8" w:space="0" w:color="auto"/>
              <w:right w:val="nil"/>
            </w:tcBorders>
            <w:shd w:val="clear" w:color="auto" w:fill="auto"/>
            <w:vAlign w:val="center"/>
            <w:hideMark/>
          </w:tcPr>
          <w:p w14:paraId="15E972E5" w14:textId="77777777" w:rsidR="008A4BCF" w:rsidRPr="001724FB" w:rsidRDefault="008A4BCF" w:rsidP="00B44AC3">
            <w:pPr>
              <w:spacing w:after="0" w:line="240" w:lineRule="auto"/>
              <w:jc w:val="left"/>
              <w:rPr>
                <w:rFonts w:eastAsia="Times New Roman" w:cs="Segoe UI"/>
                <w:color w:val="000000"/>
                <w:sz w:val="18"/>
                <w:szCs w:val="18"/>
                <w:lang w:eastAsia="sk-SK"/>
              </w:rPr>
            </w:pPr>
            <w:r w:rsidRPr="001724FB">
              <w:rPr>
                <w:rFonts w:eastAsia="Times New Roman" w:cs="Segoe UI"/>
                <w:color w:val="000000"/>
                <w:sz w:val="18"/>
                <w:szCs w:val="18"/>
                <w:lang w:eastAsia="sk-SK"/>
              </w:rPr>
              <w:t>0EK Informačné technológie financované zo štátneho rozpočtu</w:t>
            </w:r>
          </w:p>
        </w:tc>
        <w:tc>
          <w:tcPr>
            <w:tcW w:w="1276" w:type="dxa"/>
            <w:tcBorders>
              <w:top w:val="nil"/>
              <w:left w:val="nil"/>
              <w:bottom w:val="single" w:sz="8" w:space="0" w:color="auto"/>
              <w:right w:val="nil"/>
            </w:tcBorders>
            <w:shd w:val="clear" w:color="auto" w:fill="auto"/>
            <w:vAlign w:val="center"/>
            <w:hideMark/>
          </w:tcPr>
          <w:p w14:paraId="37E968DC"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135 142</w:t>
            </w:r>
          </w:p>
        </w:tc>
        <w:tc>
          <w:tcPr>
            <w:tcW w:w="1200" w:type="dxa"/>
            <w:tcBorders>
              <w:top w:val="nil"/>
              <w:left w:val="nil"/>
              <w:bottom w:val="single" w:sz="8" w:space="0" w:color="auto"/>
              <w:right w:val="nil"/>
            </w:tcBorders>
            <w:shd w:val="clear" w:color="auto" w:fill="auto"/>
            <w:vAlign w:val="center"/>
            <w:hideMark/>
          </w:tcPr>
          <w:p w14:paraId="1068A1D2"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149 621</w:t>
            </w:r>
          </w:p>
        </w:tc>
        <w:tc>
          <w:tcPr>
            <w:tcW w:w="640" w:type="dxa"/>
            <w:tcBorders>
              <w:top w:val="nil"/>
              <w:left w:val="nil"/>
              <w:bottom w:val="single" w:sz="8" w:space="0" w:color="auto"/>
              <w:right w:val="nil"/>
            </w:tcBorders>
            <w:shd w:val="clear" w:color="auto" w:fill="auto"/>
            <w:vAlign w:val="center"/>
            <w:hideMark/>
          </w:tcPr>
          <w:p w14:paraId="1914A1A6"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111</w:t>
            </w:r>
          </w:p>
        </w:tc>
      </w:tr>
      <w:tr w:rsidR="008A4BCF" w:rsidRPr="001724FB" w14:paraId="33E555CA" w14:textId="77777777" w:rsidTr="00B44AC3">
        <w:trPr>
          <w:trHeight w:val="283"/>
        </w:trPr>
        <w:tc>
          <w:tcPr>
            <w:tcW w:w="1763" w:type="dxa"/>
            <w:tcBorders>
              <w:top w:val="nil"/>
              <w:left w:val="nil"/>
              <w:bottom w:val="single" w:sz="8" w:space="0" w:color="auto"/>
              <w:right w:val="nil"/>
            </w:tcBorders>
            <w:shd w:val="clear" w:color="auto" w:fill="auto"/>
            <w:vAlign w:val="center"/>
            <w:hideMark/>
          </w:tcPr>
          <w:p w14:paraId="19C07727" w14:textId="77777777" w:rsidR="008A4BCF" w:rsidRPr="001724FB" w:rsidRDefault="008A4BCF" w:rsidP="00B44AC3">
            <w:pPr>
              <w:spacing w:after="0" w:line="240" w:lineRule="auto"/>
              <w:jc w:val="left"/>
              <w:rPr>
                <w:rFonts w:eastAsia="Times New Roman" w:cs="Segoe UI"/>
                <w:color w:val="000000"/>
                <w:sz w:val="18"/>
                <w:szCs w:val="18"/>
                <w:lang w:eastAsia="sk-SK"/>
              </w:rPr>
            </w:pPr>
            <w:r>
              <w:rPr>
                <w:rFonts w:eastAsia="Times New Roman" w:cs="Segoe UI"/>
                <w:color w:val="000000"/>
                <w:sz w:val="18"/>
                <w:szCs w:val="18"/>
                <w:lang w:eastAsia="sk-SK"/>
              </w:rPr>
              <w:t>MH</w:t>
            </w:r>
            <w:r w:rsidRPr="001724FB">
              <w:rPr>
                <w:rFonts w:eastAsia="Times New Roman" w:cs="Segoe UI"/>
                <w:color w:val="000000"/>
                <w:sz w:val="18"/>
                <w:szCs w:val="18"/>
                <w:lang w:eastAsia="sk-SK"/>
              </w:rPr>
              <w:t xml:space="preserve"> SR</w:t>
            </w:r>
          </w:p>
        </w:tc>
        <w:tc>
          <w:tcPr>
            <w:tcW w:w="4191" w:type="dxa"/>
            <w:tcBorders>
              <w:top w:val="nil"/>
              <w:left w:val="nil"/>
              <w:bottom w:val="single" w:sz="8" w:space="0" w:color="auto"/>
              <w:right w:val="nil"/>
            </w:tcBorders>
            <w:shd w:val="clear" w:color="auto" w:fill="auto"/>
            <w:vAlign w:val="center"/>
            <w:hideMark/>
          </w:tcPr>
          <w:p w14:paraId="07A7E42B" w14:textId="77777777" w:rsidR="008A4BCF" w:rsidRPr="001724FB" w:rsidRDefault="008A4BCF" w:rsidP="00B44AC3">
            <w:pPr>
              <w:spacing w:after="0" w:line="240" w:lineRule="auto"/>
              <w:jc w:val="left"/>
              <w:rPr>
                <w:rFonts w:eastAsia="Times New Roman" w:cs="Segoe UI"/>
                <w:color w:val="000000"/>
                <w:sz w:val="18"/>
                <w:szCs w:val="18"/>
                <w:lang w:eastAsia="sk-SK"/>
              </w:rPr>
            </w:pPr>
            <w:r w:rsidRPr="001724FB">
              <w:rPr>
                <w:rFonts w:eastAsia="Times New Roman" w:cs="Segoe UI"/>
                <w:color w:val="000000"/>
                <w:sz w:val="18"/>
                <w:szCs w:val="18"/>
                <w:lang w:eastAsia="sk-SK"/>
              </w:rPr>
              <w:t>07K Rozvoj priemyslu a podpora podnikania</w:t>
            </w:r>
          </w:p>
        </w:tc>
        <w:tc>
          <w:tcPr>
            <w:tcW w:w="1276" w:type="dxa"/>
            <w:tcBorders>
              <w:top w:val="nil"/>
              <w:left w:val="nil"/>
              <w:bottom w:val="single" w:sz="8" w:space="0" w:color="auto"/>
              <w:right w:val="nil"/>
            </w:tcBorders>
            <w:shd w:val="clear" w:color="auto" w:fill="auto"/>
            <w:vAlign w:val="center"/>
            <w:hideMark/>
          </w:tcPr>
          <w:p w14:paraId="4EE906A9"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1 696 148</w:t>
            </w:r>
          </w:p>
        </w:tc>
        <w:tc>
          <w:tcPr>
            <w:tcW w:w="1200" w:type="dxa"/>
            <w:tcBorders>
              <w:top w:val="nil"/>
              <w:left w:val="nil"/>
              <w:bottom w:val="single" w:sz="8" w:space="0" w:color="auto"/>
              <w:right w:val="nil"/>
            </w:tcBorders>
            <w:shd w:val="clear" w:color="auto" w:fill="auto"/>
            <w:vAlign w:val="center"/>
            <w:hideMark/>
          </w:tcPr>
          <w:p w14:paraId="5CB14E58"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1 398 737</w:t>
            </w:r>
          </w:p>
        </w:tc>
        <w:tc>
          <w:tcPr>
            <w:tcW w:w="640" w:type="dxa"/>
            <w:tcBorders>
              <w:top w:val="nil"/>
              <w:left w:val="nil"/>
              <w:bottom w:val="single" w:sz="8" w:space="0" w:color="auto"/>
              <w:right w:val="nil"/>
            </w:tcBorders>
            <w:shd w:val="clear" w:color="auto" w:fill="auto"/>
            <w:vAlign w:val="center"/>
            <w:hideMark/>
          </w:tcPr>
          <w:p w14:paraId="191774B7"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82</w:t>
            </w:r>
          </w:p>
        </w:tc>
      </w:tr>
      <w:tr w:rsidR="008A4BCF" w:rsidRPr="001724FB" w14:paraId="6210A808" w14:textId="77777777" w:rsidTr="00B44AC3">
        <w:trPr>
          <w:trHeight w:val="283"/>
        </w:trPr>
        <w:tc>
          <w:tcPr>
            <w:tcW w:w="1763" w:type="dxa"/>
            <w:tcBorders>
              <w:top w:val="nil"/>
              <w:left w:val="nil"/>
              <w:bottom w:val="nil"/>
              <w:right w:val="nil"/>
            </w:tcBorders>
            <w:shd w:val="clear" w:color="auto" w:fill="auto"/>
            <w:vAlign w:val="center"/>
            <w:hideMark/>
          </w:tcPr>
          <w:p w14:paraId="001900E7" w14:textId="77777777" w:rsidR="008A4BCF" w:rsidRPr="001724FB" w:rsidRDefault="008A4BCF" w:rsidP="00B44AC3">
            <w:pPr>
              <w:spacing w:after="0" w:line="240" w:lineRule="auto"/>
              <w:jc w:val="left"/>
              <w:rPr>
                <w:rFonts w:eastAsia="Times New Roman" w:cs="Segoe UI"/>
                <w:color w:val="000000"/>
                <w:sz w:val="18"/>
                <w:szCs w:val="18"/>
                <w:lang w:eastAsia="sk-SK"/>
              </w:rPr>
            </w:pPr>
            <w:r>
              <w:rPr>
                <w:rFonts w:eastAsia="Times New Roman" w:cs="Segoe UI"/>
                <w:color w:val="000000"/>
                <w:sz w:val="18"/>
                <w:szCs w:val="18"/>
                <w:lang w:eastAsia="sk-SK"/>
              </w:rPr>
              <w:t>MK</w:t>
            </w:r>
            <w:r w:rsidRPr="001724FB">
              <w:rPr>
                <w:rFonts w:eastAsia="Times New Roman" w:cs="Segoe UI"/>
                <w:color w:val="000000"/>
                <w:sz w:val="18"/>
                <w:szCs w:val="18"/>
                <w:lang w:eastAsia="sk-SK"/>
              </w:rPr>
              <w:t xml:space="preserve"> SR</w:t>
            </w:r>
          </w:p>
        </w:tc>
        <w:tc>
          <w:tcPr>
            <w:tcW w:w="4191" w:type="dxa"/>
            <w:tcBorders>
              <w:top w:val="nil"/>
              <w:left w:val="nil"/>
              <w:bottom w:val="nil"/>
              <w:right w:val="nil"/>
            </w:tcBorders>
            <w:shd w:val="clear" w:color="auto" w:fill="auto"/>
            <w:vAlign w:val="center"/>
            <w:hideMark/>
          </w:tcPr>
          <w:p w14:paraId="5A443B37" w14:textId="77777777" w:rsidR="008A4BCF" w:rsidRPr="001724FB" w:rsidRDefault="008A4BCF" w:rsidP="00B44AC3">
            <w:pPr>
              <w:spacing w:after="0" w:line="240" w:lineRule="auto"/>
              <w:jc w:val="left"/>
              <w:rPr>
                <w:rFonts w:eastAsia="Times New Roman" w:cs="Segoe UI"/>
                <w:color w:val="000000"/>
                <w:sz w:val="18"/>
                <w:szCs w:val="18"/>
                <w:lang w:eastAsia="sk-SK"/>
              </w:rPr>
            </w:pPr>
            <w:r w:rsidRPr="001724FB">
              <w:rPr>
                <w:rFonts w:eastAsia="Times New Roman" w:cs="Segoe UI"/>
                <w:color w:val="000000"/>
                <w:sz w:val="18"/>
                <w:szCs w:val="18"/>
                <w:lang w:eastAsia="sk-SK"/>
              </w:rPr>
              <w:t>08S Tvorba, šírenie, ochrana a prezentácia kultúrnych hodnôt</w:t>
            </w:r>
          </w:p>
        </w:tc>
        <w:tc>
          <w:tcPr>
            <w:tcW w:w="1276" w:type="dxa"/>
            <w:tcBorders>
              <w:top w:val="nil"/>
              <w:left w:val="nil"/>
              <w:bottom w:val="nil"/>
              <w:right w:val="nil"/>
            </w:tcBorders>
            <w:shd w:val="clear" w:color="auto" w:fill="auto"/>
            <w:vAlign w:val="center"/>
            <w:hideMark/>
          </w:tcPr>
          <w:p w14:paraId="06A087A6"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254 878</w:t>
            </w:r>
          </w:p>
        </w:tc>
        <w:tc>
          <w:tcPr>
            <w:tcW w:w="1200" w:type="dxa"/>
            <w:tcBorders>
              <w:top w:val="nil"/>
              <w:left w:val="nil"/>
              <w:bottom w:val="nil"/>
              <w:right w:val="nil"/>
            </w:tcBorders>
            <w:shd w:val="clear" w:color="auto" w:fill="auto"/>
            <w:vAlign w:val="center"/>
            <w:hideMark/>
          </w:tcPr>
          <w:p w14:paraId="5780A42D"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349 223</w:t>
            </w:r>
          </w:p>
        </w:tc>
        <w:tc>
          <w:tcPr>
            <w:tcW w:w="640" w:type="dxa"/>
            <w:tcBorders>
              <w:top w:val="nil"/>
              <w:left w:val="nil"/>
              <w:bottom w:val="nil"/>
              <w:right w:val="nil"/>
            </w:tcBorders>
            <w:shd w:val="clear" w:color="auto" w:fill="auto"/>
            <w:vAlign w:val="center"/>
            <w:hideMark/>
          </w:tcPr>
          <w:p w14:paraId="7D272703"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137</w:t>
            </w:r>
          </w:p>
        </w:tc>
      </w:tr>
      <w:tr w:rsidR="008A4BCF" w:rsidRPr="001724FB" w14:paraId="09F6448F" w14:textId="77777777" w:rsidTr="00B44AC3">
        <w:trPr>
          <w:trHeight w:val="283"/>
        </w:trPr>
        <w:tc>
          <w:tcPr>
            <w:tcW w:w="1763" w:type="dxa"/>
            <w:tcBorders>
              <w:top w:val="single" w:sz="8" w:space="0" w:color="auto"/>
              <w:left w:val="nil"/>
              <w:bottom w:val="single" w:sz="8" w:space="0" w:color="auto"/>
              <w:right w:val="nil"/>
            </w:tcBorders>
            <w:shd w:val="clear" w:color="auto" w:fill="auto"/>
            <w:vAlign w:val="center"/>
            <w:hideMark/>
          </w:tcPr>
          <w:p w14:paraId="340B242E" w14:textId="77777777" w:rsidR="008A4BCF" w:rsidRPr="001724FB" w:rsidRDefault="008A4BCF" w:rsidP="00B44AC3">
            <w:pPr>
              <w:spacing w:after="0" w:line="240" w:lineRule="auto"/>
              <w:jc w:val="left"/>
              <w:rPr>
                <w:rFonts w:eastAsia="Times New Roman" w:cs="Segoe UI"/>
                <w:color w:val="000000"/>
                <w:sz w:val="18"/>
                <w:szCs w:val="18"/>
                <w:lang w:eastAsia="sk-SK"/>
              </w:rPr>
            </w:pPr>
            <w:r>
              <w:rPr>
                <w:rFonts w:eastAsia="Times New Roman" w:cs="Segoe UI"/>
                <w:color w:val="000000"/>
                <w:sz w:val="18"/>
                <w:szCs w:val="18"/>
                <w:lang w:eastAsia="sk-SK"/>
              </w:rPr>
              <w:t>MIRRI</w:t>
            </w:r>
            <w:r w:rsidRPr="001724FB">
              <w:rPr>
                <w:rFonts w:eastAsia="Times New Roman" w:cs="Segoe UI"/>
                <w:color w:val="000000"/>
                <w:sz w:val="18"/>
                <w:szCs w:val="18"/>
                <w:lang w:eastAsia="sk-SK"/>
              </w:rPr>
              <w:t xml:space="preserve"> SR</w:t>
            </w:r>
          </w:p>
        </w:tc>
        <w:tc>
          <w:tcPr>
            <w:tcW w:w="4191" w:type="dxa"/>
            <w:tcBorders>
              <w:top w:val="single" w:sz="8" w:space="0" w:color="auto"/>
              <w:left w:val="nil"/>
              <w:bottom w:val="single" w:sz="8" w:space="0" w:color="auto"/>
              <w:right w:val="nil"/>
            </w:tcBorders>
            <w:shd w:val="clear" w:color="auto" w:fill="auto"/>
            <w:vAlign w:val="center"/>
            <w:hideMark/>
          </w:tcPr>
          <w:p w14:paraId="2A77DA6B" w14:textId="77777777" w:rsidR="008A4BCF" w:rsidRPr="001724FB" w:rsidRDefault="008A4BCF" w:rsidP="00B44AC3">
            <w:pPr>
              <w:spacing w:after="0" w:line="240" w:lineRule="auto"/>
              <w:jc w:val="left"/>
              <w:rPr>
                <w:rFonts w:eastAsia="Times New Roman" w:cs="Segoe UI"/>
                <w:color w:val="000000"/>
                <w:sz w:val="18"/>
                <w:szCs w:val="18"/>
                <w:lang w:eastAsia="sk-SK"/>
              </w:rPr>
            </w:pPr>
            <w:r w:rsidRPr="001724FB">
              <w:rPr>
                <w:rFonts w:eastAsia="Times New Roman" w:cs="Segoe UI"/>
                <w:color w:val="000000"/>
                <w:sz w:val="18"/>
                <w:szCs w:val="18"/>
                <w:lang w:eastAsia="sk-SK"/>
              </w:rPr>
              <w:t>0DV Fondy EÚ - MIRRI</w:t>
            </w:r>
          </w:p>
        </w:tc>
        <w:tc>
          <w:tcPr>
            <w:tcW w:w="1276" w:type="dxa"/>
            <w:tcBorders>
              <w:top w:val="single" w:sz="8" w:space="0" w:color="auto"/>
              <w:left w:val="nil"/>
              <w:bottom w:val="single" w:sz="8" w:space="0" w:color="auto"/>
              <w:right w:val="nil"/>
            </w:tcBorders>
            <w:shd w:val="clear" w:color="auto" w:fill="auto"/>
            <w:vAlign w:val="center"/>
            <w:hideMark/>
          </w:tcPr>
          <w:p w14:paraId="53030F50"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1 493 154</w:t>
            </w:r>
          </w:p>
        </w:tc>
        <w:tc>
          <w:tcPr>
            <w:tcW w:w="1200" w:type="dxa"/>
            <w:tcBorders>
              <w:top w:val="single" w:sz="8" w:space="0" w:color="auto"/>
              <w:left w:val="nil"/>
              <w:bottom w:val="single" w:sz="8" w:space="0" w:color="auto"/>
              <w:right w:val="nil"/>
            </w:tcBorders>
            <w:shd w:val="clear" w:color="auto" w:fill="auto"/>
            <w:vAlign w:val="center"/>
            <w:hideMark/>
          </w:tcPr>
          <w:p w14:paraId="376F651A"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1 115 172</w:t>
            </w:r>
          </w:p>
        </w:tc>
        <w:tc>
          <w:tcPr>
            <w:tcW w:w="640" w:type="dxa"/>
            <w:tcBorders>
              <w:top w:val="single" w:sz="8" w:space="0" w:color="auto"/>
              <w:left w:val="nil"/>
              <w:bottom w:val="single" w:sz="8" w:space="0" w:color="auto"/>
              <w:right w:val="nil"/>
            </w:tcBorders>
            <w:shd w:val="clear" w:color="auto" w:fill="auto"/>
            <w:vAlign w:val="center"/>
            <w:hideMark/>
          </w:tcPr>
          <w:p w14:paraId="478665A5"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75</w:t>
            </w:r>
          </w:p>
        </w:tc>
      </w:tr>
      <w:tr w:rsidR="008A4BCF" w:rsidRPr="001724FB" w14:paraId="676BFF50" w14:textId="77777777" w:rsidTr="00B44AC3">
        <w:trPr>
          <w:trHeight w:val="283"/>
        </w:trPr>
        <w:tc>
          <w:tcPr>
            <w:tcW w:w="1763" w:type="dxa"/>
            <w:tcBorders>
              <w:top w:val="nil"/>
              <w:left w:val="nil"/>
              <w:bottom w:val="nil"/>
              <w:right w:val="nil"/>
            </w:tcBorders>
            <w:shd w:val="clear" w:color="auto" w:fill="auto"/>
            <w:vAlign w:val="center"/>
            <w:hideMark/>
          </w:tcPr>
          <w:p w14:paraId="47B0DEB7" w14:textId="77777777" w:rsidR="008A4BCF" w:rsidRPr="001724FB" w:rsidRDefault="008A4BCF" w:rsidP="00B44AC3">
            <w:pPr>
              <w:spacing w:after="0" w:line="240" w:lineRule="auto"/>
              <w:jc w:val="left"/>
              <w:rPr>
                <w:rFonts w:eastAsia="Times New Roman" w:cs="Segoe UI"/>
                <w:color w:val="000000"/>
                <w:sz w:val="18"/>
                <w:szCs w:val="18"/>
                <w:lang w:eastAsia="sk-SK"/>
              </w:rPr>
            </w:pPr>
            <w:r>
              <w:rPr>
                <w:rFonts w:eastAsia="Times New Roman" w:cs="Segoe UI"/>
                <w:color w:val="000000"/>
                <w:sz w:val="18"/>
                <w:szCs w:val="18"/>
                <w:lang w:eastAsia="sk-SK"/>
              </w:rPr>
              <w:t>MŽP</w:t>
            </w:r>
            <w:r w:rsidRPr="001724FB">
              <w:rPr>
                <w:rFonts w:eastAsia="Times New Roman" w:cs="Segoe UI"/>
                <w:color w:val="000000"/>
                <w:sz w:val="18"/>
                <w:szCs w:val="18"/>
                <w:lang w:eastAsia="sk-SK"/>
              </w:rPr>
              <w:t xml:space="preserve"> SR</w:t>
            </w:r>
          </w:p>
        </w:tc>
        <w:tc>
          <w:tcPr>
            <w:tcW w:w="4191" w:type="dxa"/>
            <w:tcBorders>
              <w:top w:val="nil"/>
              <w:left w:val="nil"/>
              <w:bottom w:val="nil"/>
              <w:right w:val="nil"/>
            </w:tcBorders>
            <w:shd w:val="clear" w:color="auto" w:fill="auto"/>
            <w:vAlign w:val="center"/>
            <w:hideMark/>
          </w:tcPr>
          <w:p w14:paraId="675CF83B" w14:textId="77777777" w:rsidR="008A4BCF" w:rsidRPr="001724FB" w:rsidRDefault="008A4BCF" w:rsidP="00B44AC3">
            <w:pPr>
              <w:spacing w:after="0" w:line="240" w:lineRule="auto"/>
              <w:jc w:val="left"/>
              <w:rPr>
                <w:rFonts w:eastAsia="Times New Roman" w:cs="Segoe UI"/>
                <w:color w:val="000000"/>
                <w:sz w:val="18"/>
                <w:szCs w:val="18"/>
                <w:lang w:eastAsia="sk-SK"/>
              </w:rPr>
            </w:pPr>
            <w:r w:rsidRPr="001724FB">
              <w:rPr>
                <w:rFonts w:eastAsia="Times New Roman" w:cs="Segoe UI"/>
                <w:color w:val="000000"/>
                <w:sz w:val="18"/>
                <w:szCs w:val="18"/>
                <w:lang w:eastAsia="sk-SK"/>
              </w:rPr>
              <w:t>075 Starostlivosť o životné prostredie</w:t>
            </w:r>
          </w:p>
        </w:tc>
        <w:tc>
          <w:tcPr>
            <w:tcW w:w="1276" w:type="dxa"/>
            <w:tcBorders>
              <w:top w:val="nil"/>
              <w:left w:val="nil"/>
              <w:bottom w:val="nil"/>
              <w:right w:val="nil"/>
            </w:tcBorders>
            <w:shd w:val="clear" w:color="auto" w:fill="auto"/>
            <w:vAlign w:val="center"/>
            <w:hideMark/>
          </w:tcPr>
          <w:p w14:paraId="74ABE2E5"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1 496 667</w:t>
            </w:r>
          </w:p>
        </w:tc>
        <w:tc>
          <w:tcPr>
            <w:tcW w:w="1200" w:type="dxa"/>
            <w:tcBorders>
              <w:top w:val="nil"/>
              <w:left w:val="nil"/>
              <w:bottom w:val="nil"/>
              <w:right w:val="nil"/>
            </w:tcBorders>
            <w:shd w:val="clear" w:color="auto" w:fill="auto"/>
            <w:vAlign w:val="center"/>
            <w:hideMark/>
          </w:tcPr>
          <w:p w14:paraId="012C67E0"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613 046</w:t>
            </w:r>
          </w:p>
        </w:tc>
        <w:tc>
          <w:tcPr>
            <w:tcW w:w="640" w:type="dxa"/>
            <w:tcBorders>
              <w:top w:val="nil"/>
              <w:left w:val="nil"/>
              <w:bottom w:val="nil"/>
              <w:right w:val="nil"/>
            </w:tcBorders>
            <w:shd w:val="clear" w:color="auto" w:fill="auto"/>
            <w:vAlign w:val="center"/>
            <w:hideMark/>
          </w:tcPr>
          <w:p w14:paraId="1F99B972"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41</w:t>
            </w:r>
          </w:p>
        </w:tc>
      </w:tr>
      <w:tr w:rsidR="008A4BCF" w:rsidRPr="001724FB" w14:paraId="2A47E046" w14:textId="77777777" w:rsidTr="00B44AC3">
        <w:trPr>
          <w:trHeight w:val="283"/>
        </w:trPr>
        <w:tc>
          <w:tcPr>
            <w:tcW w:w="1763" w:type="dxa"/>
            <w:tcBorders>
              <w:top w:val="single" w:sz="8" w:space="0" w:color="auto"/>
              <w:left w:val="nil"/>
              <w:bottom w:val="single" w:sz="8" w:space="0" w:color="auto"/>
              <w:right w:val="nil"/>
            </w:tcBorders>
            <w:shd w:val="clear" w:color="auto" w:fill="auto"/>
            <w:vAlign w:val="center"/>
            <w:hideMark/>
          </w:tcPr>
          <w:p w14:paraId="352E8E8C" w14:textId="77777777" w:rsidR="008A4BCF" w:rsidRPr="001724FB" w:rsidRDefault="008A4BCF" w:rsidP="00B44AC3">
            <w:pPr>
              <w:spacing w:after="0" w:line="240" w:lineRule="auto"/>
              <w:jc w:val="left"/>
              <w:rPr>
                <w:rFonts w:eastAsia="Times New Roman" w:cs="Segoe UI"/>
                <w:color w:val="000000"/>
                <w:sz w:val="18"/>
                <w:szCs w:val="18"/>
                <w:lang w:eastAsia="sk-SK"/>
              </w:rPr>
            </w:pPr>
            <w:r>
              <w:rPr>
                <w:rFonts w:eastAsia="Times New Roman" w:cs="Segoe UI"/>
                <w:color w:val="000000"/>
                <w:sz w:val="18"/>
                <w:szCs w:val="18"/>
                <w:lang w:eastAsia="sk-SK"/>
              </w:rPr>
              <w:t>MZV</w:t>
            </w:r>
            <w:r w:rsidRPr="001724FB">
              <w:rPr>
                <w:rFonts w:eastAsia="Times New Roman" w:cs="Segoe UI"/>
                <w:color w:val="000000"/>
                <w:sz w:val="18"/>
                <w:szCs w:val="18"/>
                <w:lang w:eastAsia="sk-SK"/>
              </w:rPr>
              <w:t xml:space="preserve"> SR</w:t>
            </w:r>
          </w:p>
        </w:tc>
        <w:tc>
          <w:tcPr>
            <w:tcW w:w="4191" w:type="dxa"/>
            <w:tcBorders>
              <w:top w:val="single" w:sz="8" w:space="0" w:color="auto"/>
              <w:left w:val="nil"/>
              <w:bottom w:val="single" w:sz="8" w:space="0" w:color="auto"/>
              <w:right w:val="nil"/>
            </w:tcBorders>
            <w:shd w:val="clear" w:color="auto" w:fill="auto"/>
            <w:vAlign w:val="center"/>
            <w:hideMark/>
          </w:tcPr>
          <w:p w14:paraId="561F50FF" w14:textId="77777777" w:rsidR="008A4BCF" w:rsidRPr="001724FB" w:rsidRDefault="008A4BCF" w:rsidP="00B44AC3">
            <w:pPr>
              <w:spacing w:after="0" w:line="240" w:lineRule="auto"/>
              <w:jc w:val="left"/>
              <w:rPr>
                <w:rFonts w:eastAsia="Times New Roman" w:cs="Segoe UI"/>
                <w:color w:val="000000"/>
                <w:sz w:val="18"/>
                <w:szCs w:val="18"/>
                <w:lang w:eastAsia="sk-SK"/>
              </w:rPr>
            </w:pPr>
            <w:r w:rsidRPr="001724FB">
              <w:rPr>
                <w:rFonts w:eastAsia="Times New Roman" w:cs="Segoe UI"/>
                <w:color w:val="000000"/>
                <w:sz w:val="18"/>
                <w:szCs w:val="18"/>
                <w:lang w:eastAsia="sk-SK"/>
              </w:rPr>
              <w:t>06U Rozvoj zahraničných vzťahov</w:t>
            </w:r>
          </w:p>
        </w:tc>
        <w:tc>
          <w:tcPr>
            <w:tcW w:w="1276" w:type="dxa"/>
            <w:tcBorders>
              <w:top w:val="single" w:sz="8" w:space="0" w:color="auto"/>
              <w:left w:val="nil"/>
              <w:bottom w:val="single" w:sz="8" w:space="0" w:color="auto"/>
              <w:right w:val="nil"/>
            </w:tcBorders>
            <w:shd w:val="clear" w:color="auto" w:fill="auto"/>
            <w:vAlign w:val="center"/>
            <w:hideMark/>
          </w:tcPr>
          <w:p w14:paraId="0A733310"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135 070</w:t>
            </w:r>
          </w:p>
        </w:tc>
        <w:tc>
          <w:tcPr>
            <w:tcW w:w="1200" w:type="dxa"/>
            <w:tcBorders>
              <w:top w:val="single" w:sz="8" w:space="0" w:color="auto"/>
              <w:left w:val="nil"/>
              <w:bottom w:val="single" w:sz="8" w:space="0" w:color="auto"/>
              <w:right w:val="nil"/>
            </w:tcBorders>
            <w:shd w:val="clear" w:color="auto" w:fill="auto"/>
            <w:vAlign w:val="center"/>
            <w:hideMark/>
          </w:tcPr>
          <w:p w14:paraId="007A99EC"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136 230</w:t>
            </w:r>
          </w:p>
        </w:tc>
        <w:tc>
          <w:tcPr>
            <w:tcW w:w="640" w:type="dxa"/>
            <w:tcBorders>
              <w:top w:val="single" w:sz="8" w:space="0" w:color="auto"/>
              <w:left w:val="nil"/>
              <w:bottom w:val="single" w:sz="8" w:space="0" w:color="auto"/>
              <w:right w:val="nil"/>
            </w:tcBorders>
            <w:shd w:val="clear" w:color="auto" w:fill="auto"/>
            <w:vAlign w:val="center"/>
            <w:hideMark/>
          </w:tcPr>
          <w:p w14:paraId="7A6FB38B"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101</w:t>
            </w:r>
          </w:p>
        </w:tc>
      </w:tr>
      <w:tr w:rsidR="008A4BCF" w:rsidRPr="001724FB" w14:paraId="58CDF5BD" w14:textId="77777777" w:rsidTr="00B44AC3">
        <w:trPr>
          <w:trHeight w:val="283"/>
        </w:trPr>
        <w:tc>
          <w:tcPr>
            <w:tcW w:w="1763" w:type="dxa"/>
            <w:vMerge w:val="restart"/>
            <w:tcBorders>
              <w:top w:val="nil"/>
              <w:left w:val="nil"/>
              <w:bottom w:val="single" w:sz="8" w:space="0" w:color="000000"/>
              <w:right w:val="nil"/>
            </w:tcBorders>
            <w:shd w:val="clear" w:color="auto" w:fill="auto"/>
            <w:vAlign w:val="center"/>
            <w:hideMark/>
          </w:tcPr>
          <w:p w14:paraId="2273975A" w14:textId="77777777" w:rsidR="008A4BCF" w:rsidRPr="001724FB" w:rsidRDefault="008A4BCF" w:rsidP="00B44AC3">
            <w:pPr>
              <w:spacing w:after="0" w:line="240" w:lineRule="auto"/>
              <w:jc w:val="left"/>
              <w:rPr>
                <w:rFonts w:eastAsia="Times New Roman" w:cs="Segoe UI"/>
                <w:color w:val="000000"/>
                <w:sz w:val="18"/>
                <w:szCs w:val="18"/>
                <w:lang w:eastAsia="sk-SK"/>
              </w:rPr>
            </w:pPr>
            <w:r>
              <w:rPr>
                <w:rFonts w:eastAsia="Times New Roman" w:cs="Segoe UI"/>
                <w:color w:val="000000"/>
                <w:sz w:val="18"/>
                <w:szCs w:val="18"/>
                <w:lang w:eastAsia="sk-SK"/>
              </w:rPr>
              <w:t>MŠVVM</w:t>
            </w:r>
            <w:r w:rsidRPr="001724FB">
              <w:rPr>
                <w:rFonts w:eastAsia="Times New Roman" w:cs="Segoe UI"/>
                <w:color w:val="000000"/>
                <w:sz w:val="18"/>
                <w:szCs w:val="18"/>
                <w:lang w:eastAsia="sk-SK"/>
              </w:rPr>
              <w:t xml:space="preserve"> SR</w:t>
            </w:r>
          </w:p>
        </w:tc>
        <w:tc>
          <w:tcPr>
            <w:tcW w:w="4191" w:type="dxa"/>
            <w:tcBorders>
              <w:top w:val="nil"/>
              <w:left w:val="nil"/>
              <w:bottom w:val="nil"/>
              <w:right w:val="nil"/>
            </w:tcBorders>
            <w:shd w:val="clear" w:color="auto" w:fill="auto"/>
            <w:vAlign w:val="center"/>
            <w:hideMark/>
          </w:tcPr>
          <w:p w14:paraId="47821AD5" w14:textId="77777777" w:rsidR="008A4BCF" w:rsidRPr="001724FB" w:rsidRDefault="008A4BCF" w:rsidP="00B44AC3">
            <w:pPr>
              <w:spacing w:after="0" w:line="240" w:lineRule="auto"/>
              <w:jc w:val="left"/>
              <w:rPr>
                <w:rFonts w:eastAsia="Times New Roman" w:cs="Segoe UI"/>
                <w:color w:val="000000"/>
                <w:sz w:val="18"/>
                <w:szCs w:val="18"/>
                <w:lang w:eastAsia="sk-SK"/>
              </w:rPr>
            </w:pPr>
            <w:r w:rsidRPr="001724FB">
              <w:rPr>
                <w:rFonts w:eastAsia="Times New Roman" w:cs="Segoe UI"/>
                <w:color w:val="000000"/>
                <w:sz w:val="18"/>
                <w:szCs w:val="18"/>
                <w:lang w:eastAsia="sk-SK"/>
              </w:rPr>
              <w:t>078 Národný program výchovy, vzdelávania a mládeže</w:t>
            </w:r>
          </w:p>
        </w:tc>
        <w:tc>
          <w:tcPr>
            <w:tcW w:w="1276" w:type="dxa"/>
            <w:tcBorders>
              <w:top w:val="nil"/>
              <w:left w:val="nil"/>
              <w:bottom w:val="nil"/>
              <w:right w:val="nil"/>
            </w:tcBorders>
            <w:shd w:val="clear" w:color="auto" w:fill="auto"/>
            <w:vAlign w:val="center"/>
            <w:hideMark/>
          </w:tcPr>
          <w:p w14:paraId="654C2DA0"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2 766 248</w:t>
            </w:r>
          </w:p>
        </w:tc>
        <w:tc>
          <w:tcPr>
            <w:tcW w:w="1200" w:type="dxa"/>
            <w:tcBorders>
              <w:top w:val="nil"/>
              <w:left w:val="nil"/>
              <w:bottom w:val="nil"/>
              <w:right w:val="nil"/>
            </w:tcBorders>
            <w:shd w:val="clear" w:color="auto" w:fill="auto"/>
            <w:vAlign w:val="center"/>
            <w:hideMark/>
          </w:tcPr>
          <w:p w14:paraId="367F4192"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2 769 864</w:t>
            </w:r>
          </w:p>
        </w:tc>
        <w:tc>
          <w:tcPr>
            <w:tcW w:w="640" w:type="dxa"/>
            <w:tcBorders>
              <w:top w:val="nil"/>
              <w:left w:val="nil"/>
              <w:bottom w:val="nil"/>
              <w:right w:val="nil"/>
            </w:tcBorders>
            <w:shd w:val="clear" w:color="auto" w:fill="auto"/>
            <w:vAlign w:val="center"/>
            <w:hideMark/>
          </w:tcPr>
          <w:p w14:paraId="4B034DD6"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100</w:t>
            </w:r>
          </w:p>
        </w:tc>
      </w:tr>
      <w:tr w:rsidR="008A4BCF" w:rsidRPr="001724FB" w14:paraId="3F38EE93" w14:textId="77777777" w:rsidTr="00B44AC3">
        <w:trPr>
          <w:trHeight w:val="283"/>
        </w:trPr>
        <w:tc>
          <w:tcPr>
            <w:tcW w:w="1763" w:type="dxa"/>
            <w:vMerge/>
            <w:tcBorders>
              <w:top w:val="nil"/>
              <w:left w:val="nil"/>
              <w:bottom w:val="single" w:sz="8" w:space="0" w:color="000000"/>
              <w:right w:val="nil"/>
            </w:tcBorders>
            <w:vAlign w:val="center"/>
            <w:hideMark/>
          </w:tcPr>
          <w:p w14:paraId="70593C2F" w14:textId="77777777" w:rsidR="008A4BCF" w:rsidRPr="001724FB" w:rsidRDefault="008A4BCF" w:rsidP="00B44AC3">
            <w:pPr>
              <w:spacing w:after="0" w:line="240" w:lineRule="auto"/>
              <w:jc w:val="left"/>
              <w:rPr>
                <w:rFonts w:eastAsia="Times New Roman" w:cs="Segoe UI"/>
                <w:color w:val="000000"/>
                <w:sz w:val="18"/>
                <w:szCs w:val="18"/>
                <w:lang w:eastAsia="sk-SK"/>
              </w:rPr>
            </w:pPr>
          </w:p>
        </w:tc>
        <w:tc>
          <w:tcPr>
            <w:tcW w:w="4191" w:type="dxa"/>
            <w:tcBorders>
              <w:top w:val="nil"/>
              <w:left w:val="nil"/>
              <w:bottom w:val="nil"/>
              <w:right w:val="nil"/>
            </w:tcBorders>
            <w:shd w:val="clear" w:color="auto" w:fill="auto"/>
            <w:vAlign w:val="center"/>
            <w:hideMark/>
          </w:tcPr>
          <w:p w14:paraId="2A66BFD3" w14:textId="77777777" w:rsidR="008A4BCF" w:rsidRPr="001724FB" w:rsidRDefault="008A4BCF" w:rsidP="00B44AC3">
            <w:pPr>
              <w:spacing w:after="0" w:line="240" w:lineRule="auto"/>
              <w:jc w:val="left"/>
              <w:rPr>
                <w:rFonts w:eastAsia="Times New Roman" w:cs="Segoe UI"/>
                <w:color w:val="000000"/>
                <w:sz w:val="18"/>
                <w:szCs w:val="18"/>
                <w:lang w:eastAsia="sk-SK"/>
              </w:rPr>
            </w:pPr>
            <w:r w:rsidRPr="001724FB">
              <w:rPr>
                <w:rFonts w:eastAsia="Times New Roman" w:cs="Segoe UI"/>
                <w:color w:val="000000"/>
                <w:sz w:val="18"/>
                <w:szCs w:val="18"/>
                <w:lang w:eastAsia="sk-SK"/>
              </w:rPr>
              <w:t xml:space="preserve">077 Vysokoškolské vzdelávanie a veda, sociálna podpora študentov vysokých škôl </w:t>
            </w:r>
          </w:p>
        </w:tc>
        <w:tc>
          <w:tcPr>
            <w:tcW w:w="1276" w:type="dxa"/>
            <w:tcBorders>
              <w:top w:val="nil"/>
              <w:left w:val="nil"/>
              <w:bottom w:val="nil"/>
              <w:right w:val="nil"/>
            </w:tcBorders>
            <w:shd w:val="clear" w:color="auto" w:fill="auto"/>
            <w:vAlign w:val="center"/>
            <w:hideMark/>
          </w:tcPr>
          <w:p w14:paraId="42D9D918"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715 850</w:t>
            </w:r>
          </w:p>
        </w:tc>
        <w:tc>
          <w:tcPr>
            <w:tcW w:w="1200" w:type="dxa"/>
            <w:tcBorders>
              <w:top w:val="nil"/>
              <w:left w:val="nil"/>
              <w:bottom w:val="nil"/>
              <w:right w:val="nil"/>
            </w:tcBorders>
            <w:shd w:val="clear" w:color="auto" w:fill="auto"/>
            <w:vAlign w:val="center"/>
            <w:hideMark/>
          </w:tcPr>
          <w:p w14:paraId="3A6A4696"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678 053</w:t>
            </w:r>
          </w:p>
        </w:tc>
        <w:tc>
          <w:tcPr>
            <w:tcW w:w="640" w:type="dxa"/>
            <w:tcBorders>
              <w:top w:val="nil"/>
              <w:left w:val="nil"/>
              <w:bottom w:val="nil"/>
              <w:right w:val="nil"/>
            </w:tcBorders>
            <w:shd w:val="clear" w:color="auto" w:fill="auto"/>
            <w:vAlign w:val="center"/>
            <w:hideMark/>
          </w:tcPr>
          <w:p w14:paraId="1A22AC4E"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95</w:t>
            </w:r>
          </w:p>
        </w:tc>
      </w:tr>
      <w:tr w:rsidR="008A4BCF" w:rsidRPr="001724FB" w14:paraId="4C41C1FC" w14:textId="77777777" w:rsidTr="00B44AC3">
        <w:trPr>
          <w:trHeight w:val="283"/>
        </w:trPr>
        <w:tc>
          <w:tcPr>
            <w:tcW w:w="1763" w:type="dxa"/>
            <w:vMerge/>
            <w:tcBorders>
              <w:top w:val="nil"/>
              <w:left w:val="nil"/>
              <w:bottom w:val="single" w:sz="8" w:space="0" w:color="000000"/>
              <w:right w:val="nil"/>
            </w:tcBorders>
            <w:vAlign w:val="center"/>
            <w:hideMark/>
          </w:tcPr>
          <w:p w14:paraId="062546C3" w14:textId="77777777" w:rsidR="008A4BCF" w:rsidRPr="001724FB" w:rsidRDefault="008A4BCF" w:rsidP="00B44AC3">
            <w:pPr>
              <w:spacing w:after="0" w:line="240" w:lineRule="auto"/>
              <w:jc w:val="left"/>
              <w:rPr>
                <w:rFonts w:eastAsia="Times New Roman" w:cs="Segoe UI"/>
                <w:color w:val="000000"/>
                <w:sz w:val="18"/>
                <w:szCs w:val="18"/>
                <w:lang w:eastAsia="sk-SK"/>
              </w:rPr>
            </w:pPr>
          </w:p>
        </w:tc>
        <w:tc>
          <w:tcPr>
            <w:tcW w:w="4191" w:type="dxa"/>
            <w:tcBorders>
              <w:top w:val="nil"/>
              <w:left w:val="nil"/>
              <w:bottom w:val="nil"/>
              <w:right w:val="nil"/>
            </w:tcBorders>
            <w:shd w:val="clear" w:color="auto" w:fill="auto"/>
            <w:vAlign w:val="center"/>
            <w:hideMark/>
          </w:tcPr>
          <w:p w14:paraId="5F1853A5" w14:textId="77777777" w:rsidR="008A4BCF" w:rsidRPr="001724FB" w:rsidRDefault="008A4BCF" w:rsidP="00B44AC3">
            <w:pPr>
              <w:spacing w:after="0" w:line="240" w:lineRule="auto"/>
              <w:jc w:val="left"/>
              <w:rPr>
                <w:rFonts w:eastAsia="Times New Roman" w:cs="Segoe UI"/>
                <w:color w:val="000000"/>
                <w:sz w:val="18"/>
                <w:szCs w:val="18"/>
                <w:lang w:eastAsia="sk-SK"/>
              </w:rPr>
            </w:pPr>
            <w:r w:rsidRPr="001724FB">
              <w:rPr>
                <w:rFonts w:eastAsia="Times New Roman" w:cs="Segoe UI"/>
                <w:color w:val="000000"/>
                <w:sz w:val="18"/>
                <w:szCs w:val="18"/>
                <w:lang w:eastAsia="sk-SK"/>
              </w:rPr>
              <w:t>026 Národný program rozvoja športu v SR</w:t>
            </w:r>
          </w:p>
        </w:tc>
        <w:tc>
          <w:tcPr>
            <w:tcW w:w="1276" w:type="dxa"/>
            <w:tcBorders>
              <w:top w:val="nil"/>
              <w:left w:val="nil"/>
              <w:bottom w:val="nil"/>
              <w:right w:val="nil"/>
            </w:tcBorders>
            <w:shd w:val="clear" w:color="auto" w:fill="auto"/>
            <w:vAlign w:val="center"/>
            <w:hideMark/>
          </w:tcPr>
          <w:p w14:paraId="434DD29C"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95 851</w:t>
            </w:r>
          </w:p>
        </w:tc>
        <w:tc>
          <w:tcPr>
            <w:tcW w:w="1200" w:type="dxa"/>
            <w:tcBorders>
              <w:top w:val="nil"/>
              <w:left w:val="nil"/>
              <w:bottom w:val="nil"/>
              <w:right w:val="nil"/>
            </w:tcBorders>
            <w:shd w:val="clear" w:color="auto" w:fill="auto"/>
            <w:vAlign w:val="center"/>
            <w:hideMark/>
          </w:tcPr>
          <w:p w14:paraId="1B957334"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107 950</w:t>
            </w:r>
          </w:p>
        </w:tc>
        <w:tc>
          <w:tcPr>
            <w:tcW w:w="640" w:type="dxa"/>
            <w:tcBorders>
              <w:top w:val="nil"/>
              <w:left w:val="nil"/>
              <w:bottom w:val="nil"/>
              <w:right w:val="nil"/>
            </w:tcBorders>
            <w:shd w:val="clear" w:color="auto" w:fill="auto"/>
            <w:vAlign w:val="center"/>
            <w:hideMark/>
          </w:tcPr>
          <w:p w14:paraId="4F716523"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113</w:t>
            </w:r>
          </w:p>
        </w:tc>
      </w:tr>
      <w:tr w:rsidR="008A4BCF" w:rsidRPr="001724FB" w14:paraId="4FDFB167" w14:textId="77777777" w:rsidTr="00B44AC3">
        <w:trPr>
          <w:trHeight w:val="283"/>
        </w:trPr>
        <w:tc>
          <w:tcPr>
            <w:tcW w:w="1763" w:type="dxa"/>
            <w:vMerge/>
            <w:tcBorders>
              <w:top w:val="nil"/>
              <w:left w:val="nil"/>
              <w:bottom w:val="single" w:sz="8" w:space="0" w:color="000000"/>
              <w:right w:val="nil"/>
            </w:tcBorders>
            <w:vAlign w:val="center"/>
            <w:hideMark/>
          </w:tcPr>
          <w:p w14:paraId="11BBCB53" w14:textId="77777777" w:rsidR="008A4BCF" w:rsidRPr="001724FB" w:rsidRDefault="008A4BCF" w:rsidP="00B44AC3">
            <w:pPr>
              <w:spacing w:after="0" w:line="240" w:lineRule="auto"/>
              <w:jc w:val="left"/>
              <w:rPr>
                <w:rFonts w:eastAsia="Times New Roman" w:cs="Segoe UI"/>
                <w:color w:val="000000"/>
                <w:sz w:val="18"/>
                <w:szCs w:val="18"/>
                <w:lang w:eastAsia="sk-SK"/>
              </w:rPr>
            </w:pPr>
          </w:p>
        </w:tc>
        <w:tc>
          <w:tcPr>
            <w:tcW w:w="4191" w:type="dxa"/>
            <w:tcBorders>
              <w:top w:val="nil"/>
              <w:left w:val="nil"/>
              <w:bottom w:val="nil"/>
              <w:right w:val="nil"/>
            </w:tcBorders>
            <w:shd w:val="clear" w:color="auto" w:fill="auto"/>
            <w:vAlign w:val="center"/>
            <w:hideMark/>
          </w:tcPr>
          <w:p w14:paraId="6C73DC68" w14:textId="77777777" w:rsidR="008A4BCF" w:rsidRPr="001724FB" w:rsidRDefault="008A4BCF" w:rsidP="00B44AC3">
            <w:pPr>
              <w:spacing w:after="0" w:line="240" w:lineRule="auto"/>
              <w:jc w:val="left"/>
              <w:rPr>
                <w:rFonts w:eastAsia="Times New Roman" w:cs="Segoe UI"/>
                <w:color w:val="000000"/>
                <w:sz w:val="18"/>
                <w:szCs w:val="18"/>
                <w:lang w:eastAsia="sk-SK"/>
              </w:rPr>
            </w:pPr>
            <w:r w:rsidRPr="001724FB">
              <w:rPr>
                <w:rFonts w:eastAsia="Times New Roman" w:cs="Segoe UI"/>
                <w:color w:val="000000"/>
                <w:sz w:val="18"/>
                <w:szCs w:val="18"/>
                <w:lang w:eastAsia="sk-SK"/>
              </w:rPr>
              <w:t>0EA Operačný program Integrovaná infraštruktúra (v gescii MŠVVa</w:t>
            </w:r>
            <w:r>
              <w:rPr>
                <w:rFonts w:eastAsia="Times New Roman" w:cs="Segoe UI"/>
                <w:color w:val="000000"/>
                <w:sz w:val="18"/>
                <w:szCs w:val="18"/>
                <w:lang w:eastAsia="sk-SK"/>
              </w:rPr>
              <w:t>Š</w:t>
            </w:r>
            <w:r w:rsidRPr="001724FB">
              <w:rPr>
                <w:rFonts w:eastAsia="Times New Roman" w:cs="Segoe UI"/>
                <w:color w:val="000000"/>
                <w:sz w:val="18"/>
                <w:szCs w:val="18"/>
                <w:lang w:eastAsia="sk-SK"/>
              </w:rPr>
              <w:t xml:space="preserve"> SR)</w:t>
            </w:r>
          </w:p>
        </w:tc>
        <w:tc>
          <w:tcPr>
            <w:tcW w:w="1276" w:type="dxa"/>
            <w:tcBorders>
              <w:top w:val="nil"/>
              <w:left w:val="nil"/>
              <w:bottom w:val="nil"/>
              <w:right w:val="nil"/>
            </w:tcBorders>
            <w:shd w:val="clear" w:color="auto" w:fill="auto"/>
            <w:vAlign w:val="center"/>
            <w:hideMark/>
          </w:tcPr>
          <w:p w14:paraId="33DB76E5"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186 328</w:t>
            </w:r>
          </w:p>
        </w:tc>
        <w:tc>
          <w:tcPr>
            <w:tcW w:w="1200" w:type="dxa"/>
            <w:tcBorders>
              <w:top w:val="nil"/>
              <w:left w:val="nil"/>
              <w:bottom w:val="nil"/>
              <w:right w:val="nil"/>
            </w:tcBorders>
            <w:shd w:val="clear" w:color="auto" w:fill="auto"/>
            <w:vAlign w:val="center"/>
            <w:hideMark/>
          </w:tcPr>
          <w:p w14:paraId="056D0570"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231 620</w:t>
            </w:r>
          </w:p>
        </w:tc>
        <w:tc>
          <w:tcPr>
            <w:tcW w:w="640" w:type="dxa"/>
            <w:tcBorders>
              <w:top w:val="nil"/>
              <w:left w:val="nil"/>
              <w:bottom w:val="nil"/>
              <w:right w:val="nil"/>
            </w:tcBorders>
            <w:shd w:val="clear" w:color="auto" w:fill="auto"/>
            <w:vAlign w:val="center"/>
            <w:hideMark/>
          </w:tcPr>
          <w:p w14:paraId="42764FC9"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124</w:t>
            </w:r>
          </w:p>
        </w:tc>
      </w:tr>
      <w:tr w:rsidR="008A4BCF" w:rsidRPr="001724FB" w14:paraId="61991C28" w14:textId="77777777" w:rsidTr="00B44AC3">
        <w:trPr>
          <w:trHeight w:val="283"/>
        </w:trPr>
        <w:tc>
          <w:tcPr>
            <w:tcW w:w="1763" w:type="dxa"/>
            <w:vMerge/>
            <w:tcBorders>
              <w:top w:val="nil"/>
              <w:left w:val="nil"/>
              <w:bottom w:val="single" w:sz="8" w:space="0" w:color="000000"/>
              <w:right w:val="nil"/>
            </w:tcBorders>
            <w:vAlign w:val="center"/>
            <w:hideMark/>
          </w:tcPr>
          <w:p w14:paraId="53A59F06" w14:textId="77777777" w:rsidR="008A4BCF" w:rsidRPr="001724FB" w:rsidRDefault="008A4BCF" w:rsidP="00B44AC3">
            <w:pPr>
              <w:spacing w:after="0" w:line="240" w:lineRule="auto"/>
              <w:jc w:val="left"/>
              <w:rPr>
                <w:rFonts w:eastAsia="Times New Roman" w:cs="Segoe UI"/>
                <w:color w:val="000000"/>
                <w:sz w:val="18"/>
                <w:szCs w:val="18"/>
                <w:lang w:eastAsia="sk-SK"/>
              </w:rPr>
            </w:pPr>
          </w:p>
        </w:tc>
        <w:tc>
          <w:tcPr>
            <w:tcW w:w="4191" w:type="dxa"/>
            <w:tcBorders>
              <w:top w:val="nil"/>
              <w:left w:val="nil"/>
              <w:bottom w:val="nil"/>
              <w:right w:val="nil"/>
            </w:tcBorders>
            <w:shd w:val="clear" w:color="auto" w:fill="auto"/>
            <w:vAlign w:val="center"/>
            <w:hideMark/>
          </w:tcPr>
          <w:p w14:paraId="13D28485" w14:textId="77777777" w:rsidR="008A4BCF" w:rsidRPr="001724FB" w:rsidRDefault="008A4BCF" w:rsidP="00B44AC3">
            <w:pPr>
              <w:spacing w:after="0" w:line="240" w:lineRule="auto"/>
              <w:jc w:val="left"/>
              <w:rPr>
                <w:rFonts w:eastAsia="Times New Roman" w:cs="Segoe UI"/>
                <w:color w:val="000000"/>
                <w:sz w:val="18"/>
                <w:szCs w:val="18"/>
                <w:lang w:eastAsia="sk-SK"/>
              </w:rPr>
            </w:pPr>
            <w:r w:rsidRPr="001724FB">
              <w:rPr>
                <w:rFonts w:eastAsia="Times New Roman" w:cs="Segoe UI"/>
                <w:color w:val="000000"/>
                <w:sz w:val="18"/>
                <w:szCs w:val="18"/>
                <w:lang w:eastAsia="sk-SK"/>
              </w:rPr>
              <w:t>06G Ľudské zdroje</w:t>
            </w:r>
          </w:p>
        </w:tc>
        <w:tc>
          <w:tcPr>
            <w:tcW w:w="1276" w:type="dxa"/>
            <w:tcBorders>
              <w:top w:val="nil"/>
              <w:left w:val="nil"/>
              <w:bottom w:val="nil"/>
              <w:right w:val="nil"/>
            </w:tcBorders>
            <w:shd w:val="clear" w:color="auto" w:fill="auto"/>
            <w:vAlign w:val="center"/>
            <w:hideMark/>
          </w:tcPr>
          <w:p w14:paraId="0E32A5E8"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56 769</w:t>
            </w:r>
          </w:p>
        </w:tc>
        <w:tc>
          <w:tcPr>
            <w:tcW w:w="1200" w:type="dxa"/>
            <w:tcBorders>
              <w:top w:val="nil"/>
              <w:left w:val="nil"/>
              <w:bottom w:val="nil"/>
              <w:right w:val="nil"/>
            </w:tcBorders>
            <w:shd w:val="clear" w:color="auto" w:fill="auto"/>
            <w:vAlign w:val="center"/>
            <w:hideMark/>
          </w:tcPr>
          <w:p w14:paraId="4813629D"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103 103</w:t>
            </w:r>
          </w:p>
        </w:tc>
        <w:tc>
          <w:tcPr>
            <w:tcW w:w="640" w:type="dxa"/>
            <w:tcBorders>
              <w:top w:val="nil"/>
              <w:left w:val="nil"/>
              <w:bottom w:val="nil"/>
              <w:right w:val="nil"/>
            </w:tcBorders>
            <w:shd w:val="clear" w:color="auto" w:fill="auto"/>
            <w:vAlign w:val="center"/>
            <w:hideMark/>
          </w:tcPr>
          <w:p w14:paraId="2ABAF6C1"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182</w:t>
            </w:r>
          </w:p>
        </w:tc>
      </w:tr>
      <w:tr w:rsidR="008A4BCF" w:rsidRPr="001724FB" w14:paraId="3E53BB03" w14:textId="77777777" w:rsidTr="00B44AC3">
        <w:trPr>
          <w:trHeight w:val="283"/>
        </w:trPr>
        <w:tc>
          <w:tcPr>
            <w:tcW w:w="1763" w:type="dxa"/>
            <w:vMerge/>
            <w:tcBorders>
              <w:top w:val="nil"/>
              <w:left w:val="nil"/>
              <w:bottom w:val="single" w:sz="8" w:space="0" w:color="000000"/>
              <w:right w:val="nil"/>
            </w:tcBorders>
            <w:vAlign w:val="center"/>
            <w:hideMark/>
          </w:tcPr>
          <w:p w14:paraId="49DA26C3" w14:textId="77777777" w:rsidR="008A4BCF" w:rsidRPr="001724FB" w:rsidRDefault="008A4BCF" w:rsidP="00B44AC3">
            <w:pPr>
              <w:spacing w:after="0" w:line="240" w:lineRule="auto"/>
              <w:jc w:val="left"/>
              <w:rPr>
                <w:rFonts w:eastAsia="Times New Roman" w:cs="Segoe UI"/>
                <w:color w:val="000000"/>
                <w:sz w:val="18"/>
                <w:szCs w:val="18"/>
                <w:lang w:eastAsia="sk-SK"/>
              </w:rPr>
            </w:pPr>
          </w:p>
        </w:tc>
        <w:tc>
          <w:tcPr>
            <w:tcW w:w="4191" w:type="dxa"/>
            <w:tcBorders>
              <w:top w:val="nil"/>
              <w:left w:val="nil"/>
              <w:bottom w:val="nil"/>
              <w:right w:val="nil"/>
            </w:tcBorders>
            <w:shd w:val="clear" w:color="auto" w:fill="auto"/>
            <w:vAlign w:val="center"/>
            <w:hideMark/>
          </w:tcPr>
          <w:p w14:paraId="510DE6D3" w14:textId="77777777" w:rsidR="008A4BCF" w:rsidRPr="001724FB" w:rsidRDefault="008A4BCF" w:rsidP="00B44AC3">
            <w:pPr>
              <w:spacing w:after="0" w:line="240" w:lineRule="auto"/>
              <w:jc w:val="left"/>
              <w:rPr>
                <w:rFonts w:eastAsia="Times New Roman" w:cs="Segoe UI"/>
                <w:color w:val="000000"/>
                <w:sz w:val="18"/>
                <w:szCs w:val="18"/>
                <w:lang w:eastAsia="sk-SK"/>
              </w:rPr>
            </w:pPr>
            <w:r w:rsidRPr="001724FB">
              <w:rPr>
                <w:rFonts w:eastAsia="Times New Roman" w:cs="Segoe UI"/>
                <w:color w:val="000000"/>
                <w:sz w:val="18"/>
                <w:szCs w:val="18"/>
                <w:lang w:eastAsia="sk-SK"/>
              </w:rPr>
              <w:t>06K Národný program rozvoja vedy a techniky</w:t>
            </w:r>
          </w:p>
        </w:tc>
        <w:tc>
          <w:tcPr>
            <w:tcW w:w="1276" w:type="dxa"/>
            <w:tcBorders>
              <w:top w:val="nil"/>
              <w:left w:val="nil"/>
              <w:bottom w:val="nil"/>
              <w:right w:val="nil"/>
            </w:tcBorders>
            <w:shd w:val="clear" w:color="auto" w:fill="auto"/>
            <w:vAlign w:val="center"/>
            <w:hideMark/>
          </w:tcPr>
          <w:p w14:paraId="1D5CFA48"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54 521</w:t>
            </w:r>
          </w:p>
        </w:tc>
        <w:tc>
          <w:tcPr>
            <w:tcW w:w="1200" w:type="dxa"/>
            <w:tcBorders>
              <w:top w:val="nil"/>
              <w:left w:val="nil"/>
              <w:bottom w:val="nil"/>
              <w:right w:val="nil"/>
            </w:tcBorders>
            <w:shd w:val="clear" w:color="auto" w:fill="auto"/>
            <w:vAlign w:val="center"/>
            <w:hideMark/>
          </w:tcPr>
          <w:p w14:paraId="12FA5687"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53 609</w:t>
            </w:r>
          </w:p>
        </w:tc>
        <w:tc>
          <w:tcPr>
            <w:tcW w:w="640" w:type="dxa"/>
            <w:tcBorders>
              <w:top w:val="nil"/>
              <w:left w:val="nil"/>
              <w:bottom w:val="nil"/>
              <w:right w:val="nil"/>
            </w:tcBorders>
            <w:shd w:val="clear" w:color="auto" w:fill="auto"/>
            <w:vAlign w:val="center"/>
            <w:hideMark/>
          </w:tcPr>
          <w:p w14:paraId="28D63FA1"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98</w:t>
            </w:r>
          </w:p>
        </w:tc>
      </w:tr>
      <w:tr w:rsidR="008A4BCF" w:rsidRPr="001724FB" w14:paraId="1F5C1EB6" w14:textId="77777777" w:rsidTr="00B44AC3">
        <w:trPr>
          <w:trHeight w:val="283"/>
        </w:trPr>
        <w:tc>
          <w:tcPr>
            <w:tcW w:w="1763" w:type="dxa"/>
            <w:vMerge w:val="restart"/>
            <w:tcBorders>
              <w:top w:val="nil"/>
              <w:left w:val="nil"/>
              <w:bottom w:val="single" w:sz="8" w:space="0" w:color="000000"/>
              <w:right w:val="nil"/>
            </w:tcBorders>
            <w:shd w:val="clear" w:color="auto" w:fill="auto"/>
            <w:vAlign w:val="center"/>
            <w:hideMark/>
          </w:tcPr>
          <w:p w14:paraId="2D3A2C6C" w14:textId="77777777" w:rsidR="008A4BCF" w:rsidRPr="001724FB" w:rsidRDefault="008A4BCF" w:rsidP="00B44AC3">
            <w:pPr>
              <w:spacing w:after="0" w:line="240" w:lineRule="auto"/>
              <w:jc w:val="left"/>
              <w:rPr>
                <w:rFonts w:eastAsia="Times New Roman" w:cs="Segoe UI"/>
                <w:color w:val="000000"/>
                <w:sz w:val="18"/>
                <w:szCs w:val="18"/>
                <w:lang w:eastAsia="sk-SK"/>
              </w:rPr>
            </w:pPr>
            <w:r>
              <w:rPr>
                <w:rFonts w:eastAsia="Times New Roman" w:cs="Segoe UI"/>
                <w:color w:val="000000"/>
                <w:sz w:val="18"/>
                <w:szCs w:val="18"/>
                <w:lang w:eastAsia="sk-SK"/>
              </w:rPr>
              <w:t>MZ</w:t>
            </w:r>
            <w:r w:rsidRPr="001724FB">
              <w:rPr>
                <w:rFonts w:eastAsia="Times New Roman" w:cs="Segoe UI"/>
                <w:color w:val="000000"/>
                <w:sz w:val="18"/>
                <w:szCs w:val="18"/>
                <w:lang w:eastAsia="sk-SK"/>
              </w:rPr>
              <w:t xml:space="preserve"> SR</w:t>
            </w:r>
          </w:p>
        </w:tc>
        <w:tc>
          <w:tcPr>
            <w:tcW w:w="4191" w:type="dxa"/>
            <w:tcBorders>
              <w:top w:val="single" w:sz="8" w:space="0" w:color="auto"/>
              <w:left w:val="nil"/>
              <w:bottom w:val="nil"/>
              <w:right w:val="nil"/>
            </w:tcBorders>
            <w:shd w:val="clear" w:color="auto" w:fill="auto"/>
            <w:vAlign w:val="center"/>
            <w:hideMark/>
          </w:tcPr>
          <w:p w14:paraId="2BC6E5E8" w14:textId="77777777" w:rsidR="008A4BCF" w:rsidRPr="001724FB" w:rsidRDefault="008A4BCF" w:rsidP="00B44AC3">
            <w:pPr>
              <w:spacing w:after="0" w:line="240" w:lineRule="auto"/>
              <w:jc w:val="left"/>
              <w:rPr>
                <w:rFonts w:eastAsia="Times New Roman" w:cs="Segoe UI"/>
                <w:color w:val="000000"/>
                <w:sz w:val="18"/>
                <w:szCs w:val="18"/>
                <w:lang w:eastAsia="sk-SK"/>
              </w:rPr>
            </w:pPr>
            <w:r w:rsidRPr="001724FB">
              <w:rPr>
                <w:rFonts w:eastAsia="Times New Roman" w:cs="Segoe UI"/>
                <w:color w:val="000000"/>
                <w:sz w:val="18"/>
                <w:szCs w:val="18"/>
                <w:lang w:eastAsia="sk-SK"/>
              </w:rPr>
              <w:t>07A Zdravotná starostlivosť</w:t>
            </w:r>
          </w:p>
        </w:tc>
        <w:tc>
          <w:tcPr>
            <w:tcW w:w="1276" w:type="dxa"/>
            <w:tcBorders>
              <w:top w:val="single" w:sz="8" w:space="0" w:color="auto"/>
              <w:left w:val="nil"/>
              <w:bottom w:val="nil"/>
              <w:right w:val="nil"/>
            </w:tcBorders>
            <w:shd w:val="clear" w:color="auto" w:fill="auto"/>
            <w:vAlign w:val="center"/>
            <w:hideMark/>
          </w:tcPr>
          <w:p w14:paraId="086EB161"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2 091 890</w:t>
            </w:r>
          </w:p>
        </w:tc>
        <w:tc>
          <w:tcPr>
            <w:tcW w:w="1200" w:type="dxa"/>
            <w:tcBorders>
              <w:top w:val="single" w:sz="8" w:space="0" w:color="auto"/>
              <w:left w:val="nil"/>
              <w:bottom w:val="nil"/>
              <w:right w:val="nil"/>
            </w:tcBorders>
            <w:shd w:val="clear" w:color="auto" w:fill="auto"/>
            <w:vAlign w:val="center"/>
            <w:hideMark/>
          </w:tcPr>
          <w:p w14:paraId="19977D47"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2 164 380</w:t>
            </w:r>
          </w:p>
        </w:tc>
        <w:tc>
          <w:tcPr>
            <w:tcW w:w="640" w:type="dxa"/>
            <w:tcBorders>
              <w:top w:val="single" w:sz="8" w:space="0" w:color="auto"/>
              <w:left w:val="nil"/>
              <w:bottom w:val="nil"/>
              <w:right w:val="nil"/>
            </w:tcBorders>
            <w:shd w:val="clear" w:color="auto" w:fill="auto"/>
            <w:vAlign w:val="center"/>
            <w:hideMark/>
          </w:tcPr>
          <w:p w14:paraId="63ADD89E"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103</w:t>
            </w:r>
          </w:p>
        </w:tc>
      </w:tr>
      <w:tr w:rsidR="008A4BCF" w:rsidRPr="001724FB" w14:paraId="1FEFA5F3" w14:textId="77777777" w:rsidTr="00B44AC3">
        <w:trPr>
          <w:trHeight w:val="283"/>
        </w:trPr>
        <w:tc>
          <w:tcPr>
            <w:tcW w:w="1763" w:type="dxa"/>
            <w:vMerge/>
            <w:tcBorders>
              <w:top w:val="nil"/>
              <w:left w:val="nil"/>
              <w:bottom w:val="single" w:sz="8" w:space="0" w:color="000000"/>
              <w:right w:val="nil"/>
            </w:tcBorders>
            <w:vAlign w:val="center"/>
            <w:hideMark/>
          </w:tcPr>
          <w:p w14:paraId="2C12E284" w14:textId="77777777" w:rsidR="008A4BCF" w:rsidRPr="001724FB" w:rsidRDefault="008A4BCF" w:rsidP="00B44AC3">
            <w:pPr>
              <w:spacing w:after="0" w:line="240" w:lineRule="auto"/>
              <w:jc w:val="left"/>
              <w:rPr>
                <w:rFonts w:eastAsia="Times New Roman" w:cs="Segoe UI"/>
                <w:color w:val="000000"/>
                <w:sz w:val="18"/>
                <w:szCs w:val="18"/>
                <w:lang w:eastAsia="sk-SK"/>
              </w:rPr>
            </w:pPr>
          </w:p>
        </w:tc>
        <w:tc>
          <w:tcPr>
            <w:tcW w:w="4191" w:type="dxa"/>
            <w:tcBorders>
              <w:top w:val="nil"/>
              <w:left w:val="nil"/>
              <w:bottom w:val="nil"/>
              <w:right w:val="nil"/>
            </w:tcBorders>
            <w:shd w:val="clear" w:color="auto" w:fill="auto"/>
            <w:vAlign w:val="center"/>
            <w:hideMark/>
          </w:tcPr>
          <w:p w14:paraId="6B88B6D8" w14:textId="77777777" w:rsidR="008A4BCF" w:rsidRPr="001724FB" w:rsidRDefault="008A4BCF" w:rsidP="00B44AC3">
            <w:pPr>
              <w:spacing w:after="0" w:line="240" w:lineRule="auto"/>
              <w:jc w:val="left"/>
              <w:rPr>
                <w:rFonts w:eastAsia="Times New Roman" w:cs="Segoe UI"/>
                <w:color w:val="000000"/>
                <w:sz w:val="18"/>
                <w:szCs w:val="18"/>
                <w:lang w:eastAsia="sk-SK"/>
              </w:rPr>
            </w:pPr>
            <w:r w:rsidRPr="001724FB">
              <w:rPr>
                <w:rFonts w:eastAsia="Times New Roman" w:cs="Segoe UI"/>
                <w:color w:val="000000"/>
                <w:sz w:val="18"/>
                <w:szCs w:val="18"/>
                <w:lang w:eastAsia="sk-SK"/>
              </w:rPr>
              <w:t>07B Tvorba a implementácia politík</w:t>
            </w:r>
          </w:p>
        </w:tc>
        <w:tc>
          <w:tcPr>
            <w:tcW w:w="1276" w:type="dxa"/>
            <w:tcBorders>
              <w:top w:val="nil"/>
              <w:left w:val="nil"/>
              <w:bottom w:val="nil"/>
              <w:right w:val="nil"/>
            </w:tcBorders>
            <w:shd w:val="clear" w:color="auto" w:fill="auto"/>
            <w:vAlign w:val="center"/>
            <w:hideMark/>
          </w:tcPr>
          <w:p w14:paraId="76DB74F3"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369 151</w:t>
            </w:r>
          </w:p>
        </w:tc>
        <w:tc>
          <w:tcPr>
            <w:tcW w:w="1200" w:type="dxa"/>
            <w:tcBorders>
              <w:top w:val="nil"/>
              <w:left w:val="nil"/>
              <w:bottom w:val="nil"/>
              <w:right w:val="nil"/>
            </w:tcBorders>
            <w:shd w:val="clear" w:color="auto" w:fill="auto"/>
            <w:vAlign w:val="center"/>
            <w:hideMark/>
          </w:tcPr>
          <w:p w14:paraId="5C22917A"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174 901</w:t>
            </w:r>
          </w:p>
        </w:tc>
        <w:tc>
          <w:tcPr>
            <w:tcW w:w="640" w:type="dxa"/>
            <w:tcBorders>
              <w:top w:val="nil"/>
              <w:left w:val="nil"/>
              <w:bottom w:val="nil"/>
              <w:right w:val="nil"/>
            </w:tcBorders>
            <w:shd w:val="clear" w:color="auto" w:fill="auto"/>
            <w:vAlign w:val="center"/>
            <w:hideMark/>
          </w:tcPr>
          <w:p w14:paraId="3533D142"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47</w:t>
            </w:r>
          </w:p>
        </w:tc>
      </w:tr>
      <w:tr w:rsidR="008A4BCF" w:rsidRPr="001724FB" w14:paraId="0F5A7C5C" w14:textId="77777777" w:rsidTr="00B44AC3">
        <w:trPr>
          <w:trHeight w:val="283"/>
        </w:trPr>
        <w:tc>
          <w:tcPr>
            <w:tcW w:w="1763" w:type="dxa"/>
            <w:vMerge/>
            <w:tcBorders>
              <w:top w:val="nil"/>
              <w:left w:val="nil"/>
              <w:bottom w:val="single" w:sz="8" w:space="0" w:color="000000"/>
              <w:right w:val="nil"/>
            </w:tcBorders>
            <w:vAlign w:val="center"/>
            <w:hideMark/>
          </w:tcPr>
          <w:p w14:paraId="47BE0E01" w14:textId="77777777" w:rsidR="008A4BCF" w:rsidRPr="001724FB" w:rsidRDefault="008A4BCF" w:rsidP="00B44AC3">
            <w:pPr>
              <w:spacing w:after="0" w:line="240" w:lineRule="auto"/>
              <w:jc w:val="left"/>
              <w:rPr>
                <w:rFonts w:eastAsia="Times New Roman" w:cs="Segoe UI"/>
                <w:color w:val="000000"/>
                <w:sz w:val="18"/>
                <w:szCs w:val="18"/>
                <w:lang w:eastAsia="sk-SK"/>
              </w:rPr>
            </w:pPr>
          </w:p>
        </w:tc>
        <w:tc>
          <w:tcPr>
            <w:tcW w:w="4191" w:type="dxa"/>
            <w:tcBorders>
              <w:top w:val="nil"/>
              <w:left w:val="nil"/>
              <w:bottom w:val="nil"/>
              <w:right w:val="nil"/>
            </w:tcBorders>
            <w:shd w:val="clear" w:color="auto" w:fill="auto"/>
            <w:vAlign w:val="center"/>
            <w:hideMark/>
          </w:tcPr>
          <w:p w14:paraId="612C1514" w14:textId="77777777" w:rsidR="008A4BCF" w:rsidRPr="001724FB" w:rsidRDefault="008A4BCF" w:rsidP="00B44AC3">
            <w:pPr>
              <w:spacing w:after="0" w:line="240" w:lineRule="auto"/>
              <w:jc w:val="left"/>
              <w:rPr>
                <w:rFonts w:eastAsia="Times New Roman" w:cs="Segoe UI"/>
                <w:color w:val="000000"/>
                <w:sz w:val="18"/>
                <w:szCs w:val="18"/>
                <w:lang w:eastAsia="sk-SK"/>
              </w:rPr>
            </w:pPr>
            <w:r w:rsidRPr="001724FB">
              <w:rPr>
                <w:rFonts w:eastAsia="Times New Roman" w:cs="Segoe UI"/>
                <w:color w:val="000000"/>
                <w:sz w:val="18"/>
                <w:szCs w:val="18"/>
                <w:lang w:eastAsia="sk-SK"/>
              </w:rPr>
              <w:t>079 Prevencia a ochrana zdravia</w:t>
            </w:r>
          </w:p>
        </w:tc>
        <w:tc>
          <w:tcPr>
            <w:tcW w:w="1276" w:type="dxa"/>
            <w:tcBorders>
              <w:top w:val="nil"/>
              <w:left w:val="nil"/>
              <w:bottom w:val="nil"/>
              <w:right w:val="nil"/>
            </w:tcBorders>
            <w:shd w:val="clear" w:color="auto" w:fill="auto"/>
            <w:vAlign w:val="center"/>
            <w:hideMark/>
          </w:tcPr>
          <w:p w14:paraId="73317C80"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74 091</w:t>
            </w:r>
          </w:p>
        </w:tc>
        <w:tc>
          <w:tcPr>
            <w:tcW w:w="1200" w:type="dxa"/>
            <w:tcBorders>
              <w:top w:val="nil"/>
              <w:left w:val="nil"/>
              <w:bottom w:val="nil"/>
              <w:right w:val="nil"/>
            </w:tcBorders>
            <w:shd w:val="clear" w:color="auto" w:fill="auto"/>
            <w:vAlign w:val="center"/>
            <w:hideMark/>
          </w:tcPr>
          <w:p w14:paraId="4C822B57"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69 741</w:t>
            </w:r>
          </w:p>
        </w:tc>
        <w:tc>
          <w:tcPr>
            <w:tcW w:w="640" w:type="dxa"/>
            <w:tcBorders>
              <w:top w:val="nil"/>
              <w:left w:val="nil"/>
              <w:bottom w:val="nil"/>
              <w:right w:val="nil"/>
            </w:tcBorders>
            <w:shd w:val="clear" w:color="auto" w:fill="auto"/>
            <w:vAlign w:val="center"/>
            <w:hideMark/>
          </w:tcPr>
          <w:p w14:paraId="38C597BA"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94</w:t>
            </w:r>
          </w:p>
        </w:tc>
      </w:tr>
      <w:tr w:rsidR="008A4BCF" w:rsidRPr="001724FB" w14:paraId="35C8FBEC" w14:textId="77777777" w:rsidTr="00B44AC3">
        <w:trPr>
          <w:trHeight w:val="283"/>
        </w:trPr>
        <w:tc>
          <w:tcPr>
            <w:tcW w:w="1763" w:type="dxa"/>
            <w:vMerge w:val="restart"/>
            <w:tcBorders>
              <w:top w:val="nil"/>
              <w:left w:val="nil"/>
              <w:bottom w:val="single" w:sz="8" w:space="0" w:color="000000"/>
              <w:right w:val="nil"/>
            </w:tcBorders>
            <w:shd w:val="clear" w:color="auto" w:fill="auto"/>
            <w:vAlign w:val="center"/>
            <w:hideMark/>
          </w:tcPr>
          <w:p w14:paraId="1D619B55" w14:textId="77777777" w:rsidR="008A4BCF" w:rsidRPr="001724FB" w:rsidRDefault="008A4BCF" w:rsidP="00B44AC3">
            <w:pPr>
              <w:spacing w:after="0" w:line="240" w:lineRule="auto"/>
              <w:jc w:val="left"/>
              <w:rPr>
                <w:rFonts w:eastAsia="Times New Roman" w:cs="Segoe UI"/>
                <w:color w:val="000000"/>
                <w:sz w:val="18"/>
                <w:szCs w:val="18"/>
                <w:lang w:eastAsia="sk-SK"/>
              </w:rPr>
            </w:pPr>
            <w:r>
              <w:rPr>
                <w:rFonts w:eastAsia="Times New Roman" w:cs="Segoe UI"/>
                <w:color w:val="000000"/>
                <w:sz w:val="18"/>
                <w:szCs w:val="18"/>
                <w:lang w:eastAsia="sk-SK"/>
              </w:rPr>
              <w:t>MPSVR</w:t>
            </w:r>
            <w:r w:rsidRPr="001724FB">
              <w:rPr>
                <w:rFonts w:eastAsia="Times New Roman" w:cs="Segoe UI"/>
                <w:color w:val="000000"/>
                <w:sz w:val="18"/>
                <w:szCs w:val="18"/>
                <w:lang w:eastAsia="sk-SK"/>
              </w:rPr>
              <w:t xml:space="preserve"> SR</w:t>
            </w:r>
          </w:p>
        </w:tc>
        <w:tc>
          <w:tcPr>
            <w:tcW w:w="4191" w:type="dxa"/>
            <w:tcBorders>
              <w:top w:val="single" w:sz="8" w:space="0" w:color="auto"/>
              <w:left w:val="nil"/>
              <w:bottom w:val="nil"/>
              <w:right w:val="nil"/>
            </w:tcBorders>
            <w:shd w:val="clear" w:color="auto" w:fill="auto"/>
            <w:vAlign w:val="center"/>
            <w:hideMark/>
          </w:tcPr>
          <w:p w14:paraId="4490D16A" w14:textId="77777777" w:rsidR="008A4BCF" w:rsidRPr="001724FB" w:rsidRDefault="008A4BCF" w:rsidP="00B44AC3">
            <w:pPr>
              <w:spacing w:after="0" w:line="240" w:lineRule="auto"/>
              <w:jc w:val="left"/>
              <w:rPr>
                <w:rFonts w:eastAsia="Times New Roman" w:cs="Segoe UI"/>
                <w:color w:val="000000"/>
                <w:sz w:val="18"/>
                <w:szCs w:val="18"/>
                <w:lang w:eastAsia="sk-SK"/>
              </w:rPr>
            </w:pPr>
            <w:r w:rsidRPr="001724FB">
              <w:rPr>
                <w:rFonts w:eastAsia="Times New Roman" w:cs="Segoe UI"/>
                <w:color w:val="000000"/>
                <w:sz w:val="18"/>
                <w:szCs w:val="18"/>
                <w:lang w:eastAsia="sk-SK"/>
              </w:rPr>
              <w:t>07C Sociálna inklúzia</w:t>
            </w:r>
          </w:p>
        </w:tc>
        <w:tc>
          <w:tcPr>
            <w:tcW w:w="1276" w:type="dxa"/>
            <w:tcBorders>
              <w:top w:val="single" w:sz="8" w:space="0" w:color="auto"/>
              <w:left w:val="nil"/>
              <w:bottom w:val="nil"/>
              <w:right w:val="nil"/>
            </w:tcBorders>
            <w:shd w:val="clear" w:color="auto" w:fill="auto"/>
            <w:vAlign w:val="center"/>
            <w:hideMark/>
          </w:tcPr>
          <w:p w14:paraId="02BE9891"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3 383 661</w:t>
            </w:r>
          </w:p>
        </w:tc>
        <w:tc>
          <w:tcPr>
            <w:tcW w:w="1200" w:type="dxa"/>
            <w:tcBorders>
              <w:top w:val="single" w:sz="8" w:space="0" w:color="auto"/>
              <w:left w:val="nil"/>
              <w:bottom w:val="nil"/>
              <w:right w:val="nil"/>
            </w:tcBorders>
            <w:shd w:val="clear" w:color="auto" w:fill="auto"/>
            <w:vAlign w:val="center"/>
            <w:hideMark/>
          </w:tcPr>
          <w:p w14:paraId="64EFA9F9"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4 194 815</w:t>
            </w:r>
          </w:p>
        </w:tc>
        <w:tc>
          <w:tcPr>
            <w:tcW w:w="640" w:type="dxa"/>
            <w:tcBorders>
              <w:top w:val="single" w:sz="8" w:space="0" w:color="auto"/>
              <w:left w:val="nil"/>
              <w:bottom w:val="nil"/>
              <w:right w:val="nil"/>
            </w:tcBorders>
            <w:shd w:val="clear" w:color="auto" w:fill="auto"/>
            <w:vAlign w:val="center"/>
            <w:hideMark/>
          </w:tcPr>
          <w:p w14:paraId="5958913F"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124</w:t>
            </w:r>
          </w:p>
        </w:tc>
      </w:tr>
      <w:tr w:rsidR="008A4BCF" w:rsidRPr="001724FB" w14:paraId="1132B244" w14:textId="77777777" w:rsidTr="00B44AC3">
        <w:trPr>
          <w:trHeight w:val="283"/>
        </w:trPr>
        <w:tc>
          <w:tcPr>
            <w:tcW w:w="1763" w:type="dxa"/>
            <w:vMerge/>
            <w:tcBorders>
              <w:top w:val="nil"/>
              <w:left w:val="nil"/>
              <w:bottom w:val="single" w:sz="8" w:space="0" w:color="000000"/>
              <w:right w:val="nil"/>
            </w:tcBorders>
            <w:vAlign w:val="center"/>
            <w:hideMark/>
          </w:tcPr>
          <w:p w14:paraId="7A7564FF" w14:textId="77777777" w:rsidR="008A4BCF" w:rsidRPr="001724FB" w:rsidRDefault="008A4BCF" w:rsidP="00B44AC3">
            <w:pPr>
              <w:spacing w:after="0" w:line="240" w:lineRule="auto"/>
              <w:jc w:val="left"/>
              <w:rPr>
                <w:rFonts w:eastAsia="Times New Roman" w:cs="Segoe UI"/>
                <w:color w:val="000000"/>
                <w:sz w:val="18"/>
                <w:szCs w:val="18"/>
                <w:lang w:eastAsia="sk-SK"/>
              </w:rPr>
            </w:pPr>
          </w:p>
        </w:tc>
        <w:tc>
          <w:tcPr>
            <w:tcW w:w="4191" w:type="dxa"/>
            <w:tcBorders>
              <w:top w:val="nil"/>
              <w:left w:val="nil"/>
              <w:bottom w:val="nil"/>
              <w:right w:val="nil"/>
            </w:tcBorders>
            <w:shd w:val="clear" w:color="auto" w:fill="auto"/>
            <w:vAlign w:val="center"/>
            <w:hideMark/>
          </w:tcPr>
          <w:p w14:paraId="04B089CB" w14:textId="77777777" w:rsidR="008A4BCF" w:rsidRPr="001724FB" w:rsidRDefault="008A4BCF" w:rsidP="00B44AC3">
            <w:pPr>
              <w:spacing w:after="0" w:line="240" w:lineRule="auto"/>
              <w:jc w:val="left"/>
              <w:rPr>
                <w:rFonts w:eastAsia="Times New Roman" w:cs="Segoe UI"/>
                <w:color w:val="000000"/>
                <w:sz w:val="18"/>
                <w:szCs w:val="18"/>
                <w:lang w:eastAsia="sk-SK"/>
              </w:rPr>
            </w:pPr>
            <w:r w:rsidRPr="001724FB">
              <w:rPr>
                <w:rFonts w:eastAsia="Times New Roman" w:cs="Segoe UI"/>
                <w:color w:val="000000"/>
                <w:sz w:val="18"/>
                <w:szCs w:val="18"/>
                <w:lang w:eastAsia="sk-SK"/>
              </w:rPr>
              <w:t>06G Ľudské zdroje</w:t>
            </w:r>
          </w:p>
        </w:tc>
        <w:tc>
          <w:tcPr>
            <w:tcW w:w="1276" w:type="dxa"/>
            <w:tcBorders>
              <w:top w:val="nil"/>
              <w:left w:val="nil"/>
              <w:bottom w:val="nil"/>
              <w:right w:val="nil"/>
            </w:tcBorders>
            <w:shd w:val="clear" w:color="auto" w:fill="auto"/>
            <w:vAlign w:val="center"/>
            <w:hideMark/>
          </w:tcPr>
          <w:p w14:paraId="03A2EDAB"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593 094</w:t>
            </w:r>
          </w:p>
        </w:tc>
        <w:tc>
          <w:tcPr>
            <w:tcW w:w="1200" w:type="dxa"/>
            <w:tcBorders>
              <w:top w:val="nil"/>
              <w:left w:val="nil"/>
              <w:bottom w:val="nil"/>
              <w:right w:val="nil"/>
            </w:tcBorders>
            <w:shd w:val="clear" w:color="auto" w:fill="auto"/>
            <w:vAlign w:val="center"/>
            <w:hideMark/>
          </w:tcPr>
          <w:p w14:paraId="1C846016"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430 630</w:t>
            </w:r>
          </w:p>
        </w:tc>
        <w:tc>
          <w:tcPr>
            <w:tcW w:w="640" w:type="dxa"/>
            <w:tcBorders>
              <w:top w:val="nil"/>
              <w:left w:val="nil"/>
              <w:bottom w:val="nil"/>
              <w:right w:val="nil"/>
            </w:tcBorders>
            <w:shd w:val="clear" w:color="auto" w:fill="auto"/>
            <w:vAlign w:val="center"/>
            <w:hideMark/>
          </w:tcPr>
          <w:p w14:paraId="1D66F0DB"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73</w:t>
            </w:r>
          </w:p>
        </w:tc>
      </w:tr>
      <w:tr w:rsidR="008A4BCF" w:rsidRPr="001724FB" w14:paraId="7C910026" w14:textId="77777777" w:rsidTr="00B44AC3">
        <w:trPr>
          <w:trHeight w:val="283"/>
        </w:trPr>
        <w:tc>
          <w:tcPr>
            <w:tcW w:w="1763" w:type="dxa"/>
            <w:vMerge/>
            <w:tcBorders>
              <w:top w:val="nil"/>
              <w:left w:val="nil"/>
              <w:bottom w:val="single" w:sz="8" w:space="0" w:color="000000"/>
              <w:right w:val="nil"/>
            </w:tcBorders>
            <w:vAlign w:val="center"/>
            <w:hideMark/>
          </w:tcPr>
          <w:p w14:paraId="60ED90BA" w14:textId="77777777" w:rsidR="008A4BCF" w:rsidRPr="001724FB" w:rsidRDefault="008A4BCF" w:rsidP="00B44AC3">
            <w:pPr>
              <w:spacing w:after="0" w:line="240" w:lineRule="auto"/>
              <w:jc w:val="left"/>
              <w:rPr>
                <w:rFonts w:eastAsia="Times New Roman" w:cs="Segoe UI"/>
                <w:color w:val="000000"/>
                <w:sz w:val="18"/>
                <w:szCs w:val="18"/>
                <w:lang w:eastAsia="sk-SK"/>
              </w:rPr>
            </w:pPr>
          </w:p>
        </w:tc>
        <w:tc>
          <w:tcPr>
            <w:tcW w:w="4191" w:type="dxa"/>
            <w:tcBorders>
              <w:top w:val="nil"/>
              <w:left w:val="nil"/>
              <w:bottom w:val="single" w:sz="8" w:space="0" w:color="auto"/>
              <w:right w:val="nil"/>
            </w:tcBorders>
            <w:shd w:val="clear" w:color="auto" w:fill="auto"/>
            <w:vAlign w:val="center"/>
            <w:hideMark/>
          </w:tcPr>
          <w:p w14:paraId="14D607FD" w14:textId="77777777" w:rsidR="008A4BCF" w:rsidRPr="001724FB" w:rsidRDefault="008A4BCF" w:rsidP="00B44AC3">
            <w:pPr>
              <w:spacing w:after="0" w:line="240" w:lineRule="auto"/>
              <w:jc w:val="left"/>
              <w:rPr>
                <w:rFonts w:eastAsia="Times New Roman" w:cs="Segoe UI"/>
                <w:color w:val="000000"/>
                <w:sz w:val="18"/>
                <w:szCs w:val="18"/>
                <w:lang w:eastAsia="sk-SK"/>
              </w:rPr>
            </w:pPr>
            <w:r w:rsidRPr="001724FB">
              <w:rPr>
                <w:rFonts w:eastAsia="Times New Roman" w:cs="Segoe UI"/>
                <w:color w:val="000000"/>
                <w:sz w:val="18"/>
                <w:szCs w:val="18"/>
                <w:lang w:eastAsia="sk-SK"/>
              </w:rPr>
              <w:t>07E Tvorba a implementácia politík</w:t>
            </w:r>
          </w:p>
        </w:tc>
        <w:tc>
          <w:tcPr>
            <w:tcW w:w="1276" w:type="dxa"/>
            <w:tcBorders>
              <w:top w:val="nil"/>
              <w:left w:val="nil"/>
              <w:bottom w:val="single" w:sz="8" w:space="0" w:color="auto"/>
              <w:right w:val="nil"/>
            </w:tcBorders>
            <w:shd w:val="clear" w:color="auto" w:fill="auto"/>
            <w:vAlign w:val="center"/>
            <w:hideMark/>
          </w:tcPr>
          <w:p w14:paraId="71FD3545"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1 107 480</w:t>
            </w:r>
          </w:p>
        </w:tc>
        <w:tc>
          <w:tcPr>
            <w:tcW w:w="1200" w:type="dxa"/>
            <w:tcBorders>
              <w:top w:val="nil"/>
              <w:left w:val="nil"/>
              <w:bottom w:val="single" w:sz="8" w:space="0" w:color="auto"/>
              <w:right w:val="nil"/>
            </w:tcBorders>
            <w:shd w:val="clear" w:color="auto" w:fill="auto"/>
            <w:vAlign w:val="center"/>
            <w:hideMark/>
          </w:tcPr>
          <w:p w14:paraId="19F19965"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231 180</w:t>
            </w:r>
          </w:p>
        </w:tc>
        <w:tc>
          <w:tcPr>
            <w:tcW w:w="640" w:type="dxa"/>
            <w:tcBorders>
              <w:top w:val="nil"/>
              <w:left w:val="nil"/>
              <w:bottom w:val="single" w:sz="8" w:space="0" w:color="auto"/>
              <w:right w:val="nil"/>
            </w:tcBorders>
            <w:shd w:val="clear" w:color="auto" w:fill="auto"/>
            <w:vAlign w:val="center"/>
            <w:hideMark/>
          </w:tcPr>
          <w:p w14:paraId="64967EF2"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21</w:t>
            </w:r>
          </w:p>
        </w:tc>
      </w:tr>
      <w:tr w:rsidR="008A4BCF" w:rsidRPr="001724FB" w14:paraId="6CA46800" w14:textId="77777777" w:rsidTr="00B44AC3">
        <w:trPr>
          <w:trHeight w:val="283"/>
        </w:trPr>
        <w:tc>
          <w:tcPr>
            <w:tcW w:w="1763" w:type="dxa"/>
            <w:vMerge w:val="restart"/>
            <w:tcBorders>
              <w:top w:val="nil"/>
              <w:left w:val="nil"/>
              <w:bottom w:val="single" w:sz="8" w:space="0" w:color="000000"/>
              <w:right w:val="nil"/>
            </w:tcBorders>
            <w:shd w:val="clear" w:color="auto" w:fill="auto"/>
            <w:vAlign w:val="center"/>
            <w:hideMark/>
          </w:tcPr>
          <w:p w14:paraId="61BFA3C5" w14:textId="77777777" w:rsidR="008A4BCF" w:rsidRPr="001724FB" w:rsidRDefault="008A4BCF" w:rsidP="00B44AC3">
            <w:pPr>
              <w:spacing w:after="0" w:line="240" w:lineRule="auto"/>
              <w:jc w:val="left"/>
              <w:rPr>
                <w:rFonts w:eastAsia="Times New Roman" w:cs="Segoe UI"/>
                <w:color w:val="000000"/>
                <w:sz w:val="18"/>
                <w:szCs w:val="18"/>
                <w:lang w:eastAsia="sk-SK"/>
              </w:rPr>
            </w:pPr>
            <w:r>
              <w:rPr>
                <w:rFonts w:eastAsia="Times New Roman" w:cs="Segoe UI"/>
                <w:color w:val="000000"/>
                <w:sz w:val="18"/>
                <w:szCs w:val="18"/>
                <w:lang w:eastAsia="sk-SK"/>
              </w:rPr>
              <w:t>MPRV</w:t>
            </w:r>
            <w:r w:rsidRPr="001724FB">
              <w:rPr>
                <w:rFonts w:eastAsia="Times New Roman" w:cs="Segoe UI"/>
                <w:color w:val="000000"/>
                <w:sz w:val="18"/>
                <w:szCs w:val="18"/>
                <w:lang w:eastAsia="sk-SK"/>
              </w:rPr>
              <w:t xml:space="preserve"> SR</w:t>
            </w:r>
          </w:p>
        </w:tc>
        <w:tc>
          <w:tcPr>
            <w:tcW w:w="4191" w:type="dxa"/>
            <w:tcBorders>
              <w:top w:val="nil"/>
              <w:left w:val="nil"/>
              <w:bottom w:val="nil"/>
              <w:right w:val="nil"/>
            </w:tcBorders>
            <w:shd w:val="clear" w:color="auto" w:fill="auto"/>
            <w:vAlign w:val="center"/>
            <w:hideMark/>
          </w:tcPr>
          <w:p w14:paraId="0FFAA10C" w14:textId="77777777" w:rsidR="008A4BCF" w:rsidRPr="001724FB" w:rsidRDefault="008A4BCF" w:rsidP="00B44AC3">
            <w:pPr>
              <w:spacing w:after="0" w:line="240" w:lineRule="auto"/>
              <w:jc w:val="left"/>
              <w:rPr>
                <w:rFonts w:eastAsia="Times New Roman" w:cs="Segoe UI"/>
                <w:color w:val="000000"/>
                <w:sz w:val="18"/>
                <w:szCs w:val="18"/>
                <w:lang w:eastAsia="sk-SK"/>
              </w:rPr>
            </w:pPr>
            <w:r w:rsidRPr="001724FB">
              <w:rPr>
                <w:rFonts w:eastAsia="Times New Roman" w:cs="Segoe UI"/>
                <w:color w:val="000000"/>
                <w:sz w:val="18"/>
                <w:szCs w:val="18"/>
                <w:lang w:eastAsia="sk-SK"/>
              </w:rPr>
              <w:t>0CC Stabilizácia poľnohospodárstva trhov s poľnohospodárskymi komoditami</w:t>
            </w:r>
          </w:p>
        </w:tc>
        <w:tc>
          <w:tcPr>
            <w:tcW w:w="1276" w:type="dxa"/>
            <w:tcBorders>
              <w:top w:val="nil"/>
              <w:left w:val="nil"/>
              <w:bottom w:val="nil"/>
              <w:right w:val="nil"/>
            </w:tcBorders>
            <w:shd w:val="clear" w:color="auto" w:fill="auto"/>
            <w:vAlign w:val="center"/>
            <w:hideMark/>
          </w:tcPr>
          <w:p w14:paraId="1D011317"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1 734</w:t>
            </w:r>
          </w:p>
        </w:tc>
        <w:tc>
          <w:tcPr>
            <w:tcW w:w="1200" w:type="dxa"/>
            <w:tcBorders>
              <w:top w:val="nil"/>
              <w:left w:val="nil"/>
              <w:bottom w:val="nil"/>
              <w:right w:val="nil"/>
            </w:tcBorders>
            <w:shd w:val="clear" w:color="auto" w:fill="auto"/>
            <w:vAlign w:val="center"/>
            <w:hideMark/>
          </w:tcPr>
          <w:p w14:paraId="4D462901"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235 451</w:t>
            </w:r>
          </w:p>
        </w:tc>
        <w:tc>
          <w:tcPr>
            <w:tcW w:w="640" w:type="dxa"/>
            <w:tcBorders>
              <w:top w:val="nil"/>
              <w:left w:val="nil"/>
              <w:bottom w:val="nil"/>
              <w:right w:val="nil"/>
            </w:tcBorders>
            <w:shd w:val="clear" w:color="auto" w:fill="auto"/>
            <w:vAlign w:val="center"/>
            <w:hideMark/>
          </w:tcPr>
          <w:p w14:paraId="179FE86D"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13 578</w:t>
            </w:r>
          </w:p>
        </w:tc>
      </w:tr>
      <w:tr w:rsidR="008A4BCF" w:rsidRPr="001724FB" w14:paraId="2EBD224F" w14:textId="77777777" w:rsidTr="00B44AC3">
        <w:trPr>
          <w:trHeight w:val="283"/>
        </w:trPr>
        <w:tc>
          <w:tcPr>
            <w:tcW w:w="1763" w:type="dxa"/>
            <w:vMerge/>
            <w:tcBorders>
              <w:top w:val="nil"/>
              <w:left w:val="nil"/>
              <w:bottom w:val="single" w:sz="8" w:space="0" w:color="000000"/>
              <w:right w:val="nil"/>
            </w:tcBorders>
            <w:vAlign w:val="center"/>
            <w:hideMark/>
          </w:tcPr>
          <w:p w14:paraId="7A36AFFF" w14:textId="77777777" w:rsidR="008A4BCF" w:rsidRPr="001724FB" w:rsidRDefault="008A4BCF" w:rsidP="00B44AC3">
            <w:pPr>
              <w:spacing w:after="0" w:line="240" w:lineRule="auto"/>
              <w:jc w:val="left"/>
              <w:rPr>
                <w:rFonts w:eastAsia="Times New Roman" w:cs="Segoe UI"/>
                <w:color w:val="000000"/>
                <w:sz w:val="18"/>
                <w:szCs w:val="18"/>
                <w:lang w:eastAsia="sk-SK"/>
              </w:rPr>
            </w:pPr>
          </w:p>
        </w:tc>
        <w:tc>
          <w:tcPr>
            <w:tcW w:w="4191" w:type="dxa"/>
            <w:tcBorders>
              <w:top w:val="nil"/>
              <w:left w:val="nil"/>
              <w:bottom w:val="nil"/>
              <w:right w:val="nil"/>
            </w:tcBorders>
            <w:shd w:val="clear" w:color="auto" w:fill="auto"/>
            <w:vAlign w:val="center"/>
            <w:hideMark/>
          </w:tcPr>
          <w:p w14:paraId="1F0ACE56" w14:textId="77777777" w:rsidR="008A4BCF" w:rsidRPr="001724FB" w:rsidRDefault="008A4BCF" w:rsidP="00B44AC3">
            <w:pPr>
              <w:spacing w:after="0" w:line="240" w:lineRule="auto"/>
              <w:jc w:val="left"/>
              <w:rPr>
                <w:rFonts w:eastAsia="Times New Roman" w:cs="Segoe UI"/>
                <w:color w:val="000000"/>
                <w:sz w:val="18"/>
                <w:szCs w:val="18"/>
                <w:lang w:eastAsia="sk-SK"/>
              </w:rPr>
            </w:pPr>
            <w:r w:rsidRPr="001724FB">
              <w:rPr>
                <w:rFonts w:eastAsia="Times New Roman" w:cs="Segoe UI"/>
                <w:color w:val="000000"/>
                <w:sz w:val="18"/>
                <w:szCs w:val="18"/>
                <w:lang w:eastAsia="sk-SK"/>
              </w:rPr>
              <w:t xml:space="preserve">0CD Rozvoj vidieka SR 2014 </w:t>
            </w:r>
            <w:r w:rsidRPr="001724FB">
              <w:rPr>
                <w:rFonts w:eastAsia="Times New Roman" w:cs="Segoe UI"/>
                <w:b/>
                <w:bCs/>
                <w:color w:val="000000"/>
                <w:sz w:val="16"/>
                <w:szCs w:val="16"/>
                <w:lang w:eastAsia="sk-SK"/>
              </w:rPr>
              <w:t>–</w:t>
            </w:r>
            <w:r w:rsidRPr="001724FB">
              <w:rPr>
                <w:rFonts w:eastAsia="Times New Roman" w:cs="Segoe UI"/>
                <w:color w:val="000000"/>
                <w:sz w:val="18"/>
                <w:szCs w:val="18"/>
                <w:lang w:eastAsia="sk-SK"/>
              </w:rPr>
              <w:t xml:space="preserve"> 2020</w:t>
            </w:r>
          </w:p>
        </w:tc>
        <w:tc>
          <w:tcPr>
            <w:tcW w:w="1276" w:type="dxa"/>
            <w:tcBorders>
              <w:top w:val="nil"/>
              <w:left w:val="nil"/>
              <w:bottom w:val="nil"/>
              <w:right w:val="nil"/>
            </w:tcBorders>
            <w:shd w:val="clear" w:color="auto" w:fill="auto"/>
            <w:vAlign w:val="center"/>
            <w:hideMark/>
          </w:tcPr>
          <w:p w14:paraId="7C9A8717"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74 217</w:t>
            </w:r>
          </w:p>
        </w:tc>
        <w:tc>
          <w:tcPr>
            <w:tcW w:w="1200" w:type="dxa"/>
            <w:tcBorders>
              <w:top w:val="nil"/>
              <w:left w:val="nil"/>
              <w:bottom w:val="nil"/>
              <w:right w:val="nil"/>
            </w:tcBorders>
            <w:shd w:val="clear" w:color="auto" w:fill="auto"/>
            <w:vAlign w:val="center"/>
            <w:hideMark/>
          </w:tcPr>
          <w:p w14:paraId="4F3D72FE"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202 043</w:t>
            </w:r>
          </w:p>
        </w:tc>
        <w:tc>
          <w:tcPr>
            <w:tcW w:w="640" w:type="dxa"/>
            <w:tcBorders>
              <w:top w:val="nil"/>
              <w:left w:val="nil"/>
              <w:bottom w:val="nil"/>
              <w:right w:val="nil"/>
            </w:tcBorders>
            <w:shd w:val="clear" w:color="auto" w:fill="auto"/>
            <w:vAlign w:val="center"/>
            <w:hideMark/>
          </w:tcPr>
          <w:p w14:paraId="03715B03"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272</w:t>
            </w:r>
          </w:p>
        </w:tc>
      </w:tr>
      <w:tr w:rsidR="008A4BCF" w:rsidRPr="001724FB" w14:paraId="48532BB6" w14:textId="77777777" w:rsidTr="00B44AC3">
        <w:trPr>
          <w:trHeight w:val="283"/>
        </w:trPr>
        <w:tc>
          <w:tcPr>
            <w:tcW w:w="1763" w:type="dxa"/>
            <w:vMerge/>
            <w:tcBorders>
              <w:top w:val="nil"/>
              <w:left w:val="nil"/>
              <w:bottom w:val="single" w:sz="8" w:space="0" w:color="000000"/>
              <w:right w:val="nil"/>
            </w:tcBorders>
            <w:vAlign w:val="center"/>
            <w:hideMark/>
          </w:tcPr>
          <w:p w14:paraId="28DA0E96" w14:textId="77777777" w:rsidR="008A4BCF" w:rsidRPr="001724FB" w:rsidRDefault="008A4BCF" w:rsidP="00B44AC3">
            <w:pPr>
              <w:spacing w:after="0" w:line="240" w:lineRule="auto"/>
              <w:jc w:val="left"/>
              <w:rPr>
                <w:rFonts w:eastAsia="Times New Roman" w:cs="Segoe UI"/>
                <w:color w:val="000000"/>
                <w:sz w:val="18"/>
                <w:szCs w:val="18"/>
                <w:lang w:eastAsia="sk-SK"/>
              </w:rPr>
            </w:pPr>
          </w:p>
        </w:tc>
        <w:tc>
          <w:tcPr>
            <w:tcW w:w="4191" w:type="dxa"/>
            <w:tcBorders>
              <w:top w:val="nil"/>
              <w:left w:val="nil"/>
              <w:bottom w:val="nil"/>
              <w:right w:val="nil"/>
            </w:tcBorders>
            <w:shd w:val="clear" w:color="auto" w:fill="auto"/>
            <w:vAlign w:val="center"/>
            <w:hideMark/>
          </w:tcPr>
          <w:p w14:paraId="506E5AD2" w14:textId="77777777" w:rsidR="008A4BCF" w:rsidRPr="001724FB" w:rsidRDefault="008A4BCF" w:rsidP="00B44AC3">
            <w:pPr>
              <w:spacing w:after="0" w:line="240" w:lineRule="auto"/>
              <w:jc w:val="left"/>
              <w:rPr>
                <w:rFonts w:eastAsia="Times New Roman" w:cs="Segoe UI"/>
                <w:color w:val="000000"/>
                <w:sz w:val="18"/>
                <w:szCs w:val="18"/>
                <w:lang w:eastAsia="sk-SK"/>
              </w:rPr>
            </w:pPr>
            <w:r w:rsidRPr="001724FB">
              <w:rPr>
                <w:rFonts w:eastAsia="Times New Roman" w:cs="Segoe UI"/>
                <w:color w:val="000000"/>
                <w:sz w:val="18"/>
                <w:szCs w:val="18"/>
                <w:lang w:eastAsia="sk-SK"/>
              </w:rPr>
              <w:t>090 Tvorba, regulácia a implementácia politík</w:t>
            </w:r>
          </w:p>
        </w:tc>
        <w:tc>
          <w:tcPr>
            <w:tcW w:w="1276" w:type="dxa"/>
            <w:tcBorders>
              <w:top w:val="nil"/>
              <w:left w:val="nil"/>
              <w:bottom w:val="single" w:sz="8" w:space="0" w:color="auto"/>
              <w:right w:val="nil"/>
            </w:tcBorders>
            <w:shd w:val="clear" w:color="auto" w:fill="auto"/>
            <w:vAlign w:val="center"/>
            <w:hideMark/>
          </w:tcPr>
          <w:p w14:paraId="349F0B52"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174 321</w:t>
            </w:r>
          </w:p>
        </w:tc>
        <w:tc>
          <w:tcPr>
            <w:tcW w:w="1200" w:type="dxa"/>
            <w:tcBorders>
              <w:top w:val="nil"/>
              <w:left w:val="nil"/>
              <w:bottom w:val="single" w:sz="8" w:space="0" w:color="auto"/>
              <w:right w:val="nil"/>
            </w:tcBorders>
            <w:shd w:val="clear" w:color="auto" w:fill="auto"/>
            <w:vAlign w:val="center"/>
            <w:hideMark/>
          </w:tcPr>
          <w:p w14:paraId="54822B3E"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183 856</w:t>
            </w:r>
          </w:p>
        </w:tc>
        <w:tc>
          <w:tcPr>
            <w:tcW w:w="640" w:type="dxa"/>
            <w:tcBorders>
              <w:top w:val="nil"/>
              <w:left w:val="nil"/>
              <w:bottom w:val="single" w:sz="8" w:space="0" w:color="auto"/>
              <w:right w:val="nil"/>
            </w:tcBorders>
            <w:shd w:val="clear" w:color="auto" w:fill="auto"/>
            <w:vAlign w:val="center"/>
            <w:hideMark/>
          </w:tcPr>
          <w:p w14:paraId="20C1DD4A"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105</w:t>
            </w:r>
          </w:p>
        </w:tc>
      </w:tr>
      <w:tr w:rsidR="008A4BCF" w:rsidRPr="001724FB" w14:paraId="5BCE9E6D" w14:textId="77777777" w:rsidTr="00B44AC3">
        <w:trPr>
          <w:trHeight w:val="283"/>
        </w:trPr>
        <w:tc>
          <w:tcPr>
            <w:tcW w:w="1763" w:type="dxa"/>
            <w:vMerge w:val="restart"/>
            <w:tcBorders>
              <w:top w:val="nil"/>
              <w:left w:val="nil"/>
              <w:bottom w:val="single" w:sz="8" w:space="0" w:color="000000"/>
              <w:right w:val="nil"/>
            </w:tcBorders>
            <w:shd w:val="clear" w:color="auto" w:fill="auto"/>
            <w:vAlign w:val="center"/>
            <w:hideMark/>
          </w:tcPr>
          <w:p w14:paraId="39C0B810" w14:textId="77777777" w:rsidR="008A4BCF" w:rsidRPr="001724FB" w:rsidRDefault="008A4BCF" w:rsidP="00B44AC3">
            <w:pPr>
              <w:spacing w:after="0" w:line="240" w:lineRule="auto"/>
              <w:jc w:val="left"/>
              <w:rPr>
                <w:rFonts w:eastAsia="Times New Roman" w:cs="Segoe UI"/>
                <w:color w:val="000000"/>
                <w:sz w:val="18"/>
                <w:szCs w:val="18"/>
                <w:lang w:eastAsia="sk-SK"/>
              </w:rPr>
            </w:pPr>
            <w:r>
              <w:rPr>
                <w:rFonts w:eastAsia="Times New Roman" w:cs="Segoe UI"/>
                <w:color w:val="000000"/>
                <w:sz w:val="18"/>
                <w:szCs w:val="18"/>
                <w:lang w:eastAsia="sk-SK"/>
              </w:rPr>
              <w:t>MD</w:t>
            </w:r>
            <w:r w:rsidRPr="001724FB">
              <w:rPr>
                <w:rFonts w:eastAsia="Times New Roman" w:cs="Segoe UI"/>
                <w:color w:val="000000"/>
                <w:sz w:val="18"/>
                <w:szCs w:val="18"/>
                <w:lang w:eastAsia="sk-SK"/>
              </w:rPr>
              <w:t xml:space="preserve"> SR</w:t>
            </w:r>
          </w:p>
        </w:tc>
        <w:tc>
          <w:tcPr>
            <w:tcW w:w="4191" w:type="dxa"/>
            <w:tcBorders>
              <w:top w:val="single" w:sz="8" w:space="0" w:color="auto"/>
              <w:left w:val="nil"/>
              <w:bottom w:val="nil"/>
              <w:right w:val="nil"/>
            </w:tcBorders>
            <w:shd w:val="clear" w:color="auto" w:fill="auto"/>
            <w:vAlign w:val="center"/>
            <w:hideMark/>
          </w:tcPr>
          <w:p w14:paraId="31621A93" w14:textId="77777777" w:rsidR="008A4BCF" w:rsidRPr="001724FB" w:rsidRDefault="008A4BCF" w:rsidP="00B44AC3">
            <w:pPr>
              <w:spacing w:after="0" w:line="240" w:lineRule="auto"/>
              <w:jc w:val="left"/>
              <w:rPr>
                <w:rFonts w:eastAsia="Times New Roman" w:cs="Segoe UI"/>
                <w:color w:val="000000"/>
                <w:sz w:val="18"/>
                <w:szCs w:val="18"/>
                <w:lang w:eastAsia="sk-SK"/>
              </w:rPr>
            </w:pPr>
            <w:r w:rsidRPr="001724FB">
              <w:rPr>
                <w:rFonts w:eastAsia="Times New Roman" w:cs="Segoe UI"/>
                <w:color w:val="000000"/>
                <w:sz w:val="18"/>
                <w:szCs w:val="18"/>
                <w:lang w:eastAsia="sk-SK"/>
              </w:rPr>
              <w:t>07S Železničná doprava</w:t>
            </w:r>
          </w:p>
        </w:tc>
        <w:tc>
          <w:tcPr>
            <w:tcW w:w="1276" w:type="dxa"/>
            <w:tcBorders>
              <w:top w:val="nil"/>
              <w:left w:val="nil"/>
              <w:bottom w:val="nil"/>
              <w:right w:val="nil"/>
            </w:tcBorders>
            <w:shd w:val="clear" w:color="auto" w:fill="auto"/>
            <w:vAlign w:val="center"/>
            <w:hideMark/>
          </w:tcPr>
          <w:p w14:paraId="1BA24E4C"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778 559</w:t>
            </w:r>
          </w:p>
        </w:tc>
        <w:tc>
          <w:tcPr>
            <w:tcW w:w="1200" w:type="dxa"/>
            <w:tcBorders>
              <w:top w:val="nil"/>
              <w:left w:val="nil"/>
              <w:bottom w:val="nil"/>
              <w:right w:val="nil"/>
            </w:tcBorders>
            <w:shd w:val="clear" w:color="auto" w:fill="auto"/>
            <w:vAlign w:val="center"/>
            <w:hideMark/>
          </w:tcPr>
          <w:p w14:paraId="3CA28BBB"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892 578</w:t>
            </w:r>
          </w:p>
        </w:tc>
        <w:tc>
          <w:tcPr>
            <w:tcW w:w="640" w:type="dxa"/>
            <w:tcBorders>
              <w:top w:val="nil"/>
              <w:left w:val="nil"/>
              <w:bottom w:val="nil"/>
              <w:right w:val="nil"/>
            </w:tcBorders>
            <w:shd w:val="clear" w:color="auto" w:fill="auto"/>
            <w:vAlign w:val="center"/>
            <w:hideMark/>
          </w:tcPr>
          <w:p w14:paraId="42D761C5"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115</w:t>
            </w:r>
          </w:p>
        </w:tc>
      </w:tr>
      <w:tr w:rsidR="008A4BCF" w:rsidRPr="001724FB" w14:paraId="1F4D1293" w14:textId="77777777" w:rsidTr="00B44AC3">
        <w:trPr>
          <w:trHeight w:val="283"/>
        </w:trPr>
        <w:tc>
          <w:tcPr>
            <w:tcW w:w="1763" w:type="dxa"/>
            <w:vMerge/>
            <w:tcBorders>
              <w:top w:val="nil"/>
              <w:left w:val="nil"/>
              <w:bottom w:val="single" w:sz="8" w:space="0" w:color="000000"/>
              <w:right w:val="nil"/>
            </w:tcBorders>
            <w:vAlign w:val="center"/>
            <w:hideMark/>
          </w:tcPr>
          <w:p w14:paraId="20A0AFF7" w14:textId="77777777" w:rsidR="008A4BCF" w:rsidRPr="001724FB" w:rsidRDefault="008A4BCF" w:rsidP="00B44AC3">
            <w:pPr>
              <w:spacing w:after="0" w:line="240" w:lineRule="auto"/>
              <w:jc w:val="left"/>
              <w:rPr>
                <w:rFonts w:eastAsia="Times New Roman" w:cs="Segoe UI"/>
                <w:color w:val="000000"/>
                <w:sz w:val="18"/>
                <w:szCs w:val="18"/>
                <w:lang w:eastAsia="sk-SK"/>
              </w:rPr>
            </w:pPr>
          </w:p>
        </w:tc>
        <w:tc>
          <w:tcPr>
            <w:tcW w:w="4191" w:type="dxa"/>
            <w:tcBorders>
              <w:top w:val="nil"/>
              <w:left w:val="nil"/>
              <w:bottom w:val="nil"/>
              <w:right w:val="nil"/>
            </w:tcBorders>
            <w:shd w:val="clear" w:color="auto" w:fill="auto"/>
            <w:vAlign w:val="center"/>
            <w:hideMark/>
          </w:tcPr>
          <w:p w14:paraId="4F8B4D94" w14:textId="77777777" w:rsidR="008A4BCF" w:rsidRPr="001724FB" w:rsidRDefault="008A4BCF" w:rsidP="00B44AC3">
            <w:pPr>
              <w:spacing w:after="0" w:line="240" w:lineRule="auto"/>
              <w:jc w:val="left"/>
              <w:rPr>
                <w:rFonts w:eastAsia="Times New Roman" w:cs="Segoe UI"/>
                <w:color w:val="000000"/>
                <w:sz w:val="18"/>
                <w:szCs w:val="18"/>
                <w:lang w:eastAsia="sk-SK"/>
              </w:rPr>
            </w:pPr>
            <w:r w:rsidRPr="001724FB">
              <w:rPr>
                <w:rFonts w:eastAsia="Times New Roman" w:cs="Segoe UI"/>
                <w:color w:val="000000"/>
                <w:sz w:val="18"/>
                <w:szCs w:val="18"/>
                <w:lang w:eastAsia="sk-SK"/>
              </w:rPr>
              <w:t>053 Cestná infraštruktúra</w:t>
            </w:r>
          </w:p>
        </w:tc>
        <w:tc>
          <w:tcPr>
            <w:tcW w:w="1276" w:type="dxa"/>
            <w:tcBorders>
              <w:top w:val="nil"/>
              <w:left w:val="nil"/>
              <w:bottom w:val="nil"/>
              <w:right w:val="nil"/>
            </w:tcBorders>
            <w:shd w:val="clear" w:color="auto" w:fill="auto"/>
            <w:vAlign w:val="center"/>
            <w:hideMark/>
          </w:tcPr>
          <w:p w14:paraId="2E2BFF1C"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647 564</w:t>
            </w:r>
          </w:p>
        </w:tc>
        <w:tc>
          <w:tcPr>
            <w:tcW w:w="1200" w:type="dxa"/>
            <w:tcBorders>
              <w:top w:val="nil"/>
              <w:left w:val="nil"/>
              <w:bottom w:val="nil"/>
              <w:right w:val="nil"/>
            </w:tcBorders>
            <w:shd w:val="clear" w:color="auto" w:fill="auto"/>
            <w:vAlign w:val="center"/>
            <w:hideMark/>
          </w:tcPr>
          <w:p w14:paraId="68E68E91"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744 261</w:t>
            </w:r>
          </w:p>
        </w:tc>
        <w:tc>
          <w:tcPr>
            <w:tcW w:w="640" w:type="dxa"/>
            <w:tcBorders>
              <w:top w:val="nil"/>
              <w:left w:val="nil"/>
              <w:bottom w:val="nil"/>
              <w:right w:val="nil"/>
            </w:tcBorders>
            <w:shd w:val="clear" w:color="auto" w:fill="auto"/>
            <w:vAlign w:val="center"/>
            <w:hideMark/>
          </w:tcPr>
          <w:p w14:paraId="6FF82FC2"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115</w:t>
            </w:r>
          </w:p>
        </w:tc>
      </w:tr>
      <w:tr w:rsidR="008A4BCF" w:rsidRPr="001724FB" w14:paraId="114C4F56" w14:textId="77777777" w:rsidTr="00B44AC3">
        <w:trPr>
          <w:trHeight w:val="283"/>
        </w:trPr>
        <w:tc>
          <w:tcPr>
            <w:tcW w:w="1763" w:type="dxa"/>
            <w:vMerge/>
            <w:tcBorders>
              <w:top w:val="nil"/>
              <w:left w:val="nil"/>
              <w:bottom w:val="single" w:sz="8" w:space="0" w:color="000000"/>
              <w:right w:val="nil"/>
            </w:tcBorders>
            <w:vAlign w:val="center"/>
            <w:hideMark/>
          </w:tcPr>
          <w:p w14:paraId="6ACE56DC" w14:textId="77777777" w:rsidR="008A4BCF" w:rsidRPr="001724FB" w:rsidRDefault="008A4BCF" w:rsidP="00B44AC3">
            <w:pPr>
              <w:spacing w:after="0" w:line="240" w:lineRule="auto"/>
              <w:jc w:val="left"/>
              <w:rPr>
                <w:rFonts w:eastAsia="Times New Roman" w:cs="Segoe UI"/>
                <w:color w:val="000000"/>
                <w:sz w:val="18"/>
                <w:szCs w:val="18"/>
                <w:lang w:eastAsia="sk-SK"/>
              </w:rPr>
            </w:pPr>
          </w:p>
        </w:tc>
        <w:tc>
          <w:tcPr>
            <w:tcW w:w="4191" w:type="dxa"/>
            <w:tcBorders>
              <w:top w:val="nil"/>
              <w:left w:val="nil"/>
              <w:bottom w:val="nil"/>
              <w:right w:val="nil"/>
            </w:tcBorders>
            <w:shd w:val="clear" w:color="auto" w:fill="auto"/>
            <w:vAlign w:val="center"/>
            <w:hideMark/>
          </w:tcPr>
          <w:p w14:paraId="08E71E60" w14:textId="77777777" w:rsidR="008A4BCF" w:rsidRPr="001724FB" w:rsidRDefault="008A4BCF" w:rsidP="00B44AC3">
            <w:pPr>
              <w:spacing w:after="0" w:line="240" w:lineRule="auto"/>
              <w:jc w:val="left"/>
              <w:rPr>
                <w:rFonts w:eastAsia="Times New Roman" w:cs="Segoe UI"/>
                <w:color w:val="000000"/>
                <w:sz w:val="18"/>
                <w:szCs w:val="18"/>
                <w:lang w:eastAsia="sk-SK"/>
              </w:rPr>
            </w:pPr>
            <w:r w:rsidRPr="001724FB">
              <w:rPr>
                <w:rFonts w:eastAsia="Times New Roman" w:cs="Segoe UI"/>
                <w:color w:val="000000"/>
                <w:sz w:val="18"/>
                <w:szCs w:val="18"/>
                <w:lang w:eastAsia="sk-SK"/>
              </w:rPr>
              <w:t>0EB Operačný program Integrovaná infraštruktúra</w:t>
            </w:r>
          </w:p>
        </w:tc>
        <w:tc>
          <w:tcPr>
            <w:tcW w:w="1276" w:type="dxa"/>
            <w:tcBorders>
              <w:top w:val="nil"/>
              <w:left w:val="nil"/>
              <w:bottom w:val="nil"/>
              <w:right w:val="nil"/>
            </w:tcBorders>
            <w:shd w:val="clear" w:color="auto" w:fill="auto"/>
            <w:vAlign w:val="center"/>
            <w:hideMark/>
          </w:tcPr>
          <w:p w14:paraId="25850472"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429 288</w:t>
            </w:r>
          </w:p>
        </w:tc>
        <w:tc>
          <w:tcPr>
            <w:tcW w:w="1200" w:type="dxa"/>
            <w:tcBorders>
              <w:top w:val="nil"/>
              <w:left w:val="nil"/>
              <w:bottom w:val="nil"/>
              <w:right w:val="nil"/>
            </w:tcBorders>
            <w:shd w:val="clear" w:color="auto" w:fill="auto"/>
            <w:vAlign w:val="center"/>
            <w:hideMark/>
          </w:tcPr>
          <w:p w14:paraId="7B084C66"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940 502</w:t>
            </w:r>
          </w:p>
        </w:tc>
        <w:tc>
          <w:tcPr>
            <w:tcW w:w="640" w:type="dxa"/>
            <w:tcBorders>
              <w:top w:val="nil"/>
              <w:left w:val="nil"/>
              <w:bottom w:val="nil"/>
              <w:right w:val="nil"/>
            </w:tcBorders>
            <w:shd w:val="clear" w:color="auto" w:fill="auto"/>
            <w:vAlign w:val="center"/>
            <w:hideMark/>
          </w:tcPr>
          <w:p w14:paraId="0867CDBC"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219</w:t>
            </w:r>
          </w:p>
        </w:tc>
      </w:tr>
      <w:tr w:rsidR="008A4BCF" w:rsidRPr="001724FB" w14:paraId="3710001F" w14:textId="77777777" w:rsidTr="00B44AC3">
        <w:trPr>
          <w:trHeight w:val="283"/>
        </w:trPr>
        <w:tc>
          <w:tcPr>
            <w:tcW w:w="1763" w:type="dxa"/>
            <w:vMerge/>
            <w:tcBorders>
              <w:top w:val="nil"/>
              <w:left w:val="nil"/>
              <w:bottom w:val="single" w:sz="8" w:space="0" w:color="000000"/>
              <w:right w:val="nil"/>
            </w:tcBorders>
            <w:vAlign w:val="center"/>
            <w:hideMark/>
          </w:tcPr>
          <w:p w14:paraId="378C45E6" w14:textId="77777777" w:rsidR="008A4BCF" w:rsidRPr="001724FB" w:rsidRDefault="008A4BCF" w:rsidP="00B44AC3">
            <w:pPr>
              <w:spacing w:after="0" w:line="240" w:lineRule="auto"/>
              <w:jc w:val="left"/>
              <w:rPr>
                <w:rFonts w:eastAsia="Times New Roman" w:cs="Segoe UI"/>
                <w:color w:val="000000"/>
                <w:sz w:val="18"/>
                <w:szCs w:val="18"/>
                <w:lang w:eastAsia="sk-SK"/>
              </w:rPr>
            </w:pPr>
          </w:p>
        </w:tc>
        <w:tc>
          <w:tcPr>
            <w:tcW w:w="4191" w:type="dxa"/>
            <w:tcBorders>
              <w:top w:val="nil"/>
              <w:left w:val="nil"/>
              <w:bottom w:val="nil"/>
              <w:right w:val="nil"/>
            </w:tcBorders>
            <w:shd w:val="clear" w:color="auto" w:fill="auto"/>
            <w:vAlign w:val="center"/>
            <w:hideMark/>
          </w:tcPr>
          <w:p w14:paraId="1B62501D" w14:textId="77777777" w:rsidR="008A4BCF" w:rsidRPr="001724FB" w:rsidRDefault="008A4BCF" w:rsidP="00B44AC3">
            <w:pPr>
              <w:spacing w:after="0" w:line="240" w:lineRule="auto"/>
              <w:jc w:val="left"/>
              <w:rPr>
                <w:rFonts w:eastAsia="Times New Roman" w:cs="Segoe UI"/>
                <w:color w:val="000000"/>
                <w:sz w:val="18"/>
                <w:szCs w:val="18"/>
                <w:lang w:eastAsia="sk-SK"/>
              </w:rPr>
            </w:pPr>
            <w:r w:rsidRPr="001724FB">
              <w:rPr>
                <w:rFonts w:eastAsia="Times New Roman" w:cs="Segoe UI"/>
                <w:color w:val="000000"/>
                <w:sz w:val="18"/>
                <w:szCs w:val="18"/>
                <w:lang w:eastAsia="sk-SK"/>
              </w:rPr>
              <w:t>07T Tvorba a implementácia politík</w:t>
            </w:r>
          </w:p>
        </w:tc>
        <w:tc>
          <w:tcPr>
            <w:tcW w:w="1276" w:type="dxa"/>
            <w:tcBorders>
              <w:top w:val="nil"/>
              <w:left w:val="nil"/>
              <w:bottom w:val="nil"/>
              <w:right w:val="nil"/>
            </w:tcBorders>
            <w:shd w:val="clear" w:color="auto" w:fill="auto"/>
            <w:vAlign w:val="center"/>
            <w:hideMark/>
          </w:tcPr>
          <w:p w14:paraId="25A82DEC"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269 913</w:t>
            </w:r>
          </w:p>
        </w:tc>
        <w:tc>
          <w:tcPr>
            <w:tcW w:w="1200" w:type="dxa"/>
            <w:tcBorders>
              <w:top w:val="nil"/>
              <w:left w:val="nil"/>
              <w:bottom w:val="nil"/>
              <w:right w:val="nil"/>
            </w:tcBorders>
            <w:shd w:val="clear" w:color="auto" w:fill="auto"/>
            <w:vAlign w:val="center"/>
            <w:hideMark/>
          </w:tcPr>
          <w:p w14:paraId="3FF671DA"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66 528</w:t>
            </w:r>
          </w:p>
        </w:tc>
        <w:tc>
          <w:tcPr>
            <w:tcW w:w="640" w:type="dxa"/>
            <w:tcBorders>
              <w:top w:val="nil"/>
              <w:left w:val="nil"/>
              <w:bottom w:val="nil"/>
              <w:right w:val="nil"/>
            </w:tcBorders>
            <w:shd w:val="clear" w:color="auto" w:fill="auto"/>
            <w:vAlign w:val="center"/>
            <w:hideMark/>
          </w:tcPr>
          <w:p w14:paraId="6C7A9E18"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25</w:t>
            </w:r>
          </w:p>
        </w:tc>
      </w:tr>
      <w:tr w:rsidR="008A4BCF" w:rsidRPr="001724FB" w14:paraId="0C699314" w14:textId="77777777" w:rsidTr="00B44AC3">
        <w:trPr>
          <w:trHeight w:val="283"/>
        </w:trPr>
        <w:tc>
          <w:tcPr>
            <w:tcW w:w="1763" w:type="dxa"/>
            <w:vMerge/>
            <w:tcBorders>
              <w:top w:val="nil"/>
              <w:left w:val="nil"/>
              <w:bottom w:val="single" w:sz="8" w:space="0" w:color="000000"/>
              <w:right w:val="nil"/>
            </w:tcBorders>
            <w:vAlign w:val="center"/>
            <w:hideMark/>
          </w:tcPr>
          <w:p w14:paraId="7BE17369" w14:textId="77777777" w:rsidR="008A4BCF" w:rsidRPr="001724FB" w:rsidRDefault="008A4BCF" w:rsidP="00B44AC3">
            <w:pPr>
              <w:spacing w:after="0" w:line="240" w:lineRule="auto"/>
              <w:jc w:val="left"/>
              <w:rPr>
                <w:rFonts w:eastAsia="Times New Roman" w:cs="Segoe UI"/>
                <w:color w:val="000000"/>
                <w:sz w:val="18"/>
                <w:szCs w:val="18"/>
                <w:lang w:eastAsia="sk-SK"/>
              </w:rPr>
            </w:pPr>
          </w:p>
        </w:tc>
        <w:tc>
          <w:tcPr>
            <w:tcW w:w="4191" w:type="dxa"/>
            <w:tcBorders>
              <w:top w:val="nil"/>
              <w:left w:val="nil"/>
              <w:bottom w:val="single" w:sz="8" w:space="0" w:color="auto"/>
              <w:right w:val="nil"/>
            </w:tcBorders>
            <w:shd w:val="clear" w:color="auto" w:fill="auto"/>
            <w:vAlign w:val="center"/>
            <w:hideMark/>
          </w:tcPr>
          <w:p w14:paraId="13156E4C" w14:textId="77777777" w:rsidR="008A4BCF" w:rsidRPr="001724FB" w:rsidRDefault="008A4BCF" w:rsidP="00B44AC3">
            <w:pPr>
              <w:spacing w:after="0" w:line="240" w:lineRule="auto"/>
              <w:jc w:val="left"/>
              <w:rPr>
                <w:rFonts w:eastAsia="Times New Roman" w:cs="Segoe UI"/>
                <w:color w:val="000000"/>
                <w:sz w:val="18"/>
                <w:szCs w:val="18"/>
                <w:lang w:eastAsia="sk-SK"/>
              </w:rPr>
            </w:pPr>
            <w:r w:rsidRPr="001724FB">
              <w:rPr>
                <w:rFonts w:eastAsia="Times New Roman" w:cs="Segoe UI"/>
                <w:color w:val="000000"/>
                <w:sz w:val="18"/>
                <w:szCs w:val="18"/>
                <w:lang w:eastAsia="sk-SK"/>
              </w:rPr>
              <w:t>017 Podpora rozvoja bývania</w:t>
            </w:r>
          </w:p>
        </w:tc>
        <w:tc>
          <w:tcPr>
            <w:tcW w:w="1276" w:type="dxa"/>
            <w:tcBorders>
              <w:top w:val="nil"/>
              <w:left w:val="nil"/>
              <w:bottom w:val="single" w:sz="8" w:space="0" w:color="auto"/>
              <w:right w:val="nil"/>
            </w:tcBorders>
            <w:shd w:val="clear" w:color="auto" w:fill="auto"/>
            <w:vAlign w:val="center"/>
            <w:hideMark/>
          </w:tcPr>
          <w:p w14:paraId="3835037F"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53 000</w:t>
            </w:r>
          </w:p>
        </w:tc>
        <w:tc>
          <w:tcPr>
            <w:tcW w:w="1200" w:type="dxa"/>
            <w:tcBorders>
              <w:top w:val="nil"/>
              <w:left w:val="nil"/>
              <w:bottom w:val="single" w:sz="8" w:space="0" w:color="auto"/>
              <w:right w:val="nil"/>
            </w:tcBorders>
            <w:shd w:val="clear" w:color="auto" w:fill="auto"/>
            <w:vAlign w:val="center"/>
            <w:hideMark/>
          </w:tcPr>
          <w:p w14:paraId="64D3E737"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49 660</w:t>
            </w:r>
          </w:p>
        </w:tc>
        <w:tc>
          <w:tcPr>
            <w:tcW w:w="640" w:type="dxa"/>
            <w:tcBorders>
              <w:top w:val="nil"/>
              <w:left w:val="nil"/>
              <w:bottom w:val="single" w:sz="8" w:space="0" w:color="auto"/>
              <w:right w:val="nil"/>
            </w:tcBorders>
            <w:shd w:val="clear" w:color="auto" w:fill="auto"/>
            <w:vAlign w:val="center"/>
            <w:hideMark/>
          </w:tcPr>
          <w:p w14:paraId="305A1F25"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94</w:t>
            </w:r>
          </w:p>
        </w:tc>
      </w:tr>
      <w:tr w:rsidR="008A4BCF" w:rsidRPr="001724FB" w14:paraId="78568B90" w14:textId="77777777" w:rsidTr="00B44AC3">
        <w:trPr>
          <w:trHeight w:val="283"/>
        </w:trPr>
        <w:tc>
          <w:tcPr>
            <w:tcW w:w="1763" w:type="dxa"/>
            <w:vMerge w:val="restart"/>
            <w:tcBorders>
              <w:top w:val="nil"/>
              <w:left w:val="nil"/>
              <w:bottom w:val="single" w:sz="8" w:space="0" w:color="000000"/>
              <w:right w:val="nil"/>
            </w:tcBorders>
            <w:shd w:val="clear" w:color="auto" w:fill="auto"/>
            <w:vAlign w:val="center"/>
            <w:hideMark/>
          </w:tcPr>
          <w:p w14:paraId="493C286D" w14:textId="77777777" w:rsidR="008A4BCF" w:rsidRPr="001724FB" w:rsidRDefault="008A4BCF" w:rsidP="00B44AC3">
            <w:pPr>
              <w:spacing w:after="0" w:line="240" w:lineRule="auto"/>
              <w:jc w:val="left"/>
              <w:rPr>
                <w:rFonts w:eastAsia="Times New Roman" w:cs="Segoe UI"/>
                <w:color w:val="000000"/>
                <w:sz w:val="18"/>
                <w:szCs w:val="18"/>
                <w:lang w:eastAsia="sk-SK"/>
              </w:rPr>
            </w:pPr>
            <w:r>
              <w:rPr>
                <w:rFonts w:eastAsia="Times New Roman" w:cs="Segoe UI"/>
                <w:color w:val="000000"/>
                <w:sz w:val="18"/>
                <w:szCs w:val="18"/>
                <w:lang w:eastAsia="sk-SK"/>
              </w:rPr>
              <w:t>VPS</w:t>
            </w:r>
          </w:p>
        </w:tc>
        <w:tc>
          <w:tcPr>
            <w:tcW w:w="4191" w:type="dxa"/>
            <w:tcBorders>
              <w:top w:val="nil"/>
              <w:left w:val="nil"/>
              <w:bottom w:val="nil"/>
              <w:right w:val="nil"/>
            </w:tcBorders>
            <w:shd w:val="clear" w:color="auto" w:fill="auto"/>
            <w:vAlign w:val="center"/>
            <w:hideMark/>
          </w:tcPr>
          <w:p w14:paraId="23E7C659" w14:textId="77777777" w:rsidR="008A4BCF" w:rsidRPr="001724FB" w:rsidRDefault="008A4BCF" w:rsidP="00B44AC3">
            <w:pPr>
              <w:spacing w:after="0" w:line="240" w:lineRule="auto"/>
              <w:jc w:val="left"/>
              <w:rPr>
                <w:rFonts w:eastAsia="Times New Roman" w:cs="Segoe UI"/>
                <w:color w:val="000000"/>
                <w:sz w:val="18"/>
                <w:szCs w:val="18"/>
                <w:lang w:eastAsia="sk-SK"/>
              </w:rPr>
            </w:pPr>
            <w:r w:rsidRPr="001724FB">
              <w:rPr>
                <w:rFonts w:eastAsia="Times New Roman" w:cs="Segoe UI"/>
                <w:color w:val="000000"/>
                <w:sz w:val="18"/>
                <w:szCs w:val="18"/>
                <w:lang w:eastAsia="sk-SK"/>
              </w:rPr>
              <w:t>08H Dlhová služba</w:t>
            </w:r>
          </w:p>
        </w:tc>
        <w:tc>
          <w:tcPr>
            <w:tcW w:w="1276" w:type="dxa"/>
            <w:tcBorders>
              <w:top w:val="nil"/>
              <w:left w:val="nil"/>
              <w:bottom w:val="nil"/>
              <w:right w:val="nil"/>
            </w:tcBorders>
            <w:shd w:val="clear" w:color="auto" w:fill="auto"/>
            <w:vAlign w:val="center"/>
            <w:hideMark/>
          </w:tcPr>
          <w:p w14:paraId="0DB11BA0"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1 343 478</w:t>
            </w:r>
          </w:p>
        </w:tc>
        <w:tc>
          <w:tcPr>
            <w:tcW w:w="1200" w:type="dxa"/>
            <w:tcBorders>
              <w:top w:val="nil"/>
              <w:left w:val="nil"/>
              <w:bottom w:val="nil"/>
              <w:right w:val="nil"/>
            </w:tcBorders>
            <w:shd w:val="clear" w:color="auto" w:fill="auto"/>
            <w:vAlign w:val="center"/>
            <w:hideMark/>
          </w:tcPr>
          <w:p w14:paraId="5E7D940D"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1 073 190</w:t>
            </w:r>
          </w:p>
        </w:tc>
        <w:tc>
          <w:tcPr>
            <w:tcW w:w="640" w:type="dxa"/>
            <w:tcBorders>
              <w:top w:val="nil"/>
              <w:left w:val="nil"/>
              <w:bottom w:val="nil"/>
              <w:right w:val="nil"/>
            </w:tcBorders>
            <w:shd w:val="clear" w:color="auto" w:fill="auto"/>
            <w:vAlign w:val="center"/>
            <w:hideMark/>
          </w:tcPr>
          <w:p w14:paraId="12A5A924"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80</w:t>
            </w:r>
          </w:p>
        </w:tc>
      </w:tr>
      <w:tr w:rsidR="008A4BCF" w:rsidRPr="001724FB" w14:paraId="03D7DF5F" w14:textId="77777777" w:rsidTr="00B44AC3">
        <w:trPr>
          <w:trHeight w:val="283"/>
        </w:trPr>
        <w:tc>
          <w:tcPr>
            <w:tcW w:w="1763" w:type="dxa"/>
            <w:vMerge/>
            <w:tcBorders>
              <w:top w:val="nil"/>
              <w:left w:val="nil"/>
              <w:bottom w:val="single" w:sz="8" w:space="0" w:color="000000"/>
              <w:right w:val="nil"/>
            </w:tcBorders>
            <w:vAlign w:val="center"/>
            <w:hideMark/>
          </w:tcPr>
          <w:p w14:paraId="2B350A13" w14:textId="77777777" w:rsidR="008A4BCF" w:rsidRPr="001724FB" w:rsidRDefault="008A4BCF" w:rsidP="00B44AC3">
            <w:pPr>
              <w:spacing w:after="0" w:line="240" w:lineRule="auto"/>
              <w:jc w:val="left"/>
              <w:rPr>
                <w:rFonts w:eastAsia="Times New Roman" w:cs="Segoe UI"/>
                <w:color w:val="000000"/>
                <w:sz w:val="18"/>
                <w:szCs w:val="18"/>
                <w:lang w:eastAsia="sk-SK"/>
              </w:rPr>
            </w:pPr>
          </w:p>
        </w:tc>
        <w:tc>
          <w:tcPr>
            <w:tcW w:w="4191" w:type="dxa"/>
            <w:tcBorders>
              <w:top w:val="nil"/>
              <w:left w:val="nil"/>
              <w:bottom w:val="single" w:sz="8" w:space="0" w:color="auto"/>
              <w:right w:val="nil"/>
            </w:tcBorders>
            <w:shd w:val="clear" w:color="auto" w:fill="auto"/>
            <w:vAlign w:val="center"/>
            <w:hideMark/>
          </w:tcPr>
          <w:p w14:paraId="2CD050FF" w14:textId="77777777" w:rsidR="008A4BCF" w:rsidRPr="001724FB" w:rsidRDefault="008A4BCF" w:rsidP="00B44AC3">
            <w:pPr>
              <w:spacing w:after="0" w:line="240" w:lineRule="auto"/>
              <w:jc w:val="left"/>
              <w:rPr>
                <w:rFonts w:eastAsia="Times New Roman" w:cs="Segoe UI"/>
                <w:color w:val="000000"/>
                <w:sz w:val="18"/>
                <w:szCs w:val="18"/>
                <w:lang w:eastAsia="sk-SK"/>
              </w:rPr>
            </w:pPr>
            <w:r w:rsidRPr="001724FB">
              <w:rPr>
                <w:rFonts w:eastAsia="Times New Roman" w:cs="Segoe UI"/>
                <w:color w:val="000000"/>
                <w:sz w:val="18"/>
                <w:szCs w:val="18"/>
                <w:lang w:eastAsia="sk-SK"/>
              </w:rPr>
              <w:t>Programovo nealokované</w:t>
            </w:r>
          </w:p>
        </w:tc>
        <w:tc>
          <w:tcPr>
            <w:tcW w:w="1276" w:type="dxa"/>
            <w:tcBorders>
              <w:top w:val="nil"/>
              <w:left w:val="nil"/>
              <w:bottom w:val="single" w:sz="8" w:space="0" w:color="auto"/>
              <w:right w:val="nil"/>
            </w:tcBorders>
            <w:shd w:val="clear" w:color="auto" w:fill="auto"/>
            <w:vAlign w:val="center"/>
            <w:hideMark/>
          </w:tcPr>
          <w:p w14:paraId="4EC01529"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5 577 528</w:t>
            </w:r>
          </w:p>
        </w:tc>
        <w:tc>
          <w:tcPr>
            <w:tcW w:w="1200" w:type="dxa"/>
            <w:tcBorders>
              <w:top w:val="nil"/>
              <w:left w:val="nil"/>
              <w:bottom w:val="single" w:sz="8" w:space="0" w:color="auto"/>
              <w:right w:val="nil"/>
            </w:tcBorders>
            <w:shd w:val="clear" w:color="auto" w:fill="auto"/>
            <w:vAlign w:val="center"/>
            <w:hideMark/>
          </w:tcPr>
          <w:p w14:paraId="39F8AD85"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2 353 895</w:t>
            </w:r>
          </w:p>
        </w:tc>
        <w:tc>
          <w:tcPr>
            <w:tcW w:w="640" w:type="dxa"/>
            <w:tcBorders>
              <w:top w:val="nil"/>
              <w:left w:val="nil"/>
              <w:bottom w:val="single" w:sz="8" w:space="0" w:color="auto"/>
              <w:right w:val="nil"/>
            </w:tcBorders>
            <w:shd w:val="clear" w:color="auto" w:fill="auto"/>
            <w:vAlign w:val="center"/>
            <w:hideMark/>
          </w:tcPr>
          <w:p w14:paraId="1425A92D" w14:textId="77777777" w:rsidR="008A4BCF" w:rsidRPr="001724FB" w:rsidRDefault="008A4BCF" w:rsidP="00B44AC3">
            <w:pPr>
              <w:spacing w:after="0" w:line="240" w:lineRule="auto"/>
              <w:jc w:val="right"/>
              <w:rPr>
                <w:rFonts w:eastAsia="Times New Roman" w:cs="Segoe UI"/>
                <w:color w:val="000000"/>
                <w:sz w:val="18"/>
                <w:szCs w:val="18"/>
                <w:lang w:eastAsia="sk-SK"/>
              </w:rPr>
            </w:pPr>
            <w:r>
              <w:rPr>
                <w:rFonts w:cs="Segoe UI"/>
                <w:color w:val="000000"/>
                <w:sz w:val="18"/>
                <w:szCs w:val="18"/>
              </w:rPr>
              <w:t>42</w:t>
            </w:r>
          </w:p>
        </w:tc>
      </w:tr>
    </w:tbl>
    <w:p w14:paraId="0BA0DF96" w14:textId="77777777" w:rsidR="008A4BCF" w:rsidRPr="0094788A" w:rsidRDefault="008A4BCF" w:rsidP="008A4BCF">
      <w:pPr>
        <w:rPr>
          <w:sz w:val="16"/>
          <w:szCs w:val="16"/>
        </w:rPr>
      </w:pPr>
      <w:r w:rsidRPr="0094788A">
        <w:rPr>
          <w:rFonts w:eastAsia="Calibri" w:cs="Segoe UI"/>
          <w:i/>
          <w:iCs/>
          <w:color w:val="44546A"/>
          <w:sz w:val="16"/>
          <w:szCs w:val="16"/>
        </w:rPr>
        <w:t>Zdroj: RIS BI, MF SR</w:t>
      </w:r>
      <w:r>
        <w:rPr>
          <w:rFonts w:eastAsia="Calibri" w:cs="Segoe UI"/>
          <w:i/>
          <w:iCs/>
          <w:color w:val="44546A"/>
          <w:sz w:val="16"/>
          <w:szCs w:val="16"/>
        </w:rPr>
        <w:t>.</w:t>
      </w:r>
    </w:p>
    <w:p w14:paraId="35AE2714" w14:textId="77777777" w:rsidR="008A4BCF" w:rsidRDefault="008A4BCF" w:rsidP="008A4BCF">
      <w:pPr>
        <w:pStyle w:val="Zdroj"/>
        <w:spacing w:after="0"/>
      </w:pPr>
    </w:p>
    <w:p w14:paraId="751DFCD5" w14:textId="77777777" w:rsidR="008A4BCF" w:rsidRPr="00322F02" w:rsidRDefault="008A4BCF" w:rsidP="008A4BCF">
      <w:pPr>
        <w:spacing w:after="0"/>
        <w:rPr>
          <w:rFonts w:eastAsia="Calibri" w:cs="Times New Roman"/>
          <w:b/>
          <w:color w:val="314364" w:themeColor="text2"/>
          <w:szCs w:val="18"/>
        </w:rPr>
      </w:pPr>
      <w:r w:rsidRPr="00322F02">
        <w:rPr>
          <w:rFonts w:eastAsia="Calibri" w:cs="Times New Roman"/>
          <w:b/>
          <w:color w:val="314364" w:themeColor="text2"/>
          <w:szCs w:val="18"/>
        </w:rPr>
        <w:lastRenderedPageBreak/>
        <w:t>Tabuľka 8: Sumár NFV poskytnutých od 2018 do 2023 zo ŠFA (v eur</w:t>
      </w:r>
      <w:r>
        <w:rPr>
          <w:rFonts w:eastAsia="Calibri" w:cs="Times New Roman"/>
          <w:b/>
          <w:color w:val="314364" w:themeColor="text2"/>
          <w:szCs w:val="18"/>
        </w:rPr>
        <w:t>ách</w:t>
      </w:r>
      <w:r w:rsidRPr="00322F02">
        <w:rPr>
          <w:rFonts w:eastAsia="Calibri" w:cs="Times New Roman"/>
          <w:b/>
          <w:color w:val="314364" w:themeColor="text2"/>
          <w:szCs w:val="18"/>
        </w:rPr>
        <w:t>)</w:t>
      </w:r>
    </w:p>
    <w:tbl>
      <w:tblPr>
        <w:tblW w:w="9720" w:type="dxa"/>
        <w:tblInd w:w="-10" w:type="dxa"/>
        <w:tblBorders>
          <w:insideH w:val="single" w:sz="4" w:space="0" w:color="314364" w:themeColor="text2"/>
        </w:tblBorders>
        <w:tblCellMar>
          <w:left w:w="70" w:type="dxa"/>
          <w:right w:w="70" w:type="dxa"/>
        </w:tblCellMar>
        <w:tblLook w:val="04A0" w:firstRow="1" w:lastRow="0" w:firstColumn="1" w:lastColumn="0" w:noHBand="0" w:noVBand="1"/>
      </w:tblPr>
      <w:tblGrid>
        <w:gridCol w:w="1363"/>
        <w:gridCol w:w="2758"/>
        <w:gridCol w:w="1134"/>
        <w:gridCol w:w="992"/>
        <w:gridCol w:w="1134"/>
        <w:gridCol w:w="2339"/>
      </w:tblGrid>
      <w:tr w:rsidR="008A4BCF" w:rsidRPr="00123812" w14:paraId="5EE6FFE0" w14:textId="77777777" w:rsidTr="00B44AC3">
        <w:trPr>
          <w:trHeight w:val="331"/>
        </w:trPr>
        <w:tc>
          <w:tcPr>
            <w:tcW w:w="1363" w:type="dxa"/>
            <w:vMerge w:val="restart"/>
            <w:shd w:val="clear" w:color="auto" w:fill="314364" w:themeFill="text2"/>
            <w:noWrap/>
            <w:vAlign w:val="center"/>
            <w:hideMark/>
          </w:tcPr>
          <w:p w14:paraId="1A797E07" w14:textId="77777777" w:rsidR="008A4BCF" w:rsidRPr="00DB26F8" w:rsidRDefault="008A4BCF" w:rsidP="00B44AC3">
            <w:pPr>
              <w:spacing w:after="0"/>
              <w:jc w:val="left"/>
              <w:rPr>
                <w:rFonts w:eastAsia="Times New Roman" w:cs="Segoe UI"/>
                <w:b/>
                <w:color w:val="FFFFFF" w:themeColor="background1"/>
                <w:sz w:val="16"/>
                <w:szCs w:val="16"/>
                <w:lang w:eastAsia="sk-SK"/>
              </w:rPr>
            </w:pPr>
            <w:r w:rsidRPr="00DB26F8">
              <w:rPr>
                <w:rFonts w:eastAsia="Times New Roman" w:cs="Segoe UI"/>
                <w:b/>
                <w:color w:val="FFFFFF" w:themeColor="background1"/>
                <w:sz w:val="16"/>
                <w:szCs w:val="16"/>
                <w:lang w:eastAsia="sk-SK"/>
              </w:rPr>
              <w:t>Názov subjektu</w:t>
            </w:r>
          </w:p>
        </w:tc>
        <w:tc>
          <w:tcPr>
            <w:tcW w:w="2758" w:type="dxa"/>
            <w:vMerge w:val="restart"/>
            <w:shd w:val="clear" w:color="auto" w:fill="314364" w:themeFill="text2"/>
            <w:noWrap/>
            <w:vAlign w:val="center"/>
            <w:hideMark/>
          </w:tcPr>
          <w:p w14:paraId="41E495C1" w14:textId="77777777" w:rsidR="008A4BCF" w:rsidRPr="00DB26F8" w:rsidRDefault="008A4BCF" w:rsidP="00B44AC3">
            <w:pPr>
              <w:spacing w:after="0"/>
              <w:jc w:val="left"/>
              <w:rPr>
                <w:rFonts w:eastAsia="Times New Roman" w:cs="Segoe UI"/>
                <w:b/>
                <w:color w:val="FFFFFF" w:themeColor="background1"/>
                <w:sz w:val="16"/>
                <w:szCs w:val="16"/>
                <w:lang w:eastAsia="sk-SK"/>
              </w:rPr>
            </w:pPr>
            <w:r w:rsidRPr="00DB26F8">
              <w:rPr>
                <w:rFonts w:eastAsia="Times New Roman" w:cs="Segoe UI"/>
                <w:b/>
                <w:color w:val="FFFFFF" w:themeColor="background1"/>
                <w:sz w:val="16"/>
                <w:szCs w:val="16"/>
                <w:lang w:eastAsia="sk-SK"/>
              </w:rPr>
              <w:t>Účel NFV (stručne)</w:t>
            </w:r>
          </w:p>
        </w:tc>
        <w:tc>
          <w:tcPr>
            <w:tcW w:w="1134" w:type="dxa"/>
            <w:vMerge w:val="restart"/>
            <w:shd w:val="clear" w:color="auto" w:fill="314364" w:themeFill="text2"/>
            <w:vAlign w:val="center"/>
            <w:hideMark/>
          </w:tcPr>
          <w:p w14:paraId="7951E454" w14:textId="77777777" w:rsidR="008A4BCF" w:rsidRPr="00DB26F8" w:rsidRDefault="008A4BCF" w:rsidP="00B44AC3">
            <w:pPr>
              <w:spacing w:after="0"/>
              <w:jc w:val="right"/>
              <w:rPr>
                <w:rFonts w:eastAsia="Times New Roman" w:cs="Segoe UI"/>
                <w:b/>
                <w:color w:val="FFFFFF" w:themeColor="background1"/>
                <w:sz w:val="16"/>
                <w:szCs w:val="16"/>
                <w:lang w:eastAsia="sk-SK"/>
              </w:rPr>
            </w:pPr>
            <w:r w:rsidRPr="00DB26F8">
              <w:rPr>
                <w:rFonts w:eastAsia="Times New Roman" w:cs="Segoe UI"/>
                <w:b/>
                <w:color w:val="FFFFFF" w:themeColor="background1"/>
                <w:sz w:val="16"/>
                <w:szCs w:val="16"/>
                <w:lang w:eastAsia="sk-SK"/>
              </w:rPr>
              <w:t xml:space="preserve">poskytnuté </w:t>
            </w:r>
            <w:r w:rsidRPr="00DB26F8">
              <w:rPr>
                <w:rFonts w:eastAsia="Times New Roman" w:cs="Segoe UI"/>
                <w:b/>
                <w:color w:val="FFFFFF" w:themeColor="background1"/>
                <w:sz w:val="16"/>
                <w:szCs w:val="16"/>
                <w:lang w:eastAsia="sk-SK"/>
              </w:rPr>
              <w:br/>
              <w:t>2018-2023</w:t>
            </w:r>
          </w:p>
        </w:tc>
        <w:tc>
          <w:tcPr>
            <w:tcW w:w="992" w:type="dxa"/>
            <w:vMerge w:val="restart"/>
            <w:shd w:val="clear" w:color="auto" w:fill="314364" w:themeFill="text2"/>
            <w:vAlign w:val="center"/>
            <w:hideMark/>
          </w:tcPr>
          <w:p w14:paraId="55B154D6" w14:textId="77777777" w:rsidR="008A4BCF" w:rsidRPr="00DB26F8" w:rsidRDefault="008A4BCF" w:rsidP="00B44AC3">
            <w:pPr>
              <w:spacing w:after="0"/>
              <w:jc w:val="right"/>
              <w:rPr>
                <w:rFonts w:eastAsia="Times New Roman" w:cs="Segoe UI"/>
                <w:b/>
                <w:color w:val="FFFFFF" w:themeColor="background1"/>
                <w:sz w:val="16"/>
                <w:szCs w:val="16"/>
                <w:lang w:eastAsia="sk-SK"/>
              </w:rPr>
            </w:pPr>
            <w:r w:rsidRPr="00DB26F8">
              <w:rPr>
                <w:rFonts w:eastAsia="Times New Roman" w:cs="Segoe UI"/>
                <w:b/>
                <w:color w:val="FFFFFF" w:themeColor="background1"/>
                <w:sz w:val="16"/>
                <w:szCs w:val="16"/>
                <w:lang w:eastAsia="sk-SK"/>
              </w:rPr>
              <w:t xml:space="preserve">splatené </w:t>
            </w:r>
            <w:r w:rsidRPr="00DB26F8">
              <w:rPr>
                <w:rFonts w:eastAsia="Times New Roman" w:cs="Segoe UI"/>
                <w:b/>
                <w:color w:val="FFFFFF" w:themeColor="background1"/>
                <w:sz w:val="16"/>
                <w:szCs w:val="16"/>
                <w:lang w:eastAsia="sk-SK"/>
              </w:rPr>
              <w:br/>
              <w:t>2018-2023</w:t>
            </w:r>
          </w:p>
        </w:tc>
        <w:tc>
          <w:tcPr>
            <w:tcW w:w="1134" w:type="dxa"/>
            <w:vMerge w:val="restart"/>
            <w:shd w:val="clear" w:color="auto" w:fill="314364" w:themeFill="text2"/>
            <w:noWrap/>
            <w:vAlign w:val="center"/>
            <w:hideMark/>
          </w:tcPr>
          <w:p w14:paraId="0F108C5B" w14:textId="77777777" w:rsidR="008A4BCF" w:rsidRPr="00DB26F8" w:rsidRDefault="008A4BCF" w:rsidP="00B44AC3">
            <w:pPr>
              <w:spacing w:after="0"/>
              <w:jc w:val="right"/>
              <w:rPr>
                <w:rFonts w:eastAsia="Times New Roman" w:cs="Segoe UI"/>
                <w:b/>
                <w:color w:val="FFFFFF" w:themeColor="background1"/>
                <w:sz w:val="16"/>
                <w:szCs w:val="16"/>
                <w:lang w:eastAsia="sk-SK"/>
              </w:rPr>
            </w:pPr>
            <w:r w:rsidRPr="00DB26F8">
              <w:rPr>
                <w:rFonts w:eastAsia="Times New Roman" w:cs="Segoe UI"/>
                <w:b/>
                <w:color w:val="FFFFFF" w:themeColor="background1"/>
                <w:sz w:val="16"/>
                <w:szCs w:val="16"/>
                <w:lang w:eastAsia="sk-SK"/>
              </w:rPr>
              <w:t>Saldo</w:t>
            </w:r>
          </w:p>
        </w:tc>
        <w:tc>
          <w:tcPr>
            <w:tcW w:w="2339" w:type="dxa"/>
            <w:vMerge w:val="restart"/>
            <w:shd w:val="clear" w:color="auto" w:fill="314364" w:themeFill="text2"/>
            <w:noWrap/>
            <w:vAlign w:val="center"/>
            <w:hideMark/>
          </w:tcPr>
          <w:p w14:paraId="08E54725" w14:textId="77777777" w:rsidR="008A4BCF" w:rsidRPr="00DB26F8" w:rsidRDefault="008A4BCF" w:rsidP="00B44AC3">
            <w:pPr>
              <w:spacing w:after="0"/>
              <w:jc w:val="left"/>
              <w:rPr>
                <w:rFonts w:eastAsia="Times New Roman" w:cs="Segoe UI"/>
                <w:b/>
                <w:color w:val="FFFFFF" w:themeColor="background1"/>
                <w:sz w:val="16"/>
                <w:szCs w:val="16"/>
                <w:lang w:eastAsia="sk-SK"/>
              </w:rPr>
            </w:pPr>
            <w:r w:rsidRPr="00DB26F8">
              <w:rPr>
                <w:rFonts w:eastAsia="Times New Roman" w:cs="Segoe UI"/>
                <w:b/>
                <w:color w:val="FFFFFF" w:themeColor="background1"/>
                <w:sz w:val="16"/>
                <w:szCs w:val="16"/>
                <w:lang w:eastAsia="sk-SK"/>
              </w:rPr>
              <w:t>Splatnosť</w:t>
            </w:r>
          </w:p>
        </w:tc>
      </w:tr>
      <w:tr w:rsidR="008A4BCF" w:rsidRPr="00123812" w14:paraId="3D3EFEFD" w14:textId="77777777" w:rsidTr="00B44AC3">
        <w:trPr>
          <w:trHeight w:val="447"/>
        </w:trPr>
        <w:tc>
          <w:tcPr>
            <w:tcW w:w="1363" w:type="dxa"/>
            <w:vMerge/>
            <w:shd w:val="clear" w:color="auto" w:fill="314364" w:themeFill="text2"/>
            <w:vAlign w:val="center"/>
            <w:hideMark/>
          </w:tcPr>
          <w:p w14:paraId="5EF31F5F" w14:textId="77777777" w:rsidR="008A4BCF" w:rsidRPr="00DB26F8" w:rsidRDefault="008A4BCF" w:rsidP="00B44AC3">
            <w:pPr>
              <w:spacing w:after="0"/>
              <w:jc w:val="left"/>
              <w:rPr>
                <w:rFonts w:eastAsia="Times New Roman" w:cs="Segoe UI"/>
                <w:color w:val="000000"/>
                <w:sz w:val="16"/>
                <w:szCs w:val="16"/>
                <w:lang w:eastAsia="sk-SK"/>
              </w:rPr>
            </w:pPr>
          </w:p>
        </w:tc>
        <w:tc>
          <w:tcPr>
            <w:tcW w:w="2758" w:type="dxa"/>
            <w:vMerge/>
            <w:shd w:val="clear" w:color="auto" w:fill="314364" w:themeFill="text2"/>
            <w:vAlign w:val="center"/>
            <w:hideMark/>
          </w:tcPr>
          <w:p w14:paraId="3007680A" w14:textId="77777777" w:rsidR="008A4BCF" w:rsidRPr="00DB26F8" w:rsidRDefault="008A4BCF" w:rsidP="00B44AC3">
            <w:pPr>
              <w:spacing w:after="0"/>
              <w:jc w:val="left"/>
              <w:rPr>
                <w:rFonts w:eastAsia="Times New Roman" w:cs="Segoe UI"/>
                <w:color w:val="000000"/>
                <w:sz w:val="16"/>
                <w:szCs w:val="16"/>
                <w:lang w:eastAsia="sk-SK"/>
              </w:rPr>
            </w:pPr>
          </w:p>
        </w:tc>
        <w:tc>
          <w:tcPr>
            <w:tcW w:w="1134" w:type="dxa"/>
            <w:vMerge/>
            <w:shd w:val="clear" w:color="auto" w:fill="314364" w:themeFill="text2"/>
            <w:vAlign w:val="center"/>
            <w:hideMark/>
          </w:tcPr>
          <w:p w14:paraId="272F0A05" w14:textId="77777777" w:rsidR="008A4BCF" w:rsidRPr="00DB26F8" w:rsidRDefault="008A4BCF" w:rsidP="00B44AC3">
            <w:pPr>
              <w:spacing w:after="0"/>
              <w:jc w:val="right"/>
              <w:rPr>
                <w:rFonts w:eastAsia="Times New Roman" w:cs="Segoe UI"/>
                <w:color w:val="000000"/>
                <w:sz w:val="16"/>
                <w:szCs w:val="16"/>
                <w:lang w:eastAsia="sk-SK"/>
              </w:rPr>
            </w:pPr>
          </w:p>
        </w:tc>
        <w:tc>
          <w:tcPr>
            <w:tcW w:w="992" w:type="dxa"/>
            <w:vMerge/>
            <w:shd w:val="clear" w:color="auto" w:fill="314364" w:themeFill="text2"/>
            <w:vAlign w:val="center"/>
            <w:hideMark/>
          </w:tcPr>
          <w:p w14:paraId="52A0391B" w14:textId="77777777" w:rsidR="008A4BCF" w:rsidRPr="00DB26F8" w:rsidRDefault="008A4BCF" w:rsidP="00B44AC3">
            <w:pPr>
              <w:spacing w:after="0"/>
              <w:jc w:val="right"/>
              <w:rPr>
                <w:rFonts w:eastAsia="Times New Roman" w:cs="Segoe UI"/>
                <w:color w:val="000000"/>
                <w:sz w:val="16"/>
                <w:szCs w:val="16"/>
                <w:lang w:eastAsia="sk-SK"/>
              </w:rPr>
            </w:pPr>
          </w:p>
        </w:tc>
        <w:tc>
          <w:tcPr>
            <w:tcW w:w="1134" w:type="dxa"/>
            <w:vMerge/>
            <w:shd w:val="clear" w:color="auto" w:fill="314364" w:themeFill="text2"/>
            <w:vAlign w:val="center"/>
            <w:hideMark/>
          </w:tcPr>
          <w:p w14:paraId="67BBB219" w14:textId="77777777" w:rsidR="008A4BCF" w:rsidRPr="00DB26F8" w:rsidRDefault="008A4BCF" w:rsidP="00B44AC3">
            <w:pPr>
              <w:spacing w:after="0"/>
              <w:jc w:val="right"/>
              <w:rPr>
                <w:rFonts w:eastAsia="Times New Roman" w:cs="Segoe UI"/>
                <w:color w:val="000000"/>
                <w:sz w:val="16"/>
                <w:szCs w:val="16"/>
                <w:lang w:eastAsia="sk-SK"/>
              </w:rPr>
            </w:pPr>
          </w:p>
        </w:tc>
        <w:tc>
          <w:tcPr>
            <w:tcW w:w="2339" w:type="dxa"/>
            <w:vMerge/>
            <w:shd w:val="clear" w:color="auto" w:fill="314364" w:themeFill="text2"/>
            <w:vAlign w:val="center"/>
            <w:hideMark/>
          </w:tcPr>
          <w:p w14:paraId="26AC5B80" w14:textId="77777777" w:rsidR="008A4BCF" w:rsidRPr="00DB26F8" w:rsidRDefault="008A4BCF" w:rsidP="00B44AC3">
            <w:pPr>
              <w:spacing w:after="0"/>
              <w:jc w:val="left"/>
              <w:rPr>
                <w:rFonts w:eastAsia="Times New Roman" w:cs="Segoe UI"/>
                <w:color w:val="000000"/>
                <w:sz w:val="16"/>
                <w:szCs w:val="16"/>
                <w:lang w:eastAsia="sk-SK"/>
              </w:rPr>
            </w:pPr>
          </w:p>
        </w:tc>
      </w:tr>
      <w:tr w:rsidR="008A4BCF" w:rsidRPr="00123812" w14:paraId="04773C78" w14:textId="77777777" w:rsidTr="00B44AC3">
        <w:trPr>
          <w:trHeight w:val="20"/>
        </w:trPr>
        <w:tc>
          <w:tcPr>
            <w:tcW w:w="1363" w:type="dxa"/>
            <w:shd w:val="clear" w:color="auto" w:fill="auto"/>
            <w:vAlign w:val="center"/>
            <w:hideMark/>
          </w:tcPr>
          <w:p w14:paraId="34C9004F" w14:textId="77777777" w:rsidR="008A4BCF" w:rsidRPr="00DB26F8" w:rsidRDefault="008A4BCF" w:rsidP="00B44AC3">
            <w:pPr>
              <w:spacing w:after="0"/>
              <w:jc w:val="left"/>
              <w:rPr>
                <w:rFonts w:eastAsia="Times New Roman" w:cs="Segoe UI"/>
                <w:b/>
                <w:color w:val="000000"/>
                <w:sz w:val="16"/>
                <w:szCs w:val="16"/>
                <w:lang w:eastAsia="sk-SK"/>
              </w:rPr>
            </w:pPr>
            <w:r w:rsidRPr="00DB26F8">
              <w:rPr>
                <w:rFonts w:eastAsia="Times New Roman" w:cs="Segoe UI"/>
                <w:b/>
                <w:color w:val="000000"/>
                <w:sz w:val="16"/>
                <w:szCs w:val="16"/>
                <w:lang w:eastAsia="sk-SK"/>
              </w:rPr>
              <w:t>Obce a VÚC - výpadok DPFO</w:t>
            </w:r>
          </w:p>
        </w:tc>
        <w:tc>
          <w:tcPr>
            <w:tcW w:w="2758" w:type="dxa"/>
            <w:shd w:val="clear" w:color="auto" w:fill="auto"/>
            <w:vAlign w:val="center"/>
            <w:hideMark/>
          </w:tcPr>
          <w:p w14:paraId="1E1DACB8" w14:textId="77777777" w:rsidR="008A4BCF" w:rsidRPr="00DB26F8" w:rsidRDefault="008A4BCF" w:rsidP="00B44AC3">
            <w:pPr>
              <w:spacing w:after="0"/>
              <w:jc w:val="left"/>
              <w:rPr>
                <w:rFonts w:eastAsia="Times New Roman" w:cs="Segoe UI"/>
                <w:color w:val="000000"/>
                <w:sz w:val="16"/>
                <w:szCs w:val="16"/>
                <w:lang w:eastAsia="sk-SK"/>
              </w:rPr>
            </w:pPr>
            <w:r w:rsidRPr="00DB26F8">
              <w:rPr>
                <w:rFonts w:eastAsia="Times New Roman" w:cs="Segoe UI"/>
                <w:color w:val="000000"/>
                <w:sz w:val="16"/>
                <w:szCs w:val="16"/>
                <w:lang w:eastAsia="sk-SK"/>
              </w:rPr>
              <w:t>Na základe uznesenia vlády č. 494/2020 na kompenzáciu výpadku DPFO súvisiacich s COVID-19</w:t>
            </w:r>
          </w:p>
        </w:tc>
        <w:tc>
          <w:tcPr>
            <w:tcW w:w="1134" w:type="dxa"/>
            <w:shd w:val="clear" w:color="auto" w:fill="auto"/>
            <w:noWrap/>
            <w:vAlign w:val="center"/>
            <w:hideMark/>
          </w:tcPr>
          <w:p w14:paraId="7377D666" w14:textId="77777777" w:rsidR="008A4BCF" w:rsidRPr="00DB26F8" w:rsidRDefault="008A4BCF" w:rsidP="00B44AC3">
            <w:pPr>
              <w:spacing w:after="0"/>
              <w:jc w:val="right"/>
              <w:rPr>
                <w:rFonts w:eastAsia="Times New Roman" w:cs="Segoe UI"/>
                <w:color w:val="000000"/>
                <w:sz w:val="16"/>
                <w:szCs w:val="16"/>
                <w:lang w:eastAsia="sk-SK"/>
              </w:rPr>
            </w:pPr>
            <w:r w:rsidRPr="00DB26F8">
              <w:rPr>
                <w:rFonts w:eastAsia="Times New Roman" w:cs="Segoe UI"/>
                <w:color w:val="000000"/>
                <w:sz w:val="16"/>
                <w:szCs w:val="16"/>
                <w:lang w:eastAsia="sk-SK"/>
              </w:rPr>
              <w:t>151 919 185</w:t>
            </w:r>
          </w:p>
        </w:tc>
        <w:tc>
          <w:tcPr>
            <w:tcW w:w="992" w:type="dxa"/>
            <w:shd w:val="clear" w:color="auto" w:fill="auto"/>
            <w:vAlign w:val="center"/>
            <w:hideMark/>
          </w:tcPr>
          <w:p w14:paraId="5768F2CD" w14:textId="77777777" w:rsidR="008A4BCF" w:rsidRPr="00DB26F8" w:rsidRDefault="008A4BCF" w:rsidP="00B44AC3">
            <w:pPr>
              <w:spacing w:after="0"/>
              <w:jc w:val="right"/>
              <w:rPr>
                <w:rFonts w:eastAsia="Times New Roman" w:cs="Segoe UI"/>
                <w:sz w:val="16"/>
                <w:szCs w:val="16"/>
                <w:lang w:eastAsia="sk-SK"/>
              </w:rPr>
            </w:pPr>
            <w:r w:rsidRPr="00DB26F8">
              <w:rPr>
                <w:rFonts w:eastAsia="Times New Roman" w:cs="Segoe UI"/>
                <w:sz w:val="16"/>
                <w:szCs w:val="16"/>
                <w:lang w:eastAsia="sk-SK"/>
              </w:rPr>
              <w:t>96 679</w:t>
            </w:r>
          </w:p>
        </w:tc>
        <w:tc>
          <w:tcPr>
            <w:tcW w:w="1134" w:type="dxa"/>
            <w:shd w:val="clear" w:color="auto" w:fill="auto"/>
            <w:noWrap/>
            <w:vAlign w:val="center"/>
            <w:hideMark/>
          </w:tcPr>
          <w:p w14:paraId="7037841A" w14:textId="77777777" w:rsidR="008A4BCF" w:rsidRPr="00DB26F8" w:rsidRDefault="008A4BCF" w:rsidP="00B44AC3">
            <w:pPr>
              <w:spacing w:after="0"/>
              <w:jc w:val="right"/>
              <w:rPr>
                <w:rFonts w:eastAsia="Times New Roman" w:cs="Segoe UI"/>
                <w:color w:val="000000"/>
                <w:sz w:val="16"/>
                <w:szCs w:val="16"/>
                <w:lang w:eastAsia="sk-SK"/>
              </w:rPr>
            </w:pPr>
            <w:r w:rsidRPr="00DB26F8">
              <w:rPr>
                <w:rFonts w:eastAsia="Times New Roman" w:cs="Segoe UI"/>
                <w:color w:val="000000"/>
                <w:sz w:val="16"/>
                <w:szCs w:val="16"/>
                <w:lang w:eastAsia="sk-SK"/>
              </w:rPr>
              <w:t>151 822 506</w:t>
            </w:r>
          </w:p>
        </w:tc>
        <w:tc>
          <w:tcPr>
            <w:tcW w:w="2339" w:type="dxa"/>
            <w:shd w:val="clear" w:color="auto" w:fill="auto"/>
            <w:vAlign w:val="center"/>
            <w:hideMark/>
          </w:tcPr>
          <w:p w14:paraId="1CD3CD49" w14:textId="77777777" w:rsidR="008A4BCF" w:rsidRPr="00DB26F8" w:rsidRDefault="008A4BCF" w:rsidP="00B44AC3">
            <w:pPr>
              <w:spacing w:after="0"/>
              <w:jc w:val="left"/>
              <w:rPr>
                <w:rFonts w:eastAsia="Times New Roman" w:cs="Segoe UI"/>
                <w:color w:val="000000"/>
                <w:sz w:val="16"/>
                <w:szCs w:val="16"/>
                <w:lang w:eastAsia="sk-SK"/>
              </w:rPr>
            </w:pPr>
            <w:r w:rsidRPr="00DB26F8">
              <w:rPr>
                <w:rFonts w:eastAsia="Times New Roman" w:cs="Segoe UI"/>
                <w:color w:val="000000"/>
                <w:sz w:val="16"/>
                <w:szCs w:val="16"/>
                <w:lang w:eastAsia="sk-SK"/>
              </w:rPr>
              <w:t>odpustené (odpísané) vo výške 152 mil. eur v 2023 na základe uznesenia vlády č. 459/2023</w:t>
            </w:r>
          </w:p>
        </w:tc>
      </w:tr>
      <w:tr w:rsidR="008A4BCF" w:rsidRPr="00123812" w14:paraId="7C80CA65" w14:textId="77777777" w:rsidTr="00B44AC3">
        <w:trPr>
          <w:trHeight w:val="20"/>
        </w:trPr>
        <w:tc>
          <w:tcPr>
            <w:tcW w:w="1363" w:type="dxa"/>
            <w:shd w:val="clear" w:color="auto" w:fill="auto"/>
            <w:vAlign w:val="center"/>
            <w:hideMark/>
          </w:tcPr>
          <w:p w14:paraId="6D577DFD" w14:textId="77777777" w:rsidR="008A4BCF" w:rsidRPr="00DB26F8" w:rsidRDefault="008A4BCF" w:rsidP="00B44AC3">
            <w:pPr>
              <w:spacing w:after="0"/>
              <w:jc w:val="left"/>
              <w:rPr>
                <w:rFonts w:eastAsia="Times New Roman" w:cs="Segoe UI"/>
                <w:b/>
                <w:color w:val="000000"/>
                <w:sz w:val="16"/>
                <w:szCs w:val="16"/>
                <w:lang w:eastAsia="sk-SK"/>
              </w:rPr>
            </w:pPr>
            <w:r>
              <w:rPr>
                <w:rFonts w:eastAsia="Times New Roman" w:cs="Segoe UI"/>
                <w:b/>
                <w:color w:val="000000"/>
                <w:sz w:val="16"/>
                <w:szCs w:val="16"/>
                <w:lang w:eastAsia="sk-SK"/>
              </w:rPr>
              <w:t>BSK</w:t>
            </w:r>
            <w:r w:rsidRPr="00DB26F8">
              <w:rPr>
                <w:rFonts w:eastAsia="Times New Roman" w:cs="Segoe UI"/>
                <w:b/>
                <w:color w:val="000000"/>
                <w:sz w:val="16"/>
                <w:szCs w:val="16"/>
                <w:lang w:eastAsia="sk-SK"/>
              </w:rPr>
              <w:t xml:space="preserve"> </w:t>
            </w:r>
          </w:p>
        </w:tc>
        <w:tc>
          <w:tcPr>
            <w:tcW w:w="2758" w:type="dxa"/>
            <w:shd w:val="clear" w:color="auto" w:fill="auto"/>
            <w:vAlign w:val="center"/>
            <w:hideMark/>
          </w:tcPr>
          <w:p w14:paraId="50894E2B" w14:textId="77777777" w:rsidR="008A4BCF" w:rsidRPr="00DB26F8" w:rsidRDefault="008A4BCF" w:rsidP="00B44AC3">
            <w:pPr>
              <w:spacing w:after="0"/>
              <w:jc w:val="left"/>
              <w:rPr>
                <w:rFonts w:eastAsia="Times New Roman" w:cs="Segoe UI"/>
                <w:color w:val="000000"/>
                <w:sz w:val="16"/>
                <w:szCs w:val="16"/>
                <w:lang w:eastAsia="sk-SK"/>
              </w:rPr>
            </w:pPr>
            <w:r w:rsidRPr="00DB26F8">
              <w:rPr>
                <w:rFonts w:eastAsia="Times New Roman" w:cs="Segoe UI"/>
                <w:color w:val="000000"/>
                <w:sz w:val="16"/>
                <w:szCs w:val="16"/>
                <w:lang w:eastAsia="sk-SK"/>
              </w:rPr>
              <w:t xml:space="preserve">Na opravy a rekonštrukcie ciest II. a III. triedy, vrátane súvisiacej cestnej infraštruktúry, opravy majetku a investície do majetku </w:t>
            </w:r>
          </w:p>
        </w:tc>
        <w:tc>
          <w:tcPr>
            <w:tcW w:w="1134" w:type="dxa"/>
            <w:shd w:val="clear" w:color="auto" w:fill="auto"/>
            <w:noWrap/>
            <w:vAlign w:val="center"/>
            <w:hideMark/>
          </w:tcPr>
          <w:p w14:paraId="3E8899D1" w14:textId="77777777" w:rsidR="008A4BCF" w:rsidRPr="00DB26F8" w:rsidRDefault="008A4BCF" w:rsidP="00B44AC3">
            <w:pPr>
              <w:spacing w:after="0"/>
              <w:jc w:val="right"/>
              <w:rPr>
                <w:rFonts w:eastAsia="Times New Roman" w:cs="Segoe UI"/>
                <w:color w:val="000000"/>
                <w:sz w:val="16"/>
                <w:szCs w:val="16"/>
                <w:lang w:eastAsia="sk-SK"/>
              </w:rPr>
            </w:pPr>
            <w:r w:rsidRPr="00DB26F8">
              <w:rPr>
                <w:rFonts w:eastAsia="Times New Roman" w:cs="Segoe UI"/>
                <w:color w:val="000000"/>
                <w:sz w:val="16"/>
                <w:szCs w:val="16"/>
                <w:lang w:eastAsia="sk-SK"/>
              </w:rPr>
              <w:t>25 000 000</w:t>
            </w:r>
          </w:p>
        </w:tc>
        <w:tc>
          <w:tcPr>
            <w:tcW w:w="992" w:type="dxa"/>
            <w:shd w:val="clear" w:color="auto" w:fill="auto"/>
            <w:vAlign w:val="center"/>
            <w:hideMark/>
          </w:tcPr>
          <w:p w14:paraId="1981CABC" w14:textId="77777777" w:rsidR="008A4BCF" w:rsidRPr="00DB26F8" w:rsidRDefault="008A4BCF" w:rsidP="00B44AC3">
            <w:pPr>
              <w:spacing w:after="0"/>
              <w:jc w:val="right"/>
              <w:rPr>
                <w:rFonts w:eastAsia="Times New Roman" w:cs="Segoe UI"/>
                <w:sz w:val="16"/>
                <w:szCs w:val="16"/>
                <w:lang w:eastAsia="sk-SK"/>
              </w:rPr>
            </w:pPr>
            <w:r w:rsidRPr="00DB26F8">
              <w:rPr>
                <w:rFonts w:eastAsia="Times New Roman" w:cs="Segoe UI"/>
                <w:sz w:val="16"/>
                <w:szCs w:val="16"/>
                <w:lang w:eastAsia="sk-SK"/>
              </w:rPr>
              <w:t>1 700 000</w:t>
            </w:r>
          </w:p>
        </w:tc>
        <w:tc>
          <w:tcPr>
            <w:tcW w:w="1134" w:type="dxa"/>
            <w:shd w:val="clear" w:color="auto" w:fill="auto"/>
            <w:noWrap/>
            <w:vAlign w:val="center"/>
            <w:hideMark/>
          </w:tcPr>
          <w:p w14:paraId="234B3FAD" w14:textId="77777777" w:rsidR="008A4BCF" w:rsidRPr="00DB26F8" w:rsidRDefault="008A4BCF" w:rsidP="00B44AC3">
            <w:pPr>
              <w:spacing w:after="0"/>
              <w:jc w:val="right"/>
              <w:rPr>
                <w:rFonts w:eastAsia="Times New Roman" w:cs="Segoe UI"/>
                <w:color w:val="000000"/>
                <w:sz w:val="16"/>
                <w:szCs w:val="16"/>
                <w:lang w:eastAsia="sk-SK"/>
              </w:rPr>
            </w:pPr>
            <w:r w:rsidRPr="00DB26F8">
              <w:rPr>
                <w:rFonts w:eastAsia="Times New Roman" w:cs="Segoe UI"/>
                <w:color w:val="000000"/>
                <w:sz w:val="16"/>
                <w:szCs w:val="16"/>
                <w:lang w:eastAsia="sk-SK"/>
              </w:rPr>
              <w:t>23 300 000</w:t>
            </w:r>
          </w:p>
        </w:tc>
        <w:tc>
          <w:tcPr>
            <w:tcW w:w="2339" w:type="dxa"/>
            <w:shd w:val="clear" w:color="auto" w:fill="auto"/>
            <w:vAlign w:val="center"/>
            <w:hideMark/>
          </w:tcPr>
          <w:p w14:paraId="18D69E3A" w14:textId="77777777" w:rsidR="008A4BCF" w:rsidRPr="00DB26F8" w:rsidRDefault="008A4BCF" w:rsidP="00B44AC3">
            <w:pPr>
              <w:spacing w:after="0"/>
              <w:jc w:val="left"/>
              <w:rPr>
                <w:rFonts w:eastAsia="Times New Roman" w:cs="Segoe UI"/>
                <w:color w:val="000000"/>
                <w:sz w:val="16"/>
                <w:szCs w:val="16"/>
                <w:lang w:eastAsia="sk-SK"/>
              </w:rPr>
            </w:pPr>
            <w:r w:rsidRPr="00DB26F8">
              <w:rPr>
                <w:rFonts w:eastAsia="Times New Roman" w:cs="Segoe UI"/>
                <w:color w:val="000000"/>
                <w:sz w:val="16"/>
                <w:szCs w:val="16"/>
                <w:lang w:eastAsia="sk-SK"/>
              </w:rPr>
              <w:t xml:space="preserve">raz ročne v rokoch 2023 - 2036 vo výške 1,7 mil. eur a v roku 2037 vo výške 1,2 mil. eur vždy do 30.11. </w:t>
            </w:r>
          </w:p>
        </w:tc>
      </w:tr>
      <w:tr w:rsidR="008A4BCF" w:rsidRPr="00123812" w14:paraId="71837C69" w14:textId="77777777" w:rsidTr="00B44AC3">
        <w:trPr>
          <w:trHeight w:val="20"/>
        </w:trPr>
        <w:tc>
          <w:tcPr>
            <w:tcW w:w="1363" w:type="dxa"/>
            <w:shd w:val="clear" w:color="auto" w:fill="auto"/>
            <w:vAlign w:val="center"/>
            <w:hideMark/>
          </w:tcPr>
          <w:p w14:paraId="73E16EC9" w14:textId="77777777" w:rsidR="008A4BCF" w:rsidRPr="00DB26F8" w:rsidRDefault="008A4BCF" w:rsidP="00B44AC3">
            <w:pPr>
              <w:spacing w:after="0"/>
              <w:jc w:val="left"/>
              <w:rPr>
                <w:rFonts w:eastAsia="Times New Roman" w:cs="Segoe UI"/>
                <w:b/>
                <w:color w:val="000000"/>
                <w:sz w:val="16"/>
                <w:szCs w:val="16"/>
                <w:lang w:eastAsia="sk-SK"/>
              </w:rPr>
            </w:pPr>
            <w:r>
              <w:rPr>
                <w:rFonts w:eastAsia="Times New Roman" w:cs="Segoe UI"/>
                <w:b/>
                <w:color w:val="000000"/>
                <w:sz w:val="16"/>
                <w:szCs w:val="16"/>
                <w:lang w:eastAsia="sk-SK"/>
              </w:rPr>
              <w:t>KSK</w:t>
            </w:r>
            <w:r w:rsidRPr="00DB26F8">
              <w:rPr>
                <w:rFonts w:eastAsia="Times New Roman" w:cs="Segoe UI"/>
                <w:b/>
                <w:color w:val="000000"/>
                <w:sz w:val="16"/>
                <w:szCs w:val="16"/>
                <w:lang w:eastAsia="sk-SK"/>
              </w:rPr>
              <w:t xml:space="preserve"> </w:t>
            </w:r>
          </w:p>
        </w:tc>
        <w:tc>
          <w:tcPr>
            <w:tcW w:w="2758" w:type="dxa"/>
            <w:shd w:val="clear" w:color="auto" w:fill="auto"/>
            <w:vAlign w:val="center"/>
            <w:hideMark/>
          </w:tcPr>
          <w:p w14:paraId="2A641D04" w14:textId="77777777" w:rsidR="008A4BCF" w:rsidRPr="00DB26F8" w:rsidRDefault="008A4BCF" w:rsidP="00B44AC3">
            <w:pPr>
              <w:spacing w:after="0"/>
              <w:jc w:val="left"/>
              <w:rPr>
                <w:rFonts w:eastAsia="Times New Roman" w:cs="Segoe UI"/>
                <w:color w:val="000000"/>
                <w:sz w:val="16"/>
                <w:szCs w:val="16"/>
                <w:lang w:eastAsia="sk-SK"/>
              </w:rPr>
            </w:pPr>
            <w:r w:rsidRPr="00DB26F8">
              <w:rPr>
                <w:rFonts w:eastAsia="Times New Roman" w:cs="Segoe UI"/>
                <w:color w:val="000000"/>
                <w:sz w:val="16"/>
                <w:szCs w:val="16"/>
                <w:lang w:eastAsia="sk-SK"/>
              </w:rPr>
              <w:t xml:space="preserve">Na opravy a rekonštrukcie ciest II. a III. triedy, vrátane súvisiacej cestnej infraštruktúry, opravy majetku a investície do majetku </w:t>
            </w:r>
          </w:p>
        </w:tc>
        <w:tc>
          <w:tcPr>
            <w:tcW w:w="1134" w:type="dxa"/>
            <w:shd w:val="clear" w:color="auto" w:fill="auto"/>
            <w:noWrap/>
            <w:vAlign w:val="center"/>
            <w:hideMark/>
          </w:tcPr>
          <w:p w14:paraId="5DB9F001" w14:textId="77777777" w:rsidR="008A4BCF" w:rsidRPr="00DB26F8" w:rsidRDefault="008A4BCF" w:rsidP="00B44AC3">
            <w:pPr>
              <w:spacing w:after="0"/>
              <w:jc w:val="right"/>
              <w:rPr>
                <w:rFonts w:eastAsia="Times New Roman" w:cs="Segoe UI"/>
                <w:color w:val="000000"/>
                <w:sz w:val="16"/>
                <w:szCs w:val="16"/>
                <w:lang w:eastAsia="sk-SK"/>
              </w:rPr>
            </w:pPr>
            <w:r w:rsidRPr="00DB26F8">
              <w:rPr>
                <w:rFonts w:eastAsia="Times New Roman" w:cs="Segoe UI"/>
                <w:color w:val="000000"/>
                <w:sz w:val="16"/>
                <w:szCs w:val="16"/>
                <w:lang w:eastAsia="sk-SK"/>
              </w:rPr>
              <w:t>20 000 000</w:t>
            </w:r>
          </w:p>
        </w:tc>
        <w:tc>
          <w:tcPr>
            <w:tcW w:w="992" w:type="dxa"/>
            <w:shd w:val="clear" w:color="auto" w:fill="auto"/>
            <w:vAlign w:val="center"/>
            <w:hideMark/>
          </w:tcPr>
          <w:p w14:paraId="41393021" w14:textId="77777777" w:rsidR="008A4BCF" w:rsidRPr="00DB26F8" w:rsidRDefault="008A4BCF" w:rsidP="00B44AC3">
            <w:pPr>
              <w:spacing w:after="0"/>
              <w:jc w:val="right"/>
              <w:rPr>
                <w:rFonts w:eastAsia="Times New Roman" w:cs="Segoe UI"/>
                <w:sz w:val="16"/>
                <w:szCs w:val="16"/>
                <w:lang w:eastAsia="sk-SK"/>
              </w:rPr>
            </w:pPr>
            <w:r w:rsidRPr="00DB26F8">
              <w:rPr>
                <w:rFonts w:eastAsia="Times New Roman" w:cs="Segoe UI"/>
                <w:sz w:val="16"/>
                <w:szCs w:val="16"/>
                <w:lang w:eastAsia="sk-SK"/>
              </w:rPr>
              <w:t>2 000 000</w:t>
            </w:r>
          </w:p>
        </w:tc>
        <w:tc>
          <w:tcPr>
            <w:tcW w:w="1134" w:type="dxa"/>
            <w:shd w:val="clear" w:color="auto" w:fill="auto"/>
            <w:noWrap/>
            <w:vAlign w:val="center"/>
            <w:hideMark/>
          </w:tcPr>
          <w:p w14:paraId="49F82CB1" w14:textId="77777777" w:rsidR="008A4BCF" w:rsidRPr="00DB26F8" w:rsidRDefault="008A4BCF" w:rsidP="00B44AC3">
            <w:pPr>
              <w:spacing w:after="0"/>
              <w:jc w:val="right"/>
              <w:rPr>
                <w:rFonts w:eastAsia="Times New Roman" w:cs="Segoe UI"/>
                <w:color w:val="000000"/>
                <w:sz w:val="16"/>
                <w:szCs w:val="16"/>
                <w:lang w:eastAsia="sk-SK"/>
              </w:rPr>
            </w:pPr>
            <w:r w:rsidRPr="00DB26F8">
              <w:rPr>
                <w:rFonts w:eastAsia="Times New Roman" w:cs="Segoe UI"/>
                <w:color w:val="000000"/>
                <w:sz w:val="16"/>
                <w:szCs w:val="16"/>
                <w:lang w:eastAsia="sk-SK"/>
              </w:rPr>
              <w:t>18 000 000</w:t>
            </w:r>
          </w:p>
        </w:tc>
        <w:tc>
          <w:tcPr>
            <w:tcW w:w="2339" w:type="dxa"/>
            <w:shd w:val="clear" w:color="auto" w:fill="auto"/>
            <w:vAlign w:val="center"/>
            <w:hideMark/>
          </w:tcPr>
          <w:p w14:paraId="50D75FD0" w14:textId="77777777" w:rsidR="008A4BCF" w:rsidRPr="00DB26F8" w:rsidRDefault="008A4BCF" w:rsidP="00B44AC3">
            <w:pPr>
              <w:spacing w:after="0"/>
              <w:jc w:val="left"/>
              <w:rPr>
                <w:rFonts w:eastAsia="Times New Roman" w:cs="Segoe UI"/>
                <w:color w:val="000000"/>
                <w:sz w:val="16"/>
                <w:szCs w:val="16"/>
                <w:lang w:eastAsia="sk-SK"/>
              </w:rPr>
            </w:pPr>
            <w:r w:rsidRPr="00DB26F8">
              <w:rPr>
                <w:rFonts w:eastAsia="Times New Roman" w:cs="Segoe UI"/>
                <w:color w:val="000000"/>
                <w:sz w:val="16"/>
                <w:szCs w:val="16"/>
                <w:lang w:eastAsia="sk-SK"/>
              </w:rPr>
              <w:t xml:space="preserve">raz ročne v rokoch 2023 - 2032 vo výške 2 mil. eur vždy do 30.11. </w:t>
            </w:r>
          </w:p>
        </w:tc>
      </w:tr>
      <w:tr w:rsidR="008A4BCF" w:rsidRPr="00123812" w14:paraId="22A30598" w14:textId="77777777" w:rsidTr="00B44AC3">
        <w:trPr>
          <w:trHeight w:val="20"/>
        </w:trPr>
        <w:tc>
          <w:tcPr>
            <w:tcW w:w="1363" w:type="dxa"/>
            <w:shd w:val="clear" w:color="auto" w:fill="auto"/>
            <w:vAlign w:val="center"/>
            <w:hideMark/>
          </w:tcPr>
          <w:p w14:paraId="5C48BDC8" w14:textId="77777777" w:rsidR="008A4BCF" w:rsidRPr="00DB26F8" w:rsidRDefault="008A4BCF" w:rsidP="00B44AC3">
            <w:pPr>
              <w:spacing w:after="0"/>
              <w:jc w:val="left"/>
              <w:rPr>
                <w:rFonts w:eastAsia="Times New Roman" w:cs="Segoe UI"/>
                <w:b/>
                <w:color w:val="000000"/>
                <w:sz w:val="16"/>
                <w:szCs w:val="16"/>
                <w:lang w:eastAsia="sk-SK"/>
              </w:rPr>
            </w:pPr>
            <w:r>
              <w:rPr>
                <w:rFonts w:eastAsia="Times New Roman" w:cs="Segoe UI"/>
                <w:b/>
                <w:color w:val="000000"/>
                <w:sz w:val="16"/>
                <w:szCs w:val="16"/>
                <w:lang w:eastAsia="sk-SK"/>
              </w:rPr>
              <w:t>TSK</w:t>
            </w:r>
            <w:r w:rsidRPr="00DB26F8">
              <w:rPr>
                <w:rFonts w:eastAsia="Times New Roman" w:cs="Segoe UI"/>
                <w:b/>
                <w:color w:val="000000"/>
                <w:sz w:val="16"/>
                <w:szCs w:val="16"/>
                <w:lang w:eastAsia="sk-SK"/>
              </w:rPr>
              <w:t xml:space="preserve"> </w:t>
            </w:r>
          </w:p>
        </w:tc>
        <w:tc>
          <w:tcPr>
            <w:tcW w:w="2758" w:type="dxa"/>
            <w:shd w:val="clear" w:color="auto" w:fill="auto"/>
            <w:vAlign w:val="center"/>
            <w:hideMark/>
          </w:tcPr>
          <w:p w14:paraId="6DA58263" w14:textId="77777777" w:rsidR="008A4BCF" w:rsidRPr="00DB26F8" w:rsidRDefault="008A4BCF" w:rsidP="00B44AC3">
            <w:pPr>
              <w:spacing w:after="0"/>
              <w:jc w:val="left"/>
              <w:rPr>
                <w:rFonts w:eastAsia="Times New Roman" w:cs="Segoe UI"/>
                <w:color w:val="000000"/>
                <w:sz w:val="16"/>
                <w:szCs w:val="16"/>
                <w:lang w:eastAsia="sk-SK"/>
              </w:rPr>
            </w:pPr>
            <w:r w:rsidRPr="00DB26F8">
              <w:rPr>
                <w:rFonts w:eastAsia="Times New Roman" w:cs="Segoe UI"/>
                <w:color w:val="000000"/>
                <w:sz w:val="16"/>
                <w:szCs w:val="16"/>
                <w:lang w:eastAsia="sk-SK"/>
              </w:rPr>
              <w:t xml:space="preserve">Na opravy a rekonštrukcie ciest II. a III. triedy, vrátane súvisiacej cestnej infraštruktúry, opravy majetku a investície do majetku </w:t>
            </w:r>
          </w:p>
        </w:tc>
        <w:tc>
          <w:tcPr>
            <w:tcW w:w="1134" w:type="dxa"/>
            <w:shd w:val="clear" w:color="auto" w:fill="auto"/>
            <w:noWrap/>
            <w:vAlign w:val="center"/>
            <w:hideMark/>
          </w:tcPr>
          <w:p w14:paraId="0187FCEA" w14:textId="77777777" w:rsidR="008A4BCF" w:rsidRPr="00DB26F8" w:rsidRDefault="008A4BCF" w:rsidP="00B44AC3">
            <w:pPr>
              <w:spacing w:after="0"/>
              <w:jc w:val="right"/>
              <w:rPr>
                <w:rFonts w:eastAsia="Times New Roman" w:cs="Segoe UI"/>
                <w:color w:val="000000"/>
                <w:sz w:val="16"/>
                <w:szCs w:val="16"/>
                <w:lang w:eastAsia="sk-SK"/>
              </w:rPr>
            </w:pPr>
            <w:r w:rsidRPr="00DB26F8">
              <w:rPr>
                <w:rFonts w:eastAsia="Times New Roman" w:cs="Segoe UI"/>
                <w:color w:val="000000"/>
                <w:sz w:val="16"/>
                <w:szCs w:val="16"/>
                <w:lang w:eastAsia="sk-SK"/>
              </w:rPr>
              <w:t>20 000 000</w:t>
            </w:r>
          </w:p>
        </w:tc>
        <w:tc>
          <w:tcPr>
            <w:tcW w:w="992" w:type="dxa"/>
            <w:shd w:val="clear" w:color="auto" w:fill="auto"/>
            <w:vAlign w:val="center"/>
            <w:hideMark/>
          </w:tcPr>
          <w:p w14:paraId="58FE54AE" w14:textId="77777777" w:rsidR="008A4BCF" w:rsidRPr="00DB26F8" w:rsidRDefault="008A4BCF" w:rsidP="00B44AC3">
            <w:pPr>
              <w:spacing w:after="0"/>
              <w:jc w:val="right"/>
              <w:rPr>
                <w:rFonts w:eastAsia="Times New Roman" w:cs="Segoe UI"/>
                <w:sz w:val="16"/>
                <w:szCs w:val="16"/>
                <w:lang w:eastAsia="sk-SK"/>
              </w:rPr>
            </w:pPr>
            <w:r w:rsidRPr="00DB26F8">
              <w:rPr>
                <w:rFonts w:eastAsia="Times New Roman" w:cs="Segoe UI"/>
                <w:sz w:val="16"/>
                <w:szCs w:val="16"/>
                <w:lang w:eastAsia="sk-SK"/>
              </w:rPr>
              <w:t>2 000 000</w:t>
            </w:r>
          </w:p>
        </w:tc>
        <w:tc>
          <w:tcPr>
            <w:tcW w:w="1134" w:type="dxa"/>
            <w:shd w:val="clear" w:color="auto" w:fill="auto"/>
            <w:noWrap/>
            <w:vAlign w:val="center"/>
            <w:hideMark/>
          </w:tcPr>
          <w:p w14:paraId="30036F7B" w14:textId="77777777" w:rsidR="008A4BCF" w:rsidRPr="00DB26F8" w:rsidRDefault="008A4BCF" w:rsidP="00B44AC3">
            <w:pPr>
              <w:spacing w:after="0"/>
              <w:jc w:val="right"/>
              <w:rPr>
                <w:rFonts w:eastAsia="Times New Roman" w:cs="Segoe UI"/>
                <w:color w:val="000000"/>
                <w:sz w:val="16"/>
                <w:szCs w:val="16"/>
                <w:lang w:eastAsia="sk-SK"/>
              </w:rPr>
            </w:pPr>
            <w:r w:rsidRPr="00DB26F8">
              <w:rPr>
                <w:rFonts w:eastAsia="Times New Roman" w:cs="Segoe UI"/>
                <w:color w:val="000000"/>
                <w:sz w:val="16"/>
                <w:szCs w:val="16"/>
                <w:lang w:eastAsia="sk-SK"/>
              </w:rPr>
              <w:t>18 000 000</w:t>
            </w:r>
          </w:p>
        </w:tc>
        <w:tc>
          <w:tcPr>
            <w:tcW w:w="2339" w:type="dxa"/>
            <w:shd w:val="clear" w:color="auto" w:fill="auto"/>
            <w:vAlign w:val="center"/>
            <w:hideMark/>
          </w:tcPr>
          <w:p w14:paraId="0ED87F94" w14:textId="77777777" w:rsidR="008A4BCF" w:rsidRPr="00DB26F8" w:rsidRDefault="008A4BCF" w:rsidP="00B44AC3">
            <w:pPr>
              <w:spacing w:after="0"/>
              <w:jc w:val="left"/>
              <w:rPr>
                <w:rFonts w:eastAsia="Times New Roman" w:cs="Segoe UI"/>
                <w:color w:val="000000"/>
                <w:sz w:val="16"/>
                <w:szCs w:val="16"/>
                <w:lang w:eastAsia="sk-SK"/>
              </w:rPr>
            </w:pPr>
            <w:r w:rsidRPr="00DB26F8">
              <w:rPr>
                <w:rFonts w:eastAsia="Times New Roman" w:cs="Segoe UI"/>
                <w:color w:val="000000"/>
                <w:sz w:val="16"/>
                <w:szCs w:val="16"/>
                <w:lang w:eastAsia="sk-SK"/>
              </w:rPr>
              <w:t xml:space="preserve">raz ročne v rokoch 2023 - 2032 vo výške 2 mil. vždy do 30.11. </w:t>
            </w:r>
          </w:p>
        </w:tc>
      </w:tr>
      <w:tr w:rsidR="008A4BCF" w:rsidRPr="00123812" w14:paraId="098D10BD" w14:textId="77777777" w:rsidTr="00B44AC3">
        <w:trPr>
          <w:trHeight w:val="20"/>
        </w:trPr>
        <w:tc>
          <w:tcPr>
            <w:tcW w:w="1363" w:type="dxa"/>
            <w:shd w:val="clear" w:color="auto" w:fill="auto"/>
            <w:vAlign w:val="center"/>
            <w:hideMark/>
          </w:tcPr>
          <w:p w14:paraId="631A4DDE" w14:textId="77777777" w:rsidR="008A4BCF" w:rsidRPr="00DB26F8" w:rsidRDefault="008A4BCF" w:rsidP="00B44AC3">
            <w:pPr>
              <w:spacing w:after="0"/>
              <w:jc w:val="left"/>
              <w:rPr>
                <w:rFonts w:eastAsia="Times New Roman" w:cs="Segoe UI"/>
                <w:b/>
                <w:color w:val="000000"/>
                <w:sz w:val="16"/>
                <w:szCs w:val="16"/>
                <w:lang w:eastAsia="sk-SK"/>
              </w:rPr>
            </w:pPr>
            <w:r>
              <w:rPr>
                <w:rFonts w:eastAsia="Times New Roman" w:cs="Segoe UI"/>
                <w:b/>
                <w:color w:val="000000"/>
                <w:sz w:val="16"/>
                <w:szCs w:val="16"/>
                <w:lang w:eastAsia="sk-SK"/>
              </w:rPr>
              <w:t>BBSK</w:t>
            </w:r>
            <w:r w:rsidRPr="00DB26F8">
              <w:rPr>
                <w:rFonts w:eastAsia="Times New Roman" w:cs="Segoe UI"/>
                <w:b/>
                <w:color w:val="000000"/>
                <w:sz w:val="16"/>
                <w:szCs w:val="16"/>
                <w:lang w:eastAsia="sk-SK"/>
              </w:rPr>
              <w:t xml:space="preserve"> </w:t>
            </w:r>
          </w:p>
        </w:tc>
        <w:tc>
          <w:tcPr>
            <w:tcW w:w="2758" w:type="dxa"/>
            <w:shd w:val="clear" w:color="auto" w:fill="auto"/>
            <w:vAlign w:val="center"/>
            <w:hideMark/>
          </w:tcPr>
          <w:p w14:paraId="032A1997" w14:textId="77777777" w:rsidR="008A4BCF" w:rsidRPr="00DB26F8" w:rsidRDefault="008A4BCF" w:rsidP="00B44AC3">
            <w:pPr>
              <w:spacing w:after="0"/>
              <w:jc w:val="left"/>
              <w:rPr>
                <w:rFonts w:eastAsia="Times New Roman" w:cs="Segoe UI"/>
                <w:color w:val="000000"/>
                <w:sz w:val="16"/>
                <w:szCs w:val="16"/>
                <w:lang w:eastAsia="sk-SK"/>
              </w:rPr>
            </w:pPr>
            <w:r w:rsidRPr="00DB26F8">
              <w:rPr>
                <w:rFonts w:eastAsia="Times New Roman" w:cs="Segoe UI"/>
                <w:color w:val="000000"/>
                <w:sz w:val="16"/>
                <w:szCs w:val="16"/>
                <w:lang w:eastAsia="sk-SK"/>
              </w:rPr>
              <w:t>Na rekonštrukciu ciest II. a III. triedy v pôsobnosti Banskobystrického samosprávneho kraja</w:t>
            </w:r>
          </w:p>
        </w:tc>
        <w:tc>
          <w:tcPr>
            <w:tcW w:w="1134" w:type="dxa"/>
            <w:shd w:val="clear" w:color="auto" w:fill="auto"/>
            <w:noWrap/>
            <w:vAlign w:val="center"/>
            <w:hideMark/>
          </w:tcPr>
          <w:p w14:paraId="01246477" w14:textId="77777777" w:rsidR="008A4BCF" w:rsidRPr="00DB26F8" w:rsidRDefault="008A4BCF" w:rsidP="00B44AC3">
            <w:pPr>
              <w:spacing w:after="0"/>
              <w:jc w:val="right"/>
              <w:rPr>
                <w:rFonts w:eastAsia="Times New Roman" w:cs="Segoe UI"/>
                <w:color w:val="000000"/>
                <w:sz w:val="16"/>
                <w:szCs w:val="16"/>
                <w:lang w:eastAsia="sk-SK"/>
              </w:rPr>
            </w:pPr>
            <w:r w:rsidRPr="00DB26F8">
              <w:rPr>
                <w:rFonts w:eastAsia="Times New Roman" w:cs="Segoe UI"/>
                <w:color w:val="000000"/>
                <w:sz w:val="16"/>
                <w:szCs w:val="16"/>
                <w:lang w:eastAsia="sk-SK"/>
              </w:rPr>
              <w:t>25 000 000</w:t>
            </w:r>
          </w:p>
        </w:tc>
        <w:tc>
          <w:tcPr>
            <w:tcW w:w="992" w:type="dxa"/>
            <w:shd w:val="clear" w:color="auto" w:fill="auto"/>
            <w:vAlign w:val="center"/>
            <w:hideMark/>
          </w:tcPr>
          <w:p w14:paraId="6C2EDBF5" w14:textId="77777777" w:rsidR="008A4BCF" w:rsidRPr="00DB26F8" w:rsidRDefault="008A4BCF" w:rsidP="00B44AC3">
            <w:pPr>
              <w:spacing w:after="0"/>
              <w:jc w:val="right"/>
              <w:rPr>
                <w:rFonts w:eastAsia="Times New Roman" w:cs="Segoe UI"/>
                <w:sz w:val="16"/>
                <w:szCs w:val="16"/>
                <w:lang w:eastAsia="sk-SK"/>
              </w:rPr>
            </w:pPr>
            <w:r w:rsidRPr="00DB26F8">
              <w:rPr>
                <w:rFonts w:eastAsia="Times New Roman" w:cs="Segoe UI"/>
                <w:sz w:val="16"/>
                <w:szCs w:val="16"/>
                <w:lang w:eastAsia="sk-SK"/>
              </w:rPr>
              <w:t>7 500 000</w:t>
            </w:r>
          </w:p>
        </w:tc>
        <w:tc>
          <w:tcPr>
            <w:tcW w:w="1134" w:type="dxa"/>
            <w:shd w:val="clear" w:color="auto" w:fill="auto"/>
            <w:noWrap/>
            <w:vAlign w:val="center"/>
            <w:hideMark/>
          </w:tcPr>
          <w:p w14:paraId="5CB935B7" w14:textId="77777777" w:rsidR="008A4BCF" w:rsidRPr="00DB26F8" w:rsidRDefault="008A4BCF" w:rsidP="00B44AC3">
            <w:pPr>
              <w:spacing w:after="0"/>
              <w:jc w:val="right"/>
              <w:rPr>
                <w:rFonts w:eastAsia="Times New Roman" w:cs="Segoe UI"/>
                <w:color w:val="000000"/>
                <w:sz w:val="16"/>
                <w:szCs w:val="16"/>
                <w:lang w:eastAsia="sk-SK"/>
              </w:rPr>
            </w:pPr>
            <w:r w:rsidRPr="00DB26F8">
              <w:rPr>
                <w:rFonts w:eastAsia="Times New Roman" w:cs="Segoe UI"/>
                <w:color w:val="000000"/>
                <w:sz w:val="16"/>
                <w:szCs w:val="16"/>
                <w:lang w:eastAsia="sk-SK"/>
              </w:rPr>
              <w:t>17 500 000</w:t>
            </w:r>
          </w:p>
        </w:tc>
        <w:tc>
          <w:tcPr>
            <w:tcW w:w="2339" w:type="dxa"/>
            <w:shd w:val="clear" w:color="auto" w:fill="auto"/>
            <w:vAlign w:val="center"/>
            <w:hideMark/>
          </w:tcPr>
          <w:p w14:paraId="484E93E8" w14:textId="77777777" w:rsidR="008A4BCF" w:rsidRPr="00DB26F8" w:rsidRDefault="008A4BCF" w:rsidP="00B44AC3">
            <w:pPr>
              <w:spacing w:after="0"/>
              <w:jc w:val="left"/>
              <w:rPr>
                <w:rFonts w:eastAsia="Times New Roman" w:cs="Segoe UI"/>
                <w:color w:val="000000"/>
                <w:sz w:val="16"/>
                <w:szCs w:val="16"/>
                <w:lang w:eastAsia="sk-SK"/>
              </w:rPr>
            </w:pPr>
            <w:r w:rsidRPr="00DB26F8">
              <w:rPr>
                <w:rFonts w:eastAsia="Times New Roman" w:cs="Segoe UI"/>
                <w:color w:val="000000"/>
                <w:sz w:val="16"/>
                <w:szCs w:val="16"/>
                <w:lang w:eastAsia="sk-SK"/>
              </w:rPr>
              <w:t xml:space="preserve">raz ročne v rokoch 2021 - 2030 vo výške 2,5 mil. eur vždy do 30.11. </w:t>
            </w:r>
          </w:p>
        </w:tc>
      </w:tr>
      <w:tr w:rsidR="008A4BCF" w:rsidRPr="00123812" w14:paraId="2013DD08" w14:textId="77777777" w:rsidTr="00B44AC3">
        <w:trPr>
          <w:trHeight w:val="20"/>
        </w:trPr>
        <w:tc>
          <w:tcPr>
            <w:tcW w:w="1363" w:type="dxa"/>
            <w:shd w:val="clear" w:color="auto" w:fill="auto"/>
            <w:vAlign w:val="center"/>
            <w:hideMark/>
          </w:tcPr>
          <w:p w14:paraId="03C7D3E4" w14:textId="77777777" w:rsidR="008A4BCF" w:rsidRPr="00DB26F8" w:rsidRDefault="008A4BCF" w:rsidP="00B44AC3">
            <w:pPr>
              <w:spacing w:after="0"/>
              <w:jc w:val="left"/>
              <w:rPr>
                <w:rFonts w:eastAsia="Times New Roman" w:cs="Segoe UI"/>
                <w:b/>
                <w:color w:val="000000"/>
                <w:sz w:val="16"/>
                <w:szCs w:val="16"/>
                <w:lang w:eastAsia="sk-SK"/>
              </w:rPr>
            </w:pPr>
            <w:r w:rsidRPr="00DB26F8">
              <w:rPr>
                <w:rFonts w:eastAsia="Times New Roman" w:cs="Segoe UI"/>
                <w:b/>
                <w:color w:val="000000"/>
                <w:sz w:val="16"/>
                <w:szCs w:val="16"/>
                <w:lang w:eastAsia="sk-SK"/>
              </w:rPr>
              <w:t xml:space="preserve">Tachyum s. r. o. </w:t>
            </w:r>
          </w:p>
        </w:tc>
        <w:tc>
          <w:tcPr>
            <w:tcW w:w="2758" w:type="dxa"/>
            <w:shd w:val="clear" w:color="auto" w:fill="auto"/>
            <w:vAlign w:val="center"/>
            <w:hideMark/>
          </w:tcPr>
          <w:p w14:paraId="24189245" w14:textId="77777777" w:rsidR="008A4BCF" w:rsidRPr="00DB26F8" w:rsidRDefault="008A4BCF" w:rsidP="00B44AC3">
            <w:pPr>
              <w:spacing w:after="0"/>
              <w:jc w:val="left"/>
              <w:rPr>
                <w:rFonts w:eastAsia="Times New Roman" w:cs="Segoe UI"/>
                <w:color w:val="000000"/>
                <w:sz w:val="16"/>
                <w:szCs w:val="16"/>
                <w:lang w:eastAsia="sk-SK"/>
              </w:rPr>
            </w:pPr>
            <w:r w:rsidRPr="00DB26F8">
              <w:rPr>
                <w:rFonts w:eastAsia="Times New Roman" w:cs="Segoe UI"/>
                <w:color w:val="000000"/>
                <w:sz w:val="16"/>
                <w:szCs w:val="16"/>
                <w:lang w:eastAsia="sk-SK"/>
              </w:rPr>
              <w:t>Na podporu priemyselného výskumu a vytvorenia R&amp;D centra na území SR</w:t>
            </w:r>
          </w:p>
        </w:tc>
        <w:tc>
          <w:tcPr>
            <w:tcW w:w="1134" w:type="dxa"/>
            <w:shd w:val="clear" w:color="auto" w:fill="auto"/>
            <w:noWrap/>
            <w:vAlign w:val="center"/>
            <w:hideMark/>
          </w:tcPr>
          <w:p w14:paraId="5DB01CA2" w14:textId="77777777" w:rsidR="008A4BCF" w:rsidRPr="00DB26F8" w:rsidRDefault="008A4BCF" w:rsidP="00B44AC3">
            <w:pPr>
              <w:spacing w:after="0"/>
              <w:jc w:val="right"/>
              <w:rPr>
                <w:rFonts w:eastAsia="Times New Roman" w:cs="Segoe UI"/>
                <w:color w:val="000000"/>
                <w:sz w:val="16"/>
                <w:szCs w:val="16"/>
                <w:lang w:eastAsia="sk-SK"/>
              </w:rPr>
            </w:pPr>
            <w:r w:rsidRPr="00DB26F8">
              <w:rPr>
                <w:rFonts w:eastAsia="Times New Roman" w:cs="Segoe UI"/>
                <w:color w:val="000000"/>
                <w:sz w:val="16"/>
                <w:szCs w:val="16"/>
                <w:lang w:eastAsia="sk-SK"/>
              </w:rPr>
              <w:t>15 000 000</w:t>
            </w:r>
          </w:p>
        </w:tc>
        <w:tc>
          <w:tcPr>
            <w:tcW w:w="992" w:type="dxa"/>
            <w:shd w:val="clear" w:color="auto" w:fill="auto"/>
            <w:vAlign w:val="center"/>
            <w:hideMark/>
          </w:tcPr>
          <w:p w14:paraId="48475C33" w14:textId="77777777" w:rsidR="008A4BCF" w:rsidRPr="00DB26F8" w:rsidRDefault="008A4BCF" w:rsidP="00B44AC3">
            <w:pPr>
              <w:spacing w:after="0"/>
              <w:jc w:val="right"/>
              <w:rPr>
                <w:rFonts w:eastAsia="Times New Roman" w:cs="Segoe UI"/>
                <w:sz w:val="16"/>
                <w:szCs w:val="16"/>
                <w:lang w:eastAsia="sk-SK"/>
              </w:rPr>
            </w:pPr>
            <w:r w:rsidRPr="00DB26F8">
              <w:rPr>
                <w:rFonts w:eastAsia="Times New Roman" w:cs="Segoe UI"/>
                <w:sz w:val="16"/>
                <w:szCs w:val="16"/>
                <w:lang w:eastAsia="sk-SK"/>
              </w:rPr>
              <w:t>0</w:t>
            </w:r>
          </w:p>
        </w:tc>
        <w:tc>
          <w:tcPr>
            <w:tcW w:w="1134" w:type="dxa"/>
            <w:shd w:val="clear" w:color="auto" w:fill="auto"/>
            <w:noWrap/>
            <w:vAlign w:val="center"/>
            <w:hideMark/>
          </w:tcPr>
          <w:p w14:paraId="74A8F933" w14:textId="77777777" w:rsidR="008A4BCF" w:rsidRPr="00DB26F8" w:rsidRDefault="008A4BCF" w:rsidP="00B44AC3">
            <w:pPr>
              <w:spacing w:after="0"/>
              <w:jc w:val="right"/>
              <w:rPr>
                <w:rFonts w:eastAsia="Times New Roman" w:cs="Segoe UI"/>
                <w:color w:val="000000"/>
                <w:sz w:val="16"/>
                <w:szCs w:val="16"/>
                <w:lang w:eastAsia="sk-SK"/>
              </w:rPr>
            </w:pPr>
            <w:r w:rsidRPr="00DB26F8">
              <w:rPr>
                <w:rFonts w:eastAsia="Times New Roman" w:cs="Segoe UI"/>
                <w:color w:val="000000"/>
                <w:sz w:val="16"/>
                <w:szCs w:val="16"/>
                <w:lang w:eastAsia="sk-SK"/>
              </w:rPr>
              <w:t>15 000 000</w:t>
            </w:r>
          </w:p>
        </w:tc>
        <w:tc>
          <w:tcPr>
            <w:tcW w:w="2339" w:type="dxa"/>
            <w:shd w:val="clear" w:color="auto" w:fill="auto"/>
            <w:vAlign w:val="center"/>
            <w:hideMark/>
          </w:tcPr>
          <w:p w14:paraId="116D1038" w14:textId="77777777" w:rsidR="008A4BCF" w:rsidRPr="00DB26F8" w:rsidRDefault="008A4BCF" w:rsidP="00B44AC3">
            <w:pPr>
              <w:spacing w:after="0"/>
              <w:jc w:val="left"/>
              <w:rPr>
                <w:rFonts w:eastAsia="Times New Roman" w:cs="Segoe UI"/>
                <w:color w:val="000000"/>
                <w:sz w:val="16"/>
                <w:szCs w:val="16"/>
                <w:lang w:eastAsia="sk-SK"/>
              </w:rPr>
            </w:pPr>
            <w:r w:rsidRPr="00DB26F8">
              <w:rPr>
                <w:rFonts w:eastAsia="Times New Roman" w:cs="Segoe UI"/>
                <w:color w:val="000000"/>
                <w:sz w:val="16"/>
                <w:szCs w:val="16"/>
                <w:lang w:eastAsia="sk-SK"/>
              </w:rPr>
              <w:t xml:space="preserve">raz ročne v rokoch 2023 - 2032 vždy do 30.11., </w:t>
            </w:r>
            <w:r w:rsidRPr="00DB26F8">
              <w:rPr>
                <w:rFonts w:eastAsia="Times New Roman" w:cs="Segoe UI"/>
                <w:b/>
                <w:color w:val="000000"/>
                <w:sz w:val="16"/>
                <w:szCs w:val="16"/>
                <w:lang w:eastAsia="sk-SK"/>
              </w:rPr>
              <w:t>úročenie 4 % p. a.</w:t>
            </w:r>
            <w:r w:rsidRPr="00DB26F8">
              <w:rPr>
                <w:rFonts w:eastAsia="Times New Roman" w:cs="Segoe UI"/>
                <w:color w:val="000000"/>
                <w:sz w:val="16"/>
                <w:szCs w:val="16"/>
                <w:lang w:eastAsia="sk-SK"/>
              </w:rPr>
              <w:t xml:space="preserve"> </w:t>
            </w:r>
          </w:p>
        </w:tc>
      </w:tr>
      <w:tr w:rsidR="008A4BCF" w:rsidRPr="00123812" w14:paraId="724ABAB4" w14:textId="77777777" w:rsidTr="00B44AC3">
        <w:trPr>
          <w:trHeight w:val="20"/>
        </w:trPr>
        <w:tc>
          <w:tcPr>
            <w:tcW w:w="1363" w:type="dxa"/>
            <w:shd w:val="clear" w:color="auto" w:fill="auto"/>
            <w:vAlign w:val="center"/>
            <w:hideMark/>
          </w:tcPr>
          <w:p w14:paraId="35134796" w14:textId="77777777" w:rsidR="008A4BCF" w:rsidRPr="00DB26F8" w:rsidRDefault="008A4BCF" w:rsidP="00B44AC3">
            <w:pPr>
              <w:spacing w:after="0"/>
              <w:jc w:val="left"/>
              <w:rPr>
                <w:rFonts w:eastAsia="Times New Roman" w:cs="Segoe UI"/>
                <w:b/>
                <w:color w:val="000000"/>
                <w:sz w:val="16"/>
                <w:szCs w:val="16"/>
                <w:lang w:eastAsia="sk-SK"/>
              </w:rPr>
            </w:pPr>
            <w:r w:rsidRPr="00DB26F8">
              <w:rPr>
                <w:rFonts w:eastAsia="Times New Roman" w:cs="Segoe UI"/>
                <w:b/>
                <w:color w:val="000000"/>
                <w:sz w:val="16"/>
                <w:szCs w:val="16"/>
                <w:lang w:eastAsia="sk-SK"/>
              </w:rPr>
              <w:t>NFV pre cestovné kancelárie</w:t>
            </w:r>
          </w:p>
        </w:tc>
        <w:tc>
          <w:tcPr>
            <w:tcW w:w="2758" w:type="dxa"/>
            <w:shd w:val="clear" w:color="auto" w:fill="auto"/>
            <w:vAlign w:val="center"/>
            <w:hideMark/>
          </w:tcPr>
          <w:p w14:paraId="3FAE0A80" w14:textId="77777777" w:rsidR="008A4BCF" w:rsidRPr="00DB26F8" w:rsidRDefault="008A4BCF" w:rsidP="00B44AC3">
            <w:pPr>
              <w:spacing w:after="0"/>
              <w:jc w:val="left"/>
              <w:rPr>
                <w:rFonts w:eastAsia="Times New Roman" w:cs="Segoe UI"/>
                <w:color w:val="000000"/>
                <w:sz w:val="16"/>
                <w:szCs w:val="16"/>
                <w:lang w:eastAsia="sk-SK"/>
              </w:rPr>
            </w:pPr>
            <w:r w:rsidRPr="00DB26F8">
              <w:rPr>
                <w:rFonts w:eastAsia="Times New Roman" w:cs="Segoe UI"/>
                <w:color w:val="000000"/>
                <w:sz w:val="16"/>
                <w:szCs w:val="16"/>
                <w:lang w:eastAsia="sk-SK"/>
              </w:rPr>
              <w:t>Na mimoriadne opatrenia vo finančnej oblasti v súvislosti so šírením COVID - 19 prostredníctvom SZRB</w:t>
            </w:r>
          </w:p>
        </w:tc>
        <w:tc>
          <w:tcPr>
            <w:tcW w:w="1134" w:type="dxa"/>
            <w:shd w:val="clear" w:color="auto" w:fill="auto"/>
            <w:noWrap/>
            <w:vAlign w:val="center"/>
            <w:hideMark/>
          </w:tcPr>
          <w:p w14:paraId="12D5B582" w14:textId="77777777" w:rsidR="008A4BCF" w:rsidRPr="00DB26F8" w:rsidRDefault="008A4BCF" w:rsidP="00B44AC3">
            <w:pPr>
              <w:spacing w:after="0"/>
              <w:jc w:val="right"/>
              <w:rPr>
                <w:rFonts w:eastAsia="Times New Roman" w:cs="Segoe UI"/>
                <w:color w:val="000000"/>
                <w:sz w:val="16"/>
                <w:szCs w:val="16"/>
                <w:lang w:eastAsia="sk-SK"/>
              </w:rPr>
            </w:pPr>
            <w:r w:rsidRPr="00DB26F8">
              <w:rPr>
                <w:rFonts w:eastAsia="Times New Roman" w:cs="Segoe UI"/>
                <w:color w:val="000000"/>
                <w:sz w:val="16"/>
                <w:szCs w:val="16"/>
                <w:lang w:eastAsia="sk-SK"/>
              </w:rPr>
              <w:t>30 379 041</w:t>
            </w:r>
          </w:p>
        </w:tc>
        <w:tc>
          <w:tcPr>
            <w:tcW w:w="992" w:type="dxa"/>
            <w:shd w:val="clear" w:color="auto" w:fill="auto"/>
            <w:vAlign w:val="center"/>
            <w:hideMark/>
          </w:tcPr>
          <w:p w14:paraId="2BA0EA02" w14:textId="77777777" w:rsidR="008A4BCF" w:rsidRPr="00DB26F8" w:rsidRDefault="008A4BCF" w:rsidP="00B44AC3">
            <w:pPr>
              <w:spacing w:after="0"/>
              <w:jc w:val="right"/>
              <w:rPr>
                <w:rFonts w:eastAsia="Times New Roman" w:cs="Segoe UI"/>
                <w:sz w:val="16"/>
                <w:szCs w:val="16"/>
                <w:lang w:eastAsia="sk-SK"/>
              </w:rPr>
            </w:pPr>
            <w:r w:rsidRPr="00DB26F8">
              <w:rPr>
                <w:rFonts w:eastAsia="Times New Roman" w:cs="Segoe UI"/>
                <w:sz w:val="16"/>
                <w:szCs w:val="16"/>
                <w:lang w:eastAsia="sk-SK"/>
              </w:rPr>
              <w:t>15 675 956</w:t>
            </w:r>
          </w:p>
        </w:tc>
        <w:tc>
          <w:tcPr>
            <w:tcW w:w="1134" w:type="dxa"/>
            <w:shd w:val="clear" w:color="auto" w:fill="auto"/>
            <w:noWrap/>
            <w:vAlign w:val="center"/>
            <w:hideMark/>
          </w:tcPr>
          <w:p w14:paraId="573E27E4" w14:textId="77777777" w:rsidR="008A4BCF" w:rsidRPr="00DB26F8" w:rsidRDefault="008A4BCF" w:rsidP="00B44AC3">
            <w:pPr>
              <w:spacing w:after="0"/>
              <w:jc w:val="right"/>
              <w:rPr>
                <w:rFonts w:eastAsia="Times New Roman" w:cs="Segoe UI"/>
                <w:color w:val="000000"/>
                <w:sz w:val="16"/>
                <w:szCs w:val="16"/>
                <w:lang w:eastAsia="sk-SK"/>
              </w:rPr>
            </w:pPr>
            <w:r w:rsidRPr="00DB26F8">
              <w:rPr>
                <w:rFonts w:eastAsia="Times New Roman" w:cs="Segoe UI"/>
                <w:color w:val="000000"/>
                <w:sz w:val="16"/>
                <w:szCs w:val="16"/>
                <w:lang w:eastAsia="sk-SK"/>
              </w:rPr>
              <w:t>14 703 086</w:t>
            </w:r>
          </w:p>
        </w:tc>
        <w:tc>
          <w:tcPr>
            <w:tcW w:w="2339" w:type="dxa"/>
            <w:shd w:val="clear" w:color="auto" w:fill="auto"/>
            <w:vAlign w:val="center"/>
            <w:hideMark/>
          </w:tcPr>
          <w:p w14:paraId="068D3584" w14:textId="77777777" w:rsidR="008A4BCF" w:rsidRPr="00DB26F8" w:rsidRDefault="008A4BCF" w:rsidP="00B44AC3">
            <w:pPr>
              <w:spacing w:after="0"/>
              <w:jc w:val="left"/>
              <w:rPr>
                <w:rFonts w:eastAsia="Times New Roman" w:cs="Segoe UI"/>
                <w:color w:val="000000"/>
                <w:sz w:val="16"/>
                <w:szCs w:val="16"/>
                <w:lang w:eastAsia="sk-SK"/>
              </w:rPr>
            </w:pPr>
            <w:r w:rsidRPr="00DB26F8">
              <w:rPr>
                <w:rFonts w:eastAsia="Times New Roman" w:cs="Segoe UI"/>
                <w:color w:val="000000"/>
                <w:sz w:val="16"/>
                <w:szCs w:val="16"/>
                <w:lang w:eastAsia="sk-SK"/>
              </w:rPr>
              <w:t xml:space="preserve">V roku 2022 bola navýšená pohľadávka v sume 193 tis. eur z dôvodu kapitalizácie úrokov, </w:t>
            </w:r>
            <w:r w:rsidRPr="00DB26F8">
              <w:rPr>
                <w:rFonts w:eastAsia="Times New Roman" w:cs="Segoe UI"/>
                <w:b/>
                <w:color w:val="000000"/>
                <w:sz w:val="16"/>
                <w:szCs w:val="16"/>
                <w:lang w:eastAsia="sk-SK"/>
              </w:rPr>
              <w:t>malé podniky úročenie 0,49 % p. a., veľké podniky úročenie 1,01 % p. a.</w:t>
            </w:r>
          </w:p>
        </w:tc>
      </w:tr>
      <w:tr w:rsidR="008A4BCF" w:rsidRPr="00123812" w14:paraId="29354E1B" w14:textId="77777777" w:rsidTr="00B44AC3">
        <w:trPr>
          <w:trHeight w:val="20"/>
        </w:trPr>
        <w:tc>
          <w:tcPr>
            <w:tcW w:w="1363" w:type="dxa"/>
            <w:shd w:val="clear" w:color="auto" w:fill="auto"/>
            <w:vAlign w:val="center"/>
            <w:hideMark/>
          </w:tcPr>
          <w:p w14:paraId="37E97C9C" w14:textId="77777777" w:rsidR="008A4BCF" w:rsidRPr="00DB26F8" w:rsidRDefault="008A4BCF" w:rsidP="00B44AC3">
            <w:pPr>
              <w:spacing w:after="0"/>
              <w:jc w:val="left"/>
              <w:rPr>
                <w:rFonts w:eastAsia="Times New Roman" w:cs="Segoe UI"/>
                <w:b/>
                <w:color w:val="000000"/>
                <w:sz w:val="16"/>
                <w:szCs w:val="16"/>
                <w:lang w:eastAsia="sk-SK"/>
              </w:rPr>
            </w:pPr>
            <w:r>
              <w:rPr>
                <w:rFonts w:eastAsia="Times New Roman" w:cs="Segoe UI"/>
                <w:b/>
                <w:color w:val="000000"/>
                <w:sz w:val="16"/>
                <w:szCs w:val="16"/>
                <w:lang w:eastAsia="sk-SK"/>
              </w:rPr>
              <w:t>ZSK</w:t>
            </w:r>
            <w:r w:rsidRPr="00DB26F8">
              <w:rPr>
                <w:rFonts w:eastAsia="Times New Roman" w:cs="Segoe UI"/>
                <w:b/>
                <w:color w:val="000000"/>
                <w:sz w:val="16"/>
                <w:szCs w:val="16"/>
                <w:lang w:eastAsia="sk-SK"/>
              </w:rPr>
              <w:t xml:space="preserve"> </w:t>
            </w:r>
          </w:p>
        </w:tc>
        <w:tc>
          <w:tcPr>
            <w:tcW w:w="2758" w:type="dxa"/>
            <w:shd w:val="clear" w:color="auto" w:fill="auto"/>
            <w:vAlign w:val="center"/>
            <w:hideMark/>
          </w:tcPr>
          <w:p w14:paraId="135E31D5" w14:textId="77777777" w:rsidR="008A4BCF" w:rsidRPr="00DB26F8" w:rsidRDefault="008A4BCF" w:rsidP="00B44AC3">
            <w:pPr>
              <w:spacing w:after="0"/>
              <w:jc w:val="left"/>
              <w:rPr>
                <w:rFonts w:eastAsia="Times New Roman" w:cs="Segoe UI"/>
                <w:color w:val="000000"/>
                <w:sz w:val="16"/>
                <w:szCs w:val="16"/>
                <w:lang w:eastAsia="sk-SK"/>
              </w:rPr>
            </w:pPr>
            <w:r w:rsidRPr="00DB26F8">
              <w:rPr>
                <w:rFonts w:eastAsia="Times New Roman" w:cs="Segoe UI"/>
                <w:color w:val="000000"/>
                <w:sz w:val="16"/>
                <w:szCs w:val="16"/>
                <w:lang w:eastAsia="sk-SK"/>
              </w:rPr>
              <w:t>Na rekonštrukciu ciest mostných objektov a ciest II. a III. triedy v pôsobnosti Žilinského samosprávneho kraja</w:t>
            </w:r>
          </w:p>
        </w:tc>
        <w:tc>
          <w:tcPr>
            <w:tcW w:w="1134" w:type="dxa"/>
            <w:shd w:val="clear" w:color="auto" w:fill="auto"/>
            <w:noWrap/>
            <w:vAlign w:val="center"/>
            <w:hideMark/>
          </w:tcPr>
          <w:p w14:paraId="1FAA84F5" w14:textId="77777777" w:rsidR="008A4BCF" w:rsidRPr="00DB26F8" w:rsidRDefault="008A4BCF" w:rsidP="00B44AC3">
            <w:pPr>
              <w:spacing w:after="0"/>
              <w:jc w:val="right"/>
              <w:rPr>
                <w:rFonts w:eastAsia="Times New Roman" w:cs="Segoe UI"/>
                <w:color w:val="000000"/>
                <w:sz w:val="16"/>
                <w:szCs w:val="16"/>
                <w:lang w:eastAsia="sk-SK"/>
              </w:rPr>
            </w:pPr>
            <w:r w:rsidRPr="00DB26F8">
              <w:rPr>
                <w:rFonts w:eastAsia="Times New Roman" w:cs="Segoe UI"/>
                <w:color w:val="000000"/>
                <w:sz w:val="16"/>
                <w:szCs w:val="16"/>
                <w:lang w:eastAsia="sk-SK"/>
              </w:rPr>
              <w:t>15 000 000</w:t>
            </w:r>
          </w:p>
        </w:tc>
        <w:tc>
          <w:tcPr>
            <w:tcW w:w="992" w:type="dxa"/>
            <w:shd w:val="clear" w:color="auto" w:fill="auto"/>
            <w:vAlign w:val="center"/>
            <w:hideMark/>
          </w:tcPr>
          <w:p w14:paraId="6BBB76E7" w14:textId="77777777" w:rsidR="008A4BCF" w:rsidRPr="00DB26F8" w:rsidRDefault="008A4BCF" w:rsidP="00B44AC3">
            <w:pPr>
              <w:spacing w:after="0"/>
              <w:jc w:val="right"/>
              <w:rPr>
                <w:rFonts w:eastAsia="Times New Roman" w:cs="Segoe UI"/>
                <w:sz w:val="16"/>
                <w:szCs w:val="16"/>
                <w:lang w:eastAsia="sk-SK"/>
              </w:rPr>
            </w:pPr>
            <w:r w:rsidRPr="00DB26F8">
              <w:rPr>
                <w:rFonts w:eastAsia="Times New Roman" w:cs="Segoe UI"/>
                <w:sz w:val="16"/>
                <w:szCs w:val="16"/>
                <w:lang w:eastAsia="sk-SK"/>
              </w:rPr>
              <w:t>1 500 000</w:t>
            </w:r>
          </w:p>
        </w:tc>
        <w:tc>
          <w:tcPr>
            <w:tcW w:w="1134" w:type="dxa"/>
            <w:shd w:val="clear" w:color="auto" w:fill="auto"/>
            <w:noWrap/>
            <w:vAlign w:val="center"/>
            <w:hideMark/>
          </w:tcPr>
          <w:p w14:paraId="11CD7C33" w14:textId="77777777" w:rsidR="008A4BCF" w:rsidRPr="00DB26F8" w:rsidRDefault="008A4BCF" w:rsidP="00B44AC3">
            <w:pPr>
              <w:spacing w:after="0"/>
              <w:jc w:val="right"/>
              <w:rPr>
                <w:rFonts w:eastAsia="Times New Roman" w:cs="Segoe UI"/>
                <w:color w:val="000000"/>
                <w:sz w:val="16"/>
                <w:szCs w:val="16"/>
                <w:lang w:eastAsia="sk-SK"/>
              </w:rPr>
            </w:pPr>
            <w:r w:rsidRPr="00DB26F8">
              <w:rPr>
                <w:rFonts w:eastAsia="Times New Roman" w:cs="Segoe UI"/>
                <w:color w:val="000000"/>
                <w:sz w:val="16"/>
                <w:szCs w:val="16"/>
                <w:lang w:eastAsia="sk-SK"/>
              </w:rPr>
              <w:t>13 500 000</w:t>
            </w:r>
          </w:p>
        </w:tc>
        <w:tc>
          <w:tcPr>
            <w:tcW w:w="2339" w:type="dxa"/>
            <w:shd w:val="clear" w:color="auto" w:fill="auto"/>
            <w:vAlign w:val="center"/>
            <w:hideMark/>
          </w:tcPr>
          <w:p w14:paraId="132262CF" w14:textId="77777777" w:rsidR="008A4BCF" w:rsidRPr="00DB26F8" w:rsidRDefault="008A4BCF" w:rsidP="00B44AC3">
            <w:pPr>
              <w:spacing w:after="0"/>
              <w:jc w:val="left"/>
              <w:rPr>
                <w:rFonts w:eastAsia="Times New Roman" w:cs="Segoe UI"/>
                <w:color w:val="000000"/>
                <w:sz w:val="16"/>
                <w:szCs w:val="16"/>
                <w:lang w:eastAsia="sk-SK"/>
              </w:rPr>
            </w:pPr>
            <w:r w:rsidRPr="00DB26F8">
              <w:rPr>
                <w:rFonts w:eastAsia="Times New Roman" w:cs="Segoe UI"/>
                <w:color w:val="000000"/>
                <w:sz w:val="16"/>
                <w:szCs w:val="16"/>
                <w:lang w:eastAsia="sk-SK"/>
              </w:rPr>
              <w:t xml:space="preserve">raz ročne v rokoch 2023 - 2032 vo výške 1,5 mil. eur vždy do 30.11. </w:t>
            </w:r>
          </w:p>
        </w:tc>
      </w:tr>
      <w:tr w:rsidR="008A4BCF" w:rsidRPr="00123812" w14:paraId="58972449" w14:textId="77777777" w:rsidTr="00B44AC3">
        <w:trPr>
          <w:trHeight w:val="20"/>
        </w:trPr>
        <w:tc>
          <w:tcPr>
            <w:tcW w:w="1363" w:type="dxa"/>
            <w:shd w:val="clear" w:color="auto" w:fill="auto"/>
            <w:vAlign w:val="center"/>
            <w:hideMark/>
          </w:tcPr>
          <w:p w14:paraId="7D023068" w14:textId="77777777" w:rsidR="008A4BCF" w:rsidRPr="00DB26F8" w:rsidRDefault="008A4BCF" w:rsidP="00B44AC3">
            <w:pPr>
              <w:spacing w:after="0"/>
              <w:jc w:val="left"/>
              <w:rPr>
                <w:rFonts w:eastAsia="Times New Roman" w:cs="Segoe UI"/>
                <w:b/>
                <w:color w:val="000000"/>
                <w:sz w:val="16"/>
                <w:szCs w:val="16"/>
                <w:lang w:eastAsia="sk-SK"/>
              </w:rPr>
            </w:pPr>
            <w:r>
              <w:rPr>
                <w:rFonts w:eastAsia="Times New Roman" w:cs="Segoe UI"/>
                <w:b/>
                <w:color w:val="000000"/>
                <w:sz w:val="16"/>
                <w:szCs w:val="16"/>
                <w:lang w:eastAsia="sk-SK"/>
              </w:rPr>
              <w:t>NSK</w:t>
            </w:r>
          </w:p>
        </w:tc>
        <w:tc>
          <w:tcPr>
            <w:tcW w:w="2758" w:type="dxa"/>
            <w:shd w:val="clear" w:color="auto" w:fill="auto"/>
            <w:vAlign w:val="center"/>
            <w:hideMark/>
          </w:tcPr>
          <w:p w14:paraId="5807F460" w14:textId="77777777" w:rsidR="008A4BCF" w:rsidRPr="00DB26F8" w:rsidRDefault="008A4BCF" w:rsidP="00B44AC3">
            <w:pPr>
              <w:spacing w:after="0"/>
              <w:jc w:val="left"/>
              <w:rPr>
                <w:rFonts w:eastAsia="Times New Roman" w:cs="Segoe UI"/>
                <w:color w:val="000000"/>
                <w:sz w:val="16"/>
                <w:szCs w:val="16"/>
                <w:lang w:eastAsia="sk-SK"/>
              </w:rPr>
            </w:pPr>
            <w:r w:rsidRPr="00DB26F8">
              <w:rPr>
                <w:rFonts w:eastAsia="Times New Roman" w:cs="Segoe UI"/>
                <w:color w:val="000000"/>
                <w:sz w:val="16"/>
                <w:szCs w:val="16"/>
                <w:lang w:eastAsia="sk-SK"/>
              </w:rPr>
              <w:t>Na financovanie rekonštrukcie a modernizácie mostných objektov a ciest II. a III. triedy vrátane projektovej prípravy a inžinierskych činností v Nitrianskom samosprávnom kraji</w:t>
            </w:r>
          </w:p>
        </w:tc>
        <w:tc>
          <w:tcPr>
            <w:tcW w:w="1134" w:type="dxa"/>
            <w:shd w:val="clear" w:color="auto" w:fill="auto"/>
            <w:noWrap/>
            <w:vAlign w:val="center"/>
            <w:hideMark/>
          </w:tcPr>
          <w:p w14:paraId="4436E49C" w14:textId="77777777" w:rsidR="008A4BCF" w:rsidRPr="00DB26F8" w:rsidRDefault="008A4BCF" w:rsidP="00B44AC3">
            <w:pPr>
              <w:spacing w:after="0"/>
              <w:jc w:val="right"/>
              <w:rPr>
                <w:rFonts w:eastAsia="Times New Roman" w:cs="Segoe UI"/>
                <w:color w:val="000000"/>
                <w:sz w:val="16"/>
                <w:szCs w:val="16"/>
                <w:lang w:eastAsia="sk-SK"/>
              </w:rPr>
            </w:pPr>
            <w:r w:rsidRPr="00DB26F8">
              <w:rPr>
                <w:rFonts w:eastAsia="Times New Roman" w:cs="Segoe UI"/>
                <w:color w:val="000000"/>
                <w:sz w:val="16"/>
                <w:szCs w:val="16"/>
                <w:lang w:eastAsia="sk-SK"/>
              </w:rPr>
              <w:t>15 000 000</w:t>
            </w:r>
          </w:p>
        </w:tc>
        <w:tc>
          <w:tcPr>
            <w:tcW w:w="992" w:type="dxa"/>
            <w:shd w:val="clear" w:color="auto" w:fill="auto"/>
            <w:vAlign w:val="center"/>
            <w:hideMark/>
          </w:tcPr>
          <w:p w14:paraId="08ED176E" w14:textId="77777777" w:rsidR="008A4BCF" w:rsidRPr="00DB26F8" w:rsidRDefault="008A4BCF" w:rsidP="00B44AC3">
            <w:pPr>
              <w:spacing w:after="0"/>
              <w:jc w:val="right"/>
              <w:rPr>
                <w:rFonts w:eastAsia="Times New Roman" w:cs="Segoe UI"/>
                <w:sz w:val="16"/>
                <w:szCs w:val="16"/>
                <w:lang w:eastAsia="sk-SK"/>
              </w:rPr>
            </w:pPr>
            <w:r w:rsidRPr="00DB26F8">
              <w:rPr>
                <w:rFonts w:eastAsia="Times New Roman" w:cs="Segoe UI"/>
                <w:sz w:val="16"/>
                <w:szCs w:val="16"/>
                <w:lang w:eastAsia="sk-SK"/>
              </w:rPr>
              <w:t>1 500 000</w:t>
            </w:r>
          </w:p>
        </w:tc>
        <w:tc>
          <w:tcPr>
            <w:tcW w:w="1134" w:type="dxa"/>
            <w:shd w:val="clear" w:color="auto" w:fill="auto"/>
            <w:noWrap/>
            <w:vAlign w:val="center"/>
            <w:hideMark/>
          </w:tcPr>
          <w:p w14:paraId="0AA899E0" w14:textId="77777777" w:rsidR="008A4BCF" w:rsidRPr="00DB26F8" w:rsidRDefault="008A4BCF" w:rsidP="00B44AC3">
            <w:pPr>
              <w:spacing w:after="0"/>
              <w:jc w:val="right"/>
              <w:rPr>
                <w:rFonts w:eastAsia="Times New Roman" w:cs="Segoe UI"/>
                <w:color w:val="000000"/>
                <w:sz w:val="16"/>
                <w:szCs w:val="16"/>
                <w:lang w:eastAsia="sk-SK"/>
              </w:rPr>
            </w:pPr>
            <w:r w:rsidRPr="00DB26F8">
              <w:rPr>
                <w:rFonts w:eastAsia="Times New Roman" w:cs="Segoe UI"/>
                <w:color w:val="000000"/>
                <w:sz w:val="16"/>
                <w:szCs w:val="16"/>
                <w:lang w:eastAsia="sk-SK"/>
              </w:rPr>
              <w:t>13 500 000</w:t>
            </w:r>
          </w:p>
        </w:tc>
        <w:tc>
          <w:tcPr>
            <w:tcW w:w="2339" w:type="dxa"/>
            <w:shd w:val="clear" w:color="auto" w:fill="auto"/>
            <w:vAlign w:val="center"/>
            <w:hideMark/>
          </w:tcPr>
          <w:p w14:paraId="0123E1B9" w14:textId="77777777" w:rsidR="008A4BCF" w:rsidRPr="00DB26F8" w:rsidRDefault="008A4BCF" w:rsidP="00B44AC3">
            <w:pPr>
              <w:spacing w:after="0"/>
              <w:jc w:val="left"/>
              <w:rPr>
                <w:rFonts w:eastAsia="Times New Roman" w:cs="Segoe UI"/>
                <w:color w:val="000000"/>
                <w:sz w:val="16"/>
                <w:szCs w:val="16"/>
                <w:lang w:eastAsia="sk-SK"/>
              </w:rPr>
            </w:pPr>
            <w:r w:rsidRPr="00DB26F8">
              <w:rPr>
                <w:rFonts w:eastAsia="Times New Roman" w:cs="Segoe UI"/>
                <w:color w:val="000000"/>
                <w:sz w:val="16"/>
                <w:szCs w:val="16"/>
                <w:lang w:eastAsia="sk-SK"/>
              </w:rPr>
              <w:t xml:space="preserve">raz ročne v rokoch 2023 - 2032 vo výške 1,5 mil. eur vždy do 30.11. </w:t>
            </w:r>
          </w:p>
        </w:tc>
      </w:tr>
      <w:tr w:rsidR="008A4BCF" w:rsidRPr="00123812" w14:paraId="4EB5442F" w14:textId="77777777" w:rsidTr="00B44AC3">
        <w:trPr>
          <w:trHeight w:val="20"/>
        </w:trPr>
        <w:tc>
          <w:tcPr>
            <w:tcW w:w="1363" w:type="dxa"/>
            <w:shd w:val="clear" w:color="auto" w:fill="auto"/>
            <w:vAlign w:val="center"/>
            <w:hideMark/>
          </w:tcPr>
          <w:p w14:paraId="3957F98F" w14:textId="77777777" w:rsidR="008A4BCF" w:rsidRPr="00DB26F8" w:rsidRDefault="008A4BCF" w:rsidP="00B44AC3">
            <w:pPr>
              <w:spacing w:after="0"/>
              <w:jc w:val="left"/>
              <w:rPr>
                <w:rFonts w:eastAsia="Times New Roman" w:cs="Segoe UI"/>
                <w:b/>
                <w:color w:val="000000"/>
                <w:sz w:val="16"/>
                <w:szCs w:val="16"/>
                <w:lang w:eastAsia="sk-SK"/>
              </w:rPr>
            </w:pPr>
            <w:r>
              <w:rPr>
                <w:rFonts w:eastAsia="Times New Roman" w:cs="Segoe UI"/>
                <w:b/>
                <w:color w:val="000000"/>
                <w:sz w:val="16"/>
                <w:szCs w:val="16"/>
                <w:lang w:eastAsia="sk-SK"/>
              </w:rPr>
              <w:t>TTSK</w:t>
            </w:r>
            <w:r w:rsidRPr="00DB26F8">
              <w:rPr>
                <w:rFonts w:eastAsia="Times New Roman" w:cs="Segoe UI"/>
                <w:b/>
                <w:color w:val="000000"/>
                <w:sz w:val="16"/>
                <w:szCs w:val="16"/>
                <w:lang w:eastAsia="sk-SK"/>
              </w:rPr>
              <w:t xml:space="preserve"> </w:t>
            </w:r>
          </w:p>
        </w:tc>
        <w:tc>
          <w:tcPr>
            <w:tcW w:w="2758" w:type="dxa"/>
            <w:shd w:val="clear" w:color="auto" w:fill="auto"/>
            <w:vAlign w:val="center"/>
            <w:hideMark/>
          </w:tcPr>
          <w:p w14:paraId="7F0DBD9C" w14:textId="77777777" w:rsidR="008A4BCF" w:rsidRPr="00DB26F8" w:rsidRDefault="008A4BCF" w:rsidP="00B44AC3">
            <w:pPr>
              <w:spacing w:after="0"/>
              <w:jc w:val="left"/>
              <w:rPr>
                <w:rFonts w:eastAsia="Times New Roman" w:cs="Segoe UI"/>
                <w:color w:val="000000"/>
                <w:sz w:val="16"/>
                <w:szCs w:val="16"/>
                <w:lang w:eastAsia="sk-SK"/>
              </w:rPr>
            </w:pPr>
            <w:r w:rsidRPr="00DB26F8">
              <w:rPr>
                <w:rFonts w:eastAsia="Times New Roman" w:cs="Segoe UI"/>
                <w:color w:val="000000"/>
                <w:sz w:val="16"/>
                <w:szCs w:val="16"/>
                <w:lang w:eastAsia="sk-SK"/>
              </w:rPr>
              <w:t>Na rekonštrukciu mostných objektov a ciest II. a III. triedy v pôsobnosti Trnavského samosprávneho kraja vrátane prípravnej a projektovej dokumentácie</w:t>
            </w:r>
          </w:p>
        </w:tc>
        <w:tc>
          <w:tcPr>
            <w:tcW w:w="1134" w:type="dxa"/>
            <w:shd w:val="clear" w:color="auto" w:fill="auto"/>
            <w:noWrap/>
            <w:vAlign w:val="center"/>
            <w:hideMark/>
          </w:tcPr>
          <w:p w14:paraId="4D3001A2" w14:textId="77777777" w:rsidR="008A4BCF" w:rsidRPr="00DB26F8" w:rsidRDefault="008A4BCF" w:rsidP="00B44AC3">
            <w:pPr>
              <w:spacing w:after="0"/>
              <w:jc w:val="right"/>
              <w:rPr>
                <w:rFonts w:eastAsia="Times New Roman" w:cs="Segoe UI"/>
                <w:color w:val="000000"/>
                <w:sz w:val="16"/>
                <w:szCs w:val="16"/>
                <w:lang w:eastAsia="sk-SK"/>
              </w:rPr>
            </w:pPr>
            <w:r w:rsidRPr="00DB26F8">
              <w:rPr>
                <w:rFonts w:eastAsia="Times New Roman" w:cs="Segoe UI"/>
                <w:color w:val="000000"/>
                <w:sz w:val="16"/>
                <w:szCs w:val="16"/>
                <w:lang w:eastAsia="sk-SK"/>
              </w:rPr>
              <w:t>15 000 000</w:t>
            </w:r>
          </w:p>
        </w:tc>
        <w:tc>
          <w:tcPr>
            <w:tcW w:w="992" w:type="dxa"/>
            <w:shd w:val="clear" w:color="auto" w:fill="auto"/>
            <w:vAlign w:val="center"/>
            <w:hideMark/>
          </w:tcPr>
          <w:p w14:paraId="45BB7659" w14:textId="77777777" w:rsidR="008A4BCF" w:rsidRPr="00DB26F8" w:rsidRDefault="008A4BCF" w:rsidP="00B44AC3">
            <w:pPr>
              <w:spacing w:after="0"/>
              <w:jc w:val="right"/>
              <w:rPr>
                <w:rFonts w:eastAsia="Times New Roman" w:cs="Segoe UI"/>
                <w:sz w:val="16"/>
                <w:szCs w:val="16"/>
                <w:lang w:eastAsia="sk-SK"/>
              </w:rPr>
            </w:pPr>
            <w:r w:rsidRPr="00DB26F8">
              <w:rPr>
                <w:rFonts w:eastAsia="Times New Roman" w:cs="Segoe UI"/>
                <w:sz w:val="16"/>
                <w:szCs w:val="16"/>
                <w:lang w:eastAsia="sk-SK"/>
              </w:rPr>
              <w:t>3 000 000</w:t>
            </w:r>
          </w:p>
        </w:tc>
        <w:tc>
          <w:tcPr>
            <w:tcW w:w="1134" w:type="dxa"/>
            <w:shd w:val="clear" w:color="auto" w:fill="auto"/>
            <w:noWrap/>
            <w:vAlign w:val="center"/>
            <w:hideMark/>
          </w:tcPr>
          <w:p w14:paraId="43B80DA6" w14:textId="77777777" w:rsidR="008A4BCF" w:rsidRPr="00DB26F8" w:rsidRDefault="008A4BCF" w:rsidP="00B44AC3">
            <w:pPr>
              <w:spacing w:after="0"/>
              <w:jc w:val="right"/>
              <w:rPr>
                <w:rFonts w:eastAsia="Times New Roman" w:cs="Segoe UI"/>
                <w:color w:val="000000"/>
                <w:sz w:val="16"/>
                <w:szCs w:val="16"/>
                <w:lang w:eastAsia="sk-SK"/>
              </w:rPr>
            </w:pPr>
            <w:r w:rsidRPr="00DB26F8">
              <w:rPr>
                <w:rFonts w:eastAsia="Times New Roman" w:cs="Segoe UI"/>
                <w:color w:val="000000"/>
                <w:sz w:val="16"/>
                <w:szCs w:val="16"/>
                <w:lang w:eastAsia="sk-SK"/>
              </w:rPr>
              <w:t>12 000 000</w:t>
            </w:r>
          </w:p>
        </w:tc>
        <w:tc>
          <w:tcPr>
            <w:tcW w:w="2339" w:type="dxa"/>
            <w:shd w:val="clear" w:color="auto" w:fill="auto"/>
            <w:vAlign w:val="center"/>
            <w:hideMark/>
          </w:tcPr>
          <w:p w14:paraId="06F06091" w14:textId="77777777" w:rsidR="008A4BCF" w:rsidRPr="00DB26F8" w:rsidRDefault="008A4BCF" w:rsidP="00B44AC3">
            <w:pPr>
              <w:spacing w:after="0"/>
              <w:jc w:val="left"/>
              <w:rPr>
                <w:rFonts w:eastAsia="Times New Roman" w:cs="Segoe UI"/>
                <w:color w:val="000000"/>
                <w:sz w:val="16"/>
                <w:szCs w:val="16"/>
                <w:lang w:eastAsia="sk-SK"/>
              </w:rPr>
            </w:pPr>
            <w:r w:rsidRPr="00DB26F8">
              <w:rPr>
                <w:rFonts w:eastAsia="Times New Roman" w:cs="Segoe UI"/>
                <w:color w:val="000000"/>
                <w:sz w:val="16"/>
                <w:szCs w:val="16"/>
                <w:lang w:eastAsia="sk-SK"/>
              </w:rPr>
              <w:t xml:space="preserve">raz ročne v rokoch 2022 - 2031 vo výške 1,5 mil. eur vždy do 30.11. </w:t>
            </w:r>
          </w:p>
        </w:tc>
      </w:tr>
      <w:tr w:rsidR="008A4BCF" w:rsidRPr="00123812" w14:paraId="1548C8D6" w14:textId="77777777" w:rsidTr="00B44AC3">
        <w:trPr>
          <w:trHeight w:val="20"/>
        </w:trPr>
        <w:tc>
          <w:tcPr>
            <w:tcW w:w="1363" w:type="dxa"/>
            <w:shd w:val="clear" w:color="auto" w:fill="auto"/>
            <w:vAlign w:val="center"/>
            <w:hideMark/>
          </w:tcPr>
          <w:p w14:paraId="1B05B10B" w14:textId="77777777" w:rsidR="008A4BCF" w:rsidRPr="00DB26F8" w:rsidRDefault="008A4BCF" w:rsidP="00B44AC3">
            <w:pPr>
              <w:spacing w:after="0"/>
              <w:jc w:val="left"/>
              <w:rPr>
                <w:rFonts w:eastAsia="Times New Roman" w:cs="Segoe UI"/>
                <w:b/>
                <w:color w:val="000000"/>
                <w:sz w:val="16"/>
                <w:szCs w:val="16"/>
                <w:lang w:eastAsia="sk-SK"/>
              </w:rPr>
            </w:pPr>
            <w:r w:rsidRPr="00DB26F8">
              <w:rPr>
                <w:rFonts w:eastAsia="Times New Roman" w:cs="Segoe UI"/>
                <w:b/>
                <w:color w:val="000000"/>
                <w:sz w:val="16"/>
                <w:szCs w:val="16"/>
                <w:lang w:eastAsia="sk-SK"/>
              </w:rPr>
              <w:t xml:space="preserve">Mesto Košice </w:t>
            </w:r>
          </w:p>
        </w:tc>
        <w:tc>
          <w:tcPr>
            <w:tcW w:w="2758" w:type="dxa"/>
            <w:shd w:val="clear" w:color="auto" w:fill="auto"/>
            <w:vAlign w:val="center"/>
            <w:hideMark/>
          </w:tcPr>
          <w:p w14:paraId="4465B109" w14:textId="77777777" w:rsidR="008A4BCF" w:rsidRPr="00DB26F8" w:rsidRDefault="008A4BCF" w:rsidP="00B44AC3">
            <w:pPr>
              <w:spacing w:after="0"/>
              <w:jc w:val="left"/>
              <w:rPr>
                <w:rFonts w:eastAsia="Times New Roman" w:cs="Segoe UI"/>
                <w:color w:val="000000"/>
                <w:sz w:val="16"/>
                <w:szCs w:val="16"/>
                <w:lang w:eastAsia="sk-SK"/>
              </w:rPr>
            </w:pPr>
            <w:r w:rsidRPr="00DB26F8">
              <w:rPr>
                <w:rFonts w:eastAsia="Times New Roman" w:cs="Segoe UI"/>
                <w:color w:val="000000"/>
                <w:sz w:val="16"/>
                <w:szCs w:val="16"/>
                <w:lang w:eastAsia="sk-SK"/>
              </w:rPr>
              <w:t>Na výkon samosprávnych pôsobností v oblasti cestnej infraštruktúry, investícií do majetku vo vlastníctve miest a mestskej hromadnej dopravy</w:t>
            </w:r>
          </w:p>
        </w:tc>
        <w:tc>
          <w:tcPr>
            <w:tcW w:w="1134" w:type="dxa"/>
            <w:shd w:val="clear" w:color="auto" w:fill="auto"/>
            <w:noWrap/>
            <w:vAlign w:val="center"/>
            <w:hideMark/>
          </w:tcPr>
          <w:p w14:paraId="0C458F66" w14:textId="77777777" w:rsidR="008A4BCF" w:rsidRPr="00DB26F8" w:rsidRDefault="008A4BCF" w:rsidP="00B44AC3">
            <w:pPr>
              <w:spacing w:after="0"/>
              <w:jc w:val="right"/>
              <w:rPr>
                <w:rFonts w:eastAsia="Times New Roman" w:cs="Segoe UI"/>
                <w:color w:val="000000"/>
                <w:sz w:val="16"/>
                <w:szCs w:val="16"/>
                <w:lang w:eastAsia="sk-SK"/>
              </w:rPr>
            </w:pPr>
            <w:r w:rsidRPr="00DB26F8">
              <w:rPr>
                <w:rFonts w:eastAsia="Times New Roman" w:cs="Segoe UI"/>
                <w:color w:val="000000"/>
                <w:sz w:val="16"/>
                <w:szCs w:val="16"/>
                <w:lang w:eastAsia="sk-SK"/>
              </w:rPr>
              <w:t>11 929 650</w:t>
            </w:r>
          </w:p>
        </w:tc>
        <w:tc>
          <w:tcPr>
            <w:tcW w:w="992" w:type="dxa"/>
            <w:shd w:val="clear" w:color="auto" w:fill="auto"/>
            <w:vAlign w:val="center"/>
            <w:hideMark/>
          </w:tcPr>
          <w:p w14:paraId="639AE976" w14:textId="77777777" w:rsidR="008A4BCF" w:rsidRPr="00DB26F8" w:rsidRDefault="008A4BCF" w:rsidP="00B44AC3">
            <w:pPr>
              <w:spacing w:after="0"/>
              <w:jc w:val="right"/>
              <w:rPr>
                <w:rFonts w:eastAsia="Times New Roman" w:cs="Segoe UI"/>
                <w:sz w:val="16"/>
                <w:szCs w:val="16"/>
                <w:lang w:eastAsia="sk-SK"/>
              </w:rPr>
            </w:pPr>
            <w:r w:rsidRPr="00DB26F8">
              <w:rPr>
                <w:rFonts w:eastAsia="Times New Roman" w:cs="Segoe UI"/>
                <w:sz w:val="16"/>
                <w:szCs w:val="16"/>
                <w:lang w:eastAsia="sk-SK"/>
              </w:rPr>
              <w:t>0</w:t>
            </w:r>
          </w:p>
        </w:tc>
        <w:tc>
          <w:tcPr>
            <w:tcW w:w="1134" w:type="dxa"/>
            <w:shd w:val="clear" w:color="auto" w:fill="auto"/>
            <w:noWrap/>
            <w:vAlign w:val="center"/>
            <w:hideMark/>
          </w:tcPr>
          <w:p w14:paraId="48FB308E" w14:textId="77777777" w:rsidR="008A4BCF" w:rsidRPr="00DB26F8" w:rsidRDefault="008A4BCF" w:rsidP="00B44AC3">
            <w:pPr>
              <w:spacing w:after="0"/>
              <w:jc w:val="right"/>
              <w:rPr>
                <w:rFonts w:eastAsia="Times New Roman" w:cs="Segoe UI"/>
                <w:color w:val="000000"/>
                <w:sz w:val="16"/>
                <w:szCs w:val="16"/>
                <w:lang w:eastAsia="sk-SK"/>
              </w:rPr>
            </w:pPr>
            <w:r w:rsidRPr="00DB26F8">
              <w:rPr>
                <w:rFonts w:eastAsia="Times New Roman" w:cs="Segoe UI"/>
                <w:color w:val="000000"/>
                <w:sz w:val="16"/>
                <w:szCs w:val="16"/>
                <w:lang w:eastAsia="sk-SK"/>
              </w:rPr>
              <w:t>11 929 650</w:t>
            </w:r>
          </w:p>
        </w:tc>
        <w:tc>
          <w:tcPr>
            <w:tcW w:w="2339" w:type="dxa"/>
            <w:shd w:val="clear" w:color="auto" w:fill="auto"/>
            <w:vAlign w:val="center"/>
            <w:hideMark/>
          </w:tcPr>
          <w:p w14:paraId="67828582" w14:textId="77777777" w:rsidR="008A4BCF" w:rsidRPr="00DB26F8" w:rsidRDefault="008A4BCF" w:rsidP="00B44AC3">
            <w:pPr>
              <w:spacing w:after="0"/>
              <w:jc w:val="left"/>
              <w:rPr>
                <w:rFonts w:eastAsia="Times New Roman" w:cs="Segoe UI"/>
                <w:color w:val="000000"/>
                <w:sz w:val="16"/>
                <w:szCs w:val="16"/>
                <w:lang w:eastAsia="sk-SK"/>
              </w:rPr>
            </w:pPr>
            <w:r w:rsidRPr="00DB26F8">
              <w:rPr>
                <w:rFonts w:eastAsia="Times New Roman" w:cs="Segoe UI"/>
                <w:color w:val="000000"/>
                <w:sz w:val="16"/>
                <w:szCs w:val="16"/>
                <w:lang w:eastAsia="sk-SK"/>
              </w:rPr>
              <w:t xml:space="preserve">raz ročne v rokoch 2024 - 2033 vo výške 1,2 mil. eur do 30.11. </w:t>
            </w:r>
          </w:p>
        </w:tc>
      </w:tr>
      <w:tr w:rsidR="008A4BCF" w:rsidRPr="00123812" w14:paraId="520E781F" w14:textId="77777777" w:rsidTr="00B44AC3">
        <w:trPr>
          <w:trHeight w:val="20"/>
        </w:trPr>
        <w:tc>
          <w:tcPr>
            <w:tcW w:w="1363" w:type="dxa"/>
            <w:shd w:val="clear" w:color="auto" w:fill="auto"/>
            <w:vAlign w:val="center"/>
            <w:hideMark/>
          </w:tcPr>
          <w:p w14:paraId="244D6FD8" w14:textId="77777777" w:rsidR="008A4BCF" w:rsidRPr="00DB26F8" w:rsidRDefault="008A4BCF" w:rsidP="00B44AC3">
            <w:pPr>
              <w:spacing w:after="0"/>
              <w:jc w:val="left"/>
              <w:rPr>
                <w:rFonts w:eastAsia="Times New Roman" w:cs="Segoe UI"/>
                <w:b/>
                <w:color w:val="000000"/>
                <w:sz w:val="16"/>
                <w:szCs w:val="16"/>
                <w:lang w:eastAsia="sk-SK"/>
              </w:rPr>
            </w:pPr>
            <w:r>
              <w:rPr>
                <w:rFonts w:eastAsia="Times New Roman" w:cs="Segoe UI"/>
                <w:b/>
                <w:color w:val="000000"/>
                <w:sz w:val="16"/>
                <w:szCs w:val="16"/>
                <w:lang w:eastAsia="sk-SK"/>
              </w:rPr>
              <w:t>PSK</w:t>
            </w:r>
            <w:r w:rsidRPr="00DB26F8">
              <w:rPr>
                <w:rFonts w:eastAsia="Times New Roman" w:cs="Segoe UI"/>
                <w:b/>
                <w:color w:val="000000"/>
                <w:sz w:val="16"/>
                <w:szCs w:val="16"/>
                <w:lang w:eastAsia="sk-SK"/>
              </w:rPr>
              <w:t xml:space="preserve"> </w:t>
            </w:r>
          </w:p>
        </w:tc>
        <w:tc>
          <w:tcPr>
            <w:tcW w:w="2758" w:type="dxa"/>
            <w:shd w:val="clear" w:color="auto" w:fill="auto"/>
            <w:vAlign w:val="center"/>
            <w:hideMark/>
          </w:tcPr>
          <w:p w14:paraId="49C86A7D" w14:textId="77777777" w:rsidR="008A4BCF" w:rsidRPr="00DB26F8" w:rsidRDefault="008A4BCF" w:rsidP="00B44AC3">
            <w:pPr>
              <w:spacing w:after="0"/>
              <w:jc w:val="left"/>
              <w:rPr>
                <w:rFonts w:eastAsia="Times New Roman" w:cs="Segoe UI"/>
                <w:color w:val="000000"/>
                <w:sz w:val="16"/>
                <w:szCs w:val="16"/>
                <w:lang w:eastAsia="sk-SK"/>
              </w:rPr>
            </w:pPr>
            <w:r w:rsidRPr="00DB26F8">
              <w:rPr>
                <w:rFonts w:eastAsia="Times New Roman" w:cs="Segoe UI"/>
                <w:color w:val="000000"/>
                <w:sz w:val="16"/>
                <w:szCs w:val="16"/>
                <w:lang w:eastAsia="sk-SK"/>
              </w:rPr>
              <w:t>Na rekonštrukciu ciest II. a III. triedy v pôsobnosti Prešovského samosprávneho kraja</w:t>
            </w:r>
          </w:p>
        </w:tc>
        <w:tc>
          <w:tcPr>
            <w:tcW w:w="1134" w:type="dxa"/>
            <w:shd w:val="clear" w:color="auto" w:fill="auto"/>
            <w:noWrap/>
            <w:vAlign w:val="center"/>
            <w:hideMark/>
          </w:tcPr>
          <w:p w14:paraId="28AA2004" w14:textId="77777777" w:rsidR="008A4BCF" w:rsidRPr="00DB26F8" w:rsidRDefault="008A4BCF" w:rsidP="00B44AC3">
            <w:pPr>
              <w:spacing w:after="0"/>
              <w:jc w:val="right"/>
              <w:rPr>
                <w:rFonts w:eastAsia="Times New Roman" w:cs="Segoe UI"/>
                <w:color w:val="000000"/>
                <w:sz w:val="16"/>
                <w:szCs w:val="16"/>
                <w:lang w:eastAsia="sk-SK"/>
              </w:rPr>
            </w:pPr>
            <w:r w:rsidRPr="00DB26F8">
              <w:rPr>
                <w:rFonts w:eastAsia="Times New Roman" w:cs="Segoe UI"/>
                <w:color w:val="000000"/>
                <w:sz w:val="16"/>
                <w:szCs w:val="16"/>
                <w:lang w:eastAsia="sk-SK"/>
              </w:rPr>
              <w:t>12 000 000</w:t>
            </w:r>
          </w:p>
        </w:tc>
        <w:tc>
          <w:tcPr>
            <w:tcW w:w="992" w:type="dxa"/>
            <w:shd w:val="clear" w:color="auto" w:fill="auto"/>
            <w:vAlign w:val="center"/>
            <w:hideMark/>
          </w:tcPr>
          <w:p w14:paraId="219B14CB" w14:textId="77777777" w:rsidR="008A4BCF" w:rsidRPr="00DB26F8" w:rsidRDefault="008A4BCF" w:rsidP="00B44AC3">
            <w:pPr>
              <w:spacing w:after="0"/>
              <w:jc w:val="right"/>
              <w:rPr>
                <w:rFonts w:eastAsia="Times New Roman" w:cs="Segoe UI"/>
                <w:sz w:val="16"/>
                <w:szCs w:val="16"/>
                <w:lang w:eastAsia="sk-SK"/>
              </w:rPr>
            </w:pPr>
            <w:r w:rsidRPr="00DB26F8">
              <w:rPr>
                <w:rFonts w:eastAsia="Times New Roman" w:cs="Segoe UI"/>
                <w:sz w:val="16"/>
                <w:szCs w:val="16"/>
                <w:lang w:eastAsia="sk-SK"/>
              </w:rPr>
              <w:t>3 600 000</w:t>
            </w:r>
          </w:p>
        </w:tc>
        <w:tc>
          <w:tcPr>
            <w:tcW w:w="1134" w:type="dxa"/>
            <w:shd w:val="clear" w:color="auto" w:fill="auto"/>
            <w:noWrap/>
            <w:vAlign w:val="center"/>
            <w:hideMark/>
          </w:tcPr>
          <w:p w14:paraId="55797355" w14:textId="77777777" w:rsidR="008A4BCF" w:rsidRPr="00DB26F8" w:rsidRDefault="008A4BCF" w:rsidP="00B44AC3">
            <w:pPr>
              <w:spacing w:after="0"/>
              <w:jc w:val="right"/>
              <w:rPr>
                <w:rFonts w:eastAsia="Times New Roman" w:cs="Segoe UI"/>
                <w:color w:val="000000"/>
                <w:sz w:val="16"/>
                <w:szCs w:val="16"/>
                <w:lang w:eastAsia="sk-SK"/>
              </w:rPr>
            </w:pPr>
            <w:r w:rsidRPr="00DB26F8">
              <w:rPr>
                <w:rFonts w:eastAsia="Times New Roman" w:cs="Segoe UI"/>
                <w:color w:val="000000"/>
                <w:sz w:val="16"/>
                <w:szCs w:val="16"/>
                <w:lang w:eastAsia="sk-SK"/>
              </w:rPr>
              <w:t>8 400 000</w:t>
            </w:r>
          </w:p>
        </w:tc>
        <w:tc>
          <w:tcPr>
            <w:tcW w:w="2339" w:type="dxa"/>
            <w:shd w:val="clear" w:color="auto" w:fill="auto"/>
            <w:vAlign w:val="center"/>
            <w:hideMark/>
          </w:tcPr>
          <w:p w14:paraId="2F4A5793" w14:textId="77777777" w:rsidR="008A4BCF" w:rsidRPr="00DB26F8" w:rsidRDefault="008A4BCF" w:rsidP="00B44AC3">
            <w:pPr>
              <w:spacing w:after="0"/>
              <w:jc w:val="left"/>
              <w:rPr>
                <w:rFonts w:eastAsia="Times New Roman" w:cs="Segoe UI"/>
                <w:color w:val="000000"/>
                <w:sz w:val="16"/>
                <w:szCs w:val="16"/>
                <w:lang w:eastAsia="sk-SK"/>
              </w:rPr>
            </w:pPr>
            <w:r w:rsidRPr="00DB26F8">
              <w:rPr>
                <w:rFonts w:eastAsia="Times New Roman" w:cs="Segoe UI"/>
                <w:color w:val="000000"/>
                <w:sz w:val="16"/>
                <w:szCs w:val="16"/>
                <w:lang w:eastAsia="sk-SK"/>
              </w:rPr>
              <w:t xml:space="preserve">raz ročne v rokoch 2021 - 2030 vo výške 1,2 mil. eur vždy do 30.11. </w:t>
            </w:r>
          </w:p>
        </w:tc>
      </w:tr>
      <w:tr w:rsidR="008A4BCF" w:rsidRPr="00123812" w14:paraId="7A1C3997" w14:textId="77777777" w:rsidTr="00B44AC3">
        <w:trPr>
          <w:trHeight w:val="20"/>
        </w:trPr>
        <w:tc>
          <w:tcPr>
            <w:tcW w:w="1363" w:type="dxa"/>
            <w:shd w:val="clear" w:color="auto" w:fill="auto"/>
            <w:vAlign w:val="center"/>
            <w:hideMark/>
          </w:tcPr>
          <w:p w14:paraId="10230F50" w14:textId="77777777" w:rsidR="008A4BCF" w:rsidRPr="00DB26F8" w:rsidRDefault="008A4BCF" w:rsidP="00B44AC3">
            <w:pPr>
              <w:spacing w:after="0"/>
              <w:jc w:val="left"/>
              <w:rPr>
                <w:rFonts w:eastAsia="Times New Roman" w:cs="Segoe UI"/>
                <w:b/>
                <w:sz w:val="16"/>
                <w:szCs w:val="16"/>
                <w:lang w:eastAsia="sk-SK"/>
              </w:rPr>
            </w:pPr>
            <w:r w:rsidRPr="00DB26F8">
              <w:rPr>
                <w:rFonts w:eastAsia="Times New Roman" w:cs="Segoe UI"/>
                <w:b/>
                <w:sz w:val="16"/>
                <w:szCs w:val="16"/>
                <w:lang w:eastAsia="sk-SK"/>
              </w:rPr>
              <w:lastRenderedPageBreak/>
              <w:t xml:space="preserve">GA Driling, a. s. </w:t>
            </w:r>
          </w:p>
        </w:tc>
        <w:tc>
          <w:tcPr>
            <w:tcW w:w="2758" w:type="dxa"/>
            <w:shd w:val="clear" w:color="auto" w:fill="auto"/>
            <w:vAlign w:val="center"/>
            <w:hideMark/>
          </w:tcPr>
          <w:p w14:paraId="2C0F1F92" w14:textId="77777777" w:rsidR="008A4BCF" w:rsidRPr="00DB26F8" w:rsidRDefault="008A4BCF" w:rsidP="00B44AC3">
            <w:pPr>
              <w:spacing w:after="0"/>
              <w:jc w:val="left"/>
              <w:rPr>
                <w:rFonts w:eastAsia="Times New Roman" w:cs="Segoe UI"/>
                <w:sz w:val="16"/>
                <w:szCs w:val="16"/>
                <w:lang w:eastAsia="sk-SK"/>
              </w:rPr>
            </w:pPr>
            <w:r w:rsidRPr="00DB26F8">
              <w:rPr>
                <w:rFonts w:eastAsia="Times New Roman" w:cs="Segoe UI"/>
                <w:sz w:val="16"/>
                <w:szCs w:val="16"/>
                <w:lang w:eastAsia="sk-SK"/>
              </w:rPr>
              <w:t>Na podporu priemyselného výskumu a s tým súvisiaceho obstarania technológií pre projekt "Technológia PLASMABIT pre nákladovo efektívne uzatváranie vrtov"</w:t>
            </w:r>
          </w:p>
        </w:tc>
        <w:tc>
          <w:tcPr>
            <w:tcW w:w="1134" w:type="dxa"/>
            <w:shd w:val="clear" w:color="auto" w:fill="auto"/>
            <w:noWrap/>
            <w:vAlign w:val="center"/>
            <w:hideMark/>
          </w:tcPr>
          <w:p w14:paraId="5B3ADDA8" w14:textId="77777777" w:rsidR="008A4BCF" w:rsidRPr="00DB26F8" w:rsidRDefault="008A4BCF" w:rsidP="00B44AC3">
            <w:pPr>
              <w:spacing w:after="0"/>
              <w:jc w:val="right"/>
              <w:rPr>
                <w:rFonts w:eastAsia="Times New Roman" w:cs="Segoe UI"/>
                <w:color w:val="000000"/>
                <w:sz w:val="16"/>
                <w:szCs w:val="16"/>
                <w:lang w:eastAsia="sk-SK"/>
              </w:rPr>
            </w:pPr>
            <w:r w:rsidRPr="00DB26F8">
              <w:rPr>
                <w:rFonts w:eastAsia="Times New Roman" w:cs="Segoe UI"/>
                <w:color w:val="000000"/>
                <w:sz w:val="16"/>
                <w:szCs w:val="16"/>
                <w:lang w:eastAsia="sk-SK"/>
              </w:rPr>
              <w:t>9 500 000</w:t>
            </w:r>
          </w:p>
        </w:tc>
        <w:tc>
          <w:tcPr>
            <w:tcW w:w="992" w:type="dxa"/>
            <w:shd w:val="clear" w:color="auto" w:fill="auto"/>
            <w:vAlign w:val="center"/>
            <w:hideMark/>
          </w:tcPr>
          <w:p w14:paraId="7C566A04" w14:textId="77777777" w:rsidR="008A4BCF" w:rsidRPr="00DB26F8" w:rsidRDefault="008A4BCF" w:rsidP="00B44AC3">
            <w:pPr>
              <w:spacing w:after="0"/>
              <w:jc w:val="right"/>
              <w:rPr>
                <w:rFonts w:eastAsia="Times New Roman" w:cs="Segoe UI"/>
                <w:sz w:val="16"/>
                <w:szCs w:val="16"/>
                <w:lang w:eastAsia="sk-SK"/>
              </w:rPr>
            </w:pPr>
            <w:r w:rsidRPr="00DB26F8">
              <w:rPr>
                <w:rFonts w:eastAsia="Times New Roman" w:cs="Segoe UI"/>
                <w:sz w:val="16"/>
                <w:szCs w:val="16"/>
                <w:lang w:eastAsia="sk-SK"/>
              </w:rPr>
              <w:t>2 000 000</w:t>
            </w:r>
          </w:p>
        </w:tc>
        <w:tc>
          <w:tcPr>
            <w:tcW w:w="1134" w:type="dxa"/>
            <w:shd w:val="clear" w:color="auto" w:fill="auto"/>
            <w:noWrap/>
            <w:vAlign w:val="center"/>
            <w:hideMark/>
          </w:tcPr>
          <w:p w14:paraId="1A2E228D" w14:textId="77777777" w:rsidR="008A4BCF" w:rsidRPr="00DB26F8" w:rsidRDefault="008A4BCF" w:rsidP="00B44AC3">
            <w:pPr>
              <w:spacing w:after="0"/>
              <w:jc w:val="right"/>
              <w:rPr>
                <w:rFonts w:eastAsia="Times New Roman" w:cs="Segoe UI"/>
                <w:color w:val="000000"/>
                <w:sz w:val="16"/>
                <w:szCs w:val="16"/>
                <w:lang w:eastAsia="sk-SK"/>
              </w:rPr>
            </w:pPr>
            <w:r w:rsidRPr="00DB26F8">
              <w:rPr>
                <w:rFonts w:eastAsia="Times New Roman" w:cs="Segoe UI"/>
                <w:color w:val="000000"/>
                <w:sz w:val="16"/>
                <w:szCs w:val="16"/>
                <w:lang w:eastAsia="sk-SK"/>
              </w:rPr>
              <w:t>7 500 000</w:t>
            </w:r>
          </w:p>
        </w:tc>
        <w:tc>
          <w:tcPr>
            <w:tcW w:w="2339" w:type="dxa"/>
            <w:shd w:val="clear" w:color="auto" w:fill="auto"/>
            <w:vAlign w:val="center"/>
            <w:hideMark/>
          </w:tcPr>
          <w:p w14:paraId="76F041E1" w14:textId="77777777" w:rsidR="008A4BCF" w:rsidRPr="00DB26F8" w:rsidRDefault="008A4BCF" w:rsidP="00B44AC3">
            <w:pPr>
              <w:spacing w:after="0"/>
              <w:jc w:val="left"/>
              <w:rPr>
                <w:rFonts w:eastAsia="Times New Roman" w:cs="Segoe UI"/>
                <w:sz w:val="16"/>
                <w:szCs w:val="16"/>
                <w:lang w:eastAsia="sk-SK"/>
              </w:rPr>
            </w:pPr>
            <w:r w:rsidRPr="00DB26F8">
              <w:rPr>
                <w:rFonts w:eastAsia="Times New Roman" w:cs="Segoe UI"/>
                <w:sz w:val="16"/>
                <w:szCs w:val="16"/>
                <w:lang w:eastAsia="sk-SK"/>
              </w:rPr>
              <w:t xml:space="preserve">raz ročne v rokoch 2022 - 2031 vždy do 30.11., </w:t>
            </w:r>
            <w:r w:rsidRPr="00DB26F8">
              <w:rPr>
                <w:rFonts w:eastAsia="Times New Roman" w:cs="Segoe UI"/>
                <w:b/>
                <w:sz w:val="16"/>
                <w:szCs w:val="16"/>
                <w:lang w:eastAsia="sk-SK"/>
              </w:rPr>
              <w:t>úročenie 1 % p. a.</w:t>
            </w:r>
            <w:r w:rsidRPr="00DB26F8">
              <w:rPr>
                <w:rFonts w:eastAsia="Times New Roman" w:cs="Segoe UI"/>
                <w:sz w:val="16"/>
                <w:szCs w:val="16"/>
                <w:lang w:eastAsia="sk-SK"/>
              </w:rPr>
              <w:t xml:space="preserve"> </w:t>
            </w:r>
          </w:p>
        </w:tc>
      </w:tr>
      <w:tr w:rsidR="008A4BCF" w:rsidRPr="00123812" w14:paraId="6DC85AF0" w14:textId="77777777" w:rsidTr="00B44AC3">
        <w:trPr>
          <w:trHeight w:val="20"/>
        </w:trPr>
        <w:tc>
          <w:tcPr>
            <w:tcW w:w="1363" w:type="dxa"/>
            <w:shd w:val="clear" w:color="auto" w:fill="auto"/>
            <w:vAlign w:val="center"/>
            <w:hideMark/>
          </w:tcPr>
          <w:p w14:paraId="27DA4294" w14:textId="77777777" w:rsidR="008A4BCF" w:rsidRPr="00DB26F8" w:rsidRDefault="008A4BCF" w:rsidP="00B44AC3">
            <w:pPr>
              <w:spacing w:after="0"/>
              <w:jc w:val="left"/>
              <w:rPr>
                <w:rFonts w:eastAsia="Times New Roman" w:cs="Segoe UI"/>
                <w:b/>
                <w:color w:val="000000"/>
                <w:sz w:val="16"/>
                <w:szCs w:val="16"/>
                <w:lang w:eastAsia="sk-SK"/>
              </w:rPr>
            </w:pPr>
            <w:r>
              <w:rPr>
                <w:rFonts w:eastAsia="Times New Roman" w:cs="Segoe UI"/>
                <w:b/>
                <w:color w:val="000000"/>
                <w:sz w:val="16"/>
                <w:szCs w:val="16"/>
                <w:lang w:eastAsia="sk-SK"/>
              </w:rPr>
              <w:t>BBSK</w:t>
            </w:r>
            <w:r w:rsidRPr="00DB26F8">
              <w:rPr>
                <w:rFonts w:eastAsia="Times New Roman" w:cs="Segoe UI"/>
                <w:b/>
                <w:color w:val="000000"/>
                <w:sz w:val="16"/>
                <w:szCs w:val="16"/>
                <w:lang w:eastAsia="sk-SK"/>
              </w:rPr>
              <w:t xml:space="preserve"> </w:t>
            </w:r>
          </w:p>
        </w:tc>
        <w:tc>
          <w:tcPr>
            <w:tcW w:w="2758" w:type="dxa"/>
            <w:shd w:val="clear" w:color="auto" w:fill="auto"/>
            <w:vAlign w:val="center"/>
            <w:hideMark/>
          </w:tcPr>
          <w:p w14:paraId="7B38F0D1" w14:textId="77777777" w:rsidR="008A4BCF" w:rsidRPr="00DB26F8" w:rsidRDefault="008A4BCF" w:rsidP="00B44AC3">
            <w:pPr>
              <w:spacing w:after="0"/>
              <w:jc w:val="left"/>
              <w:rPr>
                <w:rFonts w:eastAsia="Times New Roman" w:cs="Segoe UI"/>
                <w:color w:val="000000"/>
                <w:sz w:val="16"/>
                <w:szCs w:val="16"/>
                <w:lang w:eastAsia="sk-SK"/>
              </w:rPr>
            </w:pPr>
            <w:r w:rsidRPr="00DB26F8">
              <w:rPr>
                <w:rFonts w:eastAsia="Times New Roman" w:cs="Segoe UI"/>
                <w:color w:val="000000"/>
                <w:sz w:val="16"/>
                <w:szCs w:val="16"/>
                <w:lang w:eastAsia="sk-SK"/>
              </w:rPr>
              <w:t>Na rekonštrukciu ciest č. II/531 a II/532 v menej rozvinutých okresoch Revúca a Rimavská Sobota, vo vlastníctve BB SK</w:t>
            </w:r>
          </w:p>
        </w:tc>
        <w:tc>
          <w:tcPr>
            <w:tcW w:w="1134" w:type="dxa"/>
            <w:shd w:val="clear" w:color="auto" w:fill="auto"/>
            <w:noWrap/>
            <w:vAlign w:val="center"/>
            <w:hideMark/>
          </w:tcPr>
          <w:p w14:paraId="527B85F3" w14:textId="77777777" w:rsidR="008A4BCF" w:rsidRPr="00DB26F8" w:rsidRDefault="008A4BCF" w:rsidP="00B44AC3">
            <w:pPr>
              <w:spacing w:after="0"/>
              <w:jc w:val="right"/>
              <w:rPr>
                <w:rFonts w:eastAsia="Times New Roman" w:cs="Segoe UI"/>
                <w:color w:val="000000"/>
                <w:sz w:val="16"/>
                <w:szCs w:val="16"/>
                <w:lang w:eastAsia="sk-SK"/>
              </w:rPr>
            </w:pPr>
            <w:r w:rsidRPr="00DB26F8">
              <w:rPr>
                <w:rFonts w:eastAsia="Times New Roman" w:cs="Segoe UI"/>
                <w:color w:val="000000"/>
                <w:sz w:val="16"/>
                <w:szCs w:val="16"/>
                <w:lang w:eastAsia="sk-SK"/>
              </w:rPr>
              <w:t>8 000 000</w:t>
            </w:r>
          </w:p>
        </w:tc>
        <w:tc>
          <w:tcPr>
            <w:tcW w:w="992" w:type="dxa"/>
            <w:shd w:val="clear" w:color="auto" w:fill="auto"/>
            <w:vAlign w:val="center"/>
            <w:hideMark/>
          </w:tcPr>
          <w:p w14:paraId="67CE9736" w14:textId="77777777" w:rsidR="008A4BCF" w:rsidRPr="00DB26F8" w:rsidRDefault="008A4BCF" w:rsidP="00B44AC3">
            <w:pPr>
              <w:spacing w:after="0"/>
              <w:jc w:val="right"/>
              <w:rPr>
                <w:rFonts w:eastAsia="Times New Roman" w:cs="Segoe UI"/>
                <w:sz w:val="16"/>
                <w:szCs w:val="16"/>
                <w:lang w:eastAsia="sk-SK"/>
              </w:rPr>
            </w:pPr>
            <w:r w:rsidRPr="00DB26F8">
              <w:rPr>
                <w:rFonts w:eastAsia="Times New Roman" w:cs="Segoe UI"/>
                <w:sz w:val="16"/>
                <w:szCs w:val="16"/>
                <w:lang w:eastAsia="sk-SK"/>
              </w:rPr>
              <w:t>2 400 000</w:t>
            </w:r>
          </w:p>
        </w:tc>
        <w:tc>
          <w:tcPr>
            <w:tcW w:w="1134" w:type="dxa"/>
            <w:shd w:val="clear" w:color="auto" w:fill="auto"/>
            <w:noWrap/>
            <w:vAlign w:val="center"/>
            <w:hideMark/>
          </w:tcPr>
          <w:p w14:paraId="7B8BEDF2" w14:textId="77777777" w:rsidR="008A4BCF" w:rsidRPr="00DB26F8" w:rsidRDefault="008A4BCF" w:rsidP="00B44AC3">
            <w:pPr>
              <w:spacing w:after="0"/>
              <w:jc w:val="right"/>
              <w:rPr>
                <w:rFonts w:eastAsia="Times New Roman" w:cs="Segoe UI"/>
                <w:color w:val="000000"/>
                <w:sz w:val="16"/>
                <w:szCs w:val="16"/>
                <w:lang w:eastAsia="sk-SK"/>
              </w:rPr>
            </w:pPr>
            <w:r w:rsidRPr="00DB26F8">
              <w:rPr>
                <w:rFonts w:eastAsia="Times New Roman" w:cs="Segoe UI"/>
                <w:color w:val="000000"/>
                <w:sz w:val="16"/>
                <w:szCs w:val="16"/>
                <w:lang w:eastAsia="sk-SK"/>
              </w:rPr>
              <w:t>5 600 000</w:t>
            </w:r>
          </w:p>
        </w:tc>
        <w:tc>
          <w:tcPr>
            <w:tcW w:w="2339" w:type="dxa"/>
            <w:shd w:val="clear" w:color="auto" w:fill="auto"/>
            <w:vAlign w:val="center"/>
            <w:hideMark/>
          </w:tcPr>
          <w:p w14:paraId="42345C5E" w14:textId="77777777" w:rsidR="008A4BCF" w:rsidRPr="00DB26F8" w:rsidRDefault="008A4BCF" w:rsidP="00B44AC3">
            <w:pPr>
              <w:spacing w:after="0"/>
              <w:jc w:val="left"/>
              <w:rPr>
                <w:rFonts w:eastAsia="Times New Roman" w:cs="Segoe UI"/>
                <w:color w:val="000000"/>
                <w:sz w:val="16"/>
                <w:szCs w:val="16"/>
                <w:lang w:eastAsia="sk-SK"/>
              </w:rPr>
            </w:pPr>
            <w:r w:rsidRPr="00DB26F8">
              <w:rPr>
                <w:rFonts w:eastAsia="Times New Roman" w:cs="Segoe UI"/>
                <w:color w:val="000000"/>
                <w:sz w:val="16"/>
                <w:szCs w:val="16"/>
                <w:lang w:eastAsia="sk-SK"/>
              </w:rPr>
              <w:t xml:space="preserve">raz ročne v rokoch 2021 - 2030 vo výške 800 tis. eur vždy do 30.11. </w:t>
            </w:r>
          </w:p>
        </w:tc>
      </w:tr>
      <w:tr w:rsidR="008A4BCF" w:rsidRPr="00123812" w14:paraId="22726FF1" w14:textId="77777777" w:rsidTr="00B44AC3">
        <w:trPr>
          <w:trHeight w:val="20"/>
        </w:trPr>
        <w:tc>
          <w:tcPr>
            <w:tcW w:w="1363" w:type="dxa"/>
            <w:shd w:val="clear" w:color="auto" w:fill="auto"/>
            <w:vAlign w:val="center"/>
            <w:hideMark/>
          </w:tcPr>
          <w:p w14:paraId="3A558C65" w14:textId="77777777" w:rsidR="008A4BCF" w:rsidRPr="00DB26F8" w:rsidRDefault="008A4BCF" w:rsidP="00B44AC3">
            <w:pPr>
              <w:spacing w:after="0"/>
              <w:jc w:val="left"/>
              <w:rPr>
                <w:rFonts w:eastAsia="Times New Roman" w:cs="Segoe UI"/>
                <w:b/>
                <w:color w:val="000000"/>
                <w:sz w:val="16"/>
                <w:szCs w:val="16"/>
                <w:lang w:eastAsia="sk-SK"/>
              </w:rPr>
            </w:pPr>
            <w:r w:rsidRPr="00DB26F8">
              <w:rPr>
                <w:rFonts w:eastAsia="Times New Roman" w:cs="Segoe UI"/>
                <w:b/>
                <w:color w:val="000000"/>
                <w:sz w:val="16"/>
                <w:szCs w:val="16"/>
                <w:lang w:eastAsia="sk-SK"/>
              </w:rPr>
              <w:t xml:space="preserve">Mesto Prešov </w:t>
            </w:r>
          </w:p>
        </w:tc>
        <w:tc>
          <w:tcPr>
            <w:tcW w:w="2758" w:type="dxa"/>
            <w:shd w:val="clear" w:color="auto" w:fill="auto"/>
            <w:vAlign w:val="center"/>
            <w:hideMark/>
          </w:tcPr>
          <w:p w14:paraId="7EF7C50C" w14:textId="77777777" w:rsidR="008A4BCF" w:rsidRPr="00DB26F8" w:rsidRDefault="008A4BCF" w:rsidP="00B44AC3">
            <w:pPr>
              <w:spacing w:after="0"/>
              <w:jc w:val="left"/>
              <w:rPr>
                <w:rFonts w:eastAsia="Times New Roman" w:cs="Segoe UI"/>
                <w:color w:val="000000"/>
                <w:sz w:val="16"/>
                <w:szCs w:val="16"/>
                <w:lang w:eastAsia="sk-SK"/>
              </w:rPr>
            </w:pPr>
            <w:r w:rsidRPr="00DB26F8">
              <w:rPr>
                <w:rFonts w:eastAsia="Times New Roman" w:cs="Segoe UI"/>
                <w:color w:val="000000"/>
                <w:sz w:val="16"/>
                <w:szCs w:val="16"/>
                <w:lang w:eastAsia="sk-SK"/>
              </w:rPr>
              <w:t>Na výkon samosprávnych pôsobností v oblasti cestnej infraštruktúry, investícií do majetku vo vlastníctve miest a mestskej hromadnej dopravy</w:t>
            </w:r>
          </w:p>
        </w:tc>
        <w:tc>
          <w:tcPr>
            <w:tcW w:w="1134" w:type="dxa"/>
            <w:shd w:val="clear" w:color="auto" w:fill="auto"/>
            <w:noWrap/>
            <w:vAlign w:val="center"/>
            <w:hideMark/>
          </w:tcPr>
          <w:p w14:paraId="024F4CB5" w14:textId="77777777" w:rsidR="008A4BCF" w:rsidRPr="00DB26F8" w:rsidRDefault="008A4BCF" w:rsidP="00B44AC3">
            <w:pPr>
              <w:spacing w:after="0"/>
              <w:jc w:val="right"/>
              <w:rPr>
                <w:rFonts w:eastAsia="Times New Roman" w:cs="Segoe UI"/>
                <w:color w:val="000000"/>
                <w:sz w:val="16"/>
                <w:szCs w:val="16"/>
                <w:lang w:eastAsia="sk-SK"/>
              </w:rPr>
            </w:pPr>
            <w:r w:rsidRPr="00DB26F8">
              <w:rPr>
                <w:rFonts w:eastAsia="Times New Roman" w:cs="Segoe UI"/>
                <w:color w:val="000000"/>
                <w:sz w:val="16"/>
                <w:szCs w:val="16"/>
                <w:lang w:eastAsia="sk-SK"/>
              </w:rPr>
              <w:t>4 423 200</w:t>
            </w:r>
          </w:p>
        </w:tc>
        <w:tc>
          <w:tcPr>
            <w:tcW w:w="992" w:type="dxa"/>
            <w:shd w:val="clear" w:color="auto" w:fill="auto"/>
            <w:vAlign w:val="center"/>
            <w:hideMark/>
          </w:tcPr>
          <w:p w14:paraId="373E6C3C" w14:textId="77777777" w:rsidR="008A4BCF" w:rsidRPr="00DB26F8" w:rsidRDefault="008A4BCF" w:rsidP="00B44AC3">
            <w:pPr>
              <w:spacing w:after="0"/>
              <w:jc w:val="right"/>
              <w:rPr>
                <w:rFonts w:eastAsia="Times New Roman" w:cs="Segoe UI"/>
                <w:sz w:val="16"/>
                <w:szCs w:val="16"/>
                <w:lang w:eastAsia="sk-SK"/>
              </w:rPr>
            </w:pPr>
            <w:r w:rsidRPr="00DB26F8">
              <w:rPr>
                <w:rFonts w:eastAsia="Times New Roman" w:cs="Segoe UI"/>
                <w:sz w:val="16"/>
                <w:szCs w:val="16"/>
                <w:lang w:eastAsia="sk-SK"/>
              </w:rPr>
              <w:t>0</w:t>
            </w:r>
          </w:p>
        </w:tc>
        <w:tc>
          <w:tcPr>
            <w:tcW w:w="1134" w:type="dxa"/>
            <w:shd w:val="clear" w:color="auto" w:fill="auto"/>
            <w:noWrap/>
            <w:vAlign w:val="center"/>
            <w:hideMark/>
          </w:tcPr>
          <w:p w14:paraId="70CB0147" w14:textId="77777777" w:rsidR="008A4BCF" w:rsidRPr="00DB26F8" w:rsidRDefault="008A4BCF" w:rsidP="00B44AC3">
            <w:pPr>
              <w:spacing w:after="0"/>
              <w:jc w:val="right"/>
              <w:rPr>
                <w:rFonts w:eastAsia="Times New Roman" w:cs="Segoe UI"/>
                <w:color w:val="000000"/>
                <w:sz w:val="16"/>
                <w:szCs w:val="16"/>
                <w:lang w:eastAsia="sk-SK"/>
              </w:rPr>
            </w:pPr>
            <w:r w:rsidRPr="00DB26F8">
              <w:rPr>
                <w:rFonts w:eastAsia="Times New Roman" w:cs="Segoe UI"/>
                <w:color w:val="000000"/>
                <w:sz w:val="16"/>
                <w:szCs w:val="16"/>
                <w:lang w:eastAsia="sk-SK"/>
              </w:rPr>
              <w:t>4 423 200</w:t>
            </w:r>
          </w:p>
        </w:tc>
        <w:tc>
          <w:tcPr>
            <w:tcW w:w="2339" w:type="dxa"/>
            <w:shd w:val="clear" w:color="auto" w:fill="auto"/>
            <w:vAlign w:val="center"/>
            <w:hideMark/>
          </w:tcPr>
          <w:p w14:paraId="36FCFC93" w14:textId="77777777" w:rsidR="008A4BCF" w:rsidRPr="00DB26F8" w:rsidRDefault="008A4BCF" w:rsidP="00B44AC3">
            <w:pPr>
              <w:spacing w:after="0"/>
              <w:jc w:val="left"/>
              <w:rPr>
                <w:rFonts w:eastAsia="Times New Roman" w:cs="Segoe UI"/>
                <w:color w:val="000000"/>
                <w:sz w:val="16"/>
                <w:szCs w:val="16"/>
                <w:lang w:eastAsia="sk-SK"/>
              </w:rPr>
            </w:pPr>
            <w:r w:rsidRPr="00DB26F8">
              <w:rPr>
                <w:rFonts w:eastAsia="Times New Roman" w:cs="Segoe UI"/>
                <w:color w:val="000000"/>
                <w:sz w:val="16"/>
                <w:szCs w:val="16"/>
                <w:lang w:eastAsia="sk-SK"/>
              </w:rPr>
              <w:t xml:space="preserve">raz ročne v rokoch 2024 - 2033 vo výške 442 tis. eur vždy do 30.11. </w:t>
            </w:r>
          </w:p>
        </w:tc>
      </w:tr>
      <w:tr w:rsidR="008A4BCF" w:rsidRPr="00123812" w14:paraId="183D96CD" w14:textId="77777777" w:rsidTr="00B44AC3">
        <w:trPr>
          <w:trHeight w:val="20"/>
        </w:trPr>
        <w:tc>
          <w:tcPr>
            <w:tcW w:w="1363" w:type="dxa"/>
            <w:shd w:val="clear" w:color="auto" w:fill="auto"/>
            <w:vAlign w:val="center"/>
            <w:hideMark/>
          </w:tcPr>
          <w:p w14:paraId="1B3D308B" w14:textId="77777777" w:rsidR="008A4BCF" w:rsidRPr="00DB26F8" w:rsidRDefault="008A4BCF" w:rsidP="00B44AC3">
            <w:pPr>
              <w:spacing w:after="0"/>
              <w:jc w:val="left"/>
              <w:rPr>
                <w:rFonts w:eastAsia="Times New Roman" w:cs="Segoe UI"/>
                <w:b/>
                <w:color w:val="000000"/>
                <w:sz w:val="16"/>
                <w:szCs w:val="16"/>
                <w:lang w:eastAsia="sk-SK"/>
              </w:rPr>
            </w:pPr>
            <w:r w:rsidRPr="00DB26F8">
              <w:rPr>
                <w:rFonts w:eastAsia="Times New Roman" w:cs="Segoe UI"/>
                <w:b/>
                <w:color w:val="000000"/>
                <w:sz w:val="16"/>
                <w:szCs w:val="16"/>
                <w:lang w:eastAsia="sk-SK"/>
              </w:rPr>
              <w:t xml:space="preserve">Mesto Kežmarok </w:t>
            </w:r>
          </w:p>
        </w:tc>
        <w:tc>
          <w:tcPr>
            <w:tcW w:w="2758" w:type="dxa"/>
            <w:shd w:val="clear" w:color="auto" w:fill="auto"/>
            <w:vAlign w:val="center"/>
            <w:hideMark/>
          </w:tcPr>
          <w:p w14:paraId="157BFC9F" w14:textId="77777777" w:rsidR="008A4BCF" w:rsidRPr="00DB26F8" w:rsidRDefault="008A4BCF" w:rsidP="00B44AC3">
            <w:pPr>
              <w:spacing w:after="0"/>
              <w:jc w:val="left"/>
              <w:rPr>
                <w:rFonts w:eastAsia="Times New Roman" w:cs="Segoe UI"/>
                <w:color w:val="000000"/>
                <w:sz w:val="16"/>
                <w:szCs w:val="16"/>
                <w:lang w:eastAsia="sk-SK"/>
              </w:rPr>
            </w:pPr>
            <w:r w:rsidRPr="00DB26F8">
              <w:rPr>
                <w:rFonts w:eastAsia="Times New Roman" w:cs="Segoe UI"/>
                <w:color w:val="000000"/>
                <w:sz w:val="16"/>
                <w:szCs w:val="16"/>
                <w:lang w:eastAsia="sk-SK"/>
              </w:rPr>
              <w:t>Na dobudovanie zimného štadióna a na Centrum integrovanej zdravotnej starostlivosti v Kežmarku</w:t>
            </w:r>
          </w:p>
        </w:tc>
        <w:tc>
          <w:tcPr>
            <w:tcW w:w="1134" w:type="dxa"/>
            <w:shd w:val="clear" w:color="auto" w:fill="auto"/>
            <w:noWrap/>
            <w:vAlign w:val="center"/>
            <w:hideMark/>
          </w:tcPr>
          <w:p w14:paraId="5097151C" w14:textId="77777777" w:rsidR="008A4BCF" w:rsidRPr="00DB26F8" w:rsidRDefault="008A4BCF" w:rsidP="00B44AC3">
            <w:pPr>
              <w:spacing w:after="0"/>
              <w:jc w:val="right"/>
              <w:rPr>
                <w:rFonts w:eastAsia="Times New Roman" w:cs="Segoe UI"/>
                <w:color w:val="000000"/>
                <w:sz w:val="16"/>
                <w:szCs w:val="16"/>
                <w:lang w:eastAsia="sk-SK"/>
              </w:rPr>
            </w:pPr>
            <w:r w:rsidRPr="00DB26F8">
              <w:rPr>
                <w:rFonts w:eastAsia="Times New Roman" w:cs="Segoe UI"/>
                <w:color w:val="000000"/>
                <w:sz w:val="16"/>
                <w:szCs w:val="16"/>
                <w:lang w:eastAsia="sk-SK"/>
              </w:rPr>
              <w:t>3 500 000</w:t>
            </w:r>
          </w:p>
        </w:tc>
        <w:tc>
          <w:tcPr>
            <w:tcW w:w="992" w:type="dxa"/>
            <w:shd w:val="clear" w:color="auto" w:fill="auto"/>
            <w:vAlign w:val="center"/>
            <w:hideMark/>
          </w:tcPr>
          <w:p w14:paraId="4F11B999" w14:textId="77777777" w:rsidR="008A4BCF" w:rsidRPr="00DB26F8" w:rsidRDefault="008A4BCF" w:rsidP="00B44AC3">
            <w:pPr>
              <w:spacing w:after="0"/>
              <w:jc w:val="right"/>
              <w:rPr>
                <w:rFonts w:eastAsia="Times New Roman" w:cs="Segoe UI"/>
                <w:sz w:val="16"/>
                <w:szCs w:val="16"/>
                <w:lang w:eastAsia="sk-SK"/>
              </w:rPr>
            </w:pPr>
            <w:r w:rsidRPr="00DB26F8">
              <w:rPr>
                <w:rFonts w:eastAsia="Times New Roman" w:cs="Segoe UI"/>
                <w:sz w:val="16"/>
                <w:szCs w:val="16"/>
                <w:lang w:eastAsia="sk-SK"/>
              </w:rPr>
              <w:t>550 000</w:t>
            </w:r>
          </w:p>
        </w:tc>
        <w:tc>
          <w:tcPr>
            <w:tcW w:w="1134" w:type="dxa"/>
            <w:shd w:val="clear" w:color="auto" w:fill="auto"/>
            <w:noWrap/>
            <w:vAlign w:val="center"/>
            <w:hideMark/>
          </w:tcPr>
          <w:p w14:paraId="760A0808" w14:textId="77777777" w:rsidR="008A4BCF" w:rsidRPr="00DB26F8" w:rsidRDefault="008A4BCF" w:rsidP="00B44AC3">
            <w:pPr>
              <w:spacing w:after="0"/>
              <w:jc w:val="right"/>
              <w:rPr>
                <w:rFonts w:eastAsia="Times New Roman" w:cs="Segoe UI"/>
                <w:color w:val="000000"/>
                <w:sz w:val="16"/>
                <w:szCs w:val="16"/>
                <w:lang w:eastAsia="sk-SK"/>
              </w:rPr>
            </w:pPr>
            <w:r w:rsidRPr="00DB26F8">
              <w:rPr>
                <w:rFonts w:eastAsia="Times New Roman" w:cs="Segoe UI"/>
                <w:color w:val="000000"/>
                <w:sz w:val="16"/>
                <w:szCs w:val="16"/>
                <w:lang w:eastAsia="sk-SK"/>
              </w:rPr>
              <w:t>2 950 000</w:t>
            </w:r>
          </w:p>
        </w:tc>
        <w:tc>
          <w:tcPr>
            <w:tcW w:w="2339" w:type="dxa"/>
            <w:shd w:val="clear" w:color="auto" w:fill="auto"/>
            <w:vAlign w:val="center"/>
            <w:hideMark/>
          </w:tcPr>
          <w:p w14:paraId="79E318DC" w14:textId="77777777" w:rsidR="008A4BCF" w:rsidRPr="00DB26F8" w:rsidRDefault="008A4BCF" w:rsidP="00B44AC3">
            <w:pPr>
              <w:spacing w:after="0"/>
              <w:jc w:val="left"/>
              <w:rPr>
                <w:rFonts w:eastAsia="Times New Roman" w:cs="Segoe UI"/>
                <w:color w:val="000000"/>
                <w:sz w:val="16"/>
                <w:szCs w:val="16"/>
                <w:lang w:eastAsia="sk-SK"/>
              </w:rPr>
            </w:pPr>
            <w:r w:rsidRPr="00DB26F8">
              <w:rPr>
                <w:rFonts w:eastAsia="Times New Roman" w:cs="Segoe UI"/>
                <w:color w:val="000000"/>
                <w:sz w:val="16"/>
                <w:szCs w:val="16"/>
                <w:lang w:eastAsia="sk-SK"/>
              </w:rPr>
              <w:t>raz ročne, v r. 2021 - 2022 vo výške 150 tis. eur, v r. 2023 - 2024 vo výške 250 tis. eur, v r. 2025 - 2026 vo výške 350 tis. eur, v r. 2027 - 2028 vo výške 450 tis. eur, v r. 2029 - 2030 vo výške 550 tis. eur</w:t>
            </w:r>
          </w:p>
        </w:tc>
      </w:tr>
      <w:tr w:rsidR="008A4BCF" w:rsidRPr="00123812" w14:paraId="70BBF02C" w14:textId="77777777" w:rsidTr="00B44AC3">
        <w:trPr>
          <w:trHeight w:val="20"/>
        </w:trPr>
        <w:tc>
          <w:tcPr>
            <w:tcW w:w="1363" w:type="dxa"/>
            <w:shd w:val="clear" w:color="auto" w:fill="auto"/>
            <w:vAlign w:val="center"/>
            <w:hideMark/>
          </w:tcPr>
          <w:p w14:paraId="0DCEF916" w14:textId="77777777" w:rsidR="008A4BCF" w:rsidRPr="00DB26F8" w:rsidRDefault="008A4BCF" w:rsidP="00B44AC3">
            <w:pPr>
              <w:spacing w:after="0"/>
              <w:jc w:val="left"/>
              <w:rPr>
                <w:rFonts w:eastAsia="Times New Roman" w:cs="Segoe UI"/>
                <w:b/>
                <w:color w:val="000000"/>
                <w:sz w:val="16"/>
                <w:szCs w:val="16"/>
                <w:lang w:eastAsia="sk-SK"/>
              </w:rPr>
            </w:pPr>
            <w:r w:rsidRPr="00DB26F8">
              <w:rPr>
                <w:rFonts w:eastAsia="Times New Roman" w:cs="Segoe UI"/>
                <w:b/>
                <w:color w:val="000000"/>
                <w:sz w:val="16"/>
                <w:szCs w:val="16"/>
                <w:lang w:eastAsia="sk-SK"/>
              </w:rPr>
              <w:t xml:space="preserve">Mesto Bardejov </w:t>
            </w:r>
          </w:p>
        </w:tc>
        <w:tc>
          <w:tcPr>
            <w:tcW w:w="2758" w:type="dxa"/>
            <w:shd w:val="clear" w:color="auto" w:fill="auto"/>
            <w:vAlign w:val="center"/>
            <w:hideMark/>
          </w:tcPr>
          <w:p w14:paraId="583686D3" w14:textId="77777777" w:rsidR="008A4BCF" w:rsidRPr="00DB26F8" w:rsidRDefault="008A4BCF" w:rsidP="00B44AC3">
            <w:pPr>
              <w:spacing w:after="0"/>
              <w:jc w:val="left"/>
              <w:rPr>
                <w:rFonts w:eastAsia="Times New Roman" w:cs="Segoe UI"/>
                <w:color w:val="000000"/>
                <w:sz w:val="16"/>
                <w:szCs w:val="16"/>
                <w:lang w:eastAsia="sk-SK"/>
              </w:rPr>
            </w:pPr>
            <w:r w:rsidRPr="00DB26F8">
              <w:rPr>
                <w:rFonts w:eastAsia="Times New Roman" w:cs="Segoe UI"/>
                <w:color w:val="000000"/>
                <w:sz w:val="16"/>
                <w:szCs w:val="16"/>
                <w:lang w:eastAsia="sk-SK"/>
              </w:rPr>
              <w:t>Na dostavbu športovo oddychového areálu Základnej školy sídlisko Vinbarg</w:t>
            </w:r>
          </w:p>
        </w:tc>
        <w:tc>
          <w:tcPr>
            <w:tcW w:w="1134" w:type="dxa"/>
            <w:shd w:val="clear" w:color="auto" w:fill="auto"/>
            <w:noWrap/>
            <w:vAlign w:val="center"/>
            <w:hideMark/>
          </w:tcPr>
          <w:p w14:paraId="3EDF3195" w14:textId="77777777" w:rsidR="008A4BCF" w:rsidRPr="00DB26F8" w:rsidRDefault="008A4BCF" w:rsidP="00B44AC3">
            <w:pPr>
              <w:spacing w:after="0"/>
              <w:jc w:val="right"/>
              <w:rPr>
                <w:rFonts w:eastAsia="Times New Roman" w:cs="Segoe UI"/>
                <w:color w:val="000000"/>
                <w:sz w:val="16"/>
                <w:szCs w:val="16"/>
                <w:lang w:eastAsia="sk-SK"/>
              </w:rPr>
            </w:pPr>
            <w:r w:rsidRPr="00DB26F8">
              <w:rPr>
                <w:rFonts w:eastAsia="Times New Roman" w:cs="Segoe UI"/>
                <w:color w:val="000000"/>
                <w:sz w:val="16"/>
                <w:szCs w:val="16"/>
                <w:lang w:eastAsia="sk-SK"/>
              </w:rPr>
              <w:t>800 000</w:t>
            </w:r>
          </w:p>
        </w:tc>
        <w:tc>
          <w:tcPr>
            <w:tcW w:w="992" w:type="dxa"/>
            <w:shd w:val="clear" w:color="auto" w:fill="auto"/>
            <w:vAlign w:val="center"/>
            <w:hideMark/>
          </w:tcPr>
          <w:p w14:paraId="137DEE4F" w14:textId="77777777" w:rsidR="008A4BCF" w:rsidRPr="00DB26F8" w:rsidRDefault="008A4BCF" w:rsidP="00B44AC3">
            <w:pPr>
              <w:spacing w:after="0"/>
              <w:jc w:val="right"/>
              <w:rPr>
                <w:rFonts w:eastAsia="Times New Roman" w:cs="Segoe UI"/>
                <w:sz w:val="16"/>
                <w:szCs w:val="16"/>
                <w:lang w:eastAsia="sk-SK"/>
              </w:rPr>
            </w:pPr>
            <w:r w:rsidRPr="00DB26F8">
              <w:rPr>
                <w:rFonts w:eastAsia="Times New Roman" w:cs="Segoe UI"/>
                <w:sz w:val="16"/>
                <w:szCs w:val="16"/>
                <w:lang w:eastAsia="sk-SK"/>
              </w:rPr>
              <w:t>200 000</w:t>
            </w:r>
          </w:p>
        </w:tc>
        <w:tc>
          <w:tcPr>
            <w:tcW w:w="1134" w:type="dxa"/>
            <w:shd w:val="clear" w:color="auto" w:fill="auto"/>
            <w:noWrap/>
            <w:vAlign w:val="center"/>
            <w:hideMark/>
          </w:tcPr>
          <w:p w14:paraId="612C039F" w14:textId="77777777" w:rsidR="008A4BCF" w:rsidRPr="00DB26F8" w:rsidRDefault="008A4BCF" w:rsidP="00B44AC3">
            <w:pPr>
              <w:spacing w:after="0"/>
              <w:jc w:val="right"/>
              <w:rPr>
                <w:rFonts w:eastAsia="Times New Roman" w:cs="Segoe UI"/>
                <w:color w:val="000000"/>
                <w:sz w:val="16"/>
                <w:szCs w:val="16"/>
                <w:lang w:eastAsia="sk-SK"/>
              </w:rPr>
            </w:pPr>
            <w:r w:rsidRPr="00DB26F8">
              <w:rPr>
                <w:rFonts w:eastAsia="Times New Roman" w:cs="Segoe UI"/>
                <w:color w:val="000000"/>
                <w:sz w:val="16"/>
                <w:szCs w:val="16"/>
                <w:lang w:eastAsia="sk-SK"/>
              </w:rPr>
              <w:t>600 000</w:t>
            </w:r>
          </w:p>
        </w:tc>
        <w:tc>
          <w:tcPr>
            <w:tcW w:w="2339" w:type="dxa"/>
            <w:shd w:val="clear" w:color="auto" w:fill="auto"/>
            <w:vAlign w:val="center"/>
            <w:hideMark/>
          </w:tcPr>
          <w:p w14:paraId="7093CA11" w14:textId="77777777" w:rsidR="008A4BCF" w:rsidRPr="00DB26F8" w:rsidRDefault="008A4BCF" w:rsidP="00B44AC3">
            <w:pPr>
              <w:spacing w:after="0"/>
              <w:jc w:val="left"/>
              <w:rPr>
                <w:rFonts w:eastAsia="Times New Roman" w:cs="Segoe UI"/>
                <w:color w:val="000000"/>
                <w:sz w:val="16"/>
                <w:szCs w:val="16"/>
                <w:lang w:eastAsia="sk-SK"/>
              </w:rPr>
            </w:pPr>
            <w:r w:rsidRPr="00DB26F8">
              <w:rPr>
                <w:rFonts w:eastAsia="Times New Roman" w:cs="Segoe UI"/>
                <w:color w:val="000000"/>
                <w:sz w:val="16"/>
                <w:szCs w:val="16"/>
                <w:lang w:eastAsia="sk-SK"/>
              </w:rPr>
              <w:t xml:space="preserve">raz ročne v roku 2021 v sume 100 tis. eur, následne v rokoch 2023 - 2029 vo výške 100 tis. eur vždy do 30.11. </w:t>
            </w:r>
          </w:p>
        </w:tc>
      </w:tr>
      <w:tr w:rsidR="008A4BCF" w:rsidRPr="00123812" w14:paraId="25019AD2" w14:textId="77777777" w:rsidTr="00B44AC3">
        <w:trPr>
          <w:trHeight w:val="20"/>
        </w:trPr>
        <w:tc>
          <w:tcPr>
            <w:tcW w:w="1363" w:type="dxa"/>
            <w:shd w:val="clear" w:color="auto" w:fill="auto"/>
            <w:vAlign w:val="center"/>
            <w:hideMark/>
          </w:tcPr>
          <w:p w14:paraId="74F9CDE1" w14:textId="77777777" w:rsidR="008A4BCF" w:rsidRPr="00DB26F8" w:rsidRDefault="008A4BCF" w:rsidP="00B44AC3">
            <w:pPr>
              <w:spacing w:after="0"/>
              <w:jc w:val="left"/>
              <w:rPr>
                <w:rFonts w:eastAsia="Times New Roman" w:cs="Segoe UI"/>
                <w:b/>
                <w:color w:val="000000"/>
                <w:sz w:val="16"/>
                <w:szCs w:val="16"/>
                <w:lang w:eastAsia="sk-SK"/>
              </w:rPr>
            </w:pPr>
            <w:r w:rsidRPr="00DB26F8">
              <w:rPr>
                <w:rFonts w:eastAsia="Times New Roman" w:cs="Segoe UI"/>
                <w:b/>
                <w:color w:val="000000"/>
                <w:sz w:val="16"/>
                <w:szCs w:val="16"/>
                <w:lang w:eastAsia="sk-SK"/>
              </w:rPr>
              <w:t>Mestská časť Bratislava - Staré Mesto</w:t>
            </w:r>
          </w:p>
        </w:tc>
        <w:tc>
          <w:tcPr>
            <w:tcW w:w="2758" w:type="dxa"/>
            <w:shd w:val="clear" w:color="auto" w:fill="auto"/>
            <w:vAlign w:val="center"/>
            <w:hideMark/>
          </w:tcPr>
          <w:p w14:paraId="2E5C215B" w14:textId="77777777" w:rsidR="008A4BCF" w:rsidRPr="00DB26F8" w:rsidRDefault="008A4BCF" w:rsidP="00B44AC3">
            <w:pPr>
              <w:spacing w:after="0"/>
              <w:jc w:val="left"/>
              <w:rPr>
                <w:rFonts w:eastAsia="Times New Roman" w:cs="Segoe UI"/>
                <w:color w:val="000000"/>
                <w:sz w:val="16"/>
                <w:szCs w:val="16"/>
                <w:lang w:eastAsia="sk-SK"/>
              </w:rPr>
            </w:pPr>
            <w:r w:rsidRPr="00DB26F8">
              <w:rPr>
                <w:rFonts w:eastAsia="Times New Roman" w:cs="Segoe UI"/>
                <w:color w:val="000000"/>
                <w:sz w:val="16"/>
                <w:szCs w:val="16"/>
                <w:lang w:eastAsia="sk-SK"/>
              </w:rPr>
              <w:t xml:space="preserve">Na rekonštrukciu komunikácií </w:t>
            </w:r>
          </w:p>
        </w:tc>
        <w:tc>
          <w:tcPr>
            <w:tcW w:w="1134" w:type="dxa"/>
            <w:shd w:val="clear" w:color="auto" w:fill="auto"/>
            <w:noWrap/>
            <w:vAlign w:val="center"/>
            <w:hideMark/>
          </w:tcPr>
          <w:p w14:paraId="1F787A33" w14:textId="77777777" w:rsidR="008A4BCF" w:rsidRPr="00DB26F8" w:rsidRDefault="008A4BCF" w:rsidP="00B44AC3">
            <w:pPr>
              <w:spacing w:after="0"/>
              <w:jc w:val="right"/>
              <w:rPr>
                <w:rFonts w:eastAsia="Times New Roman" w:cs="Segoe UI"/>
                <w:color w:val="000000"/>
                <w:sz w:val="16"/>
                <w:szCs w:val="16"/>
                <w:lang w:eastAsia="sk-SK"/>
              </w:rPr>
            </w:pPr>
            <w:r w:rsidRPr="00DB26F8">
              <w:rPr>
                <w:rFonts w:eastAsia="Times New Roman" w:cs="Segoe UI"/>
                <w:color w:val="000000"/>
                <w:sz w:val="16"/>
                <w:szCs w:val="16"/>
                <w:lang w:eastAsia="sk-SK"/>
              </w:rPr>
              <w:t>2 000 000</w:t>
            </w:r>
          </w:p>
        </w:tc>
        <w:tc>
          <w:tcPr>
            <w:tcW w:w="992" w:type="dxa"/>
            <w:shd w:val="clear" w:color="auto" w:fill="auto"/>
            <w:vAlign w:val="center"/>
            <w:hideMark/>
          </w:tcPr>
          <w:p w14:paraId="6BF4BDB5" w14:textId="77777777" w:rsidR="008A4BCF" w:rsidRPr="00DB26F8" w:rsidRDefault="008A4BCF" w:rsidP="00B44AC3">
            <w:pPr>
              <w:spacing w:after="0"/>
              <w:jc w:val="right"/>
              <w:rPr>
                <w:rFonts w:eastAsia="Times New Roman" w:cs="Segoe UI"/>
                <w:sz w:val="16"/>
                <w:szCs w:val="16"/>
                <w:lang w:eastAsia="sk-SK"/>
              </w:rPr>
            </w:pPr>
            <w:r w:rsidRPr="00DB26F8">
              <w:rPr>
                <w:rFonts w:eastAsia="Times New Roman" w:cs="Segoe UI"/>
                <w:sz w:val="16"/>
                <w:szCs w:val="16"/>
                <w:lang w:eastAsia="sk-SK"/>
              </w:rPr>
              <w:t>2 000 000</w:t>
            </w:r>
          </w:p>
        </w:tc>
        <w:tc>
          <w:tcPr>
            <w:tcW w:w="1134" w:type="dxa"/>
            <w:shd w:val="clear" w:color="auto" w:fill="auto"/>
            <w:noWrap/>
            <w:vAlign w:val="center"/>
            <w:hideMark/>
          </w:tcPr>
          <w:p w14:paraId="271EB806" w14:textId="77777777" w:rsidR="008A4BCF" w:rsidRPr="00DB26F8" w:rsidRDefault="008A4BCF" w:rsidP="00B44AC3">
            <w:pPr>
              <w:spacing w:after="0"/>
              <w:jc w:val="right"/>
              <w:rPr>
                <w:rFonts w:eastAsia="Times New Roman" w:cs="Segoe UI"/>
                <w:color w:val="000000"/>
                <w:sz w:val="16"/>
                <w:szCs w:val="16"/>
                <w:lang w:eastAsia="sk-SK"/>
              </w:rPr>
            </w:pPr>
            <w:r w:rsidRPr="00DB26F8">
              <w:rPr>
                <w:rFonts w:eastAsia="Times New Roman" w:cs="Segoe UI"/>
                <w:color w:val="000000"/>
                <w:sz w:val="16"/>
                <w:szCs w:val="16"/>
                <w:lang w:eastAsia="sk-SK"/>
              </w:rPr>
              <w:t>0</w:t>
            </w:r>
          </w:p>
        </w:tc>
        <w:tc>
          <w:tcPr>
            <w:tcW w:w="2339" w:type="dxa"/>
            <w:shd w:val="clear" w:color="auto" w:fill="auto"/>
            <w:vAlign w:val="center"/>
            <w:hideMark/>
          </w:tcPr>
          <w:p w14:paraId="60868DFA" w14:textId="77777777" w:rsidR="008A4BCF" w:rsidRPr="00DB26F8" w:rsidRDefault="008A4BCF" w:rsidP="00B44AC3">
            <w:pPr>
              <w:spacing w:after="0"/>
              <w:jc w:val="left"/>
              <w:rPr>
                <w:rFonts w:eastAsia="Times New Roman" w:cs="Segoe UI"/>
                <w:color w:val="000000"/>
                <w:sz w:val="16"/>
                <w:szCs w:val="16"/>
                <w:lang w:eastAsia="sk-SK"/>
              </w:rPr>
            </w:pPr>
            <w:r w:rsidRPr="00DB26F8">
              <w:rPr>
                <w:rFonts w:eastAsia="Times New Roman" w:cs="Segoe UI"/>
                <w:color w:val="000000"/>
                <w:sz w:val="16"/>
                <w:szCs w:val="16"/>
                <w:lang w:eastAsia="sk-SK"/>
              </w:rPr>
              <w:t>jednor</w:t>
            </w:r>
            <w:r>
              <w:rPr>
                <w:rFonts w:eastAsia="Times New Roman" w:cs="Segoe UI"/>
                <w:color w:val="000000"/>
                <w:sz w:val="16"/>
                <w:szCs w:val="16"/>
                <w:lang w:eastAsia="sk-SK"/>
              </w:rPr>
              <w:t>a</w:t>
            </w:r>
            <w:r w:rsidRPr="00DB26F8">
              <w:rPr>
                <w:rFonts w:eastAsia="Times New Roman" w:cs="Segoe UI"/>
                <w:color w:val="000000"/>
                <w:sz w:val="16"/>
                <w:szCs w:val="16"/>
                <w:lang w:eastAsia="sk-SK"/>
              </w:rPr>
              <w:t>zovo s termínom splatnosti do 31.12.2023</w:t>
            </w:r>
          </w:p>
        </w:tc>
      </w:tr>
      <w:tr w:rsidR="008A4BCF" w:rsidRPr="00123812" w14:paraId="67114ECF" w14:textId="77777777" w:rsidTr="00B44AC3">
        <w:trPr>
          <w:trHeight w:val="20"/>
        </w:trPr>
        <w:tc>
          <w:tcPr>
            <w:tcW w:w="1363" w:type="dxa"/>
            <w:shd w:val="clear" w:color="auto" w:fill="auto"/>
            <w:vAlign w:val="center"/>
            <w:hideMark/>
          </w:tcPr>
          <w:p w14:paraId="499D2C73" w14:textId="77777777" w:rsidR="008A4BCF" w:rsidRPr="00DB26F8" w:rsidRDefault="008A4BCF" w:rsidP="00B44AC3">
            <w:pPr>
              <w:spacing w:after="0"/>
              <w:jc w:val="left"/>
              <w:rPr>
                <w:rFonts w:eastAsia="Times New Roman" w:cs="Segoe UI"/>
                <w:b/>
                <w:sz w:val="16"/>
                <w:szCs w:val="16"/>
                <w:lang w:eastAsia="sk-SK"/>
              </w:rPr>
            </w:pPr>
            <w:r w:rsidRPr="00DB26F8">
              <w:rPr>
                <w:rFonts w:eastAsia="Times New Roman" w:cs="Segoe UI"/>
                <w:b/>
                <w:sz w:val="16"/>
                <w:szCs w:val="16"/>
                <w:lang w:eastAsia="sk-SK"/>
              </w:rPr>
              <w:t xml:space="preserve">Mesto Košice </w:t>
            </w:r>
          </w:p>
        </w:tc>
        <w:tc>
          <w:tcPr>
            <w:tcW w:w="2758" w:type="dxa"/>
            <w:shd w:val="clear" w:color="auto" w:fill="auto"/>
            <w:vAlign w:val="center"/>
            <w:hideMark/>
          </w:tcPr>
          <w:p w14:paraId="2DBF2087" w14:textId="77777777" w:rsidR="008A4BCF" w:rsidRPr="00DB26F8" w:rsidRDefault="008A4BCF" w:rsidP="00B44AC3">
            <w:pPr>
              <w:spacing w:after="0"/>
              <w:jc w:val="left"/>
              <w:rPr>
                <w:rFonts w:eastAsia="Times New Roman" w:cs="Segoe UI"/>
                <w:color w:val="000000"/>
                <w:sz w:val="16"/>
                <w:szCs w:val="16"/>
                <w:lang w:eastAsia="sk-SK"/>
              </w:rPr>
            </w:pPr>
            <w:r w:rsidRPr="00DB26F8">
              <w:rPr>
                <w:rFonts w:eastAsia="Times New Roman" w:cs="Segoe UI"/>
                <w:color w:val="000000"/>
                <w:sz w:val="16"/>
                <w:szCs w:val="16"/>
                <w:lang w:eastAsia="sk-SK"/>
              </w:rPr>
              <w:t>Na modernizáciu električkových tratí v Košiciach 2. etapa, 1. časť</w:t>
            </w:r>
          </w:p>
        </w:tc>
        <w:tc>
          <w:tcPr>
            <w:tcW w:w="1134" w:type="dxa"/>
            <w:shd w:val="clear" w:color="auto" w:fill="auto"/>
            <w:noWrap/>
            <w:vAlign w:val="center"/>
            <w:hideMark/>
          </w:tcPr>
          <w:p w14:paraId="184FB256" w14:textId="77777777" w:rsidR="008A4BCF" w:rsidRPr="00DB26F8" w:rsidRDefault="008A4BCF" w:rsidP="00B44AC3">
            <w:pPr>
              <w:spacing w:after="0"/>
              <w:jc w:val="right"/>
              <w:rPr>
                <w:rFonts w:eastAsia="Times New Roman" w:cs="Segoe UI"/>
                <w:color w:val="000000"/>
                <w:sz w:val="16"/>
                <w:szCs w:val="16"/>
                <w:lang w:eastAsia="sk-SK"/>
              </w:rPr>
            </w:pPr>
            <w:r w:rsidRPr="00DB26F8">
              <w:rPr>
                <w:rFonts w:eastAsia="Times New Roman" w:cs="Segoe UI"/>
                <w:color w:val="000000"/>
                <w:sz w:val="16"/>
                <w:szCs w:val="16"/>
                <w:lang w:eastAsia="sk-SK"/>
              </w:rPr>
              <w:t>14 500 000</w:t>
            </w:r>
          </w:p>
        </w:tc>
        <w:tc>
          <w:tcPr>
            <w:tcW w:w="992" w:type="dxa"/>
            <w:shd w:val="clear" w:color="auto" w:fill="auto"/>
            <w:vAlign w:val="center"/>
            <w:hideMark/>
          </w:tcPr>
          <w:p w14:paraId="4479582C" w14:textId="77777777" w:rsidR="008A4BCF" w:rsidRPr="00DB26F8" w:rsidRDefault="008A4BCF" w:rsidP="00B44AC3">
            <w:pPr>
              <w:spacing w:after="0"/>
              <w:jc w:val="right"/>
              <w:rPr>
                <w:rFonts w:eastAsia="Times New Roman" w:cs="Segoe UI"/>
                <w:sz w:val="16"/>
                <w:szCs w:val="16"/>
                <w:lang w:eastAsia="sk-SK"/>
              </w:rPr>
            </w:pPr>
            <w:r w:rsidRPr="00DB26F8">
              <w:rPr>
                <w:rFonts w:eastAsia="Times New Roman" w:cs="Segoe UI"/>
                <w:sz w:val="16"/>
                <w:szCs w:val="16"/>
                <w:lang w:eastAsia="sk-SK"/>
              </w:rPr>
              <w:t>14 500 000</w:t>
            </w:r>
          </w:p>
        </w:tc>
        <w:tc>
          <w:tcPr>
            <w:tcW w:w="1134" w:type="dxa"/>
            <w:shd w:val="clear" w:color="auto" w:fill="auto"/>
            <w:noWrap/>
            <w:vAlign w:val="center"/>
            <w:hideMark/>
          </w:tcPr>
          <w:p w14:paraId="7E385C08" w14:textId="77777777" w:rsidR="008A4BCF" w:rsidRPr="00DB26F8" w:rsidRDefault="008A4BCF" w:rsidP="00B44AC3">
            <w:pPr>
              <w:spacing w:after="0"/>
              <w:jc w:val="right"/>
              <w:rPr>
                <w:rFonts w:eastAsia="Times New Roman" w:cs="Segoe UI"/>
                <w:color w:val="000000"/>
                <w:sz w:val="16"/>
                <w:szCs w:val="16"/>
                <w:lang w:eastAsia="sk-SK"/>
              </w:rPr>
            </w:pPr>
            <w:r w:rsidRPr="00DB26F8">
              <w:rPr>
                <w:rFonts w:eastAsia="Times New Roman" w:cs="Segoe UI"/>
                <w:color w:val="000000"/>
                <w:sz w:val="16"/>
                <w:szCs w:val="16"/>
                <w:lang w:eastAsia="sk-SK"/>
              </w:rPr>
              <w:t>0</w:t>
            </w:r>
          </w:p>
        </w:tc>
        <w:tc>
          <w:tcPr>
            <w:tcW w:w="2339" w:type="dxa"/>
            <w:shd w:val="clear" w:color="auto" w:fill="auto"/>
            <w:vAlign w:val="center"/>
            <w:hideMark/>
          </w:tcPr>
          <w:p w14:paraId="532FAD1F" w14:textId="77777777" w:rsidR="008A4BCF" w:rsidRPr="00DB26F8" w:rsidRDefault="008A4BCF" w:rsidP="00B44AC3">
            <w:pPr>
              <w:spacing w:after="0"/>
              <w:jc w:val="left"/>
              <w:rPr>
                <w:rFonts w:eastAsia="Times New Roman" w:cs="Segoe UI"/>
                <w:color w:val="000000"/>
                <w:sz w:val="16"/>
                <w:szCs w:val="16"/>
                <w:lang w:eastAsia="sk-SK"/>
              </w:rPr>
            </w:pPr>
            <w:r>
              <w:rPr>
                <w:rFonts w:eastAsia="Times New Roman" w:cs="Segoe UI"/>
                <w:color w:val="000000"/>
                <w:sz w:val="16"/>
                <w:szCs w:val="16"/>
                <w:lang w:eastAsia="sk-SK"/>
              </w:rPr>
              <w:t>jednora</w:t>
            </w:r>
            <w:r w:rsidRPr="00DB26F8">
              <w:rPr>
                <w:rFonts w:eastAsia="Times New Roman" w:cs="Segoe UI"/>
                <w:color w:val="000000"/>
                <w:sz w:val="16"/>
                <w:szCs w:val="16"/>
                <w:lang w:eastAsia="sk-SK"/>
              </w:rPr>
              <w:t>zovo s termínom splatnosti do 31.12.2019</w:t>
            </w:r>
          </w:p>
        </w:tc>
      </w:tr>
      <w:tr w:rsidR="008A4BCF" w:rsidRPr="00123812" w14:paraId="03F4AB27" w14:textId="77777777" w:rsidTr="00B44AC3">
        <w:trPr>
          <w:trHeight w:val="20"/>
        </w:trPr>
        <w:tc>
          <w:tcPr>
            <w:tcW w:w="1363" w:type="dxa"/>
            <w:tcBorders>
              <w:bottom w:val="single" w:sz="4" w:space="0" w:color="314364" w:themeColor="text2"/>
            </w:tcBorders>
            <w:shd w:val="clear" w:color="auto" w:fill="auto"/>
            <w:vAlign w:val="center"/>
            <w:hideMark/>
          </w:tcPr>
          <w:p w14:paraId="1E093F28" w14:textId="77777777" w:rsidR="008A4BCF" w:rsidRPr="00DB26F8" w:rsidRDefault="008A4BCF" w:rsidP="00B44AC3">
            <w:pPr>
              <w:spacing w:after="0"/>
              <w:jc w:val="left"/>
              <w:rPr>
                <w:rFonts w:eastAsia="Times New Roman" w:cs="Segoe UI"/>
                <w:b/>
                <w:color w:val="000000"/>
                <w:sz w:val="16"/>
                <w:szCs w:val="16"/>
                <w:lang w:eastAsia="sk-SK"/>
              </w:rPr>
            </w:pPr>
            <w:r>
              <w:rPr>
                <w:rFonts w:eastAsia="Times New Roman" w:cs="Segoe UI"/>
                <w:b/>
                <w:color w:val="000000"/>
                <w:sz w:val="16"/>
                <w:szCs w:val="16"/>
                <w:lang w:eastAsia="sk-SK"/>
              </w:rPr>
              <w:t>PSK</w:t>
            </w:r>
            <w:r w:rsidRPr="00DB26F8">
              <w:rPr>
                <w:rFonts w:eastAsia="Times New Roman" w:cs="Segoe UI"/>
                <w:b/>
                <w:color w:val="000000"/>
                <w:sz w:val="16"/>
                <w:szCs w:val="16"/>
                <w:lang w:eastAsia="sk-SK"/>
              </w:rPr>
              <w:t xml:space="preserve"> </w:t>
            </w:r>
          </w:p>
        </w:tc>
        <w:tc>
          <w:tcPr>
            <w:tcW w:w="2758" w:type="dxa"/>
            <w:tcBorders>
              <w:bottom w:val="single" w:sz="4" w:space="0" w:color="314364" w:themeColor="text2"/>
            </w:tcBorders>
            <w:shd w:val="clear" w:color="auto" w:fill="auto"/>
            <w:vAlign w:val="center"/>
            <w:hideMark/>
          </w:tcPr>
          <w:p w14:paraId="63C8A0D8" w14:textId="77777777" w:rsidR="008A4BCF" w:rsidRPr="00DB26F8" w:rsidRDefault="008A4BCF" w:rsidP="00B44AC3">
            <w:pPr>
              <w:spacing w:after="0"/>
              <w:jc w:val="left"/>
              <w:rPr>
                <w:rFonts w:eastAsia="Times New Roman" w:cs="Segoe UI"/>
                <w:color w:val="000000"/>
                <w:sz w:val="16"/>
                <w:szCs w:val="16"/>
                <w:lang w:eastAsia="sk-SK"/>
              </w:rPr>
            </w:pPr>
            <w:r w:rsidRPr="00DB26F8">
              <w:rPr>
                <w:rFonts w:eastAsia="Times New Roman" w:cs="Segoe UI"/>
                <w:color w:val="000000"/>
                <w:sz w:val="16"/>
                <w:szCs w:val="16"/>
                <w:lang w:eastAsia="sk-SK"/>
              </w:rPr>
              <w:t xml:space="preserve">Na financovanie projektovej dokumentácie pre vybudovanie environmentálnej infraštruktúry v okrese Snina v Prešovskom samosprávnom kraji </w:t>
            </w:r>
          </w:p>
        </w:tc>
        <w:tc>
          <w:tcPr>
            <w:tcW w:w="1134" w:type="dxa"/>
            <w:tcBorders>
              <w:bottom w:val="single" w:sz="4" w:space="0" w:color="314364" w:themeColor="text2"/>
            </w:tcBorders>
            <w:shd w:val="clear" w:color="auto" w:fill="auto"/>
            <w:noWrap/>
            <w:vAlign w:val="center"/>
            <w:hideMark/>
          </w:tcPr>
          <w:p w14:paraId="22CF6AF8" w14:textId="77777777" w:rsidR="008A4BCF" w:rsidRPr="00DB26F8" w:rsidRDefault="008A4BCF" w:rsidP="00B44AC3">
            <w:pPr>
              <w:spacing w:after="0"/>
              <w:jc w:val="right"/>
              <w:rPr>
                <w:rFonts w:eastAsia="Times New Roman" w:cs="Segoe UI"/>
                <w:color w:val="000000"/>
                <w:sz w:val="16"/>
                <w:szCs w:val="16"/>
                <w:lang w:eastAsia="sk-SK"/>
              </w:rPr>
            </w:pPr>
            <w:r w:rsidRPr="00DB26F8">
              <w:rPr>
                <w:rFonts w:eastAsia="Times New Roman" w:cs="Segoe UI"/>
                <w:color w:val="000000"/>
                <w:sz w:val="16"/>
                <w:szCs w:val="16"/>
                <w:lang w:eastAsia="sk-SK"/>
              </w:rPr>
              <w:t>1 000 000</w:t>
            </w:r>
          </w:p>
        </w:tc>
        <w:tc>
          <w:tcPr>
            <w:tcW w:w="992" w:type="dxa"/>
            <w:tcBorders>
              <w:bottom w:val="single" w:sz="4" w:space="0" w:color="314364" w:themeColor="text2"/>
            </w:tcBorders>
            <w:shd w:val="clear" w:color="auto" w:fill="auto"/>
            <w:vAlign w:val="center"/>
            <w:hideMark/>
          </w:tcPr>
          <w:p w14:paraId="0A47602C" w14:textId="77777777" w:rsidR="008A4BCF" w:rsidRPr="00DB26F8" w:rsidRDefault="008A4BCF" w:rsidP="00B44AC3">
            <w:pPr>
              <w:spacing w:after="0"/>
              <w:jc w:val="right"/>
              <w:rPr>
                <w:rFonts w:eastAsia="Times New Roman" w:cs="Segoe UI"/>
                <w:sz w:val="16"/>
                <w:szCs w:val="16"/>
                <w:lang w:eastAsia="sk-SK"/>
              </w:rPr>
            </w:pPr>
            <w:r w:rsidRPr="00DB26F8">
              <w:rPr>
                <w:rFonts w:eastAsia="Times New Roman" w:cs="Segoe UI"/>
                <w:sz w:val="16"/>
                <w:szCs w:val="16"/>
                <w:lang w:eastAsia="sk-SK"/>
              </w:rPr>
              <w:t>1 000 000</w:t>
            </w:r>
          </w:p>
        </w:tc>
        <w:tc>
          <w:tcPr>
            <w:tcW w:w="1134" w:type="dxa"/>
            <w:tcBorders>
              <w:bottom w:val="single" w:sz="4" w:space="0" w:color="314364" w:themeColor="text2"/>
            </w:tcBorders>
            <w:shd w:val="clear" w:color="auto" w:fill="auto"/>
            <w:noWrap/>
            <w:vAlign w:val="center"/>
            <w:hideMark/>
          </w:tcPr>
          <w:p w14:paraId="6F4134AC" w14:textId="77777777" w:rsidR="008A4BCF" w:rsidRPr="00DB26F8" w:rsidRDefault="008A4BCF" w:rsidP="00B44AC3">
            <w:pPr>
              <w:spacing w:after="0"/>
              <w:jc w:val="right"/>
              <w:rPr>
                <w:rFonts w:eastAsia="Times New Roman" w:cs="Segoe UI"/>
                <w:color w:val="000000"/>
                <w:sz w:val="16"/>
                <w:szCs w:val="16"/>
                <w:lang w:eastAsia="sk-SK"/>
              </w:rPr>
            </w:pPr>
            <w:r w:rsidRPr="00DB26F8">
              <w:rPr>
                <w:rFonts w:eastAsia="Times New Roman" w:cs="Segoe UI"/>
                <w:color w:val="000000"/>
                <w:sz w:val="16"/>
                <w:szCs w:val="16"/>
                <w:lang w:eastAsia="sk-SK"/>
              </w:rPr>
              <w:t>0</w:t>
            </w:r>
          </w:p>
        </w:tc>
        <w:tc>
          <w:tcPr>
            <w:tcW w:w="2339" w:type="dxa"/>
            <w:tcBorders>
              <w:bottom w:val="single" w:sz="4" w:space="0" w:color="314364" w:themeColor="text2"/>
            </w:tcBorders>
            <w:shd w:val="clear" w:color="auto" w:fill="auto"/>
            <w:vAlign w:val="center"/>
            <w:hideMark/>
          </w:tcPr>
          <w:p w14:paraId="338EAFA2" w14:textId="77777777" w:rsidR="008A4BCF" w:rsidRPr="00DB26F8" w:rsidRDefault="008A4BCF" w:rsidP="00B44AC3">
            <w:pPr>
              <w:spacing w:after="0"/>
              <w:jc w:val="left"/>
              <w:rPr>
                <w:rFonts w:eastAsia="Times New Roman" w:cs="Segoe UI"/>
                <w:color w:val="000000"/>
                <w:sz w:val="16"/>
                <w:szCs w:val="16"/>
                <w:lang w:eastAsia="sk-SK"/>
              </w:rPr>
            </w:pPr>
            <w:r w:rsidRPr="00DB26F8">
              <w:rPr>
                <w:rFonts w:eastAsia="Times New Roman" w:cs="Segoe UI"/>
                <w:color w:val="000000"/>
                <w:sz w:val="16"/>
                <w:szCs w:val="16"/>
                <w:lang w:eastAsia="sk-SK"/>
              </w:rPr>
              <w:t>jednorazovo s termínom splatnosti do 30.11.2023</w:t>
            </w:r>
          </w:p>
        </w:tc>
      </w:tr>
      <w:tr w:rsidR="008A4BCF" w:rsidRPr="00123812" w14:paraId="74FB88B0" w14:textId="77777777" w:rsidTr="00B44AC3">
        <w:trPr>
          <w:trHeight w:val="20"/>
        </w:trPr>
        <w:tc>
          <w:tcPr>
            <w:tcW w:w="1363" w:type="dxa"/>
            <w:tcBorders>
              <w:top w:val="single" w:sz="4" w:space="0" w:color="314364" w:themeColor="text2"/>
              <w:bottom w:val="single" w:sz="4" w:space="0" w:color="314364" w:themeColor="text2"/>
            </w:tcBorders>
            <w:shd w:val="clear" w:color="auto" w:fill="auto"/>
            <w:noWrap/>
            <w:vAlign w:val="center"/>
            <w:hideMark/>
          </w:tcPr>
          <w:p w14:paraId="5C56ADB7" w14:textId="77777777" w:rsidR="008A4BCF" w:rsidRPr="00DB26F8" w:rsidRDefault="008A4BCF" w:rsidP="00B44AC3">
            <w:pPr>
              <w:spacing w:after="0"/>
              <w:jc w:val="left"/>
              <w:rPr>
                <w:rFonts w:eastAsia="Times New Roman" w:cs="Segoe UI"/>
                <w:b/>
                <w:color w:val="000000"/>
                <w:sz w:val="16"/>
                <w:szCs w:val="16"/>
                <w:lang w:eastAsia="sk-SK"/>
              </w:rPr>
            </w:pPr>
            <w:r w:rsidRPr="00DB26F8">
              <w:rPr>
                <w:rFonts w:eastAsia="Times New Roman" w:cs="Segoe UI"/>
                <w:b/>
                <w:color w:val="000000"/>
                <w:sz w:val="16"/>
                <w:szCs w:val="16"/>
                <w:lang w:eastAsia="sk-SK"/>
              </w:rPr>
              <w:t>SPOLU</w:t>
            </w:r>
          </w:p>
        </w:tc>
        <w:tc>
          <w:tcPr>
            <w:tcW w:w="2758" w:type="dxa"/>
            <w:tcBorders>
              <w:top w:val="single" w:sz="4" w:space="0" w:color="314364" w:themeColor="text2"/>
              <w:bottom w:val="single" w:sz="4" w:space="0" w:color="314364" w:themeColor="text2"/>
            </w:tcBorders>
            <w:shd w:val="clear" w:color="auto" w:fill="auto"/>
            <w:noWrap/>
            <w:vAlign w:val="center"/>
            <w:hideMark/>
          </w:tcPr>
          <w:p w14:paraId="04532851" w14:textId="77777777" w:rsidR="008A4BCF" w:rsidRPr="00DB26F8" w:rsidRDefault="008A4BCF" w:rsidP="00B44AC3">
            <w:pPr>
              <w:spacing w:after="0"/>
              <w:jc w:val="left"/>
              <w:rPr>
                <w:rFonts w:eastAsia="Times New Roman" w:cs="Segoe UI"/>
                <w:sz w:val="16"/>
                <w:szCs w:val="16"/>
                <w:lang w:eastAsia="sk-SK"/>
              </w:rPr>
            </w:pPr>
          </w:p>
        </w:tc>
        <w:tc>
          <w:tcPr>
            <w:tcW w:w="1134" w:type="dxa"/>
            <w:tcBorders>
              <w:top w:val="single" w:sz="4" w:space="0" w:color="314364" w:themeColor="text2"/>
              <w:bottom w:val="single" w:sz="4" w:space="0" w:color="314364" w:themeColor="text2"/>
            </w:tcBorders>
            <w:shd w:val="clear" w:color="auto" w:fill="auto"/>
            <w:noWrap/>
            <w:vAlign w:val="center"/>
            <w:hideMark/>
          </w:tcPr>
          <w:p w14:paraId="053E4EF2" w14:textId="77777777" w:rsidR="008A4BCF" w:rsidRPr="00DB26F8" w:rsidRDefault="008A4BCF" w:rsidP="00B44AC3">
            <w:pPr>
              <w:spacing w:after="0"/>
              <w:jc w:val="right"/>
              <w:rPr>
                <w:rFonts w:eastAsia="Times New Roman" w:cs="Segoe UI"/>
                <w:b/>
                <w:bCs/>
                <w:color w:val="000000"/>
                <w:sz w:val="16"/>
                <w:szCs w:val="16"/>
                <w:lang w:eastAsia="sk-SK"/>
              </w:rPr>
            </w:pPr>
            <w:r w:rsidRPr="00DB26F8">
              <w:rPr>
                <w:rFonts w:eastAsia="Times New Roman" w:cs="Segoe UI"/>
                <w:b/>
                <w:bCs/>
                <w:color w:val="000000"/>
                <w:sz w:val="16"/>
                <w:szCs w:val="16"/>
                <w:lang w:eastAsia="sk-SK"/>
              </w:rPr>
              <w:t>399 951 076</w:t>
            </w:r>
          </w:p>
        </w:tc>
        <w:tc>
          <w:tcPr>
            <w:tcW w:w="992" w:type="dxa"/>
            <w:tcBorders>
              <w:top w:val="single" w:sz="4" w:space="0" w:color="314364" w:themeColor="text2"/>
              <w:bottom w:val="single" w:sz="4" w:space="0" w:color="314364" w:themeColor="text2"/>
            </w:tcBorders>
            <w:shd w:val="clear" w:color="auto" w:fill="auto"/>
            <w:noWrap/>
            <w:vAlign w:val="center"/>
            <w:hideMark/>
          </w:tcPr>
          <w:p w14:paraId="42675123" w14:textId="77777777" w:rsidR="008A4BCF" w:rsidRPr="00DB26F8" w:rsidRDefault="008A4BCF" w:rsidP="00B44AC3">
            <w:pPr>
              <w:spacing w:after="0"/>
              <w:jc w:val="right"/>
              <w:rPr>
                <w:rFonts w:eastAsia="Times New Roman" w:cs="Segoe UI"/>
                <w:b/>
                <w:bCs/>
                <w:color w:val="000000"/>
                <w:sz w:val="16"/>
                <w:szCs w:val="16"/>
                <w:lang w:eastAsia="sk-SK"/>
              </w:rPr>
            </w:pPr>
            <w:r w:rsidRPr="00DB26F8">
              <w:rPr>
                <w:rFonts w:eastAsia="Times New Roman" w:cs="Segoe UI"/>
                <w:b/>
                <w:bCs/>
                <w:color w:val="000000"/>
                <w:sz w:val="16"/>
                <w:szCs w:val="16"/>
                <w:lang w:eastAsia="sk-SK"/>
              </w:rPr>
              <w:t>61 222 634</w:t>
            </w:r>
          </w:p>
        </w:tc>
        <w:tc>
          <w:tcPr>
            <w:tcW w:w="1134" w:type="dxa"/>
            <w:tcBorders>
              <w:top w:val="single" w:sz="4" w:space="0" w:color="314364" w:themeColor="text2"/>
              <w:bottom w:val="single" w:sz="4" w:space="0" w:color="314364" w:themeColor="text2"/>
            </w:tcBorders>
            <w:shd w:val="clear" w:color="auto" w:fill="auto"/>
            <w:noWrap/>
            <w:vAlign w:val="center"/>
            <w:hideMark/>
          </w:tcPr>
          <w:p w14:paraId="10A08089" w14:textId="77777777" w:rsidR="008A4BCF" w:rsidRPr="00DB26F8" w:rsidRDefault="008A4BCF" w:rsidP="00B44AC3">
            <w:pPr>
              <w:spacing w:after="0"/>
              <w:jc w:val="right"/>
              <w:rPr>
                <w:rFonts w:eastAsia="Times New Roman" w:cs="Segoe UI"/>
                <w:b/>
                <w:bCs/>
                <w:color w:val="000000"/>
                <w:sz w:val="16"/>
                <w:szCs w:val="16"/>
                <w:lang w:eastAsia="sk-SK"/>
              </w:rPr>
            </w:pPr>
            <w:r w:rsidRPr="00DB26F8">
              <w:rPr>
                <w:rFonts w:eastAsia="Times New Roman" w:cs="Segoe UI"/>
                <w:b/>
                <w:bCs/>
                <w:color w:val="000000"/>
                <w:sz w:val="16"/>
                <w:szCs w:val="16"/>
                <w:lang w:eastAsia="sk-SK"/>
              </w:rPr>
              <w:t>338 728 442</w:t>
            </w:r>
          </w:p>
        </w:tc>
        <w:tc>
          <w:tcPr>
            <w:tcW w:w="2339" w:type="dxa"/>
            <w:tcBorders>
              <w:top w:val="single" w:sz="4" w:space="0" w:color="314364" w:themeColor="text2"/>
              <w:bottom w:val="single" w:sz="4" w:space="0" w:color="314364" w:themeColor="text2"/>
            </w:tcBorders>
            <w:shd w:val="clear" w:color="auto" w:fill="auto"/>
            <w:noWrap/>
            <w:vAlign w:val="center"/>
            <w:hideMark/>
          </w:tcPr>
          <w:p w14:paraId="786FD2EB" w14:textId="77777777" w:rsidR="008A4BCF" w:rsidRPr="00DB26F8" w:rsidRDefault="008A4BCF" w:rsidP="00B44AC3">
            <w:pPr>
              <w:spacing w:after="0"/>
              <w:jc w:val="left"/>
              <w:rPr>
                <w:rFonts w:eastAsia="Times New Roman" w:cs="Segoe UI"/>
                <w:b/>
                <w:bCs/>
                <w:color w:val="000000"/>
                <w:sz w:val="16"/>
                <w:szCs w:val="16"/>
                <w:lang w:eastAsia="sk-SK"/>
              </w:rPr>
            </w:pPr>
          </w:p>
        </w:tc>
      </w:tr>
    </w:tbl>
    <w:p w14:paraId="70B7C9EF" w14:textId="77777777" w:rsidR="008A4BCF" w:rsidRDefault="008A4BCF" w:rsidP="008A4BCF">
      <w:r w:rsidRPr="00322F02">
        <w:rPr>
          <w:rFonts w:eastAsia="Calibri" w:cs="Segoe UI"/>
          <w:i/>
          <w:iCs/>
          <w:color w:val="44546A"/>
          <w:sz w:val="16"/>
          <w:szCs w:val="16"/>
        </w:rPr>
        <w:t>Zdroj: MF SR, spracovanie NKÚ SR</w:t>
      </w:r>
      <w:r>
        <w:rPr>
          <w:rFonts w:eastAsia="Calibri" w:cs="Segoe UI"/>
          <w:i/>
          <w:iCs/>
          <w:color w:val="44546A"/>
          <w:sz w:val="16"/>
          <w:szCs w:val="16"/>
        </w:rPr>
        <w:t>.</w:t>
      </w:r>
      <w:r>
        <w:br w:type="page"/>
      </w:r>
    </w:p>
    <w:p w14:paraId="55CADBB8" w14:textId="77777777" w:rsidR="008A4BCF" w:rsidRDefault="008A4BCF" w:rsidP="008A4BCF">
      <w:pPr>
        <w:pStyle w:val="Popis"/>
        <w:keepNext/>
      </w:pPr>
      <w:r>
        <w:lastRenderedPageBreak/>
        <w:t>Tabuľka 9</w:t>
      </w:r>
      <w:r>
        <w:rPr>
          <w:noProof/>
        </w:rPr>
        <w:t>:</w:t>
      </w:r>
      <w:r>
        <w:t xml:space="preserve"> </w:t>
      </w:r>
      <w:r w:rsidRPr="00E52900">
        <w:t>Celkové čerpanie POO podľa kapitol (v mil. eur)</w:t>
      </w:r>
    </w:p>
    <w:tbl>
      <w:tblPr>
        <w:tblW w:w="5000" w:type="pct"/>
        <w:tblBorders>
          <w:bottom w:val="single" w:sz="4" w:space="0" w:color="314364" w:themeColor="text2"/>
        </w:tblBorders>
        <w:tblCellMar>
          <w:left w:w="70" w:type="dxa"/>
          <w:right w:w="70" w:type="dxa"/>
        </w:tblCellMar>
        <w:tblLook w:val="04A0" w:firstRow="1" w:lastRow="0" w:firstColumn="1" w:lastColumn="0" w:noHBand="0" w:noVBand="1"/>
      </w:tblPr>
      <w:tblGrid>
        <w:gridCol w:w="873"/>
        <w:gridCol w:w="931"/>
        <w:gridCol w:w="889"/>
        <w:gridCol w:w="889"/>
        <w:gridCol w:w="931"/>
        <w:gridCol w:w="889"/>
        <w:gridCol w:w="900"/>
        <w:gridCol w:w="931"/>
        <w:gridCol w:w="923"/>
        <w:gridCol w:w="914"/>
      </w:tblGrid>
      <w:tr w:rsidR="008A4BCF" w:rsidRPr="00123812" w14:paraId="2DC340C2" w14:textId="77777777" w:rsidTr="00B44AC3">
        <w:trPr>
          <w:trHeight w:val="283"/>
        </w:trPr>
        <w:tc>
          <w:tcPr>
            <w:tcW w:w="482" w:type="pct"/>
            <w:shd w:val="clear" w:color="000000" w:fill="314364"/>
            <w:vAlign w:val="center"/>
            <w:hideMark/>
          </w:tcPr>
          <w:p w14:paraId="625C1276" w14:textId="77777777" w:rsidR="008A4BCF" w:rsidRPr="00DB26F8" w:rsidRDefault="008A4BCF" w:rsidP="00B44AC3">
            <w:pPr>
              <w:spacing w:after="0" w:line="240" w:lineRule="auto"/>
              <w:jc w:val="left"/>
              <w:rPr>
                <w:rFonts w:eastAsia="Times New Roman" w:cs="Segoe UI"/>
                <w:b/>
                <w:bCs/>
                <w:color w:val="FFFFFF"/>
                <w:sz w:val="18"/>
                <w:szCs w:val="18"/>
                <w:lang w:eastAsia="sk-SK"/>
              </w:rPr>
            </w:pPr>
            <w:r w:rsidRPr="00DB26F8">
              <w:rPr>
                <w:rFonts w:eastAsia="Times New Roman" w:cs="Segoe UI"/>
                <w:b/>
                <w:bCs/>
                <w:color w:val="FFFFFF"/>
                <w:sz w:val="18"/>
                <w:szCs w:val="18"/>
                <w:lang w:eastAsia="sk-SK"/>
              </w:rPr>
              <w:t>Kapitola</w:t>
            </w:r>
          </w:p>
        </w:tc>
        <w:tc>
          <w:tcPr>
            <w:tcW w:w="513" w:type="pct"/>
            <w:shd w:val="clear" w:color="000000" w:fill="314364"/>
            <w:vAlign w:val="center"/>
            <w:hideMark/>
          </w:tcPr>
          <w:p w14:paraId="013D12EF" w14:textId="77777777" w:rsidR="008A4BCF" w:rsidRPr="00DB26F8" w:rsidRDefault="008A4BCF" w:rsidP="00B44AC3">
            <w:pPr>
              <w:spacing w:after="0" w:line="240" w:lineRule="auto"/>
              <w:jc w:val="right"/>
              <w:rPr>
                <w:rFonts w:eastAsia="Times New Roman" w:cs="Segoe UI"/>
                <w:b/>
                <w:bCs/>
                <w:color w:val="FFFFFF"/>
                <w:sz w:val="18"/>
                <w:szCs w:val="18"/>
                <w:lang w:eastAsia="sk-SK"/>
              </w:rPr>
            </w:pPr>
            <w:r w:rsidRPr="00DB26F8">
              <w:rPr>
                <w:rFonts w:eastAsia="Times New Roman" w:cs="Segoe UI"/>
                <w:b/>
                <w:bCs/>
                <w:color w:val="FFFFFF"/>
                <w:sz w:val="18"/>
                <w:szCs w:val="18"/>
                <w:lang w:eastAsia="sk-SK"/>
              </w:rPr>
              <w:t>Rozpočet 2022</w:t>
            </w:r>
          </w:p>
        </w:tc>
        <w:tc>
          <w:tcPr>
            <w:tcW w:w="490" w:type="pct"/>
            <w:shd w:val="clear" w:color="000000" w:fill="314364"/>
            <w:vAlign w:val="center"/>
            <w:hideMark/>
          </w:tcPr>
          <w:p w14:paraId="1F0C1B0A" w14:textId="77777777" w:rsidR="008A4BCF" w:rsidRPr="00DB26F8" w:rsidRDefault="008A4BCF" w:rsidP="00B44AC3">
            <w:pPr>
              <w:spacing w:after="0" w:line="240" w:lineRule="auto"/>
              <w:jc w:val="right"/>
              <w:rPr>
                <w:rFonts w:eastAsia="Times New Roman" w:cs="Segoe UI"/>
                <w:b/>
                <w:bCs/>
                <w:color w:val="FFFFFF"/>
                <w:sz w:val="18"/>
                <w:szCs w:val="18"/>
                <w:lang w:eastAsia="sk-SK"/>
              </w:rPr>
            </w:pPr>
            <w:r w:rsidRPr="00DB26F8">
              <w:rPr>
                <w:rFonts w:eastAsia="Times New Roman" w:cs="Segoe UI"/>
                <w:b/>
                <w:bCs/>
                <w:color w:val="FFFFFF"/>
                <w:sz w:val="18"/>
                <w:szCs w:val="18"/>
                <w:lang w:eastAsia="sk-SK"/>
              </w:rPr>
              <w:t>Čerpanie 2022</w:t>
            </w:r>
          </w:p>
        </w:tc>
        <w:tc>
          <w:tcPr>
            <w:tcW w:w="490" w:type="pct"/>
            <w:tcBorders>
              <w:bottom w:val="nil"/>
              <w:right w:val="single" w:sz="4" w:space="0" w:color="auto"/>
            </w:tcBorders>
            <w:shd w:val="clear" w:color="000000" w:fill="314364"/>
          </w:tcPr>
          <w:p w14:paraId="2E761BA9" w14:textId="77777777" w:rsidR="008A4BCF" w:rsidRPr="00DB26F8" w:rsidRDefault="008A4BCF" w:rsidP="00B44AC3">
            <w:pPr>
              <w:spacing w:after="0" w:line="240" w:lineRule="auto"/>
              <w:jc w:val="right"/>
              <w:rPr>
                <w:rFonts w:eastAsia="Times New Roman" w:cs="Segoe UI"/>
                <w:b/>
                <w:bCs/>
                <w:color w:val="FFFFFF"/>
                <w:sz w:val="18"/>
                <w:szCs w:val="18"/>
                <w:lang w:eastAsia="sk-SK"/>
              </w:rPr>
            </w:pPr>
            <w:r w:rsidRPr="00DB26F8">
              <w:rPr>
                <w:rFonts w:eastAsia="Times New Roman" w:cs="Segoe UI"/>
                <w:b/>
                <w:bCs/>
                <w:color w:val="FFFFFF"/>
                <w:sz w:val="18"/>
                <w:szCs w:val="18"/>
                <w:lang w:eastAsia="sk-SK"/>
              </w:rPr>
              <w:t>% 2022</w:t>
            </w:r>
          </w:p>
        </w:tc>
        <w:tc>
          <w:tcPr>
            <w:tcW w:w="513" w:type="pct"/>
            <w:tcBorders>
              <w:left w:val="single" w:sz="4" w:space="0" w:color="auto"/>
            </w:tcBorders>
            <w:shd w:val="clear" w:color="000000" w:fill="314364"/>
            <w:vAlign w:val="center"/>
            <w:hideMark/>
          </w:tcPr>
          <w:p w14:paraId="040FFD40" w14:textId="77777777" w:rsidR="008A4BCF" w:rsidRPr="00DB26F8" w:rsidRDefault="008A4BCF" w:rsidP="00B44AC3">
            <w:pPr>
              <w:spacing w:after="0" w:line="240" w:lineRule="auto"/>
              <w:jc w:val="right"/>
              <w:rPr>
                <w:rFonts w:eastAsia="Times New Roman" w:cs="Segoe UI"/>
                <w:b/>
                <w:bCs/>
                <w:color w:val="FFFFFF"/>
                <w:sz w:val="18"/>
                <w:szCs w:val="18"/>
                <w:lang w:eastAsia="sk-SK"/>
              </w:rPr>
            </w:pPr>
            <w:r w:rsidRPr="00DB26F8">
              <w:rPr>
                <w:rFonts w:eastAsia="Times New Roman" w:cs="Segoe UI"/>
                <w:b/>
                <w:bCs/>
                <w:color w:val="FFFFFF"/>
                <w:sz w:val="18"/>
                <w:szCs w:val="18"/>
                <w:lang w:eastAsia="sk-SK"/>
              </w:rPr>
              <w:t>Rozpočet 2023</w:t>
            </w:r>
          </w:p>
        </w:tc>
        <w:tc>
          <w:tcPr>
            <w:tcW w:w="490" w:type="pct"/>
            <w:shd w:val="clear" w:color="000000" w:fill="314364"/>
            <w:vAlign w:val="center"/>
            <w:hideMark/>
          </w:tcPr>
          <w:p w14:paraId="747329B8" w14:textId="77777777" w:rsidR="008A4BCF" w:rsidRPr="00DB26F8" w:rsidRDefault="008A4BCF" w:rsidP="00B44AC3">
            <w:pPr>
              <w:spacing w:after="0" w:line="240" w:lineRule="auto"/>
              <w:jc w:val="right"/>
              <w:rPr>
                <w:rFonts w:eastAsia="Times New Roman" w:cs="Segoe UI"/>
                <w:b/>
                <w:bCs/>
                <w:color w:val="FFFFFF"/>
                <w:sz w:val="18"/>
                <w:szCs w:val="18"/>
                <w:lang w:eastAsia="sk-SK"/>
              </w:rPr>
            </w:pPr>
            <w:r w:rsidRPr="00DB26F8">
              <w:rPr>
                <w:rFonts w:eastAsia="Times New Roman" w:cs="Segoe UI"/>
                <w:b/>
                <w:bCs/>
                <w:color w:val="FFFFFF"/>
                <w:sz w:val="18"/>
                <w:szCs w:val="18"/>
                <w:lang w:eastAsia="sk-SK"/>
              </w:rPr>
              <w:t>Čerpanie 2023</w:t>
            </w:r>
          </w:p>
        </w:tc>
        <w:tc>
          <w:tcPr>
            <w:tcW w:w="496" w:type="pct"/>
            <w:tcBorders>
              <w:bottom w:val="nil"/>
              <w:right w:val="single" w:sz="4" w:space="0" w:color="auto"/>
            </w:tcBorders>
            <w:shd w:val="clear" w:color="000000" w:fill="314364"/>
          </w:tcPr>
          <w:p w14:paraId="01147983" w14:textId="77777777" w:rsidR="008A4BCF" w:rsidRPr="00DB26F8" w:rsidRDefault="008A4BCF" w:rsidP="00B44AC3">
            <w:pPr>
              <w:spacing w:after="0" w:line="240" w:lineRule="auto"/>
              <w:jc w:val="right"/>
              <w:rPr>
                <w:rFonts w:eastAsia="Times New Roman" w:cs="Segoe UI"/>
                <w:b/>
                <w:bCs/>
                <w:color w:val="FFFFFF"/>
                <w:sz w:val="18"/>
                <w:szCs w:val="18"/>
                <w:lang w:eastAsia="sk-SK"/>
              </w:rPr>
            </w:pPr>
            <w:r w:rsidRPr="00DB26F8">
              <w:rPr>
                <w:rFonts w:eastAsia="Times New Roman" w:cs="Segoe UI"/>
                <w:b/>
                <w:bCs/>
                <w:color w:val="FFFFFF"/>
                <w:sz w:val="18"/>
                <w:szCs w:val="18"/>
                <w:lang w:eastAsia="sk-SK"/>
              </w:rPr>
              <w:t>% 2023</w:t>
            </w:r>
          </w:p>
        </w:tc>
        <w:tc>
          <w:tcPr>
            <w:tcW w:w="513" w:type="pct"/>
            <w:tcBorders>
              <w:left w:val="single" w:sz="4" w:space="0" w:color="auto"/>
            </w:tcBorders>
            <w:shd w:val="clear" w:color="000000" w:fill="314364"/>
            <w:vAlign w:val="center"/>
            <w:hideMark/>
          </w:tcPr>
          <w:p w14:paraId="098643A0" w14:textId="77777777" w:rsidR="008A4BCF" w:rsidRPr="00DB26F8" w:rsidRDefault="008A4BCF" w:rsidP="00B44AC3">
            <w:pPr>
              <w:spacing w:after="0" w:line="240" w:lineRule="auto"/>
              <w:jc w:val="right"/>
              <w:rPr>
                <w:rFonts w:eastAsia="Times New Roman" w:cs="Segoe UI"/>
                <w:b/>
                <w:bCs/>
                <w:color w:val="FFFFFF"/>
                <w:sz w:val="18"/>
                <w:szCs w:val="18"/>
                <w:lang w:eastAsia="sk-SK"/>
              </w:rPr>
            </w:pPr>
            <w:r w:rsidRPr="00DB26F8">
              <w:rPr>
                <w:rFonts w:eastAsia="Times New Roman" w:cs="Segoe UI"/>
                <w:b/>
                <w:bCs/>
                <w:color w:val="FFFFFF"/>
                <w:sz w:val="18"/>
                <w:szCs w:val="18"/>
                <w:lang w:eastAsia="sk-SK"/>
              </w:rPr>
              <w:t>Rozpočet 2024</w:t>
            </w:r>
          </w:p>
        </w:tc>
        <w:tc>
          <w:tcPr>
            <w:tcW w:w="509" w:type="pct"/>
            <w:shd w:val="clear" w:color="000000" w:fill="314364"/>
            <w:vAlign w:val="center"/>
            <w:hideMark/>
          </w:tcPr>
          <w:p w14:paraId="7EDD0AF8" w14:textId="77777777" w:rsidR="008A4BCF" w:rsidRPr="00DB26F8" w:rsidRDefault="008A4BCF" w:rsidP="00B44AC3">
            <w:pPr>
              <w:spacing w:after="0" w:line="240" w:lineRule="auto"/>
              <w:jc w:val="right"/>
              <w:rPr>
                <w:rFonts w:eastAsia="Times New Roman" w:cs="Segoe UI"/>
                <w:b/>
                <w:bCs/>
                <w:color w:val="FFFFFF"/>
                <w:sz w:val="18"/>
                <w:szCs w:val="18"/>
                <w:lang w:eastAsia="sk-SK"/>
              </w:rPr>
            </w:pPr>
            <w:r w:rsidRPr="00DB26F8">
              <w:rPr>
                <w:rFonts w:eastAsia="Times New Roman" w:cs="Segoe UI"/>
                <w:b/>
                <w:bCs/>
                <w:color w:val="FFFFFF"/>
                <w:sz w:val="18"/>
                <w:szCs w:val="18"/>
                <w:lang w:eastAsia="sk-SK"/>
              </w:rPr>
              <w:t>Čerpanie 2024*</w:t>
            </w:r>
          </w:p>
        </w:tc>
        <w:tc>
          <w:tcPr>
            <w:tcW w:w="504" w:type="pct"/>
            <w:shd w:val="clear" w:color="000000" w:fill="314364"/>
          </w:tcPr>
          <w:p w14:paraId="00FABA21" w14:textId="77777777" w:rsidR="008A4BCF" w:rsidRPr="00DB26F8" w:rsidRDefault="008A4BCF" w:rsidP="00B44AC3">
            <w:pPr>
              <w:spacing w:after="0" w:line="240" w:lineRule="auto"/>
              <w:jc w:val="right"/>
              <w:rPr>
                <w:rFonts w:eastAsia="Times New Roman" w:cs="Segoe UI"/>
                <w:b/>
                <w:bCs/>
                <w:color w:val="FFFFFF"/>
                <w:sz w:val="18"/>
                <w:szCs w:val="18"/>
                <w:lang w:eastAsia="sk-SK"/>
              </w:rPr>
            </w:pPr>
            <w:r w:rsidRPr="00DB26F8">
              <w:rPr>
                <w:rFonts w:eastAsia="Times New Roman" w:cs="Segoe UI"/>
                <w:b/>
                <w:bCs/>
                <w:color w:val="FFFFFF"/>
                <w:sz w:val="18"/>
                <w:szCs w:val="18"/>
                <w:lang w:eastAsia="sk-SK"/>
              </w:rPr>
              <w:t>% 2024</w:t>
            </w:r>
          </w:p>
        </w:tc>
      </w:tr>
      <w:tr w:rsidR="008A4BCF" w:rsidRPr="00123812" w14:paraId="42C49D2F" w14:textId="77777777" w:rsidTr="00B44AC3">
        <w:trPr>
          <w:trHeight w:val="283"/>
        </w:trPr>
        <w:tc>
          <w:tcPr>
            <w:tcW w:w="482" w:type="pct"/>
            <w:shd w:val="clear" w:color="auto" w:fill="auto"/>
            <w:vAlign w:val="center"/>
            <w:hideMark/>
          </w:tcPr>
          <w:p w14:paraId="369811DE" w14:textId="77777777" w:rsidR="008A4BCF" w:rsidRPr="00123812" w:rsidRDefault="008A4BCF" w:rsidP="00B44AC3">
            <w:pPr>
              <w:spacing w:after="0" w:line="240" w:lineRule="auto"/>
              <w:jc w:val="left"/>
              <w:rPr>
                <w:rFonts w:eastAsia="Times New Roman" w:cs="Segoe UI"/>
                <w:color w:val="000000"/>
                <w:sz w:val="18"/>
                <w:szCs w:val="18"/>
                <w:lang w:eastAsia="sk-SK"/>
              </w:rPr>
            </w:pPr>
            <w:r w:rsidRPr="00123812">
              <w:rPr>
                <w:rFonts w:eastAsia="Times New Roman" w:cs="Segoe UI"/>
                <w:color w:val="000000"/>
                <w:sz w:val="18"/>
                <w:szCs w:val="18"/>
                <w:lang w:eastAsia="sk-SK"/>
              </w:rPr>
              <w:t>MŽP SR</w:t>
            </w:r>
          </w:p>
        </w:tc>
        <w:tc>
          <w:tcPr>
            <w:tcW w:w="513" w:type="pct"/>
            <w:shd w:val="clear" w:color="auto" w:fill="auto"/>
            <w:noWrap/>
            <w:vAlign w:val="center"/>
            <w:hideMark/>
          </w:tcPr>
          <w:p w14:paraId="02F24A41"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181,32</w:t>
            </w:r>
          </w:p>
        </w:tc>
        <w:tc>
          <w:tcPr>
            <w:tcW w:w="490" w:type="pct"/>
            <w:shd w:val="clear" w:color="auto" w:fill="auto"/>
            <w:noWrap/>
            <w:vAlign w:val="center"/>
            <w:hideMark/>
          </w:tcPr>
          <w:p w14:paraId="24175E41"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3,850</w:t>
            </w:r>
          </w:p>
        </w:tc>
        <w:tc>
          <w:tcPr>
            <w:tcW w:w="490" w:type="pct"/>
            <w:tcBorders>
              <w:top w:val="nil"/>
              <w:left w:val="nil"/>
              <w:bottom w:val="nil"/>
              <w:right w:val="nil"/>
            </w:tcBorders>
            <w:shd w:val="clear" w:color="auto" w:fill="auto"/>
            <w:vAlign w:val="center"/>
          </w:tcPr>
          <w:p w14:paraId="2F87B7C3"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cs="Segoe UI"/>
                <w:color w:val="000000"/>
                <w:sz w:val="18"/>
                <w:szCs w:val="18"/>
              </w:rPr>
              <w:t>2,12</w:t>
            </w:r>
          </w:p>
        </w:tc>
        <w:tc>
          <w:tcPr>
            <w:tcW w:w="513" w:type="pct"/>
            <w:tcBorders>
              <w:left w:val="single" w:sz="4" w:space="0" w:color="auto"/>
            </w:tcBorders>
            <w:shd w:val="clear" w:color="auto" w:fill="auto"/>
            <w:noWrap/>
            <w:vAlign w:val="center"/>
            <w:hideMark/>
          </w:tcPr>
          <w:p w14:paraId="04A17DA6"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527,75</w:t>
            </w:r>
          </w:p>
        </w:tc>
        <w:tc>
          <w:tcPr>
            <w:tcW w:w="490" w:type="pct"/>
            <w:shd w:val="clear" w:color="auto" w:fill="auto"/>
            <w:noWrap/>
            <w:vAlign w:val="center"/>
            <w:hideMark/>
          </w:tcPr>
          <w:p w14:paraId="425DF98F"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193,717</w:t>
            </w:r>
          </w:p>
        </w:tc>
        <w:tc>
          <w:tcPr>
            <w:tcW w:w="496" w:type="pct"/>
            <w:tcBorders>
              <w:top w:val="nil"/>
              <w:left w:val="nil"/>
              <w:bottom w:val="nil"/>
              <w:right w:val="nil"/>
            </w:tcBorders>
            <w:shd w:val="clear" w:color="auto" w:fill="auto"/>
            <w:vAlign w:val="center"/>
          </w:tcPr>
          <w:p w14:paraId="2A3BBBE4"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cs="Segoe UI"/>
                <w:color w:val="000000"/>
                <w:sz w:val="18"/>
                <w:szCs w:val="18"/>
              </w:rPr>
              <w:t>36,71</w:t>
            </w:r>
          </w:p>
        </w:tc>
        <w:tc>
          <w:tcPr>
            <w:tcW w:w="513" w:type="pct"/>
            <w:tcBorders>
              <w:left w:val="single" w:sz="4" w:space="0" w:color="auto"/>
            </w:tcBorders>
            <w:shd w:val="clear" w:color="auto" w:fill="auto"/>
            <w:noWrap/>
            <w:vAlign w:val="center"/>
            <w:hideMark/>
          </w:tcPr>
          <w:p w14:paraId="50A3E49B"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224,47</w:t>
            </w:r>
          </w:p>
        </w:tc>
        <w:tc>
          <w:tcPr>
            <w:tcW w:w="509" w:type="pct"/>
            <w:shd w:val="clear" w:color="auto" w:fill="auto"/>
            <w:noWrap/>
            <w:vAlign w:val="center"/>
            <w:hideMark/>
          </w:tcPr>
          <w:p w14:paraId="3A85F2CA"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4,79</w:t>
            </w:r>
          </w:p>
        </w:tc>
        <w:tc>
          <w:tcPr>
            <w:tcW w:w="504" w:type="pct"/>
            <w:tcBorders>
              <w:top w:val="nil"/>
              <w:left w:val="nil"/>
              <w:bottom w:val="nil"/>
              <w:right w:val="nil"/>
            </w:tcBorders>
            <w:shd w:val="clear" w:color="auto" w:fill="auto"/>
            <w:vAlign w:val="center"/>
          </w:tcPr>
          <w:p w14:paraId="3FBFF91D"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cs="Segoe UI"/>
                <w:color w:val="000000"/>
                <w:sz w:val="18"/>
                <w:szCs w:val="18"/>
              </w:rPr>
              <w:t>2,13</w:t>
            </w:r>
          </w:p>
        </w:tc>
      </w:tr>
      <w:tr w:rsidR="008A4BCF" w:rsidRPr="00123812" w14:paraId="39FCB13B" w14:textId="77777777" w:rsidTr="00B44AC3">
        <w:trPr>
          <w:trHeight w:val="283"/>
        </w:trPr>
        <w:tc>
          <w:tcPr>
            <w:tcW w:w="482" w:type="pct"/>
            <w:shd w:val="clear" w:color="auto" w:fill="auto"/>
            <w:vAlign w:val="center"/>
            <w:hideMark/>
          </w:tcPr>
          <w:p w14:paraId="0BCEF123" w14:textId="77777777" w:rsidR="008A4BCF" w:rsidRPr="00123812" w:rsidRDefault="008A4BCF" w:rsidP="00B44AC3">
            <w:pPr>
              <w:spacing w:after="0" w:line="240" w:lineRule="auto"/>
              <w:jc w:val="left"/>
              <w:rPr>
                <w:rFonts w:eastAsia="Times New Roman" w:cs="Segoe UI"/>
                <w:color w:val="000000"/>
                <w:sz w:val="18"/>
                <w:szCs w:val="18"/>
                <w:lang w:eastAsia="sk-SK"/>
              </w:rPr>
            </w:pPr>
            <w:r w:rsidRPr="00123812">
              <w:rPr>
                <w:rFonts w:eastAsia="Times New Roman" w:cs="Segoe UI"/>
                <w:color w:val="000000"/>
                <w:sz w:val="18"/>
                <w:szCs w:val="18"/>
                <w:lang w:eastAsia="sk-SK"/>
              </w:rPr>
              <w:t>MV SR</w:t>
            </w:r>
          </w:p>
        </w:tc>
        <w:tc>
          <w:tcPr>
            <w:tcW w:w="513" w:type="pct"/>
            <w:shd w:val="clear" w:color="auto" w:fill="auto"/>
            <w:noWrap/>
            <w:vAlign w:val="center"/>
            <w:hideMark/>
          </w:tcPr>
          <w:p w14:paraId="1D05961F"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57,38</w:t>
            </w:r>
          </w:p>
        </w:tc>
        <w:tc>
          <w:tcPr>
            <w:tcW w:w="490" w:type="pct"/>
            <w:shd w:val="clear" w:color="auto" w:fill="auto"/>
            <w:noWrap/>
            <w:vAlign w:val="center"/>
            <w:hideMark/>
          </w:tcPr>
          <w:p w14:paraId="7A5CE4E5"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5,087</w:t>
            </w:r>
          </w:p>
        </w:tc>
        <w:tc>
          <w:tcPr>
            <w:tcW w:w="490" w:type="pct"/>
            <w:tcBorders>
              <w:top w:val="nil"/>
              <w:left w:val="nil"/>
              <w:bottom w:val="nil"/>
              <w:right w:val="nil"/>
            </w:tcBorders>
            <w:shd w:val="clear" w:color="auto" w:fill="auto"/>
            <w:vAlign w:val="center"/>
          </w:tcPr>
          <w:p w14:paraId="58C629E3"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cs="Segoe UI"/>
                <w:color w:val="000000"/>
                <w:sz w:val="18"/>
                <w:szCs w:val="18"/>
              </w:rPr>
              <w:t>8,87</w:t>
            </w:r>
          </w:p>
        </w:tc>
        <w:tc>
          <w:tcPr>
            <w:tcW w:w="513" w:type="pct"/>
            <w:tcBorders>
              <w:left w:val="single" w:sz="4" w:space="0" w:color="auto"/>
            </w:tcBorders>
            <w:shd w:val="clear" w:color="auto" w:fill="auto"/>
            <w:noWrap/>
            <w:vAlign w:val="center"/>
            <w:hideMark/>
          </w:tcPr>
          <w:p w14:paraId="4541DDAE"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50,61</w:t>
            </w:r>
          </w:p>
        </w:tc>
        <w:tc>
          <w:tcPr>
            <w:tcW w:w="490" w:type="pct"/>
            <w:shd w:val="clear" w:color="auto" w:fill="auto"/>
            <w:noWrap/>
            <w:vAlign w:val="center"/>
            <w:hideMark/>
          </w:tcPr>
          <w:p w14:paraId="0AE22B7D"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41,215</w:t>
            </w:r>
          </w:p>
        </w:tc>
        <w:tc>
          <w:tcPr>
            <w:tcW w:w="496" w:type="pct"/>
            <w:tcBorders>
              <w:top w:val="nil"/>
              <w:left w:val="nil"/>
              <w:bottom w:val="nil"/>
              <w:right w:val="nil"/>
            </w:tcBorders>
            <w:shd w:val="clear" w:color="auto" w:fill="auto"/>
            <w:vAlign w:val="center"/>
          </w:tcPr>
          <w:p w14:paraId="21AB14A2"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cs="Segoe UI"/>
                <w:color w:val="000000"/>
                <w:sz w:val="18"/>
                <w:szCs w:val="18"/>
              </w:rPr>
              <w:t>81,44</w:t>
            </w:r>
          </w:p>
        </w:tc>
        <w:tc>
          <w:tcPr>
            <w:tcW w:w="513" w:type="pct"/>
            <w:tcBorders>
              <w:left w:val="single" w:sz="4" w:space="0" w:color="auto"/>
            </w:tcBorders>
            <w:shd w:val="clear" w:color="auto" w:fill="auto"/>
            <w:noWrap/>
            <w:vAlign w:val="center"/>
            <w:hideMark/>
          </w:tcPr>
          <w:p w14:paraId="3B43437F"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27,14</w:t>
            </w:r>
          </w:p>
        </w:tc>
        <w:tc>
          <w:tcPr>
            <w:tcW w:w="509" w:type="pct"/>
            <w:shd w:val="clear" w:color="auto" w:fill="auto"/>
            <w:noWrap/>
            <w:vAlign w:val="center"/>
            <w:hideMark/>
          </w:tcPr>
          <w:p w14:paraId="1E814544"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1,2</w:t>
            </w:r>
          </w:p>
        </w:tc>
        <w:tc>
          <w:tcPr>
            <w:tcW w:w="504" w:type="pct"/>
            <w:tcBorders>
              <w:top w:val="nil"/>
              <w:left w:val="nil"/>
              <w:bottom w:val="nil"/>
              <w:right w:val="nil"/>
            </w:tcBorders>
            <w:shd w:val="clear" w:color="auto" w:fill="auto"/>
            <w:vAlign w:val="center"/>
          </w:tcPr>
          <w:p w14:paraId="604B0B48"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cs="Segoe UI"/>
                <w:color w:val="000000"/>
                <w:sz w:val="18"/>
                <w:szCs w:val="18"/>
              </w:rPr>
              <w:t>4,42</w:t>
            </w:r>
          </w:p>
        </w:tc>
      </w:tr>
      <w:tr w:rsidR="008A4BCF" w:rsidRPr="00123812" w14:paraId="32A7397D" w14:textId="77777777" w:rsidTr="00B44AC3">
        <w:trPr>
          <w:trHeight w:val="283"/>
        </w:trPr>
        <w:tc>
          <w:tcPr>
            <w:tcW w:w="482" w:type="pct"/>
            <w:shd w:val="clear" w:color="auto" w:fill="auto"/>
            <w:vAlign w:val="center"/>
            <w:hideMark/>
          </w:tcPr>
          <w:p w14:paraId="2E2809BD" w14:textId="77777777" w:rsidR="008A4BCF" w:rsidRPr="00123812" w:rsidRDefault="008A4BCF" w:rsidP="00B44AC3">
            <w:pPr>
              <w:spacing w:after="0" w:line="240" w:lineRule="auto"/>
              <w:jc w:val="left"/>
              <w:rPr>
                <w:rFonts w:eastAsia="Times New Roman" w:cs="Segoe UI"/>
                <w:color w:val="000000"/>
                <w:sz w:val="18"/>
                <w:szCs w:val="18"/>
                <w:lang w:eastAsia="sk-SK"/>
              </w:rPr>
            </w:pPr>
            <w:r w:rsidRPr="00123812">
              <w:rPr>
                <w:rFonts w:eastAsia="Times New Roman" w:cs="Segoe UI"/>
                <w:color w:val="000000"/>
                <w:sz w:val="18"/>
                <w:szCs w:val="18"/>
                <w:lang w:eastAsia="sk-SK"/>
              </w:rPr>
              <w:t>MŠVVa</w:t>
            </w:r>
            <w:r>
              <w:rPr>
                <w:rFonts w:eastAsia="Times New Roman" w:cs="Segoe UI"/>
                <w:color w:val="000000"/>
                <w:sz w:val="18"/>
                <w:szCs w:val="18"/>
                <w:lang w:eastAsia="sk-SK"/>
              </w:rPr>
              <w:t>Š</w:t>
            </w:r>
            <w:r w:rsidRPr="00123812">
              <w:rPr>
                <w:rFonts w:eastAsia="Times New Roman" w:cs="Segoe UI"/>
                <w:color w:val="000000"/>
                <w:sz w:val="18"/>
                <w:szCs w:val="18"/>
                <w:lang w:eastAsia="sk-SK"/>
              </w:rPr>
              <w:t xml:space="preserve"> SR</w:t>
            </w:r>
          </w:p>
        </w:tc>
        <w:tc>
          <w:tcPr>
            <w:tcW w:w="513" w:type="pct"/>
            <w:shd w:val="clear" w:color="auto" w:fill="auto"/>
            <w:noWrap/>
            <w:vAlign w:val="center"/>
            <w:hideMark/>
          </w:tcPr>
          <w:p w14:paraId="510A6150"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334,21</w:t>
            </w:r>
          </w:p>
        </w:tc>
        <w:tc>
          <w:tcPr>
            <w:tcW w:w="490" w:type="pct"/>
            <w:shd w:val="clear" w:color="auto" w:fill="auto"/>
            <w:noWrap/>
            <w:vAlign w:val="center"/>
            <w:hideMark/>
          </w:tcPr>
          <w:p w14:paraId="1644291C"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25,751</w:t>
            </w:r>
          </w:p>
        </w:tc>
        <w:tc>
          <w:tcPr>
            <w:tcW w:w="490" w:type="pct"/>
            <w:tcBorders>
              <w:top w:val="nil"/>
              <w:left w:val="nil"/>
              <w:bottom w:val="nil"/>
              <w:right w:val="nil"/>
            </w:tcBorders>
            <w:shd w:val="clear" w:color="auto" w:fill="auto"/>
            <w:vAlign w:val="center"/>
          </w:tcPr>
          <w:p w14:paraId="4FE9D1FD"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cs="Segoe UI"/>
                <w:color w:val="000000"/>
                <w:sz w:val="18"/>
                <w:szCs w:val="18"/>
              </w:rPr>
              <w:t>7,71</w:t>
            </w:r>
          </w:p>
        </w:tc>
        <w:tc>
          <w:tcPr>
            <w:tcW w:w="513" w:type="pct"/>
            <w:tcBorders>
              <w:left w:val="single" w:sz="4" w:space="0" w:color="auto"/>
            </w:tcBorders>
            <w:shd w:val="clear" w:color="auto" w:fill="auto"/>
            <w:noWrap/>
            <w:vAlign w:val="center"/>
            <w:hideMark/>
          </w:tcPr>
          <w:p w14:paraId="5829C74D"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307,21</w:t>
            </w:r>
          </w:p>
        </w:tc>
        <w:tc>
          <w:tcPr>
            <w:tcW w:w="490" w:type="pct"/>
            <w:shd w:val="clear" w:color="auto" w:fill="auto"/>
            <w:noWrap/>
            <w:vAlign w:val="center"/>
            <w:hideMark/>
          </w:tcPr>
          <w:p w14:paraId="55CFC07E"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40,134</w:t>
            </w:r>
          </w:p>
        </w:tc>
        <w:tc>
          <w:tcPr>
            <w:tcW w:w="496" w:type="pct"/>
            <w:tcBorders>
              <w:top w:val="nil"/>
              <w:left w:val="nil"/>
              <w:bottom w:val="nil"/>
              <w:right w:val="nil"/>
            </w:tcBorders>
            <w:shd w:val="clear" w:color="auto" w:fill="auto"/>
            <w:vAlign w:val="center"/>
          </w:tcPr>
          <w:p w14:paraId="1E1894B7"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cs="Segoe UI"/>
                <w:color w:val="000000"/>
                <w:sz w:val="18"/>
                <w:szCs w:val="18"/>
              </w:rPr>
              <w:t>13,06</w:t>
            </w:r>
          </w:p>
        </w:tc>
        <w:tc>
          <w:tcPr>
            <w:tcW w:w="513" w:type="pct"/>
            <w:tcBorders>
              <w:left w:val="single" w:sz="4" w:space="0" w:color="auto"/>
            </w:tcBorders>
            <w:shd w:val="clear" w:color="auto" w:fill="auto"/>
            <w:noWrap/>
            <w:vAlign w:val="center"/>
            <w:hideMark/>
          </w:tcPr>
          <w:p w14:paraId="300DFC62"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123,60</w:t>
            </w:r>
          </w:p>
        </w:tc>
        <w:tc>
          <w:tcPr>
            <w:tcW w:w="509" w:type="pct"/>
            <w:shd w:val="clear" w:color="auto" w:fill="auto"/>
            <w:noWrap/>
            <w:vAlign w:val="center"/>
            <w:hideMark/>
          </w:tcPr>
          <w:p w14:paraId="23981584"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15,7</w:t>
            </w:r>
          </w:p>
        </w:tc>
        <w:tc>
          <w:tcPr>
            <w:tcW w:w="504" w:type="pct"/>
            <w:tcBorders>
              <w:top w:val="nil"/>
              <w:left w:val="nil"/>
              <w:bottom w:val="nil"/>
              <w:right w:val="nil"/>
            </w:tcBorders>
            <w:shd w:val="clear" w:color="auto" w:fill="auto"/>
            <w:vAlign w:val="center"/>
          </w:tcPr>
          <w:p w14:paraId="1C7E4199"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cs="Segoe UI"/>
                <w:color w:val="000000"/>
                <w:sz w:val="18"/>
                <w:szCs w:val="18"/>
              </w:rPr>
              <w:t>12,70</w:t>
            </w:r>
          </w:p>
        </w:tc>
      </w:tr>
      <w:tr w:rsidR="008A4BCF" w:rsidRPr="00123812" w14:paraId="47063809" w14:textId="77777777" w:rsidTr="00B44AC3">
        <w:trPr>
          <w:trHeight w:val="283"/>
        </w:trPr>
        <w:tc>
          <w:tcPr>
            <w:tcW w:w="482" w:type="pct"/>
            <w:shd w:val="clear" w:color="auto" w:fill="auto"/>
            <w:vAlign w:val="center"/>
            <w:hideMark/>
          </w:tcPr>
          <w:p w14:paraId="54553F02" w14:textId="77777777" w:rsidR="008A4BCF" w:rsidRPr="00123812" w:rsidRDefault="008A4BCF" w:rsidP="00B44AC3">
            <w:pPr>
              <w:spacing w:after="0" w:line="240" w:lineRule="auto"/>
              <w:jc w:val="left"/>
              <w:rPr>
                <w:rFonts w:eastAsia="Times New Roman" w:cs="Segoe UI"/>
                <w:color w:val="000000"/>
                <w:sz w:val="18"/>
                <w:szCs w:val="18"/>
                <w:lang w:eastAsia="sk-SK"/>
              </w:rPr>
            </w:pPr>
            <w:r w:rsidRPr="00123812">
              <w:rPr>
                <w:rFonts w:eastAsia="Times New Roman" w:cs="Segoe UI"/>
                <w:color w:val="000000"/>
                <w:sz w:val="18"/>
                <w:szCs w:val="18"/>
                <w:lang w:eastAsia="sk-SK"/>
              </w:rPr>
              <w:t>ÚV SR</w:t>
            </w:r>
          </w:p>
        </w:tc>
        <w:tc>
          <w:tcPr>
            <w:tcW w:w="513" w:type="pct"/>
            <w:shd w:val="clear" w:color="auto" w:fill="auto"/>
            <w:noWrap/>
            <w:vAlign w:val="center"/>
            <w:hideMark/>
          </w:tcPr>
          <w:p w14:paraId="655F1E52"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114,29</w:t>
            </w:r>
          </w:p>
        </w:tc>
        <w:tc>
          <w:tcPr>
            <w:tcW w:w="490" w:type="pct"/>
            <w:shd w:val="clear" w:color="auto" w:fill="auto"/>
            <w:noWrap/>
            <w:vAlign w:val="center"/>
            <w:hideMark/>
          </w:tcPr>
          <w:p w14:paraId="0D1B0D87"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3,987</w:t>
            </w:r>
          </w:p>
        </w:tc>
        <w:tc>
          <w:tcPr>
            <w:tcW w:w="490" w:type="pct"/>
            <w:tcBorders>
              <w:top w:val="nil"/>
              <w:left w:val="nil"/>
              <w:bottom w:val="nil"/>
              <w:right w:val="nil"/>
            </w:tcBorders>
            <w:shd w:val="clear" w:color="auto" w:fill="auto"/>
            <w:vAlign w:val="center"/>
          </w:tcPr>
          <w:p w14:paraId="61E2B06F"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cs="Segoe UI"/>
                <w:color w:val="000000"/>
                <w:sz w:val="18"/>
                <w:szCs w:val="18"/>
              </w:rPr>
              <w:t>3,49</w:t>
            </w:r>
          </w:p>
        </w:tc>
        <w:tc>
          <w:tcPr>
            <w:tcW w:w="513" w:type="pct"/>
            <w:tcBorders>
              <w:left w:val="single" w:sz="4" w:space="0" w:color="auto"/>
            </w:tcBorders>
            <w:shd w:val="clear" w:color="auto" w:fill="auto"/>
            <w:noWrap/>
            <w:vAlign w:val="center"/>
            <w:hideMark/>
          </w:tcPr>
          <w:p w14:paraId="50977B99"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126,90</w:t>
            </w:r>
          </w:p>
        </w:tc>
        <w:tc>
          <w:tcPr>
            <w:tcW w:w="490" w:type="pct"/>
            <w:shd w:val="clear" w:color="auto" w:fill="auto"/>
            <w:noWrap/>
            <w:vAlign w:val="center"/>
            <w:hideMark/>
          </w:tcPr>
          <w:p w14:paraId="5E6D7E49"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26,412</w:t>
            </w:r>
          </w:p>
        </w:tc>
        <w:tc>
          <w:tcPr>
            <w:tcW w:w="496" w:type="pct"/>
            <w:tcBorders>
              <w:top w:val="nil"/>
              <w:left w:val="nil"/>
              <w:bottom w:val="nil"/>
              <w:right w:val="nil"/>
            </w:tcBorders>
            <w:shd w:val="clear" w:color="auto" w:fill="auto"/>
            <w:vAlign w:val="center"/>
          </w:tcPr>
          <w:p w14:paraId="2992B154"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cs="Segoe UI"/>
                <w:color w:val="000000"/>
                <w:sz w:val="18"/>
                <w:szCs w:val="18"/>
              </w:rPr>
              <w:t>20,81</w:t>
            </w:r>
          </w:p>
        </w:tc>
        <w:tc>
          <w:tcPr>
            <w:tcW w:w="513" w:type="pct"/>
            <w:tcBorders>
              <w:left w:val="single" w:sz="4" w:space="0" w:color="auto"/>
            </w:tcBorders>
            <w:shd w:val="clear" w:color="auto" w:fill="auto"/>
            <w:noWrap/>
            <w:vAlign w:val="center"/>
            <w:hideMark/>
          </w:tcPr>
          <w:p w14:paraId="7BA9B230"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116,27</w:t>
            </w:r>
          </w:p>
        </w:tc>
        <w:tc>
          <w:tcPr>
            <w:tcW w:w="509" w:type="pct"/>
            <w:shd w:val="clear" w:color="auto" w:fill="auto"/>
            <w:noWrap/>
            <w:vAlign w:val="center"/>
            <w:hideMark/>
          </w:tcPr>
          <w:p w14:paraId="3825D100"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themeColor="text1"/>
                <w:sz w:val="18"/>
                <w:szCs w:val="18"/>
                <w:lang w:eastAsia="sk-SK"/>
              </w:rPr>
              <w:t>2,77</w:t>
            </w:r>
          </w:p>
        </w:tc>
        <w:tc>
          <w:tcPr>
            <w:tcW w:w="504" w:type="pct"/>
            <w:tcBorders>
              <w:top w:val="nil"/>
              <w:left w:val="nil"/>
              <w:bottom w:val="nil"/>
              <w:right w:val="nil"/>
            </w:tcBorders>
            <w:shd w:val="clear" w:color="auto" w:fill="auto"/>
            <w:vAlign w:val="center"/>
          </w:tcPr>
          <w:p w14:paraId="1DCFC6B1" w14:textId="77777777" w:rsidR="008A4BCF" w:rsidRPr="00123812" w:rsidRDefault="008A4BCF" w:rsidP="00B44AC3">
            <w:pPr>
              <w:spacing w:after="0" w:line="240" w:lineRule="auto"/>
              <w:jc w:val="right"/>
              <w:rPr>
                <w:rFonts w:eastAsia="Times New Roman" w:cs="Segoe UI"/>
                <w:color w:val="000000" w:themeColor="text1"/>
                <w:sz w:val="18"/>
                <w:szCs w:val="18"/>
                <w:lang w:eastAsia="sk-SK"/>
              </w:rPr>
            </w:pPr>
            <w:r w:rsidRPr="00123812">
              <w:rPr>
                <w:rFonts w:cs="Segoe UI"/>
                <w:color w:val="000000"/>
                <w:sz w:val="18"/>
                <w:szCs w:val="18"/>
              </w:rPr>
              <w:t>2,38</w:t>
            </w:r>
          </w:p>
        </w:tc>
      </w:tr>
      <w:tr w:rsidR="008A4BCF" w:rsidRPr="00123812" w14:paraId="000415F7" w14:textId="77777777" w:rsidTr="00B44AC3">
        <w:trPr>
          <w:trHeight w:val="283"/>
        </w:trPr>
        <w:tc>
          <w:tcPr>
            <w:tcW w:w="482" w:type="pct"/>
            <w:shd w:val="clear" w:color="auto" w:fill="auto"/>
            <w:vAlign w:val="center"/>
            <w:hideMark/>
          </w:tcPr>
          <w:p w14:paraId="54A092E6" w14:textId="77777777" w:rsidR="008A4BCF" w:rsidRPr="00123812" w:rsidRDefault="008A4BCF" w:rsidP="00B44AC3">
            <w:pPr>
              <w:spacing w:after="0" w:line="240" w:lineRule="auto"/>
              <w:jc w:val="left"/>
              <w:rPr>
                <w:rFonts w:eastAsia="Times New Roman" w:cs="Segoe UI"/>
                <w:color w:val="000000"/>
                <w:sz w:val="18"/>
                <w:szCs w:val="18"/>
                <w:lang w:eastAsia="sk-SK"/>
              </w:rPr>
            </w:pPr>
            <w:r w:rsidRPr="00123812">
              <w:rPr>
                <w:rFonts w:eastAsia="Times New Roman" w:cs="Segoe UI"/>
                <w:color w:val="000000"/>
                <w:sz w:val="18"/>
                <w:szCs w:val="18"/>
                <w:lang w:eastAsia="sk-SK"/>
              </w:rPr>
              <w:t>MS SR</w:t>
            </w:r>
          </w:p>
        </w:tc>
        <w:tc>
          <w:tcPr>
            <w:tcW w:w="513" w:type="pct"/>
            <w:shd w:val="clear" w:color="auto" w:fill="auto"/>
            <w:noWrap/>
            <w:vAlign w:val="center"/>
            <w:hideMark/>
          </w:tcPr>
          <w:p w14:paraId="2F307565"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55,81</w:t>
            </w:r>
          </w:p>
        </w:tc>
        <w:tc>
          <w:tcPr>
            <w:tcW w:w="490" w:type="pct"/>
            <w:shd w:val="clear" w:color="auto" w:fill="auto"/>
            <w:noWrap/>
            <w:vAlign w:val="center"/>
            <w:hideMark/>
          </w:tcPr>
          <w:p w14:paraId="7114767C"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0,536</w:t>
            </w:r>
          </w:p>
        </w:tc>
        <w:tc>
          <w:tcPr>
            <w:tcW w:w="490" w:type="pct"/>
            <w:tcBorders>
              <w:top w:val="nil"/>
              <w:left w:val="nil"/>
              <w:bottom w:val="nil"/>
              <w:right w:val="nil"/>
            </w:tcBorders>
            <w:shd w:val="clear" w:color="auto" w:fill="auto"/>
            <w:vAlign w:val="center"/>
          </w:tcPr>
          <w:p w14:paraId="3912683C"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cs="Segoe UI"/>
                <w:color w:val="000000"/>
                <w:sz w:val="18"/>
                <w:szCs w:val="18"/>
              </w:rPr>
              <w:t>0,96</w:t>
            </w:r>
          </w:p>
        </w:tc>
        <w:tc>
          <w:tcPr>
            <w:tcW w:w="513" w:type="pct"/>
            <w:tcBorders>
              <w:left w:val="single" w:sz="4" w:space="0" w:color="auto"/>
            </w:tcBorders>
            <w:shd w:val="clear" w:color="auto" w:fill="auto"/>
            <w:noWrap/>
            <w:vAlign w:val="center"/>
            <w:hideMark/>
          </w:tcPr>
          <w:p w14:paraId="1235A2F0"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157,70</w:t>
            </w:r>
          </w:p>
        </w:tc>
        <w:tc>
          <w:tcPr>
            <w:tcW w:w="490" w:type="pct"/>
            <w:shd w:val="clear" w:color="auto" w:fill="auto"/>
            <w:noWrap/>
            <w:vAlign w:val="center"/>
            <w:hideMark/>
          </w:tcPr>
          <w:p w14:paraId="2EB87C33"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23,636</w:t>
            </w:r>
          </w:p>
        </w:tc>
        <w:tc>
          <w:tcPr>
            <w:tcW w:w="496" w:type="pct"/>
            <w:tcBorders>
              <w:top w:val="nil"/>
              <w:left w:val="nil"/>
              <w:bottom w:val="nil"/>
              <w:right w:val="nil"/>
            </w:tcBorders>
            <w:shd w:val="clear" w:color="auto" w:fill="auto"/>
            <w:vAlign w:val="center"/>
          </w:tcPr>
          <w:p w14:paraId="76816E0A"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cs="Segoe UI"/>
                <w:color w:val="000000"/>
                <w:sz w:val="18"/>
                <w:szCs w:val="18"/>
              </w:rPr>
              <w:t>14,99</w:t>
            </w:r>
          </w:p>
        </w:tc>
        <w:tc>
          <w:tcPr>
            <w:tcW w:w="513" w:type="pct"/>
            <w:tcBorders>
              <w:left w:val="single" w:sz="4" w:space="0" w:color="auto"/>
            </w:tcBorders>
            <w:shd w:val="clear" w:color="auto" w:fill="auto"/>
            <w:noWrap/>
            <w:vAlign w:val="center"/>
            <w:hideMark/>
          </w:tcPr>
          <w:p w14:paraId="5E677AB4"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11,29</w:t>
            </w:r>
          </w:p>
        </w:tc>
        <w:tc>
          <w:tcPr>
            <w:tcW w:w="509" w:type="pct"/>
            <w:shd w:val="clear" w:color="auto" w:fill="auto"/>
            <w:noWrap/>
            <w:vAlign w:val="center"/>
            <w:hideMark/>
          </w:tcPr>
          <w:p w14:paraId="42DB3C02"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0,01</w:t>
            </w:r>
          </w:p>
        </w:tc>
        <w:tc>
          <w:tcPr>
            <w:tcW w:w="504" w:type="pct"/>
            <w:tcBorders>
              <w:top w:val="nil"/>
              <w:left w:val="nil"/>
              <w:bottom w:val="nil"/>
              <w:right w:val="nil"/>
            </w:tcBorders>
            <w:shd w:val="clear" w:color="auto" w:fill="auto"/>
            <w:vAlign w:val="center"/>
          </w:tcPr>
          <w:p w14:paraId="6F99F2CA"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cs="Segoe UI"/>
                <w:color w:val="000000"/>
                <w:sz w:val="18"/>
                <w:szCs w:val="18"/>
              </w:rPr>
              <w:t>0,09</w:t>
            </w:r>
          </w:p>
        </w:tc>
      </w:tr>
      <w:tr w:rsidR="008A4BCF" w:rsidRPr="00123812" w14:paraId="078C272C" w14:textId="77777777" w:rsidTr="00B44AC3">
        <w:trPr>
          <w:trHeight w:val="283"/>
        </w:trPr>
        <w:tc>
          <w:tcPr>
            <w:tcW w:w="482" w:type="pct"/>
            <w:shd w:val="clear" w:color="auto" w:fill="auto"/>
            <w:vAlign w:val="center"/>
            <w:hideMark/>
          </w:tcPr>
          <w:p w14:paraId="37CB4B78" w14:textId="77777777" w:rsidR="008A4BCF" w:rsidRPr="00123812" w:rsidRDefault="008A4BCF" w:rsidP="00B44AC3">
            <w:pPr>
              <w:spacing w:after="0" w:line="240" w:lineRule="auto"/>
              <w:jc w:val="left"/>
              <w:rPr>
                <w:rFonts w:eastAsia="Times New Roman" w:cs="Segoe UI"/>
                <w:color w:val="000000"/>
                <w:sz w:val="18"/>
                <w:szCs w:val="18"/>
                <w:lang w:eastAsia="sk-SK"/>
              </w:rPr>
            </w:pPr>
            <w:r w:rsidRPr="00123812">
              <w:rPr>
                <w:rFonts w:eastAsia="Times New Roman" w:cs="Segoe UI"/>
                <w:color w:val="000000"/>
                <w:sz w:val="18"/>
                <w:szCs w:val="18"/>
                <w:lang w:eastAsia="sk-SK"/>
              </w:rPr>
              <w:t>MZ SR</w:t>
            </w:r>
          </w:p>
        </w:tc>
        <w:tc>
          <w:tcPr>
            <w:tcW w:w="513" w:type="pct"/>
            <w:shd w:val="clear" w:color="auto" w:fill="auto"/>
            <w:noWrap/>
            <w:vAlign w:val="center"/>
            <w:hideMark/>
          </w:tcPr>
          <w:p w14:paraId="0D1B10EA"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184,55</w:t>
            </w:r>
          </w:p>
        </w:tc>
        <w:tc>
          <w:tcPr>
            <w:tcW w:w="490" w:type="pct"/>
            <w:shd w:val="clear" w:color="auto" w:fill="auto"/>
            <w:noWrap/>
            <w:vAlign w:val="center"/>
            <w:hideMark/>
          </w:tcPr>
          <w:p w14:paraId="6264ABEF"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3,070</w:t>
            </w:r>
          </w:p>
        </w:tc>
        <w:tc>
          <w:tcPr>
            <w:tcW w:w="490" w:type="pct"/>
            <w:tcBorders>
              <w:top w:val="nil"/>
              <w:left w:val="nil"/>
              <w:bottom w:val="nil"/>
              <w:right w:val="nil"/>
            </w:tcBorders>
            <w:shd w:val="clear" w:color="auto" w:fill="auto"/>
            <w:vAlign w:val="center"/>
          </w:tcPr>
          <w:p w14:paraId="4B24E23D"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cs="Segoe UI"/>
                <w:color w:val="000000"/>
                <w:sz w:val="18"/>
                <w:szCs w:val="18"/>
              </w:rPr>
              <w:t>1,66</w:t>
            </w:r>
          </w:p>
        </w:tc>
        <w:tc>
          <w:tcPr>
            <w:tcW w:w="513" w:type="pct"/>
            <w:tcBorders>
              <w:left w:val="single" w:sz="4" w:space="0" w:color="auto"/>
            </w:tcBorders>
            <w:shd w:val="clear" w:color="auto" w:fill="auto"/>
            <w:noWrap/>
            <w:vAlign w:val="center"/>
            <w:hideMark/>
          </w:tcPr>
          <w:p w14:paraId="61082602"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377,43</w:t>
            </w:r>
          </w:p>
        </w:tc>
        <w:tc>
          <w:tcPr>
            <w:tcW w:w="490" w:type="pct"/>
            <w:shd w:val="clear" w:color="auto" w:fill="auto"/>
            <w:noWrap/>
            <w:vAlign w:val="center"/>
            <w:hideMark/>
          </w:tcPr>
          <w:p w14:paraId="10A7117E"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18,975</w:t>
            </w:r>
          </w:p>
        </w:tc>
        <w:tc>
          <w:tcPr>
            <w:tcW w:w="496" w:type="pct"/>
            <w:tcBorders>
              <w:top w:val="nil"/>
              <w:left w:val="nil"/>
              <w:bottom w:val="nil"/>
              <w:right w:val="nil"/>
            </w:tcBorders>
            <w:shd w:val="clear" w:color="auto" w:fill="auto"/>
            <w:vAlign w:val="center"/>
          </w:tcPr>
          <w:p w14:paraId="7456BE6D"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cs="Segoe UI"/>
                <w:color w:val="000000"/>
                <w:sz w:val="18"/>
                <w:szCs w:val="18"/>
              </w:rPr>
              <w:t>5,03</w:t>
            </w:r>
          </w:p>
        </w:tc>
        <w:tc>
          <w:tcPr>
            <w:tcW w:w="513" w:type="pct"/>
            <w:tcBorders>
              <w:left w:val="single" w:sz="4" w:space="0" w:color="auto"/>
            </w:tcBorders>
            <w:shd w:val="clear" w:color="auto" w:fill="auto"/>
            <w:noWrap/>
            <w:vAlign w:val="center"/>
            <w:hideMark/>
          </w:tcPr>
          <w:p w14:paraId="3ED44985"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228,57</w:t>
            </w:r>
          </w:p>
        </w:tc>
        <w:tc>
          <w:tcPr>
            <w:tcW w:w="509" w:type="pct"/>
            <w:shd w:val="clear" w:color="auto" w:fill="auto"/>
            <w:noWrap/>
            <w:vAlign w:val="center"/>
            <w:hideMark/>
          </w:tcPr>
          <w:p w14:paraId="711538C6"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2,07</w:t>
            </w:r>
          </w:p>
        </w:tc>
        <w:tc>
          <w:tcPr>
            <w:tcW w:w="504" w:type="pct"/>
            <w:tcBorders>
              <w:top w:val="nil"/>
              <w:left w:val="nil"/>
              <w:bottom w:val="nil"/>
              <w:right w:val="nil"/>
            </w:tcBorders>
            <w:shd w:val="clear" w:color="auto" w:fill="auto"/>
            <w:vAlign w:val="center"/>
          </w:tcPr>
          <w:p w14:paraId="562FEC61"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cs="Segoe UI"/>
                <w:color w:val="000000"/>
                <w:sz w:val="18"/>
                <w:szCs w:val="18"/>
              </w:rPr>
              <w:t>0,91</w:t>
            </w:r>
          </w:p>
        </w:tc>
      </w:tr>
      <w:tr w:rsidR="008A4BCF" w:rsidRPr="00123812" w14:paraId="031AB2E1" w14:textId="77777777" w:rsidTr="00B44AC3">
        <w:trPr>
          <w:trHeight w:val="283"/>
        </w:trPr>
        <w:tc>
          <w:tcPr>
            <w:tcW w:w="482" w:type="pct"/>
            <w:shd w:val="clear" w:color="auto" w:fill="auto"/>
            <w:vAlign w:val="center"/>
            <w:hideMark/>
          </w:tcPr>
          <w:p w14:paraId="26C785F9" w14:textId="77777777" w:rsidR="008A4BCF" w:rsidRPr="00123812" w:rsidRDefault="008A4BCF" w:rsidP="00B44AC3">
            <w:pPr>
              <w:spacing w:after="0" w:line="240" w:lineRule="auto"/>
              <w:jc w:val="left"/>
              <w:rPr>
                <w:rFonts w:eastAsia="Times New Roman" w:cs="Segoe UI"/>
                <w:color w:val="000000"/>
                <w:sz w:val="18"/>
                <w:szCs w:val="18"/>
                <w:lang w:eastAsia="sk-SK"/>
              </w:rPr>
            </w:pPr>
            <w:r w:rsidRPr="00123812">
              <w:rPr>
                <w:rFonts w:eastAsia="Times New Roman" w:cs="Segoe UI"/>
                <w:color w:val="000000"/>
                <w:sz w:val="18"/>
                <w:szCs w:val="18"/>
                <w:lang w:eastAsia="sk-SK"/>
              </w:rPr>
              <w:t>MIRRI SR</w:t>
            </w:r>
          </w:p>
        </w:tc>
        <w:tc>
          <w:tcPr>
            <w:tcW w:w="513" w:type="pct"/>
            <w:shd w:val="clear" w:color="auto" w:fill="auto"/>
            <w:noWrap/>
            <w:vAlign w:val="center"/>
            <w:hideMark/>
          </w:tcPr>
          <w:p w14:paraId="4F6B63C5"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66,26</w:t>
            </w:r>
          </w:p>
        </w:tc>
        <w:tc>
          <w:tcPr>
            <w:tcW w:w="490" w:type="pct"/>
            <w:shd w:val="clear" w:color="auto" w:fill="auto"/>
            <w:noWrap/>
            <w:vAlign w:val="center"/>
            <w:hideMark/>
          </w:tcPr>
          <w:p w14:paraId="65DF4CE3"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2,529</w:t>
            </w:r>
          </w:p>
        </w:tc>
        <w:tc>
          <w:tcPr>
            <w:tcW w:w="490" w:type="pct"/>
            <w:tcBorders>
              <w:top w:val="nil"/>
              <w:left w:val="nil"/>
              <w:bottom w:val="nil"/>
              <w:right w:val="nil"/>
            </w:tcBorders>
            <w:shd w:val="clear" w:color="auto" w:fill="auto"/>
            <w:vAlign w:val="center"/>
          </w:tcPr>
          <w:p w14:paraId="429595E1"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cs="Segoe UI"/>
                <w:color w:val="000000"/>
                <w:sz w:val="18"/>
                <w:szCs w:val="18"/>
              </w:rPr>
              <w:t>3,82</w:t>
            </w:r>
          </w:p>
        </w:tc>
        <w:tc>
          <w:tcPr>
            <w:tcW w:w="513" w:type="pct"/>
            <w:tcBorders>
              <w:left w:val="single" w:sz="4" w:space="0" w:color="auto"/>
            </w:tcBorders>
            <w:shd w:val="clear" w:color="auto" w:fill="auto"/>
            <w:noWrap/>
            <w:vAlign w:val="center"/>
            <w:hideMark/>
          </w:tcPr>
          <w:p w14:paraId="7FA3A46A"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119,64</w:t>
            </w:r>
          </w:p>
        </w:tc>
        <w:tc>
          <w:tcPr>
            <w:tcW w:w="490" w:type="pct"/>
            <w:shd w:val="clear" w:color="auto" w:fill="auto"/>
            <w:noWrap/>
            <w:vAlign w:val="center"/>
            <w:hideMark/>
          </w:tcPr>
          <w:p w14:paraId="43E761E1"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15,281</w:t>
            </w:r>
          </w:p>
        </w:tc>
        <w:tc>
          <w:tcPr>
            <w:tcW w:w="496" w:type="pct"/>
            <w:tcBorders>
              <w:top w:val="nil"/>
              <w:left w:val="nil"/>
              <w:bottom w:val="nil"/>
              <w:right w:val="nil"/>
            </w:tcBorders>
            <w:shd w:val="clear" w:color="auto" w:fill="auto"/>
            <w:vAlign w:val="center"/>
          </w:tcPr>
          <w:p w14:paraId="1EA2D9D2"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cs="Segoe UI"/>
                <w:color w:val="000000"/>
                <w:sz w:val="18"/>
                <w:szCs w:val="18"/>
              </w:rPr>
              <w:t>12,77</w:t>
            </w:r>
          </w:p>
        </w:tc>
        <w:tc>
          <w:tcPr>
            <w:tcW w:w="513" w:type="pct"/>
            <w:tcBorders>
              <w:left w:val="single" w:sz="4" w:space="0" w:color="auto"/>
            </w:tcBorders>
            <w:shd w:val="clear" w:color="auto" w:fill="auto"/>
            <w:noWrap/>
            <w:vAlign w:val="center"/>
            <w:hideMark/>
          </w:tcPr>
          <w:p w14:paraId="688B0209"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175,81</w:t>
            </w:r>
          </w:p>
        </w:tc>
        <w:tc>
          <w:tcPr>
            <w:tcW w:w="509" w:type="pct"/>
            <w:shd w:val="clear" w:color="auto" w:fill="auto"/>
            <w:noWrap/>
            <w:vAlign w:val="center"/>
            <w:hideMark/>
          </w:tcPr>
          <w:p w14:paraId="37DA0EAD"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4,91</w:t>
            </w:r>
          </w:p>
        </w:tc>
        <w:tc>
          <w:tcPr>
            <w:tcW w:w="504" w:type="pct"/>
            <w:tcBorders>
              <w:top w:val="nil"/>
              <w:left w:val="nil"/>
              <w:bottom w:val="nil"/>
              <w:right w:val="nil"/>
            </w:tcBorders>
            <w:shd w:val="clear" w:color="auto" w:fill="auto"/>
            <w:vAlign w:val="center"/>
          </w:tcPr>
          <w:p w14:paraId="4371E2E8"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cs="Segoe UI"/>
                <w:color w:val="000000"/>
                <w:sz w:val="18"/>
                <w:szCs w:val="18"/>
              </w:rPr>
              <w:t>2,79</w:t>
            </w:r>
          </w:p>
        </w:tc>
      </w:tr>
      <w:tr w:rsidR="008A4BCF" w:rsidRPr="00123812" w14:paraId="74DFA48E" w14:textId="77777777" w:rsidTr="00B44AC3">
        <w:trPr>
          <w:trHeight w:val="283"/>
        </w:trPr>
        <w:tc>
          <w:tcPr>
            <w:tcW w:w="482" w:type="pct"/>
            <w:shd w:val="clear" w:color="auto" w:fill="auto"/>
            <w:vAlign w:val="center"/>
            <w:hideMark/>
          </w:tcPr>
          <w:p w14:paraId="324D17FD" w14:textId="77777777" w:rsidR="008A4BCF" w:rsidRPr="00123812" w:rsidRDefault="008A4BCF" w:rsidP="00B44AC3">
            <w:pPr>
              <w:spacing w:after="0" w:line="240" w:lineRule="auto"/>
              <w:jc w:val="left"/>
              <w:rPr>
                <w:rFonts w:eastAsia="Times New Roman" w:cs="Segoe UI"/>
                <w:color w:val="000000"/>
                <w:sz w:val="18"/>
                <w:szCs w:val="18"/>
                <w:lang w:eastAsia="sk-SK"/>
              </w:rPr>
            </w:pPr>
            <w:r w:rsidRPr="00123812">
              <w:rPr>
                <w:rFonts w:eastAsia="Times New Roman" w:cs="Segoe UI"/>
                <w:color w:val="000000"/>
                <w:sz w:val="18"/>
                <w:szCs w:val="18"/>
                <w:lang w:eastAsia="sk-SK"/>
              </w:rPr>
              <w:t>MH SR</w:t>
            </w:r>
          </w:p>
        </w:tc>
        <w:tc>
          <w:tcPr>
            <w:tcW w:w="513" w:type="pct"/>
            <w:shd w:val="clear" w:color="auto" w:fill="auto"/>
            <w:noWrap/>
            <w:vAlign w:val="center"/>
            <w:hideMark/>
          </w:tcPr>
          <w:p w14:paraId="529E0BDE"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119,94</w:t>
            </w:r>
          </w:p>
        </w:tc>
        <w:tc>
          <w:tcPr>
            <w:tcW w:w="490" w:type="pct"/>
            <w:shd w:val="clear" w:color="auto" w:fill="auto"/>
            <w:noWrap/>
            <w:vAlign w:val="center"/>
            <w:hideMark/>
          </w:tcPr>
          <w:p w14:paraId="143A3505"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0,538</w:t>
            </w:r>
          </w:p>
        </w:tc>
        <w:tc>
          <w:tcPr>
            <w:tcW w:w="490" w:type="pct"/>
            <w:tcBorders>
              <w:top w:val="nil"/>
              <w:left w:val="nil"/>
              <w:bottom w:val="nil"/>
              <w:right w:val="nil"/>
            </w:tcBorders>
            <w:shd w:val="clear" w:color="auto" w:fill="auto"/>
            <w:vAlign w:val="center"/>
          </w:tcPr>
          <w:p w14:paraId="1810AD7A"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cs="Segoe UI"/>
                <w:color w:val="000000"/>
                <w:sz w:val="18"/>
                <w:szCs w:val="18"/>
              </w:rPr>
              <w:t>0,45</w:t>
            </w:r>
          </w:p>
        </w:tc>
        <w:tc>
          <w:tcPr>
            <w:tcW w:w="513" w:type="pct"/>
            <w:tcBorders>
              <w:left w:val="single" w:sz="4" w:space="0" w:color="auto"/>
            </w:tcBorders>
            <w:shd w:val="clear" w:color="auto" w:fill="auto"/>
            <w:noWrap/>
            <w:vAlign w:val="center"/>
            <w:hideMark/>
          </w:tcPr>
          <w:p w14:paraId="52DBDEB0"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136,69</w:t>
            </w:r>
          </w:p>
        </w:tc>
        <w:tc>
          <w:tcPr>
            <w:tcW w:w="490" w:type="pct"/>
            <w:shd w:val="clear" w:color="auto" w:fill="auto"/>
            <w:noWrap/>
            <w:vAlign w:val="center"/>
            <w:hideMark/>
          </w:tcPr>
          <w:p w14:paraId="57FAD6B6"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5,876</w:t>
            </w:r>
          </w:p>
        </w:tc>
        <w:tc>
          <w:tcPr>
            <w:tcW w:w="496" w:type="pct"/>
            <w:tcBorders>
              <w:top w:val="nil"/>
              <w:left w:val="nil"/>
              <w:bottom w:val="nil"/>
              <w:right w:val="nil"/>
            </w:tcBorders>
            <w:shd w:val="clear" w:color="auto" w:fill="auto"/>
            <w:vAlign w:val="center"/>
          </w:tcPr>
          <w:p w14:paraId="4D0BD69D"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cs="Segoe UI"/>
                <w:color w:val="000000"/>
                <w:sz w:val="18"/>
                <w:szCs w:val="18"/>
              </w:rPr>
              <w:t>4,30</w:t>
            </w:r>
          </w:p>
        </w:tc>
        <w:tc>
          <w:tcPr>
            <w:tcW w:w="513" w:type="pct"/>
            <w:tcBorders>
              <w:left w:val="single" w:sz="4" w:space="0" w:color="auto"/>
            </w:tcBorders>
            <w:shd w:val="clear" w:color="auto" w:fill="auto"/>
            <w:noWrap/>
            <w:vAlign w:val="center"/>
            <w:hideMark/>
          </w:tcPr>
          <w:p w14:paraId="5A351E59"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97,67</w:t>
            </w:r>
          </w:p>
        </w:tc>
        <w:tc>
          <w:tcPr>
            <w:tcW w:w="509" w:type="pct"/>
            <w:shd w:val="clear" w:color="auto" w:fill="auto"/>
            <w:noWrap/>
            <w:vAlign w:val="center"/>
            <w:hideMark/>
          </w:tcPr>
          <w:p w14:paraId="42DA29F4"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0,23</w:t>
            </w:r>
          </w:p>
        </w:tc>
        <w:tc>
          <w:tcPr>
            <w:tcW w:w="504" w:type="pct"/>
            <w:tcBorders>
              <w:top w:val="nil"/>
              <w:left w:val="nil"/>
              <w:bottom w:val="nil"/>
              <w:right w:val="nil"/>
            </w:tcBorders>
            <w:shd w:val="clear" w:color="auto" w:fill="auto"/>
            <w:vAlign w:val="center"/>
          </w:tcPr>
          <w:p w14:paraId="46884584"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cs="Segoe UI"/>
                <w:color w:val="000000"/>
                <w:sz w:val="18"/>
                <w:szCs w:val="18"/>
              </w:rPr>
              <w:t>0,24</w:t>
            </w:r>
          </w:p>
        </w:tc>
      </w:tr>
      <w:tr w:rsidR="008A4BCF" w:rsidRPr="00123812" w14:paraId="499C317C" w14:textId="77777777" w:rsidTr="00B44AC3">
        <w:trPr>
          <w:trHeight w:val="283"/>
        </w:trPr>
        <w:tc>
          <w:tcPr>
            <w:tcW w:w="482" w:type="pct"/>
            <w:shd w:val="clear" w:color="auto" w:fill="auto"/>
            <w:vAlign w:val="center"/>
            <w:hideMark/>
          </w:tcPr>
          <w:p w14:paraId="42B8BFFD" w14:textId="77777777" w:rsidR="008A4BCF" w:rsidRPr="00123812" w:rsidRDefault="008A4BCF" w:rsidP="00B44AC3">
            <w:pPr>
              <w:spacing w:after="0" w:line="240" w:lineRule="auto"/>
              <w:jc w:val="left"/>
              <w:rPr>
                <w:rFonts w:eastAsia="Times New Roman" w:cs="Segoe UI"/>
                <w:color w:val="000000"/>
                <w:sz w:val="18"/>
                <w:szCs w:val="18"/>
                <w:lang w:eastAsia="sk-SK"/>
              </w:rPr>
            </w:pPr>
            <w:r w:rsidRPr="00123812">
              <w:rPr>
                <w:rFonts w:eastAsia="Times New Roman" w:cs="Segoe UI"/>
                <w:color w:val="000000"/>
                <w:sz w:val="18"/>
                <w:szCs w:val="18"/>
                <w:lang w:eastAsia="sk-SK"/>
              </w:rPr>
              <w:t>MPSVaR SR</w:t>
            </w:r>
          </w:p>
        </w:tc>
        <w:tc>
          <w:tcPr>
            <w:tcW w:w="513" w:type="pct"/>
            <w:shd w:val="clear" w:color="auto" w:fill="auto"/>
            <w:noWrap/>
            <w:vAlign w:val="center"/>
            <w:hideMark/>
          </w:tcPr>
          <w:p w14:paraId="44AA3609"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33,11</w:t>
            </w:r>
          </w:p>
        </w:tc>
        <w:tc>
          <w:tcPr>
            <w:tcW w:w="490" w:type="pct"/>
            <w:shd w:val="clear" w:color="auto" w:fill="auto"/>
            <w:noWrap/>
            <w:vAlign w:val="center"/>
            <w:hideMark/>
          </w:tcPr>
          <w:p w14:paraId="50E7CB0A"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0,138</w:t>
            </w:r>
          </w:p>
        </w:tc>
        <w:tc>
          <w:tcPr>
            <w:tcW w:w="490" w:type="pct"/>
            <w:tcBorders>
              <w:top w:val="nil"/>
              <w:left w:val="nil"/>
              <w:bottom w:val="nil"/>
              <w:right w:val="nil"/>
            </w:tcBorders>
            <w:shd w:val="clear" w:color="auto" w:fill="auto"/>
            <w:vAlign w:val="center"/>
          </w:tcPr>
          <w:p w14:paraId="67651B51"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cs="Segoe UI"/>
                <w:color w:val="000000"/>
                <w:sz w:val="18"/>
                <w:szCs w:val="18"/>
              </w:rPr>
              <w:t>0,42</w:t>
            </w:r>
          </w:p>
        </w:tc>
        <w:tc>
          <w:tcPr>
            <w:tcW w:w="513" w:type="pct"/>
            <w:tcBorders>
              <w:left w:val="single" w:sz="4" w:space="0" w:color="auto"/>
            </w:tcBorders>
            <w:shd w:val="clear" w:color="auto" w:fill="auto"/>
            <w:noWrap/>
            <w:vAlign w:val="center"/>
            <w:hideMark/>
          </w:tcPr>
          <w:p w14:paraId="2CD5E6B7"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57,07</w:t>
            </w:r>
          </w:p>
        </w:tc>
        <w:tc>
          <w:tcPr>
            <w:tcW w:w="490" w:type="pct"/>
            <w:shd w:val="clear" w:color="auto" w:fill="auto"/>
            <w:noWrap/>
            <w:vAlign w:val="center"/>
            <w:hideMark/>
          </w:tcPr>
          <w:p w14:paraId="2500D0BA"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5,699</w:t>
            </w:r>
          </w:p>
        </w:tc>
        <w:tc>
          <w:tcPr>
            <w:tcW w:w="496" w:type="pct"/>
            <w:tcBorders>
              <w:top w:val="nil"/>
              <w:left w:val="nil"/>
              <w:bottom w:val="nil"/>
              <w:right w:val="nil"/>
            </w:tcBorders>
            <w:shd w:val="clear" w:color="auto" w:fill="auto"/>
            <w:vAlign w:val="center"/>
          </w:tcPr>
          <w:p w14:paraId="2B5425AC"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cs="Segoe UI"/>
                <w:color w:val="000000"/>
                <w:sz w:val="18"/>
                <w:szCs w:val="18"/>
              </w:rPr>
              <w:t>9,99</w:t>
            </w:r>
          </w:p>
        </w:tc>
        <w:tc>
          <w:tcPr>
            <w:tcW w:w="513" w:type="pct"/>
            <w:tcBorders>
              <w:left w:val="single" w:sz="4" w:space="0" w:color="auto"/>
            </w:tcBorders>
            <w:shd w:val="clear" w:color="auto" w:fill="auto"/>
            <w:noWrap/>
            <w:vAlign w:val="center"/>
            <w:hideMark/>
          </w:tcPr>
          <w:p w14:paraId="5635F081"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44,30</w:t>
            </w:r>
          </w:p>
        </w:tc>
        <w:tc>
          <w:tcPr>
            <w:tcW w:w="509" w:type="pct"/>
            <w:shd w:val="clear" w:color="auto" w:fill="auto"/>
            <w:noWrap/>
            <w:vAlign w:val="center"/>
            <w:hideMark/>
          </w:tcPr>
          <w:p w14:paraId="6E586777"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9,3</w:t>
            </w:r>
          </w:p>
        </w:tc>
        <w:tc>
          <w:tcPr>
            <w:tcW w:w="504" w:type="pct"/>
            <w:tcBorders>
              <w:top w:val="nil"/>
              <w:left w:val="nil"/>
              <w:bottom w:val="nil"/>
              <w:right w:val="nil"/>
            </w:tcBorders>
            <w:shd w:val="clear" w:color="auto" w:fill="auto"/>
            <w:vAlign w:val="center"/>
          </w:tcPr>
          <w:p w14:paraId="508641EE"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cs="Segoe UI"/>
                <w:color w:val="000000"/>
                <w:sz w:val="18"/>
                <w:szCs w:val="18"/>
              </w:rPr>
              <w:t>20,99</w:t>
            </w:r>
          </w:p>
        </w:tc>
      </w:tr>
      <w:tr w:rsidR="008A4BCF" w:rsidRPr="00123812" w14:paraId="2E8CFE61" w14:textId="77777777" w:rsidTr="00B44AC3">
        <w:trPr>
          <w:trHeight w:val="283"/>
        </w:trPr>
        <w:tc>
          <w:tcPr>
            <w:tcW w:w="482" w:type="pct"/>
            <w:shd w:val="clear" w:color="auto" w:fill="auto"/>
            <w:vAlign w:val="center"/>
            <w:hideMark/>
          </w:tcPr>
          <w:p w14:paraId="08233CB7" w14:textId="77777777" w:rsidR="008A4BCF" w:rsidRPr="00123812" w:rsidRDefault="008A4BCF" w:rsidP="00B44AC3">
            <w:pPr>
              <w:spacing w:after="0" w:line="240" w:lineRule="auto"/>
              <w:jc w:val="left"/>
              <w:rPr>
                <w:rFonts w:eastAsia="Times New Roman" w:cs="Segoe UI"/>
                <w:color w:val="000000"/>
                <w:sz w:val="18"/>
                <w:szCs w:val="18"/>
                <w:lang w:eastAsia="sk-SK"/>
              </w:rPr>
            </w:pPr>
            <w:r w:rsidRPr="00123812">
              <w:rPr>
                <w:rFonts w:eastAsia="Times New Roman" w:cs="Segoe UI"/>
                <w:color w:val="000000"/>
                <w:sz w:val="18"/>
                <w:szCs w:val="18"/>
                <w:lang w:eastAsia="sk-SK"/>
              </w:rPr>
              <w:t>MK SR</w:t>
            </w:r>
          </w:p>
        </w:tc>
        <w:tc>
          <w:tcPr>
            <w:tcW w:w="513" w:type="pct"/>
            <w:shd w:val="clear" w:color="auto" w:fill="auto"/>
            <w:noWrap/>
            <w:vAlign w:val="center"/>
            <w:hideMark/>
          </w:tcPr>
          <w:p w14:paraId="4ADCE3B7"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3,49</w:t>
            </w:r>
          </w:p>
        </w:tc>
        <w:tc>
          <w:tcPr>
            <w:tcW w:w="490" w:type="pct"/>
            <w:shd w:val="clear" w:color="auto" w:fill="auto"/>
            <w:noWrap/>
            <w:vAlign w:val="center"/>
            <w:hideMark/>
          </w:tcPr>
          <w:p w14:paraId="1718B5E8"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1,522</w:t>
            </w:r>
          </w:p>
        </w:tc>
        <w:tc>
          <w:tcPr>
            <w:tcW w:w="490" w:type="pct"/>
            <w:tcBorders>
              <w:top w:val="nil"/>
              <w:left w:val="nil"/>
              <w:bottom w:val="nil"/>
              <w:right w:val="nil"/>
            </w:tcBorders>
            <w:shd w:val="clear" w:color="auto" w:fill="auto"/>
            <w:vAlign w:val="center"/>
          </w:tcPr>
          <w:p w14:paraId="2A073144"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cs="Segoe UI"/>
                <w:color w:val="000000"/>
                <w:sz w:val="18"/>
                <w:szCs w:val="18"/>
              </w:rPr>
              <w:t>43,61</w:t>
            </w:r>
          </w:p>
        </w:tc>
        <w:tc>
          <w:tcPr>
            <w:tcW w:w="513" w:type="pct"/>
            <w:tcBorders>
              <w:left w:val="single" w:sz="4" w:space="0" w:color="auto"/>
            </w:tcBorders>
            <w:shd w:val="clear" w:color="auto" w:fill="auto"/>
            <w:noWrap/>
            <w:vAlign w:val="center"/>
            <w:hideMark/>
          </w:tcPr>
          <w:p w14:paraId="70F9C914"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3,20</w:t>
            </w:r>
          </w:p>
        </w:tc>
        <w:tc>
          <w:tcPr>
            <w:tcW w:w="490" w:type="pct"/>
            <w:shd w:val="clear" w:color="auto" w:fill="auto"/>
            <w:noWrap/>
            <w:vAlign w:val="center"/>
            <w:hideMark/>
          </w:tcPr>
          <w:p w14:paraId="39A3FA21"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2,619</w:t>
            </w:r>
          </w:p>
        </w:tc>
        <w:tc>
          <w:tcPr>
            <w:tcW w:w="496" w:type="pct"/>
            <w:tcBorders>
              <w:top w:val="nil"/>
              <w:left w:val="nil"/>
              <w:bottom w:val="nil"/>
              <w:right w:val="nil"/>
            </w:tcBorders>
            <w:shd w:val="clear" w:color="auto" w:fill="auto"/>
            <w:vAlign w:val="center"/>
          </w:tcPr>
          <w:p w14:paraId="62BF9330"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cs="Segoe UI"/>
                <w:color w:val="000000"/>
                <w:sz w:val="18"/>
                <w:szCs w:val="18"/>
              </w:rPr>
              <w:t>81,84</w:t>
            </w:r>
          </w:p>
        </w:tc>
        <w:tc>
          <w:tcPr>
            <w:tcW w:w="513" w:type="pct"/>
            <w:tcBorders>
              <w:left w:val="single" w:sz="4" w:space="0" w:color="auto"/>
            </w:tcBorders>
            <w:shd w:val="clear" w:color="auto" w:fill="auto"/>
            <w:noWrap/>
            <w:vAlign w:val="center"/>
            <w:hideMark/>
          </w:tcPr>
          <w:p w14:paraId="6A7E720D"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0,00</w:t>
            </w:r>
          </w:p>
        </w:tc>
        <w:tc>
          <w:tcPr>
            <w:tcW w:w="509" w:type="pct"/>
            <w:shd w:val="clear" w:color="auto" w:fill="auto"/>
            <w:noWrap/>
            <w:vAlign w:val="center"/>
            <w:hideMark/>
          </w:tcPr>
          <w:p w14:paraId="0FEA3FDB"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0</w:t>
            </w:r>
          </w:p>
        </w:tc>
        <w:tc>
          <w:tcPr>
            <w:tcW w:w="504" w:type="pct"/>
            <w:tcBorders>
              <w:top w:val="nil"/>
              <w:left w:val="nil"/>
              <w:bottom w:val="nil"/>
              <w:right w:val="nil"/>
            </w:tcBorders>
            <w:shd w:val="clear" w:color="auto" w:fill="auto"/>
            <w:vAlign w:val="center"/>
          </w:tcPr>
          <w:p w14:paraId="28A073F3" w14:textId="77777777" w:rsidR="008A4BCF" w:rsidRPr="00123812" w:rsidRDefault="008A4BCF" w:rsidP="00B44AC3">
            <w:pPr>
              <w:spacing w:after="0" w:line="240" w:lineRule="auto"/>
              <w:jc w:val="right"/>
              <w:rPr>
                <w:rFonts w:eastAsia="Times New Roman" w:cs="Segoe UI"/>
                <w:color w:val="000000"/>
                <w:sz w:val="18"/>
                <w:szCs w:val="18"/>
                <w:lang w:eastAsia="sk-SK"/>
              </w:rPr>
            </w:pPr>
            <w:r>
              <w:rPr>
                <w:rFonts w:eastAsia="Times New Roman" w:cs="Segoe UI"/>
                <w:color w:val="000000"/>
                <w:sz w:val="18"/>
                <w:szCs w:val="18"/>
                <w:lang w:eastAsia="sk-SK"/>
              </w:rPr>
              <w:t>–</w:t>
            </w:r>
          </w:p>
        </w:tc>
      </w:tr>
      <w:tr w:rsidR="008A4BCF" w:rsidRPr="00123812" w14:paraId="7D152E8C" w14:textId="77777777" w:rsidTr="00B44AC3">
        <w:trPr>
          <w:trHeight w:val="283"/>
        </w:trPr>
        <w:tc>
          <w:tcPr>
            <w:tcW w:w="482" w:type="pct"/>
            <w:shd w:val="clear" w:color="auto" w:fill="auto"/>
            <w:vAlign w:val="center"/>
            <w:hideMark/>
          </w:tcPr>
          <w:p w14:paraId="7207A58E" w14:textId="77777777" w:rsidR="008A4BCF" w:rsidRPr="00123812" w:rsidRDefault="008A4BCF" w:rsidP="00B44AC3">
            <w:pPr>
              <w:spacing w:after="0" w:line="240" w:lineRule="auto"/>
              <w:jc w:val="left"/>
              <w:rPr>
                <w:rFonts w:eastAsia="Times New Roman" w:cs="Segoe UI"/>
                <w:color w:val="000000"/>
                <w:sz w:val="18"/>
                <w:szCs w:val="18"/>
                <w:lang w:eastAsia="sk-SK"/>
              </w:rPr>
            </w:pPr>
            <w:r w:rsidRPr="00123812">
              <w:rPr>
                <w:rFonts w:eastAsia="Times New Roman" w:cs="Segoe UI"/>
                <w:color w:val="000000"/>
                <w:sz w:val="18"/>
                <w:szCs w:val="18"/>
                <w:lang w:eastAsia="sk-SK"/>
              </w:rPr>
              <w:t>MZV SR</w:t>
            </w:r>
          </w:p>
        </w:tc>
        <w:tc>
          <w:tcPr>
            <w:tcW w:w="513" w:type="pct"/>
            <w:shd w:val="clear" w:color="auto" w:fill="auto"/>
            <w:noWrap/>
            <w:vAlign w:val="center"/>
            <w:hideMark/>
          </w:tcPr>
          <w:p w14:paraId="2A671C04"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0,54</w:t>
            </w:r>
          </w:p>
        </w:tc>
        <w:tc>
          <w:tcPr>
            <w:tcW w:w="490" w:type="pct"/>
            <w:shd w:val="clear" w:color="auto" w:fill="auto"/>
            <w:noWrap/>
            <w:vAlign w:val="center"/>
            <w:hideMark/>
          </w:tcPr>
          <w:p w14:paraId="50AAA0CA"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0,000</w:t>
            </w:r>
          </w:p>
        </w:tc>
        <w:tc>
          <w:tcPr>
            <w:tcW w:w="490" w:type="pct"/>
            <w:tcBorders>
              <w:top w:val="nil"/>
              <w:left w:val="nil"/>
              <w:bottom w:val="nil"/>
              <w:right w:val="nil"/>
            </w:tcBorders>
            <w:shd w:val="clear" w:color="auto" w:fill="auto"/>
            <w:vAlign w:val="center"/>
          </w:tcPr>
          <w:p w14:paraId="3CE74F55"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cs="Segoe UI"/>
                <w:color w:val="000000"/>
                <w:sz w:val="18"/>
                <w:szCs w:val="18"/>
              </w:rPr>
              <w:t>0,00</w:t>
            </w:r>
          </w:p>
        </w:tc>
        <w:tc>
          <w:tcPr>
            <w:tcW w:w="513" w:type="pct"/>
            <w:tcBorders>
              <w:left w:val="single" w:sz="4" w:space="0" w:color="auto"/>
            </w:tcBorders>
            <w:shd w:val="clear" w:color="auto" w:fill="auto"/>
            <w:noWrap/>
            <w:vAlign w:val="center"/>
            <w:hideMark/>
          </w:tcPr>
          <w:p w14:paraId="10DB4394"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0,00</w:t>
            </w:r>
          </w:p>
        </w:tc>
        <w:tc>
          <w:tcPr>
            <w:tcW w:w="490" w:type="pct"/>
            <w:shd w:val="clear" w:color="auto" w:fill="auto"/>
            <w:noWrap/>
            <w:vAlign w:val="center"/>
            <w:hideMark/>
          </w:tcPr>
          <w:p w14:paraId="46BC341F"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0,000</w:t>
            </w:r>
          </w:p>
        </w:tc>
        <w:tc>
          <w:tcPr>
            <w:tcW w:w="496" w:type="pct"/>
            <w:tcBorders>
              <w:top w:val="nil"/>
              <w:left w:val="nil"/>
              <w:bottom w:val="nil"/>
              <w:right w:val="nil"/>
            </w:tcBorders>
            <w:shd w:val="clear" w:color="auto" w:fill="auto"/>
            <w:vAlign w:val="center"/>
          </w:tcPr>
          <w:p w14:paraId="3D285B4F" w14:textId="77777777" w:rsidR="008A4BCF" w:rsidRPr="00123812" w:rsidRDefault="008A4BCF" w:rsidP="00B44AC3">
            <w:pPr>
              <w:spacing w:after="0" w:line="240" w:lineRule="auto"/>
              <w:jc w:val="right"/>
              <w:rPr>
                <w:rFonts w:eastAsia="Times New Roman" w:cs="Segoe UI"/>
                <w:color w:val="000000"/>
                <w:sz w:val="18"/>
                <w:szCs w:val="18"/>
                <w:lang w:eastAsia="sk-SK"/>
              </w:rPr>
            </w:pPr>
            <w:r>
              <w:rPr>
                <w:rFonts w:eastAsia="Times New Roman" w:cs="Segoe UI"/>
                <w:color w:val="000000"/>
                <w:sz w:val="18"/>
                <w:szCs w:val="18"/>
                <w:lang w:eastAsia="sk-SK"/>
              </w:rPr>
              <w:t>–</w:t>
            </w:r>
          </w:p>
        </w:tc>
        <w:tc>
          <w:tcPr>
            <w:tcW w:w="513" w:type="pct"/>
            <w:tcBorders>
              <w:left w:val="single" w:sz="4" w:space="0" w:color="auto"/>
            </w:tcBorders>
            <w:shd w:val="clear" w:color="auto" w:fill="auto"/>
            <w:noWrap/>
            <w:vAlign w:val="center"/>
            <w:hideMark/>
          </w:tcPr>
          <w:p w14:paraId="5043BB91"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0,00</w:t>
            </w:r>
          </w:p>
        </w:tc>
        <w:tc>
          <w:tcPr>
            <w:tcW w:w="509" w:type="pct"/>
            <w:shd w:val="clear" w:color="auto" w:fill="auto"/>
            <w:noWrap/>
            <w:vAlign w:val="center"/>
            <w:hideMark/>
          </w:tcPr>
          <w:p w14:paraId="517F89A8"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0</w:t>
            </w:r>
          </w:p>
        </w:tc>
        <w:tc>
          <w:tcPr>
            <w:tcW w:w="504" w:type="pct"/>
            <w:tcBorders>
              <w:top w:val="nil"/>
              <w:left w:val="nil"/>
              <w:bottom w:val="nil"/>
              <w:right w:val="nil"/>
            </w:tcBorders>
            <w:shd w:val="clear" w:color="auto" w:fill="auto"/>
          </w:tcPr>
          <w:p w14:paraId="24D0E606"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A45DB7">
              <w:rPr>
                <w:rFonts w:eastAsia="Times New Roman" w:cs="Segoe UI"/>
                <w:color w:val="000000"/>
                <w:sz w:val="18"/>
                <w:szCs w:val="18"/>
                <w:lang w:eastAsia="sk-SK"/>
              </w:rPr>
              <w:t>–</w:t>
            </w:r>
          </w:p>
        </w:tc>
      </w:tr>
      <w:tr w:rsidR="008A4BCF" w:rsidRPr="00123812" w14:paraId="7D2858C5" w14:textId="77777777" w:rsidTr="00B44AC3">
        <w:trPr>
          <w:trHeight w:val="283"/>
        </w:trPr>
        <w:tc>
          <w:tcPr>
            <w:tcW w:w="482" w:type="pct"/>
            <w:shd w:val="clear" w:color="auto" w:fill="auto"/>
            <w:vAlign w:val="center"/>
            <w:hideMark/>
          </w:tcPr>
          <w:p w14:paraId="30A79DCE" w14:textId="77777777" w:rsidR="008A4BCF" w:rsidRPr="00123812" w:rsidRDefault="008A4BCF" w:rsidP="00B44AC3">
            <w:pPr>
              <w:spacing w:after="0" w:line="240" w:lineRule="auto"/>
              <w:jc w:val="left"/>
              <w:rPr>
                <w:rFonts w:eastAsia="Times New Roman" w:cs="Segoe UI"/>
                <w:color w:val="000000"/>
                <w:sz w:val="18"/>
                <w:szCs w:val="18"/>
                <w:lang w:eastAsia="sk-SK"/>
              </w:rPr>
            </w:pPr>
            <w:r w:rsidRPr="00123812">
              <w:rPr>
                <w:rFonts w:eastAsia="Times New Roman" w:cs="Segoe UI"/>
                <w:color w:val="000000"/>
                <w:sz w:val="18"/>
                <w:szCs w:val="18"/>
                <w:lang w:eastAsia="sk-SK"/>
              </w:rPr>
              <w:t>ÚVO</w:t>
            </w:r>
          </w:p>
        </w:tc>
        <w:tc>
          <w:tcPr>
            <w:tcW w:w="513" w:type="pct"/>
            <w:shd w:val="clear" w:color="auto" w:fill="auto"/>
            <w:noWrap/>
            <w:vAlign w:val="center"/>
            <w:hideMark/>
          </w:tcPr>
          <w:p w14:paraId="295DC5DF"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0,51</w:t>
            </w:r>
          </w:p>
        </w:tc>
        <w:tc>
          <w:tcPr>
            <w:tcW w:w="490" w:type="pct"/>
            <w:shd w:val="clear" w:color="auto" w:fill="auto"/>
            <w:noWrap/>
            <w:vAlign w:val="center"/>
            <w:hideMark/>
          </w:tcPr>
          <w:p w14:paraId="0D7CD448"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0,029</w:t>
            </w:r>
          </w:p>
        </w:tc>
        <w:tc>
          <w:tcPr>
            <w:tcW w:w="490" w:type="pct"/>
            <w:tcBorders>
              <w:top w:val="nil"/>
              <w:left w:val="nil"/>
              <w:bottom w:val="nil"/>
              <w:right w:val="nil"/>
            </w:tcBorders>
            <w:shd w:val="clear" w:color="auto" w:fill="auto"/>
            <w:vAlign w:val="center"/>
          </w:tcPr>
          <w:p w14:paraId="08E88096"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cs="Segoe UI"/>
                <w:color w:val="000000"/>
                <w:sz w:val="18"/>
                <w:szCs w:val="18"/>
              </w:rPr>
              <w:t>5,69</w:t>
            </w:r>
          </w:p>
        </w:tc>
        <w:tc>
          <w:tcPr>
            <w:tcW w:w="513" w:type="pct"/>
            <w:tcBorders>
              <w:left w:val="single" w:sz="4" w:space="0" w:color="auto"/>
            </w:tcBorders>
            <w:shd w:val="clear" w:color="auto" w:fill="auto"/>
            <w:noWrap/>
            <w:vAlign w:val="center"/>
            <w:hideMark/>
          </w:tcPr>
          <w:p w14:paraId="5A99B755"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0,45</w:t>
            </w:r>
          </w:p>
        </w:tc>
        <w:tc>
          <w:tcPr>
            <w:tcW w:w="490" w:type="pct"/>
            <w:shd w:val="clear" w:color="auto" w:fill="auto"/>
            <w:noWrap/>
            <w:vAlign w:val="center"/>
            <w:hideMark/>
          </w:tcPr>
          <w:p w14:paraId="561B2499"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0,200</w:t>
            </w:r>
          </w:p>
        </w:tc>
        <w:tc>
          <w:tcPr>
            <w:tcW w:w="496" w:type="pct"/>
            <w:tcBorders>
              <w:top w:val="nil"/>
              <w:left w:val="nil"/>
              <w:bottom w:val="nil"/>
              <w:right w:val="nil"/>
            </w:tcBorders>
            <w:shd w:val="clear" w:color="auto" w:fill="auto"/>
          </w:tcPr>
          <w:p w14:paraId="6A57F0EC"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A45DB7">
              <w:rPr>
                <w:rFonts w:eastAsia="Times New Roman" w:cs="Segoe UI"/>
                <w:color w:val="000000"/>
                <w:sz w:val="18"/>
                <w:szCs w:val="18"/>
                <w:lang w:eastAsia="sk-SK"/>
              </w:rPr>
              <w:t>–</w:t>
            </w:r>
          </w:p>
        </w:tc>
        <w:tc>
          <w:tcPr>
            <w:tcW w:w="513" w:type="pct"/>
            <w:tcBorders>
              <w:left w:val="single" w:sz="4" w:space="0" w:color="auto"/>
            </w:tcBorders>
            <w:shd w:val="clear" w:color="auto" w:fill="auto"/>
            <w:noWrap/>
            <w:vAlign w:val="center"/>
            <w:hideMark/>
          </w:tcPr>
          <w:p w14:paraId="4AC28ACA"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0,44</w:t>
            </w:r>
          </w:p>
        </w:tc>
        <w:tc>
          <w:tcPr>
            <w:tcW w:w="509" w:type="pct"/>
            <w:shd w:val="clear" w:color="auto" w:fill="auto"/>
            <w:noWrap/>
            <w:vAlign w:val="center"/>
            <w:hideMark/>
          </w:tcPr>
          <w:p w14:paraId="2453474B"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0,12</w:t>
            </w:r>
          </w:p>
        </w:tc>
        <w:tc>
          <w:tcPr>
            <w:tcW w:w="504" w:type="pct"/>
            <w:tcBorders>
              <w:top w:val="nil"/>
              <w:left w:val="nil"/>
              <w:bottom w:val="nil"/>
              <w:right w:val="nil"/>
            </w:tcBorders>
            <w:shd w:val="clear" w:color="auto" w:fill="auto"/>
            <w:vAlign w:val="center"/>
          </w:tcPr>
          <w:p w14:paraId="29E2CEE8"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cs="Segoe UI"/>
                <w:color w:val="000000"/>
                <w:sz w:val="18"/>
                <w:szCs w:val="18"/>
              </w:rPr>
              <w:t>27,27</w:t>
            </w:r>
          </w:p>
        </w:tc>
      </w:tr>
      <w:tr w:rsidR="008A4BCF" w:rsidRPr="00123812" w14:paraId="63319494" w14:textId="77777777" w:rsidTr="00B44AC3">
        <w:trPr>
          <w:trHeight w:val="283"/>
        </w:trPr>
        <w:tc>
          <w:tcPr>
            <w:tcW w:w="482" w:type="pct"/>
            <w:shd w:val="clear" w:color="auto" w:fill="auto"/>
            <w:vAlign w:val="center"/>
            <w:hideMark/>
          </w:tcPr>
          <w:p w14:paraId="0FE26A24" w14:textId="77777777" w:rsidR="008A4BCF" w:rsidRPr="00123812" w:rsidRDefault="008A4BCF" w:rsidP="00B44AC3">
            <w:pPr>
              <w:spacing w:after="0" w:line="240" w:lineRule="auto"/>
              <w:jc w:val="left"/>
              <w:rPr>
                <w:rFonts w:eastAsia="Times New Roman" w:cs="Segoe UI"/>
                <w:color w:val="000000"/>
                <w:sz w:val="18"/>
                <w:szCs w:val="18"/>
                <w:lang w:eastAsia="sk-SK"/>
              </w:rPr>
            </w:pPr>
            <w:r w:rsidRPr="00123812">
              <w:rPr>
                <w:rFonts w:eastAsia="Times New Roman" w:cs="Segoe UI"/>
                <w:color w:val="000000"/>
                <w:sz w:val="18"/>
                <w:szCs w:val="18"/>
                <w:lang w:eastAsia="sk-SK"/>
              </w:rPr>
              <w:t>VPS</w:t>
            </w:r>
          </w:p>
        </w:tc>
        <w:tc>
          <w:tcPr>
            <w:tcW w:w="513" w:type="pct"/>
            <w:shd w:val="clear" w:color="auto" w:fill="auto"/>
            <w:noWrap/>
            <w:vAlign w:val="center"/>
            <w:hideMark/>
          </w:tcPr>
          <w:p w14:paraId="7C0EA231"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0,00</w:t>
            </w:r>
          </w:p>
        </w:tc>
        <w:tc>
          <w:tcPr>
            <w:tcW w:w="490" w:type="pct"/>
            <w:shd w:val="clear" w:color="auto" w:fill="auto"/>
            <w:noWrap/>
            <w:vAlign w:val="center"/>
            <w:hideMark/>
          </w:tcPr>
          <w:p w14:paraId="58713E11"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1,930</w:t>
            </w:r>
          </w:p>
        </w:tc>
        <w:tc>
          <w:tcPr>
            <w:tcW w:w="490" w:type="pct"/>
            <w:tcBorders>
              <w:top w:val="nil"/>
              <w:left w:val="nil"/>
              <w:bottom w:val="nil"/>
              <w:right w:val="nil"/>
            </w:tcBorders>
            <w:shd w:val="clear" w:color="auto" w:fill="auto"/>
            <w:vAlign w:val="center"/>
          </w:tcPr>
          <w:p w14:paraId="0B66ED38" w14:textId="77777777" w:rsidR="008A4BCF" w:rsidRPr="00123812" w:rsidRDefault="008A4BCF" w:rsidP="00B44AC3">
            <w:pPr>
              <w:spacing w:after="0" w:line="240" w:lineRule="auto"/>
              <w:jc w:val="right"/>
              <w:rPr>
                <w:rFonts w:eastAsia="Times New Roman" w:cs="Segoe UI"/>
                <w:color w:val="000000"/>
                <w:sz w:val="18"/>
                <w:szCs w:val="18"/>
                <w:lang w:eastAsia="sk-SK"/>
              </w:rPr>
            </w:pPr>
            <w:r>
              <w:rPr>
                <w:rFonts w:eastAsia="Times New Roman" w:cs="Segoe UI"/>
                <w:color w:val="000000"/>
                <w:sz w:val="18"/>
                <w:szCs w:val="18"/>
                <w:lang w:eastAsia="sk-SK"/>
              </w:rPr>
              <w:t>–</w:t>
            </w:r>
          </w:p>
        </w:tc>
        <w:tc>
          <w:tcPr>
            <w:tcW w:w="513" w:type="pct"/>
            <w:tcBorders>
              <w:left w:val="single" w:sz="4" w:space="0" w:color="auto"/>
            </w:tcBorders>
            <w:shd w:val="clear" w:color="auto" w:fill="auto"/>
            <w:noWrap/>
            <w:vAlign w:val="center"/>
            <w:hideMark/>
          </w:tcPr>
          <w:p w14:paraId="06A7250F"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0,00</w:t>
            </w:r>
          </w:p>
        </w:tc>
        <w:tc>
          <w:tcPr>
            <w:tcW w:w="490" w:type="pct"/>
            <w:shd w:val="clear" w:color="auto" w:fill="auto"/>
            <w:noWrap/>
            <w:vAlign w:val="center"/>
            <w:hideMark/>
          </w:tcPr>
          <w:p w14:paraId="55456E44"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0,067</w:t>
            </w:r>
          </w:p>
        </w:tc>
        <w:tc>
          <w:tcPr>
            <w:tcW w:w="496" w:type="pct"/>
            <w:tcBorders>
              <w:top w:val="nil"/>
              <w:left w:val="nil"/>
              <w:bottom w:val="nil"/>
              <w:right w:val="nil"/>
            </w:tcBorders>
            <w:shd w:val="clear" w:color="auto" w:fill="auto"/>
          </w:tcPr>
          <w:p w14:paraId="63A3FAEC"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A45DB7">
              <w:rPr>
                <w:rFonts w:eastAsia="Times New Roman" w:cs="Segoe UI"/>
                <w:color w:val="000000"/>
                <w:sz w:val="18"/>
                <w:szCs w:val="18"/>
                <w:lang w:eastAsia="sk-SK"/>
              </w:rPr>
              <w:t>–</w:t>
            </w:r>
          </w:p>
        </w:tc>
        <w:tc>
          <w:tcPr>
            <w:tcW w:w="513" w:type="pct"/>
            <w:tcBorders>
              <w:left w:val="single" w:sz="4" w:space="0" w:color="auto"/>
            </w:tcBorders>
            <w:shd w:val="clear" w:color="auto" w:fill="auto"/>
            <w:noWrap/>
            <w:vAlign w:val="center"/>
            <w:hideMark/>
          </w:tcPr>
          <w:p w14:paraId="24DE0FDF"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0,00</w:t>
            </w:r>
          </w:p>
        </w:tc>
        <w:tc>
          <w:tcPr>
            <w:tcW w:w="509" w:type="pct"/>
            <w:shd w:val="clear" w:color="auto" w:fill="auto"/>
            <w:noWrap/>
            <w:vAlign w:val="center"/>
            <w:hideMark/>
          </w:tcPr>
          <w:p w14:paraId="76139335"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0,26</w:t>
            </w:r>
          </w:p>
        </w:tc>
        <w:tc>
          <w:tcPr>
            <w:tcW w:w="504" w:type="pct"/>
            <w:tcBorders>
              <w:top w:val="nil"/>
              <w:left w:val="nil"/>
              <w:bottom w:val="nil"/>
              <w:right w:val="nil"/>
            </w:tcBorders>
            <w:shd w:val="clear" w:color="auto" w:fill="auto"/>
            <w:vAlign w:val="center"/>
          </w:tcPr>
          <w:p w14:paraId="6803571B" w14:textId="77777777" w:rsidR="008A4BCF" w:rsidRPr="00123812" w:rsidRDefault="008A4BCF" w:rsidP="00B44AC3">
            <w:pPr>
              <w:spacing w:after="0" w:line="240" w:lineRule="auto"/>
              <w:jc w:val="right"/>
              <w:rPr>
                <w:rFonts w:eastAsia="Times New Roman" w:cs="Segoe UI"/>
                <w:color w:val="000000"/>
                <w:sz w:val="18"/>
                <w:szCs w:val="18"/>
                <w:lang w:eastAsia="sk-SK"/>
              </w:rPr>
            </w:pPr>
            <w:r>
              <w:rPr>
                <w:rFonts w:eastAsia="Times New Roman" w:cs="Segoe UI"/>
                <w:color w:val="000000"/>
                <w:sz w:val="18"/>
                <w:szCs w:val="18"/>
                <w:lang w:eastAsia="sk-SK"/>
              </w:rPr>
              <w:t>–</w:t>
            </w:r>
          </w:p>
        </w:tc>
      </w:tr>
      <w:tr w:rsidR="008A4BCF" w:rsidRPr="00123812" w14:paraId="778C51C7" w14:textId="77777777" w:rsidTr="00B44AC3">
        <w:trPr>
          <w:trHeight w:val="283"/>
        </w:trPr>
        <w:tc>
          <w:tcPr>
            <w:tcW w:w="482" w:type="pct"/>
            <w:shd w:val="clear" w:color="auto" w:fill="auto"/>
            <w:vAlign w:val="center"/>
            <w:hideMark/>
          </w:tcPr>
          <w:p w14:paraId="001DCF94" w14:textId="77777777" w:rsidR="008A4BCF" w:rsidRPr="00123812" w:rsidRDefault="008A4BCF" w:rsidP="00B44AC3">
            <w:pPr>
              <w:spacing w:after="0" w:line="240" w:lineRule="auto"/>
              <w:jc w:val="left"/>
              <w:rPr>
                <w:rFonts w:eastAsia="Times New Roman" w:cs="Segoe UI"/>
                <w:color w:val="000000"/>
                <w:sz w:val="18"/>
                <w:szCs w:val="18"/>
                <w:lang w:eastAsia="sk-SK"/>
              </w:rPr>
            </w:pPr>
            <w:r w:rsidRPr="00123812">
              <w:rPr>
                <w:rFonts w:eastAsia="Times New Roman" w:cs="Segoe UI"/>
                <w:color w:val="000000"/>
                <w:sz w:val="18"/>
                <w:szCs w:val="18"/>
                <w:lang w:eastAsia="sk-SK"/>
              </w:rPr>
              <w:t>MO SR</w:t>
            </w:r>
          </w:p>
        </w:tc>
        <w:tc>
          <w:tcPr>
            <w:tcW w:w="513" w:type="pct"/>
            <w:shd w:val="clear" w:color="auto" w:fill="auto"/>
            <w:noWrap/>
            <w:vAlign w:val="center"/>
            <w:hideMark/>
          </w:tcPr>
          <w:p w14:paraId="12B12421"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0,00</w:t>
            </w:r>
          </w:p>
        </w:tc>
        <w:tc>
          <w:tcPr>
            <w:tcW w:w="490" w:type="pct"/>
            <w:shd w:val="clear" w:color="auto" w:fill="auto"/>
            <w:noWrap/>
            <w:vAlign w:val="center"/>
            <w:hideMark/>
          </w:tcPr>
          <w:p w14:paraId="30C3C4C8"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0,000</w:t>
            </w:r>
          </w:p>
        </w:tc>
        <w:tc>
          <w:tcPr>
            <w:tcW w:w="490" w:type="pct"/>
            <w:tcBorders>
              <w:top w:val="nil"/>
              <w:left w:val="nil"/>
              <w:bottom w:val="nil"/>
              <w:right w:val="nil"/>
            </w:tcBorders>
            <w:shd w:val="clear" w:color="auto" w:fill="auto"/>
          </w:tcPr>
          <w:p w14:paraId="6160F6BD"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A45DB7">
              <w:rPr>
                <w:rFonts w:eastAsia="Times New Roman" w:cs="Segoe UI"/>
                <w:color w:val="000000"/>
                <w:sz w:val="18"/>
                <w:szCs w:val="18"/>
                <w:lang w:eastAsia="sk-SK"/>
              </w:rPr>
              <w:t>–</w:t>
            </w:r>
          </w:p>
        </w:tc>
        <w:tc>
          <w:tcPr>
            <w:tcW w:w="513" w:type="pct"/>
            <w:tcBorders>
              <w:left w:val="single" w:sz="4" w:space="0" w:color="auto"/>
            </w:tcBorders>
            <w:shd w:val="clear" w:color="auto" w:fill="auto"/>
            <w:noWrap/>
            <w:vAlign w:val="center"/>
            <w:hideMark/>
          </w:tcPr>
          <w:p w14:paraId="5FE6AB04"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0,00</w:t>
            </w:r>
          </w:p>
        </w:tc>
        <w:tc>
          <w:tcPr>
            <w:tcW w:w="490" w:type="pct"/>
            <w:shd w:val="clear" w:color="auto" w:fill="auto"/>
            <w:noWrap/>
            <w:vAlign w:val="center"/>
            <w:hideMark/>
          </w:tcPr>
          <w:p w14:paraId="2F3BAA0C"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0,010</w:t>
            </w:r>
          </w:p>
        </w:tc>
        <w:tc>
          <w:tcPr>
            <w:tcW w:w="496" w:type="pct"/>
            <w:tcBorders>
              <w:top w:val="nil"/>
              <w:left w:val="nil"/>
              <w:bottom w:val="nil"/>
              <w:right w:val="nil"/>
            </w:tcBorders>
            <w:shd w:val="clear" w:color="auto" w:fill="auto"/>
          </w:tcPr>
          <w:p w14:paraId="1EF74FED"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A45DB7">
              <w:rPr>
                <w:rFonts w:eastAsia="Times New Roman" w:cs="Segoe UI"/>
                <w:color w:val="000000"/>
                <w:sz w:val="18"/>
                <w:szCs w:val="18"/>
                <w:lang w:eastAsia="sk-SK"/>
              </w:rPr>
              <w:t>–</w:t>
            </w:r>
          </w:p>
        </w:tc>
        <w:tc>
          <w:tcPr>
            <w:tcW w:w="513" w:type="pct"/>
            <w:tcBorders>
              <w:left w:val="single" w:sz="4" w:space="0" w:color="auto"/>
            </w:tcBorders>
            <w:shd w:val="clear" w:color="auto" w:fill="auto"/>
            <w:noWrap/>
            <w:vAlign w:val="center"/>
            <w:hideMark/>
          </w:tcPr>
          <w:p w14:paraId="10C1E81B"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0,00</w:t>
            </w:r>
          </w:p>
        </w:tc>
        <w:tc>
          <w:tcPr>
            <w:tcW w:w="509" w:type="pct"/>
            <w:shd w:val="clear" w:color="auto" w:fill="auto"/>
            <w:noWrap/>
            <w:vAlign w:val="center"/>
            <w:hideMark/>
          </w:tcPr>
          <w:p w14:paraId="79F1FF57"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0,14</w:t>
            </w:r>
          </w:p>
        </w:tc>
        <w:tc>
          <w:tcPr>
            <w:tcW w:w="504" w:type="pct"/>
            <w:tcBorders>
              <w:top w:val="nil"/>
              <w:left w:val="nil"/>
              <w:bottom w:val="nil"/>
              <w:right w:val="nil"/>
            </w:tcBorders>
            <w:shd w:val="clear" w:color="auto" w:fill="auto"/>
          </w:tcPr>
          <w:p w14:paraId="53DD9AE6"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A45DB7">
              <w:rPr>
                <w:rFonts w:eastAsia="Times New Roman" w:cs="Segoe UI"/>
                <w:color w:val="000000"/>
                <w:sz w:val="18"/>
                <w:szCs w:val="18"/>
                <w:lang w:eastAsia="sk-SK"/>
              </w:rPr>
              <w:t>–</w:t>
            </w:r>
          </w:p>
        </w:tc>
      </w:tr>
      <w:tr w:rsidR="008A4BCF" w:rsidRPr="00123812" w14:paraId="464B9218" w14:textId="77777777" w:rsidTr="00B44AC3">
        <w:trPr>
          <w:trHeight w:val="283"/>
        </w:trPr>
        <w:tc>
          <w:tcPr>
            <w:tcW w:w="482" w:type="pct"/>
            <w:shd w:val="clear" w:color="auto" w:fill="auto"/>
            <w:vAlign w:val="center"/>
            <w:hideMark/>
          </w:tcPr>
          <w:p w14:paraId="5D2A3288" w14:textId="77777777" w:rsidR="008A4BCF" w:rsidRPr="00123812" w:rsidRDefault="008A4BCF" w:rsidP="00B44AC3">
            <w:pPr>
              <w:spacing w:after="0" w:line="240" w:lineRule="auto"/>
              <w:jc w:val="left"/>
              <w:rPr>
                <w:rFonts w:eastAsia="Times New Roman" w:cs="Segoe UI"/>
                <w:color w:val="000000"/>
                <w:sz w:val="18"/>
                <w:szCs w:val="18"/>
                <w:lang w:eastAsia="sk-SK"/>
              </w:rPr>
            </w:pPr>
            <w:r w:rsidRPr="00123812">
              <w:rPr>
                <w:rFonts w:eastAsia="Times New Roman" w:cs="Segoe UI"/>
                <w:color w:val="000000"/>
                <w:sz w:val="18"/>
                <w:szCs w:val="18"/>
                <w:lang w:eastAsia="sk-SK"/>
              </w:rPr>
              <w:t xml:space="preserve">MF SR </w:t>
            </w:r>
          </w:p>
        </w:tc>
        <w:tc>
          <w:tcPr>
            <w:tcW w:w="513" w:type="pct"/>
            <w:shd w:val="clear" w:color="auto" w:fill="auto"/>
            <w:noWrap/>
            <w:vAlign w:val="center"/>
            <w:hideMark/>
          </w:tcPr>
          <w:p w14:paraId="36E17355"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0,00</w:t>
            </w:r>
          </w:p>
        </w:tc>
        <w:tc>
          <w:tcPr>
            <w:tcW w:w="490" w:type="pct"/>
            <w:shd w:val="clear" w:color="auto" w:fill="auto"/>
            <w:noWrap/>
            <w:vAlign w:val="center"/>
            <w:hideMark/>
          </w:tcPr>
          <w:p w14:paraId="02125B40"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0,000</w:t>
            </w:r>
          </w:p>
        </w:tc>
        <w:tc>
          <w:tcPr>
            <w:tcW w:w="490" w:type="pct"/>
            <w:tcBorders>
              <w:top w:val="nil"/>
              <w:left w:val="nil"/>
              <w:bottom w:val="nil"/>
              <w:right w:val="nil"/>
            </w:tcBorders>
            <w:shd w:val="clear" w:color="auto" w:fill="auto"/>
          </w:tcPr>
          <w:p w14:paraId="154351C9"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A45DB7">
              <w:rPr>
                <w:rFonts w:eastAsia="Times New Roman" w:cs="Segoe UI"/>
                <w:color w:val="000000"/>
                <w:sz w:val="18"/>
                <w:szCs w:val="18"/>
                <w:lang w:eastAsia="sk-SK"/>
              </w:rPr>
              <w:t>–</w:t>
            </w:r>
          </w:p>
        </w:tc>
        <w:tc>
          <w:tcPr>
            <w:tcW w:w="513" w:type="pct"/>
            <w:tcBorders>
              <w:left w:val="single" w:sz="4" w:space="0" w:color="auto"/>
            </w:tcBorders>
            <w:shd w:val="clear" w:color="auto" w:fill="auto"/>
            <w:noWrap/>
            <w:vAlign w:val="center"/>
            <w:hideMark/>
          </w:tcPr>
          <w:p w14:paraId="52A553F4"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0,00</w:t>
            </w:r>
          </w:p>
        </w:tc>
        <w:tc>
          <w:tcPr>
            <w:tcW w:w="490" w:type="pct"/>
            <w:shd w:val="clear" w:color="auto" w:fill="auto"/>
            <w:noWrap/>
            <w:vAlign w:val="center"/>
            <w:hideMark/>
          </w:tcPr>
          <w:p w14:paraId="2B929082"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0,000</w:t>
            </w:r>
          </w:p>
        </w:tc>
        <w:tc>
          <w:tcPr>
            <w:tcW w:w="496" w:type="pct"/>
            <w:tcBorders>
              <w:top w:val="nil"/>
              <w:left w:val="nil"/>
              <w:bottom w:val="nil"/>
              <w:right w:val="nil"/>
            </w:tcBorders>
            <w:shd w:val="clear" w:color="auto" w:fill="auto"/>
          </w:tcPr>
          <w:p w14:paraId="30BE8F0A"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A45DB7">
              <w:rPr>
                <w:rFonts w:eastAsia="Times New Roman" w:cs="Segoe UI"/>
                <w:color w:val="000000"/>
                <w:sz w:val="18"/>
                <w:szCs w:val="18"/>
                <w:lang w:eastAsia="sk-SK"/>
              </w:rPr>
              <w:t>–</w:t>
            </w:r>
          </w:p>
        </w:tc>
        <w:tc>
          <w:tcPr>
            <w:tcW w:w="513" w:type="pct"/>
            <w:tcBorders>
              <w:left w:val="single" w:sz="4" w:space="0" w:color="auto"/>
            </w:tcBorders>
            <w:shd w:val="clear" w:color="auto" w:fill="auto"/>
            <w:noWrap/>
            <w:vAlign w:val="center"/>
            <w:hideMark/>
          </w:tcPr>
          <w:p w14:paraId="198234DF"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1,56</w:t>
            </w:r>
          </w:p>
        </w:tc>
        <w:tc>
          <w:tcPr>
            <w:tcW w:w="509" w:type="pct"/>
            <w:shd w:val="clear" w:color="auto" w:fill="auto"/>
            <w:noWrap/>
            <w:vAlign w:val="center"/>
            <w:hideMark/>
          </w:tcPr>
          <w:p w14:paraId="3333185E"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0</w:t>
            </w:r>
          </w:p>
        </w:tc>
        <w:tc>
          <w:tcPr>
            <w:tcW w:w="504" w:type="pct"/>
            <w:tcBorders>
              <w:top w:val="nil"/>
              <w:left w:val="nil"/>
              <w:bottom w:val="nil"/>
              <w:right w:val="nil"/>
            </w:tcBorders>
            <w:shd w:val="clear" w:color="auto" w:fill="auto"/>
            <w:vAlign w:val="center"/>
          </w:tcPr>
          <w:p w14:paraId="4A3AA152"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cs="Segoe UI"/>
                <w:color w:val="000000"/>
                <w:sz w:val="18"/>
                <w:szCs w:val="18"/>
              </w:rPr>
              <w:t>0,00</w:t>
            </w:r>
          </w:p>
        </w:tc>
      </w:tr>
      <w:tr w:rsidR="008A4BCF" w:rsidRPr="00123812" w14:paraId="07ED6E8E" w14:textId="77777777" w:rsidTr="00B44AC3">
        <w:trPr>
          <w:trHeight w:val="283"/>
        </w:trPr>
        <w:tc>
          <w:tcPr>
            <w:tcW w:w="482" w:type="pct"/>
            <w:tcBorders>
              <w:bottom w:val="nil"/>
            </w:tcBorders>
            <w:shd w:val="clear" w:color="auto" w:fill="auto"/>
            <w:vAlign w:val="center"/>
            <w:hideMark/>
          </w:tcPr>
          <w:p w14:paraId="5C306B3F" w14:textId="77777777" w:rsidR="008A4BCF" w:rsidRPr="00123812" w:rsidRDefault="008A4BCF" w:rsidP="00B44AC3">
            <w:pPr>
              <w:spacing w:after="0" w:line="240" w:lineRule="auto"/>
              <w:jc w:val="left"/>
              <w:rPr>
                <w:rFonts w:eastAsia="Times New Roman" w:cs="Segoe UI"/>
                <w:color w:val="000000"/>
                <w:sz w:val="18"/>
                <w:szCs w:val="18"/>
                <w:lang w:eastAsia="sk-SK"/>
              </w:rPr>
            </w:pPr>
            <w:r w:rsidRPr="00123812">
              <w:rPr>
                <w:rFonts w:eastAsia="Times New Roman" w:cs="Segoe UI"/>
                <w:color w:val="000000"/>
                <w:sz w:val="18"/>
                <w:szCs w:val="18"/>
                <w:lang w:eastAsia="sk-SK"/>
              </w:rPr>
              <w:t>MD SR</w:t>
            </w:r>
          </w:p>
        </w:tc>
        <w:tc>
          <w:tcPr>
            <w:tcW w:w="513" w:type="pct"/>
            <w:tcBorders>
              <w:bottom w:val="nil"/>
            </w:tcBorders>
            <w:shd w:val="clear" w:color="auto" w:fill="auto"/>
            <w:noWrap/>
            <w:vAlign w:val="center"/>
            <w:hideMark/>
          </w:tcPr>
          <w:p w14:paraId="488F497F"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150,55</w:t>
            </w:r>
          </w:p>
        </w:tc>
        <w:tc>
          <w:tcPr>
            <w:tcW w:w="490" w:type="pct"/>
            <w:tcBorders>
              <w:bottom w:val="nil"/>
            </w:tcBorders>
            <w:shd w:val="clear" w:color="auto" w:fill="auto"/>
            <w:noWrap/>
            <w:vAlign w:val="center"/>
            <w:hideMark/>
          </w:tcPr>
          <w:p w14:paraId="3C035F69"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0,000</w:t>
            </w:r>
          </w:p>
        </w:tc>
        <w:tc>
          <w:tcPr>
            <w:tcW w:w="490" w:type="pct"/>
            <w:tcBorders>
              <w:top w:val="nil"/>
              <w:left w:val="nil"/>
              <w:bottom w:val="nil"/>
              <w:right w:val="nil"/>
            </w:tcBorders>
            <w:shd w:val="clear" w:color="auto" w:fill="auto"/>
            <w:vAlign w:val="center"/>
          </w:tcPr>
          <w:p w14:paraId="6870038D"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cs="Segoe UI"/>
                <w:color w:val="000000"/>
                <w:sz w:val="18"/>
                <w:szCs w:val="18"/>
              </w:rPr>
              <w:t>0,00</w:t>
            </w:r>
          </w:p>
        </w:tc>
        <w:tc>
          <w:tcPr>
            <w:tcW w:w="513" w:type="pct"/>
            <w:tcBorders>
              <w:left w:val="single" w:sz="4" w:space="0" w:color="auto"/>
              <w:bottom w:val="nil"/>
            </w:tcBorders>
            <w:shd w:val="clear" w:color="auto" w:fill="auto"/>
            <w:noWrap/>
            <w:vAlign w:val="center"/>
            <w:hideMark/>
          </w:tcPr>
          <w:p w14:paraId="2C453235"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146,59</w:t>
            </w:r>
          </w:p>
        </w:tc>
        <w:tc>
          <w:tcPr>
            <w:tcW w:w="490" w:type="pct"/>
            <w:tcBorders>
              <w:bottom w:val="nil"/>
            </w:tcBorders>
            <w:shd w:val="clear" w:color="auto" w:fill="auto"/>
            <w:noWrap/>
            <w:vAlign w:val="center"/>
            <w:hideMark/>
          </w:tcPr>
          <w:p w14:paraId="75A3EA00"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0,332</w:t>
            </w:r>
          </w:p>
        </w:tc>
        <w:tc>
          <w:tcPr>
            <w:tcW w:w="496" w:type="pct"/>
            <w:tcBorders>
              <w:top w:val="nil"/>
              <w:left w:val="nil"/>
              <w:bottom w:val="nil"/>
              <w:right w:val="nil"/>
            </w:tcBorders>
            <w:shd w:val="clear" w:color="auto" w:fill="auto"/>
            <w:vAlign w:val="center"/>
          </w:tcPr>
          <w:p w14:paraId="2C54FE88"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cs="Segoe UI"/>
                <w:color w:val="000000"/>
                <w:sz w:val="18"/>
                <w:szCs w:val="18"/>
              </w:rPr>
              <w:t>0,23</w:t>
            </w:r>
          </w:p>
        </w:tc>
        <w:tc>
          <w:tcPr>
            <w:tcW w:w="513" w:type="pct"/>
            <w:tcBorders>
              <w:left w:val="single" w:sz="4" w:space="0" w:color="auto"/>
              <w:bottom w:val="nil"/>
            </w:tcBorders>
            <w:shd w:val="clear" w:color="auto" w:fill="auto"/>
            <w:noWrap/>
            <w:vAlign w:val="center"/>
            <w:hideMark/>
          </w:tcPr>
          <w:p w14:paraId="53B57D0C"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164,27</w:t>
            </w:r>
          </w:p>
        </w:tc>
        <w:tc>
          <w:tcPr>
            <w:tcW w:w="509" w:type="pct"/>
            <w:tcBorders>
              <w:bottom w:val="nil"/>
            </w:tcBorders>
            <w:shd w:val="clear" w:color="auto" w:fill="auto"/>
            <w:noWrap/>
            <w:vAlign w:val="center"/>
            <w:hideMark/>
          </w:tcPr>
          <w:p w14:paraId="748B26CC"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2,64</w:t>
            </w:r>
          </w:p>
        </w:tc>
        <w:tc>
          <w:tcPr>
            <w:tcW w:w="504" w:type="pct"/>
            <w:tcBorders>
              <w:top w:val="nil"/>
              <w:left w:val="nil"/>
              <w:bottom w:val="nil"/>
              <w:right w:val="nil"/>
            </w:tcBorders>
            <w:shd w:val="clear" w:color="auto" w:fill="auto"/>
            <w:vAlign w:val="center"/>
          </w:tcPr>
          <w:p w14:paraId="195C6077"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cs="Segoe UI"/>
                <w:color w:val="000000"/>
                <w:sz w:val="18"/>
                <w:szCs w:val="18"/>
              </w:rPr>
              <w:t>1,61</w:t>
            </w:r>
          </w:p>
        </w:tc>
      </w:tr>
      <w:tr w:rsidR="008A4BCF" w:rsidRPr="00123812" w14:paraId="1943456D" w14:textId="77777777" w:rsidTr="00B44AC3">
        <w:trPr>
          <w:trHeight w:val="283"/>
        </w:trPr>
        <w:tc>
          <w:tcPr>
            <w:tcW w:w="482" w:type="pct"/>
            <w:tcBorders>
              <w:bottom w:val="single" w:sz="4" w:space="0" w:color="auto"/>
            </w:tcBorders>
            <w:shd w:val="clear" w:color="auto" w:fill="auto"/>
            <w:vAlign w:val="center"/>
            <w:hideMark/>
          </w:tcPr>
          <w:p w14:paraId="3AB6EF57" w14:textId="77777777" w:rsidR="008A4BCF" w:rsidRPr="00123812" w:rsidRDefault="008A4BCF" w:rsidP="00B44AC3">
            <w:pPr>
              <w:spacing w:after="0" w:line="240" w:lineRule="auto"/>
              <w:jc w:val="left"/>
              <w:rPr>
                <w:rFonts w:eastAsia="Times New Roman" w:cs="Segoe UI"/>
                <w:color w:val="000000"/>
                <w:sz w:val="18"/>
                <w:szCs w:val="18"/>
                <w:lang w:eastAsia="sk-SK"/>
              </w:rPr>
            </w:pPr>
            <w:r w:rsidRPr="00123812">
              <w:rPr>
                <w:rFonts w:eastAsia="Times New Roman" w:cs="Segoe UI"/>
                <w:color w:val="000000"/>
                <w:sz w:val="18"/>
                <w:szCs w:val="18"/>
                <w:lang w:eastAsia="sk-SK"/>
              </w:rPr>
              <w:t>Spolu</w:t>
            </w:r>
          </w:p>
        </w:tc>
        <w:tc>
          <w:tcPr>
            <w:tcW w:w="513" w:type="pct"/>
            <w:tcBorders>
              <w:bottom w:val="single" w:sz="4" w:space="0" w:color="auto"/>
            </w:tcBorders>
            <w:shd w:val="clear" w:color="auto" w:fill="auto"/>
            <w:noWrap/>
            <w:vAlign w:val="center"/>
            <w:hideMark/>
          </w:tcPr>
          <w:p w14:paraId="1708A776"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1 301,97</w:t>
            </w:r>
          </w:p>
        </w:tc>
        <w:tc>
          <w:tcPr>
            <w:tcW w:w="490" w:type="pct"/>
            <w:tcBorders>
              <w:bottom w:val="single" w:sz="4" w:space="0" w:color="auto"/>
            </w:tcBorders>
            <w:shd w:val="clear" w:color="auto" w:fill="auto"/>
            <w:noWrap/>
            <w:vAlign w:val="center"/>
            <w:hideMark/>
          </w:tcPr>
          <w:p w14:paraId="420D1EF4"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48,966</w:t>
            </w:r>
          </w:p>
        </w:tc>
        <w:tc>
          <w:tcPr>
            <w:tcW w:w="490" w:type="pct"/>
            <w:tcBorders>
              <w:top w:val="nil"/>
              <w:left w:val="nil"/>
              <w:bottom w:val="single" w:sz="4" w:space="0" w:color="auto"/>
              <w:right w:val="nil"/>
            </w:tcBorders>
            <w:shd w:val="clear" w:color="auto" w:fill="auto"/>
            <w:vAlign w:val="center"/>
          </w:tcPr>
          <w:p w14:paraId="0C693C41"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cs="Segoe UI"/>
                <w:color w:val="000000"/>
                <w:sz w:val="18"/>
                <w:szCs w:val="18"/>
              </w:rPr>
              <w:t>3,76</w:t>
            </w:r>
          </w:p>
        </w:tc>
        <w:tc>
          <w:tcPr>
            <w:tcW w:w="513" w:type="pct"/>
            <w:tcBorders>
              <w:left w:val="single" w:sz="4" w:space="0" w:color="auto"/>
              <w:bottom w:val="single" w:sz="4" w:space="0" w:color="auto"/>
            </w:tcBorders>
            <w:shd w:val="clear" w:color="auto" w:fill="auto"/>
            <w:noWrap/>
            <w:vAlign w:val="center"/>
            <w:hideMark/>
          </w:tcPr>
          <w:p w14:paraId="3C393346"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2 011,25</w:t>
            </w:r>
          </w:p>
        </w:tc>
        <w:tc>
          <w:tcPr>
            <w:tcW w:w="490" w:type="pct"/>
            <w:tcBorders>
              <w:bottom w:val="single" w:sz="4" w:space="0" w:color="auto"/>
            </w:tcBorders>
            <w:shd w:val="clear" w:color="auto" w:fill="auto"/>
            <w:noWrap/>
            <w:vAlign w:val="center"/>
            <w:hideMark/>
          </w:tcPr>
          <w:p w14:paraId="7970DDF7"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374,174</w:t>
            </w:r>
          </w:p>
        </w:tc>
        <w:tc>
          <w:tcPr>
            <w:tcW w:w="496" w:type="pct"/>
            <w:tcBorders>
              <w:top w:val="nil"/>
              <w:left w:val="nil"/>
              <w:bottom w:val="single" w:sz="4" w:space="0" w:color="auto"/>
              <w:right w:val="nil"/>
            </w:tcBorders>
            <w:shd w:val="clear" w:color="auto" w:fill="auto"/>
            <w:vAlign w:val="center"/>
          </w:tcPr>
          <w:p w14:paraId="7A004F41"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cs="Segoe UI"/>
                <w:color w:val="000000"/>
                <w:sz w:val="18"/>
                <w:szCs w:val="18"/>
              </w:rPr>
              <w:t>18,60</w:t>
            </w:r>
          </w:p>
        </w:tc>
        <w:tc>
          <w:tcPr>
            <w:tcW w:w="513" w:type="pct"/>
            <w:tcBorders>
              <w:left w:val="single" w:sz="4" w:space="0" w:color="auto"/>
              <w:bottom w:val="single" w:sz="4" w:space="0" w:color="auto"/>
            </w:tcBorders>
            <w:shd w:val="clear" w:color="auto" w:fill="auto"/>
            <w:noWrap/>
            <w:vAlign w:val="center"/>
            <w:hideMark/>
          </w:tcPr>
          <w:p w14:paraId="78ED5AA2"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1 215,40</w:t>
            </w:r>
          </w:p>
        </w:tc>
        <w:tc>
          <w:tcPr>
            <w:tcW w:w="509" w:type="pct"/>
            <w:tcBorders>
              <w:bottom w:val="single" w:sz="4" w:space="0" w:color="auto"/>
            </w:tcBorders>
            <w:shd w:val="clear" w:color="auto" w:fill="auto"/>
            <w:noWrap/>
            <w:vAlign w:val="center"/>
            <w:hideMark/>
          </w:tcPr>
          <w:p w14:paraId="44BAF9F4"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eastAsia="Times New Roman" w:cs="Segoe UI"/>
                <w:color w:val="000000"/>
                <w:sz w:val="18"/>
                <w:szCs w:val="18"/>
                <w:lang w:eastAsia="sk-SK"/>
              </w:rPr>
              <w:t>44,14</w:t>
            </w:r>
          </w:p>
        </w:tc>
        <w:tc>
          <w:tcPr>
            <w:tcW w:w="504" w:type="pct"/>
            <w:tcBorders>
              <w:top w:val="nil"/>
              <w:left w:val="nil"/>
              <w:bottom w:val="single" w:sz="4" w:space="0" w:color="auto"/>
              <w:right w:val="nil"/>
            </w:tcBorders>
            <w:shd w:val="clear" w:color="auto" w:fill="auto"/>
            <w:vAlign w:val="center"/>
          </w:tcPr>
          <w:p w14:paraId="5413DE48" w14:textId="77777777" w:rsidR="008A4BCF" w:rsidRPr="00123812" w:rsidRDefault="008A4BCF" w:rsidP="00B44AC3">
            <w:pPr>
              <w:spacing w:after="0" w:line="240" w:lineRule="auto"/>
              <w:jc w:val="right"/>
              <w:rPr>
                <w:rFonts w:eastAsia="Times New Roman" w:cs="Segoe UI"/>
                <w:color w:val="000000"/>
                <w:sz w:val="18"/>
                <w:szCs w:val="18"/>
                <w:lang w:eastAsia="sk-SK"/>
              </w:rPr>
            </w:pPr>
            <w:r w:rsidRPr="00123812">
              <w:rPr>
                <w:rFonts w:cs="Segoe UI"/>
                <w:color w:val="000000"/>
                <w:sz w:val="18"/>
                <w:szCs w:val="18"/>
              </w:rPr>
              <w:t>3,63</w:t>
            </w:r>
          </w:p>
        </w:tc>
      </w:tr>
    </w:tbl>
    <w:p w14:paraId="44CB3533" w14:textId="77777777" w:rsidR="008A4BCF" w:rsidRPr="00AA6043" w:rsidRDefault="008A4BCF" w:rsidP="008A4BCF">
      <w:pPr>
        <w:pStyle w:val="Zdroj"/>
        <w:sectPr w:rsidR="008A4BCF" w:rsidRPr="00AA6043" w:rsidSect="00962F36">
          <w:headerReference w:type="default" r:id="rId64"/>
          <w:footerReference w:type="default" r:id="rId65"/>
          <w:pgSz w:w="11906" w:h="16838"/>
          <w:pgMar w:top="1418" w:right="1418" w:bottom="1134" w:left="1418" w:header="0" w:footer="709" w:gutter="0"/>
          <w:cols w:space="708"/>
          <w:docGrid w:linePitch="360"/>
        </w:sectPr>
      </w:pPr>
      <w:r w:rsidRPr="00B03AA7">
        <w:t>Zdroj: RIS</w:t>
      </w:r>
      <w:r>
        <w:t>.</w:t>
      </w:r>
      <w:r w:rsidRPr="00B03AA7">
        <w:br/>
        <w:t>*čerpanie je k 30. 4. 2024</w:t>
      </w:r>
      <w:r w:rsidRPr="00322F02">
        <w:t xml:space="preserve"> </w:t>
      </w:r>
    </w:p>
    <w:tbl>
      <w:tblPr>
        <w:tblStyle w:val="Mriekatabuky"/>
        <w:tblW w:w="0" w:type="auto"/>
        <w:tblBorders>
          <w:top w:val="single" w:sz="4" w:space="0" w:color="314364" w:themeColor="text2"/>
          <w:left w:val="single" w:sz="4" w:space="0" w:color="314364" w:themeColor="text2"/>
          <w:bottom w:val="single" w:sz="4" w:space="0" w:color="314364" w:themeColor="text2"/>
          <w:right w:val="single" w:sz="4" w:space="0" w:color="314364" w:themeColor="text2"/>
          <w:insideH w:val="none" w:sz="0" w:space="0" w:color="auto"/>
          <w:insideV w:val="none" w:sz="0" w:space="0" w:color="auto"/>
        </w:tblBorders>
        <w:shd w:val="clear" w:color="auto" w:fill="EBF0FB" w:themeFill="background2" w:themeFillTint="33"/>
        <w:tblLook w:val="04A0" w:firstRow="1" w:lastRow="0" w:firstColumn="1" w:lastColumn="0" w:noHBand="0" w:noVBand="1"/>
      </w:tblPr>
      <w:tblGrid>
        <w:gridCol w:w="9060"/>
      </w:tblGrid>
      <w:tr w:rsidR="008A4BCF" w:rsidRPr="00324A0D" w14:paraId="0175FFBD" w14:textId="77777777" w:rsidTr="00B44AC3">
        <w:tc>
          <w:tcPr>
            <w:tcW w:w="9060" w:type="dxa"/>
            <w:shd w:val="clear" w:color="auto" w:fill="EBF0FB" w:themeFill="background2" w:themeFillTint="33"/>
          </w:tcPr>
          <w:p w14:paraId="42C4ADC2" w14:textId="77777777" w:rsidR="008A4BCF" w:rsidRPr="00324A0D" w:rsidRDefault="008A4BCF" w:rsidP="00B44AC3">
            <w:pPr>
              <w:spacing w:before="120"/>
              <w:rPr>
                <w:rFonts w:cs="Segoe UI"/>
                <w:b/>
                <w:sz w:val="18"/>
                <w:szCs w:val="18"/>
              </w:rPr>
            </w:pPr>
            <w:r w:rsidRPr="00A97B00">
              <w:rPr>
                <w:rFonts w:cs="Segoe UI"/>
                <w:b/>
                <w:sz w:val="18"/>
                <w:szCs w:val="18"/>
              </w:rPr>
              <w:lastRenderedPageBreak/>
              <w:t xml:space="preserve">BOX </w:t>
            </w:r>
            <w:r>
              <w:rPr>
                <w:rFonts w:cs="Segoe UI"/>
                <w:b/>
                <w:sz w:val="18"/>
                <w:szCs w:val="18"/>
              </w:rPr>
              <w:t>9</w:t>
            </w:r>
            <w:r w:rsidRPr="00A97B00">
              <w:rPr>
                <w:rFonts w:cs="Segoe UI"/>
                <w:b/>
                <w:sz w:val="18"/>
                <w:szCs w:val="18"/>
              </w:rPr>
              <w:t>:</w:t>
            </w:r>
            <w:r w:rsidRPr="00324A0D">
              <w:rPr>
                <w:rFonts w:cs="Segoe UI"/>
                <w:b/>
                <w:sz w:val="18"/>
                <w:szCs w:val="18"/>
              </w:rPr>
              <w:t xml:space="preserve"> Zistenia</w:t>
            </w:r>
            <w:r>
              <w:rPr>
                <w:rFonts w:cs="Segoe UI"/>
                <w:b/>
                <w:sz w:val="18"/>
                <w:szCs w:val="18"/>
              </w:rPr>
              <w:t>, odporúčania a dopad činnosti</w:t>
            </w:r>
            <w:r w:rsidRPr="00324A0D">
              <w:rPr>
                <w:rFonts w:cs="Segoe UI"/>
                <w:b/>
                <w:sz w:val="18"/>
                <w:szCs w:val="18"/>
              </w:rPr>
              <w:t xml:space="preserve"> NKÚ SR v roku 2023 v územnej samospráve</w:t>
            </w:r>
          </w:p>
          <w:p w14:paraId="0E4AC937" w14:textId="77777777" w:rsidR="008A4BCF" w:rsidRPr="00324A0D" w:rsidRDefault="008A4BCF" w:rsidP="00B44AC3">
            <w:pPr>
              <w:spacing w:line="240" w:lineRule="auto"/>
              <w:rPr>
                <w:rFonts w:cs="Segoe UI"/>
                <w:sz w:val="18"/>
                <w:szCs w:val="18"/>
              </w:rPr>
            </w:pPr>
            <w:r w:rsidRPr="00324A0D">
              <w:rPr>
                <w:rFonts w:cs="Segoe UI"/>
                <w:b/>
                <w:sz w:val="18"/>
                <w:szCs w:val="18"/>
              </w:rPr>
              <w:t xml:space="preserve">1) Porušenia zákona o rozpočtových pravidlách </w:t>
            </w:r>
            <w:r>
              <w:rPr>
                <w:rFonts w:cs="Segoe UI"/>
                <w:b/>
                <w:sz w:val="18"/>
                <w:szCs w:val="18"/>
              </w:rPr>
              <w:t>VS</w:t>
            </w:r>
            <w:r w:rsidRPr="00324A0D">
              <w:rPr>
                <w:rFonts w:cs="Segoe UI"/>
                <w:b/>
                <w:sz w:val="18"/>
                <w:szCs w:val="18"/>
              </w:rPr>
              <w:t xml:space="preserve"> (zákon č. 523/2004 Z. z. v znení neskorších predpisov), územnej samosprávy (zákon č. 583/2004 Z. z. v znení neskorších predpisov)</w:t>
            </w:r>
          </w:p>
          <w:p w14:paraId="6615FF5F" w14:textId="77777777" w:rsidR="008A4BCF" w:rsidRPr="00324A0D" w:rsidRDefault="008A4BCF" w:rsidP="00B44AC3">
            <w:pPr>
              <w:spacing w:line="240" w:lineRule="auto"/>
              <w:rPr>
                <w:rFonts w:cs="Segoe UI"/>
                <w:sz w:val="18"/>
                <w:szCs w:val="18"/>
              </w:rPr>
            </w:pPr>
            <w:r w:rsidRPr="00324A0D">
              <w:rPr>
                <w:rFonts w:cs="Segoe UI"/>
                <w:sz w:val="18"/>
                <w:szCs w:val="18"/>
              </w:rPr>
              <w:t xml:space="preserve">NKÚ SR odstúpil 10 prípadov týkajúcich sa porušenia finančnej disciplíny na Úrad vládneho auditu z nasledovných </w:t>
            </w:r>
            <w:r>
              <w:rPr>
                <w:rFonts w:cs="Segoe UI"/>
                <w:sz w:val="18"/>
                <w:szCs w:val="18"/>
              </w:rPr>
              <w:t>kontrol</w:t>
            </w:r>
            <w:r w:rsidRPr="00324A0D">
              <w:rPr>
                <w:rFonts w:cs="Segoe UI"/>
                <w:sz w:val="18"/>
                <w:szCs w:val="18"/>
              </w:rPr>
              <w:t>/podneto</w:t>
            </w:r>
            <w:r>
              <w:rPr>
                <w:rFonts w:cs="Segoe UI"/>
                <w:sz w:val="18"/>
                <w:szCs w:val="18"/>
              </w:rPr>
              <w:t>v</w:t>
            </w:r>
            <w:r w:rsidRPr="00324A0D">
              <w:rPr>
                <w:rFonts w:cs="Segoe UI"/>
                <w:sz w:val="18"/>
                <w:szCs w:val="18"/>
              </w:rPr>
              <w:t>:</w:t>
            </w:r>
          </w:p>
          <w:p w14:paraId="74F2C8C8" w14:textId="77777777" w:rsidR="008A4BCF" w:rsidRPr="0084133A" w:rsidRDefault="008A4BCF" w:rsidP="00B44AC3">
            <w:pPr>
              <w:pStyle w:val="Odsekzoznamu"/>
              <w:numPr>
                <w:ilvl w:val="0"/>
                <w:numId w:val="12"/>
              </w:numPr>
              <w:spacing w:line="240" w:lineRule="auto"/>
              <w:ind w:left="169" w:hanging="142"/>
              <w:rPr>
                <w:rFonts w:cs="Segoe UI"/>
                <w:sz w:val="18"/>
                <w:szCs w:val="18"/>
              </w:rPr>
            </w:pPr>
            <w:r w:rsidRPr="0084133A">
              <w:rPr>
                <w:rFonts w:cs="Segoe UI"/>
                <w:i/>
                <w:sz w:val="18"/>
                <w:szCs w:val="18"/>
              </w:rPr>
              <w:t xml:space="preserve">Poskytovanie pomoci v hmotnej núdzi </w:t>
            </w:r>
            <w:r w:rsidRPr="0084133A">
              <w:rPr>
                <w:rFonts w:cs="Segoe UI"/>
                <w:sz w:val="18"/>
                <w:szCs w:val="18"/>
                <w:lang w:val="en-US"/>
              </w:rPr>
              <w:t>[</w:t>
            </w:r>
            <w:hyperlink r:id="rId66" w:history="1">
              <w:r w:rsidRPr="0084133A">
                <w:rPr>
                  <w:rStyle w:val="Hypertextovprepojenie"/>
                  <w:rFonts w:cs="Segoe UI"/>
                  <w:sz w:val="18"/>
                  <w:szCs w:val="18"/>
                </w:rPr>
                <w:t>online</w:t>
              </w:r>
            </w:hyperlink>
            <w:r w:rsidRPr="0084133A">
              <w:rPr>
                <w:rFonts w:cs="Segoe UI"/>
                <w:sz w:val="18"/>
                <w:szCs w:val="18"/>
              </w:rPr>
              <w:t>]</w:t>
            </w:r>
            <w:r>
              <w:rPr>
                <w:rFonts w:cs="Segoe UI"/>
                <w:sz w:val="18"/>
                <w:szCs w:val="18"/>
              </w:rPr>
              <w:t>;</w:t>
            </w:r>
          </w:p>
          <w:p w14:paraId="210DA8BA" w14:textId="77777777" w:rsidR="008A4BCF" w:rsidRPr="0084133A" w:rsidRDefault="008A4BCF" w:rsidP="00B44AC3">
            <w:pPr>
              <w:pStyle w:val="Odsekzoznamu"/>
              <w:numPr>
                <w:ilvl w:val="0"/>
                <w:numId w:val="12"/>
              </w:numPr>
              <w:spacing w:line="240" w:lineRule="auto"/>
              <w:ind w:left="169" w:hanging="142"/>
              <w:rPr>
                <w:rFonts w:cs="Segoe UI"/>
                <w:sz w:val="18"/>
                <w:szCs w:val="18"/>
              </w:rPr>
            </w:pPr>
            <w:r w:rsidRPr="0084133A">
              <w:rPr>
                <w:rFonts w:cs="Segoe UI"/>
                <w:i/>
                <w:sz w:val="18"/>
                <w:szCs w:val="18"/>
              </w:rPr>
              <w:t xml:space="preserve">Využívanie Elektronického systému monitoring obvinených a odsúdených osôb </w:t>
            </w:r>
            <w:r>
              <w:rPr>
                <w:rFonts w:cs="Segoe UI"/>
                <w:sz w:val="18"/>
                <w:szCs w:val="18"/>
              </w:rPr>
              <w:t>[</w:t>
            </w:r>
            <w:hyperlink r:id="rId67" w:history="1">
              <w:r w:rsidRPr="0084133A">
                <w:rPr>
                  <w:rStyle w:val="Hypertextovprepojenie"/>
                  <w:rFonts w:cs="Segoe UI"/>
                  <w:sz w:val="18"/>
                  <w:szCs w:val="18"/>
                </w:rPr>
                <w:t>online</w:t>
              </w:r>
            </w:hyperlink>
            <w:r>
              <w:rPr>
                <w:rStyle w:val="Hypertextovprepojenie"/>
                <w:rFonts w:cs="Segoe UI"/>
                <w:sz w:val="18"/>
                <w:szCs w:val="18"/>
              </w:rPr>
              <w:t>]</w:t>
            </w:r>
            <w:r>
              <w:rPr>
                <w:rFonts w:cs="Segoe UI"/>
                <w:sz w:val="18"/>
                <w:szCs w:val="18"/>
              </w:rPr>
              <w:t>;</w:t>
            </w:r>
          </w:p>
          <w:p w14:paraId="240EBC04" w14:textId="77777777" w:rsidR="008A4BCF" w:rsidRPr="0084133A" w:rsidRDefault="008A4BCF" w:rsidP="00B44AC3">
            <w:pPr>
              <w:pStyle w:val="Odsekzoznamu"/>
              <w:numPr>
                <w:ilvl w:val="0"/>
                <w:numId w:val="12"/>
              </w:numPr>
              <w:spacing w:line="240" w:lineRule="auto"/>
              <w:ind w:left="169" w:hanging="142"/>
              <w:rPr>
                <w:rFonts w:cs="Segoe UI"/>
                <w:sz w:val="18"/>
                <w:szCs w:val="18"/>
              </w:rPr>
            </w:pPr>
            <w:r w:rsidRPr="0084133A">
              <w:rPr>
                <w:rFonts w:cs="Segoe UI"/>
                <w:i/>
                <w:sz w:val="18"/>
                <w:szCs w:val="18"/>
              </w:rPr>
              <w:t>Systém riadenia, financovania a plnenia vybraných úloh NPPC (</w:t>
            </w:r>
            <w:r>
              <w:rPr>
                <w:rFonts w:cs="Segoe UI"/>
                <w:i/>
                <w:sz w:val="18"/>
                <w:szCs w:val="18"/>
              </w:rPr>
              <w:t>sedem</w:t>
            </w:r>
            <w:r w:rsidRPr="0084133A">
              <w:rPr>
                <w:rFonts w:cs="Segoe UI"/>
                <w:i/>
                <w:sz w:val="18"/>
                <w:szCs w:val="18"/>
              </w:rPr>
              <w:t xml:space="preserve"> oznámení)</w:t>
            </w:r>
            <w:r w:rsidRPr="0084133A">
              <w:rPr>
                <w:rFonts w:cs="Segoe UI"/>
                <w:sz w:val="18"/>
                <w:szCs w:val="18"/>
              </w:rPr>
              <w:t xml:space="preserve"> </w:t>
            </w:r>
            <w:r>
              <w:rPr>
                <w:rFonts w:cs="Segoe UI"/>
                <w:sz w:val="18"/>
                <w:szCs w:val="18"/>
              </w:rPr>
              <w:t>[</w:t>
            </w:r>
            <w:hyperlink r:id="rId68" w:history="1">
              <w:r w:rsidRPr="0084133A">
                <w:rPr>
                  <w:rStyle w:val="Hypertextovprepojenie"/>
                  <w:rFonts w:cs="Segoe UI"/>
                  <w:sz w:val="18"/>
                  <w:szCs w:val="18"/>
                </w:rPr>
                <w:t>online</w:t>
              </w:r>
            </w:hyperlink>
            <w:r>
              <w:rPr>
                <w:rFonts w:cs="Segoe UI"/>
                <w:sz w:val="18"/>
                <w:szCs w:val="18"/>
              </w:rPr>
              <w:t>];</w:t>
            </w:r>
          </w:p>
          <w:p w14:paraId="644FB420" w14:textId="77777777" w:rsidR="008A4BCF" w:rsidRPr="0074250A" w:rsidRDefault="008A4BCF" w:rsidP="00B44AC3">
            <w:pPr>
              <w:pStyle w:val="Odsekzoznamu"/>
              <w:numPr>
                <w:ilvl w:val="0"/>
                <w:numId w:val="12"/>
              </w:numPr>
              <w:spacing w:line="240" w:lineRule="auto"/>
              <w:ind w:left="169" w:hanging="142"/>
              <w:rPr>
                <w:rFonts w:cs="Segoe UI"/>
                <w:sz w:val="18"/>
                <w:szCs w:val="18"/>
              </w:rPr>
            </w:pPr>
            <w:r w:rsidRPr="0084133A">
              <w:rPr>
                <w:i/>
                <w:sz w:val="18"/>
                <w:szCs w:val="18"/>
              </w:rPr>
              <w:t>Postúpenie veci na základe podnetu v obci Vyšný Mirošov z dôvodu identifikovaných správnych deliktov</w:t>
            </w:r>
            <w:r w:rsidRPr="0084133A">
              <w:rPr>
                <w:sz w:val="18"/>
                <w:szCs w:val="18"/>
              </w:rPr>
              <w:t>.</w:t>
            </w:r>
          </w:p>
          <w:p w14:paraId="60BE2530" w14:textId="77777777" w:rsidR="008A4BCF" w:rsidRPr="00324A0D" w:rsidRDefault="008A4BCF" w:rsidP="00B44AC3">
            <w:pPr>
              <w:pStyle w:val="Normlnywebov"/>
              <w:spacing w:before="0" w:beforeAutospacing="0" w:after="120" w:afterAutospacing="0"/>
              <w:jc w:val="both"/>
              <w:rPr>
                <w:rFonts w:ascii="Segoe UI" w:hAnsi="Segoe UI" w:cs="Segoe UI"/>
                <w:b/>
                <w:sz w:val="18"/>
                <w:szCs w:val="18"/>
                <w:lang w:eastAsia="en-US"/>
              </w:rPr>
            </w:pPr>
            <w:r>
              <w:rPr>
                <w:rFonts w:ascii="Segoe UI" w:hAnsi="Segoe UI" w:cs="Segoe UI"/>
                <w:b/>
                <w:sz w:val="18"/>
                <w:szCs w:val="18"/>
                <w:lang w:eastAsia="en-US"/>
              </w:rPr>
              <w:t>2</w:t>
            </w:r>
            <w:r w:rsidRPr="00324A0D">
              <w:rPr>
                <w:rFonts w:ascii="Segoe UI" w:hAnsi="Segoe UI" w:cs="Segoe UI"/>
                <w:b/>
                <w:sz w:val="18"/>
                <w:szCs w:val="18"/>
                <w:lang w:eastAsia="en-US"/>
              </w:rPr>
              <w:t>) Zmena legislatívy</w:t>
            </w:r>
          </w:p>
          <w:p w14:paraId="79A57C0C" w14:textId="77777777" w:rsidR="008A4BCF" w:rsidRPr="0074250A" w:rsidRDefault="008A4BCF" w:rsidP="00B44AC3">
            <w:pPr>
              <w:pStyle w:val="Textpoznmkypodiarou"/>
              <w:rPr>
                <w:rFonts w:cs="Segoe UI"/>
                <w:sz w:val="18"/>
                <w:szCs w:val="18"/>
              </w:rPr>
            </w:pPr>
            <w:r w:rsidRPr="0074250A">
              <w:rPr>
                <w:rFonts w:cs="Segoe UI"/>
                <w:b/>
                <w:bCs/>
                <w:sz w:val="18"/>
                <w:szCs w:val="18"/>
              </w:rPr>
              <w:t>Na základe výsledkov kontroly v samosprávach obcí a odporúčaní NKÚ SR, bola prijatá novela zákona o majetku obcí a o obecnom zriadení č. 137/2023 Z. z.</w:t>
            </w:r>
            <w:r w:rsidRPr="0074250A">
              <w:rPr>
                <w:rFonts w:cs="Segoe UI"/>
                <w:bCs/>
                <w:sz w:val="18"/>
                <w:szCs w:val="18"/>
              </w:rPr>
              <w:t xml:space="preserve"> </w:t>
            </w:r>
            <w:r w:rsidRPr="0074250A">
              <w:rPr>
                <w:rFonts w:cs="Segoe UI"/>
                <w:sz w:val="18"/>
                <w:szCs w:val="18"/>
              </w:rPr>
              <w:t xml:space="preserve">V dôsledku nejednoznačnej legislatívy dochádzalo k ľahkovážnemu a nevýhodnému nakladaniu s majetkom obcí, na čo upozorňoval NKÚ SR na základe výsledkov kontroly </w:t>
            </w:r>
            <w:r>
              <w:rPr>
                <w:rFonts w:cs="Segoe UI"/>
                <w:sz w:val="18"/>
                <w:szCs w:val="18"/>
              </w:rPr>
              <w:t>z roku</w:t>
            </w:r>
            <w:r w:rsidRPr="00DB26F8">
              <w:rPr>
                <w:szCs w:val="16"/>
              </w:rPr>
              <w:t xml:space="preserve"> 2020 </w:t>
            </w:r>
            <w:r>
              <w:rPr>
                <w:szCs w:val="16"/>
              </w:rPr>
              <w:t>(</w:t>
            </w:r>
            <w:r w:rsidRPr="00AB48FD">
              <w:rPr>
                <w:i/>
                <w:szCs w:val="16"/>
              </w:rPr>
              <w:t>Prevody nehnuteľného majetku obcí</w:t>
            </w:r>
            <w:r>
              <w:rPr>
                <w:szCs w:val="16"/>
              </w:rPr>
              <w:t>. [</w:t>
            </w:r>
            <w:hyperlink r:id="rId69" w:history="1">
              <w:r w:rsidRPr="00DB26F8">
                <w:rPr>
                  <w:rStyle w:val="Hypertextovprepojenie"/>
                  <w:sz w:val="16"/>
                  <w:szCs w:val="16"/>
                </w:rPr>
                <w:t>online</w:t>
              </w:r>
            </w:hyperlink>
            <w:r>
              <w:rPr>
                <w:szCs w:val="16"/>
              </w:rPr>
              <w:t>]).</w:t>
            </w:r>
            <w:r w:rsidRPr="0074250A">
              <w:rPr>
                <w:rFonts w:cs="Segoe UI"/>
                <w:sz w:val="18"/>
                <w:szCs w:val="18"/>
              </w:rPr>
              <w:t xml:space="preserve"> </w:t>
            </w:r>
            <w:r w:rsidRPr="0074250A">
              <w:rPr>
                <w:rFonts w:cs="Segoe UI"/>
                <w:bCs/>
                <w:sz w:val="18"/>
                <w:szCs w:val="18"/>
              </w:rPr>
              <w:t xml:space="preserve">Schválená novela zákona sa vo svojej druhej časti týka prevodu vlastníctva majetku obce, </w:t>
            </w:r>
            <w:r>
              <w:rPr>
                <w:rFonts w:cs="Segoe UI"/>
                <w:bCs/>
                <w:sz w:val="18"/>
                <w:szCs w:val="18"/>
              </w:rPr>
              <w:t xml:space="preserve">ide </w:t>
            </w:r>
            <w:r w:rsidRPr="0074250A">
              <w:rPr>
                <w:rFonts w:cs="Segoe UI"/>
                <w:bCs/>
                <w:sz w:val="18"/>
                <w:szCs w:val="18"/>
              </w:rPr>
              <w:t xml:space="preserve">najmä o novelizáciu ustanovení paragrafov 9, 9a a 9b. </w:t>
            </w:r>
            <w:r w:rsidRPr="0074250A">
              <w:rPr>
                <w:rFonts w:cs="Segoe UI"/>
                <w:sz w:val="18"/>
                <w:szCs w:val="18"/>
              </w:rPr>
              <w:t>Nové ustanovenia stanovujú kritériá pri prevodoch, ako aj nájmoch majetku obce a majú prispieť k jeho efektívnemu nakladaniu. Stanovujú verejne kontrolovateľný proces prevodu a nájmu majetku obce obchodnou verejnou súťažou od jej vyhlásenia až po samotný prevod a nájom majetku. Zásadnou zmenou, ktorú novela prináša, je stanovenie kritéria, ktorým je najvýhodnejšia ponuka obchodnej verejnej súťaže, a to pri prevode majetku obce, ako aj pri jeho prenechaní do nájmu, resp. najvyššia cena pri priamom predaji záujemcovi.</w:t>
            </w:r>
          </w:p>
          <w:p w14:paraId="5C94E1DA" w14:textId="77777777" w:rsidR="008A4BCF" w:rsidRPr="00324A0D" w:rsidRDefault="008A4BCF" w:rsidP="00B44AC3">
            <w:pPr>
              <w:spacing w:line="240" w:lineRule="auto"/>
              <w:rPr>
                <w:rFonts w:cs="Segoe UI"/>
                <w:b/>
                <w:sz w:val="18"/>
                <w:szCs w:val="18"/>
              </w:rPr>
            </w:pPr>
            <w:r>
              <w:rPr>
                <w:rFonts w:cs="Segoe UI"/>
                <w:b/>
                <w:sz w:val="18"/>
                <w:szCs w:val="18"/>
              </w:rPr>
              <w:t>3</w:t>
            </w:r>
            <w:r w:rsidRPr="00324A0D">
              <w:rPr>
                <w:rFonts w:cs="Segoe UI"/>
                <w:b/>
                <w:sz w:val="18"/>
                <w:szCs w:val="18"/>
              </w:rPr>
              <w:t xml:space="preserve">) </w:t>
            </w:r>
            <w:r>
              <w:rPr>
                <w:rFonts w:cs="Segoe UI"/>
                <w:b/>
                <w:sz w:val="18"/>
                <w:szCs w:val="18"/>
              </w:rPr>
              <w:t>Výsledky k</w:t>
            </w:r>
            <w:r w:rsidRPr="00324A0D">
              <w:rPr>
                <w:rFonts w:cs="Segoe UI"/>
                <w:b/>
                <w:sz w:val="18"/>
                <w:szCs w:val="18"/>
              </w:rPr>
              <w:t>ontrol NKÚ SR realizovan</w:t>
            </w:r>
            <w:r>
              <w:rPr>
                <w:rFonts w:cs="Segoe UI"/>
                <w:b/>
                <w:sz w:val="18"/>
                <w:szCs w:val="18"/>
              </w:rPr>
              <w:t>ých</w:t>
            </w:r>
            <w:r w:rsidRPr="00324A0D">
              <w:rPr>
                <w:rFonts w:cs="Segoe UI"/>
                <w:b/>
                <w:sz w:val="18"/>
                <w:szCs w:val="18"/>
              </w:rPr>
              <w:t xml:space="preserve"> v roku 2023</w:t>
            </w:r>
          </w:p>
          <w:p w14:paraId="56A94E06" w14:textId="77777777" w:rsidR="008A4BCF" w:rsidRPr="00324A0D" w:rsidRDefault="008A4BCF" w:rsidP="00B44AC3">
            <w:pPr>
              <w:spacing w:line="240" w:lineRule="auto"/>
              <w:rPr>
                <w:rFonts w:cs="Segoe UI"/>
                <w:i/>
                <w:sz w:val="18"/>
                <w:szCs w:val="18"/>
                <w:u w:val="single"/>
              </w:rPr>
            </w:pPr>
            <w:r w:rsidRPr="00324A0D">
              <w:rPr>
                <w:rFonts w:cs="Segoe UI"/>
                <w:i/>
                <w:sz w:val="18"/>
                <w:szCs w:val="18"/>
                <w:u w:val="single"/>
              </w:rPr>
              <w:t xml:space="preserve">Rozhodnutia obcí a miest v elektronickej podobe </w:t>
            </w:r>
            <w:r w:rsidRPr="0084133A">
              <w:rPr>
                <w:rFonts w:cs="Segoe UI"/>
                <w:sz w:val="18"/>
                <w:szCs w:val="18"/>
                <w:u w:val="single"/>
              </w:rPr>
              <w:t>[</w:t>
            </w:r>
            <w:hyperlink r:id="rId70" w:history="1">
              <w:r w:rsidRPr="0084133A">
                <w:rPr>
                  <w:rStyle w:val="Hypertextovprepojenie"/>
                  <w:rFonts w:cs="Segoe UI"/>
                  <w:sz w:val="18"/>
                  <w:szCs w:val="18"/>
                </w:rPr>
                <w:t>online</w:t>
              </w:r>
            </w:hyperlink>
            <w:r w:rsidRPr="0084133A">
              <w:rPr>
                <w:rStyle w:val="Hypertextovprepojenie"/>
                <w:rFonts w:cs="Segoe UI"/>
                <w:sz w:val="18"/>
                <w:szCs w:val="18"/>
              </w:rPr>
              <w:t>], [</w:t>
            </w:r>
            <w:hyperlink r:id="rId71" w:history="1">
              <w:r w:rsidRPr="0084133A">
                <w:rPr>
                  <w:rStyle w:val="Hypertextovprepojenie"/>
                  <w:rFonts w:cs="Segoe UI"/>
                  <w:sz w:val="18"/>
                  <w:szCs w:val="18"/>
                </w:rPr>
                <w:t>online</w:t>
              </w:r>
            </w:hyperlink>
            <w:r w:rsidRPr="0084133A">
              <w:rPr>
                <w:rStyle w:val="Hypertextovprepojenie"/>
                <w:rFonts w:cs="Segoe UI"/>
                <w:sz w:val="18"/>
                <w:szCs w:val="18"/>
              </w:rPr>
              <w:t>]</w:t>
            </w:r>
            <w:r w:rsidRPr="00324A0D">
              <w:rPr>
                <w:rStyle w:val="Hypertextovprepojenie"/>
                <w:rFonts w:cs="Segoe UI"/>
                <w:i/>
                <w:sz w:val="18"/>
                <w:szCs w:val="18"/>
              </w:rPr>
              <w:t xml:space="preserve"> </w:t>
            </w:r>
            <w:r w:rsidRPr="00324A0D">
              <w:rPr>
                <w:rFonts w:cs="Segoe UI"/>
                <w:i/>
                <w:sz w:val="18"/>
                <w:szCs w:val="18"/>
                <w:u w:val="single"/>
              </w:rPr>
              <w:t xml:space="preserve"> </w:t>
            </w:r>
          </w:p>
          <w:p w14:paraId="38231040" w14:textId="77777777" w:rsidR="008A4BCF" w:rsidRPr="00324A0D" w:rsidRDefault="008A4BCF" w:rsidP="00B44AC3">
            <w:pPr>
              <w:spacing w:line="240" w:lineRule="auto"/>
              <w:rPr>
                <w:rFonts w:cs="Segoe UI"/>
                <w:bCs/>
                <w:sz w:val="18"/>
                <w:szCs w:val="18"/>
              </w:rPr>
            </w:pPr>
            <w:r w:rsidRPr="00324A0D">
              <w:rPr>
                <w:rFonts w:cs="Segoe UI"/>
                <w:sz w:val="18"/>
                <w:szCs w:val="18"/>
              </w:rPr>
              <w:t>Kontrol</w:t>
            </w:r>
            <w:r>
              <w:rPr>
                <w:rFonts w:cs="Segoe UI"/>
                <w:sz w:val="18"/>
                <w:szCs w:val="18"/>
              </w:rPr>
              <w:t>a</w:t>
            </w:r>
            <w:r w:rsidRPr="00324A0D">
              <w:rPr>
                <w:rFonts w:cs="Segoe UI"/>
                <w:sz w:val="18"/>
                <w:szCs w:val="18"/>
              </w:rPr>
              <w:t xml:space="preserve"> bola zameraná na správu elektronických úradných dokumentov (rozhodnutí) obcami a mestami. Vyhodnotené boli procesy správy elektronických úradných dokumentov – od podania občana, cez vyhotovenie rozhodnutia, jeho autorizáciu, doručenie a archivovanie a to v rámci vlastných aj prenesených kompete</w:t>
            </w:r>
            <w:r>
              <w:rPr>
                <w:rFonts w:cs="Segoe UI"/>
                <w:sz w:val="18"/>
                <w:szCs w:val="18"/>
              </w:rPr>
              <w:t>ncií</w:t>
            </w:r>
            <w:r w:rsidRPr="00324A0D">
              <w:rPr>
                <w:rFonts w:cs="Segoe UI"/>
                <w:sz w:val="18"/>
                <w:szCs w:val="18"/>
              </w:rPr>
              <w:t>.</w:t>
            </w:r>
            <w:r>
              <w:rPr>
                <w:rFonts w:cs="Segoe UI"/>
                <w:sz w:val="18"/>
                <w:szCs w:val="18"/>
              </w:rPr>
              <w:t xml:space="preserve"> </w:t>
            </w:r>
            <w:r w:rsidRPr="00324A0D">
              <w:rPr>
                <w:rFonts w:cs="Segoe UI"/>
                <w:bCs/>
                <w:sz w:val="18"/>
                <w:szCs w:val="18"/>
              </w:rPr>
              <w:t xml:space="preserve">Elektronizácia samosprávam neuľahčila vydávanie rozhodnutí, nepriniesla zrýchlenie procesov a pre obce zatiaľ znamená zvýšené finančné náklady. Žiaden z kontrolovaných subjektov nedodržal pravidlá o elektronickom vládnutí počas celého kontrolovaného obdobia a po šiestich rokoch od účinnosti zákona o e-Governmente je jeho dodržiavanie skôr výnimkou ako udržateľným pravidlom. </w:t>
            </w:r>
          </w:p>
          <w:p w14:paraId="34333973" w14:textId="77777777" w:rsidR="008A4BCF" w:rsidRPr="00324A0D" w:rsidRDefault="008A4BCF" w:rsidP="00B44AC3">
            <w:pPr>
              <w:spacing w:line="240" w:lineRule="auto"/>
              <w:rPr>
                <w:rFonts w:cs="Segoe UI"/>
                <w:sz w:val="18"/>
                <w:szCs w:val="18"/>
              </w:rPr>
            </w:pPr>
            <w:r w:rsidRPr="00324A0D">
              <w:rPr>
                <w:rFonts w:cs="Segoe UI"/>
                <w:sz w:val="18"/>
                <w:szCs w:val="18"/>
              </w:rPr>
              <w:t xml:space="preserve">NKÚ </w:t>
            </w:r>
            <w:r>
              <w:rPr>
                <w:rFonts w:cs="Segoe UI"/>
                <w:sz w:val="18"/>
                <w:szCs w:val="18"/>
              </w:rPr>
              <w:t xml:space="preserve">SR </w:t>
            </w:r>
            <w:r w:rsidRPr="00324A0D">
              <w:rPr>
                <w:rFonts w:cs="Segoe UI"/>
                <w:sz w:val="18"/>
                <w:szCs w:val="18"/>
              </w:rPr>
              <w:t>odporúčal Výboru NR SR pre verejnú správu a regionálny rozvoj zaviazať M</w:t>
            </w:r>
            <w:r>
              <w:rPr>
                <w:rFonts w:cs="Segoe UI"/>
                <w:sz w:val="18"/>
                <w:szCs w:val="18"/>
              </w:rPr>
              <w:t>IRRI SR</w:t>
            </w:r>
            <w:r w:rsidRPr="00324A0D">
              <w:rPr>
                <w:rFonts w:cs="Segoe UI"/>
                <w:sz w:val="18"/>
                <w:szCs w:val="18"/>
              </w:rPr>
              <w:t>, aby komplexne vyhodnotil</w:t>
            </w:r>
            <w:r>
              <w:rPr>
                <w:rFonts w:cs="Segoe UI"/>
                <w:sz w:val="18"/>
                <w:szCs w:val="18"/>
              </w:rPr>
              <w:t>o</w:t>
            </w:r>
            <w:r w:rsidRPr="00324A0D">
              <w:rPr>
                <w:rFonts w:cs="Segoe UI"/>
                <w:sz w:val="18"/>
                <w:szCs w:val="18"/>
              </w:rPr>
              <w:t xml:space="preserve"> doterajší proces informatizácie samosprávy a navrhol systémové opatrenia na riešenie dlhodobo pretrvávajúcich problémov.</w:t>
            </w:r>
          </w:p>
          <w:p w14:paraId="2C2FAE38" w14:textId="77777777" w:rsidR="008A4BCF" w:rsidRPr="00324A0D" w:rsidRDefault="008A4BCF" w:rsidP="00B44AC3">
            <w:pPr>
              <w:spacing w:line="240" w:lineRule="auto"/>
              <w:rPr>
                <w:rFonts w:cs="Segoe UI"/>
                <w:i/>
                <w:sz w:val="18"/>
                <w:szCs w:val="18"/>
                <w:u w:val="single"/>
              </w:rPr>
            </w:pPr>
            <w:r w:rsidRPr="00324A0D">
              <w:rPr>
                <w:rFonts w:cs="Segoe UI"/>
                <w:i/>
                <w:sz w:val="18"/>
                <w:szCs w:val="18"/>
                <w:u w:val="single"/>
              </w:rPr>
              <w:t xml:space="preserve">Zelená infraštruktúra v mestách a obciach </w:t>
            </w:r>
            <w:r w:rsidRPr="0084133A">
              <w:rPr>
                <w:rFonts w:cs="Segoe UI"/>
                <w:sz w:val="18"/>
                <w:szCs w:val="18"/>
                <w:u w:val="single"/>
              </w:rPr>
              <w:t>[</w:t>
            </w:r>
            <w:hyperlink r:id="rId72" w:history="1">
              <w:r w:rsidRPr="0084133A">
                <w:rPr>
                  <w:rStyle w:val="Hypertextovprepojenie"/>
                  <w:rFonts w:cs="Segoe UI"/>
                  <w:sz w:val="18"/>
                  <w:szCs w:val="18"/>
                </w:rPr>
                <w:t>online</w:t>
              </w:r>
            </w:hyperlink>
            <w:r w:rsidRPr="0084133A">
              <w:rPr>
                <w:rStyle w:val="Hypertextovprepojenie"/>
                <w:rFonts w:cs="Segoe UI"/>
                <w:sz w:val="18"/>
                <w:szCs w:val="18"/>
              </w:rPr>
              <w:t>], [</w:t>
            </w:r>
            <w:hyperlink r:id="rId73" w:history="1">
              <w:r w:rsidRPr="0084133A">
                <w:rPr>
                  <w:rStyle w:val="Hypertextovprepojenie"/>
                  <w:rFonts w:cs="Segoe UI"/>
                  <w:sz w:val="18"/>
                  <w:szCs w:val="18"/>
                </w:rPr>
                <w:t>online</w:t>
              </w:r>
            </w:hyperlink>
            <w:r w:rsidRPr="0084133A">
              <w:rPr>
                <w:rStyle w:val="Hypertextovprepojenie"/>
                <w:rFonts w:cs="Segoe UI"/>
                <w:sz w:val="18"/>
                <w:szCs w:val="18"/>
              </w:rPr>
              <w:t>]</w:t>
            </w:r>
            <w:r w:rsidRPr="00324A0D">
              <w:rPr>
                <w:rStyle w:val="Hypertextovprepojenie"/>
                <w:rFonts w:cs="Segoe UI"/>
                <w:i/>
                <w:sz w:val="18"/>
                <w:szCs w:val="18"/>
              </w:rPr>
              <w:t xml:space="preserve"> </w:t>
            </w:r>
            <w:r w:rsidRPr="00324A0D">
              <w:rPr>
                <w:rFonts w:cs="Segoe UI"/>
                <w:i/>
                <w:sz w:val="18"/>
                <w:szCs w:val="18"/>
                <w:u w:val="single"/>
              </w:rPr>
              <w:t xml:space="preserve"> </w:t>
            </w:r>
          </w:p>
          <w:p w14:paraId="3C3B7216" w14:textId="77777777" w:rsidR="008A4BCF" w:rsidRPr="00324A0D" w:rsidRDefault="008A4BCF" w:rsidP="00B44AC3">
            <w:pPr>
              <w:tabs>
                <w:tab w:val="left" w:pos="1740"/>
              </w:tabs>
              <w:spacing w:line="240" w:lineRule="auto"/>
              <w:rPr>
                <w:rFonts w:cs="Segoe UI"/>
                <w:bCs/>
                <w:sz w:val="18"/>
                <w:szCs w:val="18"/>
              </w:rPr>
            </w:pPr>
            <w:r w:rsidRPr="00324A0D">
              <w:rPr>
                <w:rFonts w:cs="Segoe UI"/>
                <w:bCs/>
                <w:sz w:val="18"/>
                <w:szCs w:val="18"/>
              </w:rPr>
              <w:t>Kontrol</w:t>
            </w:r>
            <w:r>
              <w:rPr>
                <w:rFonts w:cs="Segoe UI"/>
                <w:bCs/>
                <w:sz w:val="18"/>
                <w:szCs w:val="18"/>
              </w:rPr>
              <w:t>a</w:t>
            </w:r>
            <w:r w:rsidRPr="00324A0D">
              <w:rPr>
                <w:rFonts w:cs="Segoe UI"/>
                <w:bCs/>
                <w:sz w:val="18"/>
                <w:szCs w:val="18"/>
              </w:rPr>
              <w:t xml:space="preserve"> bola zameraná na poskytnutý NFP na základe výzvy na predkladanie žiadosti z 31. 3. 2017, v rámci OP IROP na roky 2014 až 2020, prioritnej osi 4 Zlepšenie kvality života v regiónoch s dôrazom na životné prostredie. Špecifickým cieľom OP bolo </w:t>
            </w:r>
            <w:r>
              <w:rPr>
                <w:rFonts w:cs="Segoe UI"/>
                <w:bCs/>
                <w:sz w:val="18"/>
                <w:szCs w:val="18"/>
              </w:rPr>
              <w:t xml:space="preserve">okrem iného </w:t>
            </w:r>
            <w:r w:rsidRPr="00324A0D">
              <w:rPr>
                <w:rFonts w:cs="Segoe UI"/>
                <w:bCs/>
                <w:sz w:val="18"/>
                <w:szCs w:val="18"/>
              </w:rPr>
              <w:t>zlepšenie environmentálnych aspektov v mestách a mestských oblastiach prostredníctvom budovania prvkov zelenej infraštruktúry.</w:t>
            </w:r>
            <w:r>
              <w:rPr>
                <w:rFonts w:cs="Segoe UI"/>
                <w:bCs/>
                <w:sz w:val="18"/>
                <w:szCs w:val="18"/>
              </w:rPr>
              <w:t xml:space="preserve"> </w:t>
            </w:r>
            <w:r w:rsidRPr="00324A0D">
              <w:rPr>
                <w:rFonts w:cs="Segoe UI"/>
                <w:bCs/>
                <w:sz w:val="18"/>
                <w:szCs w:val="18"/>
              </w:rPr>
              <w:t xml:space="preserve">Podiel verejnej zelene v mestách a obciach sa podarilo zvýšiť, ale stále jej máme málo. Kým odhad na rok 2023 hovoril o náraste na 3,1 %, kontrolované obce sa dostali </w:t>
            </w:r>
            <w:r>
              <w:rPr>
                <w:rFonts w:cs="Segoe UI"/>
                <w:bCs/>
                <w:sz w:val="18"/>
                <w:szCs w:val="18"/>
              </w:rPr>
              <w:t xml:space="preserve">len </w:t>
            </w:r>
            <w:r w:rsidRPr="00324A0D">
              <w:rPr>
                <w:rFonts w:cs="Segoe UI"/>
                <w:bCs/>
                <w:sz w:val="18"/>
                <w:szCs w:val="18"/>
              </w:rPr>
              <w:t xml:space="preserve">na úroveň </w:t>
            </w:r>
            <w:r>
              <w:rPr>
                <w:rFonts w:cs="Segoe UI"/>
                <w:bCs/>
                <w:sz w:val="18"/>
                <w:szCs w:val="18"/>
              </w:rPr>
              <w:t>1 %</w:t>
            </w:r>
            <w:r w:rsidRPr="00324A0D">
              <w:rPr>
                <w:rFonts w:cs="Segoe UI"/>
                <w:bCs/>
                <w:sz w:val="18"/>
                <w:szCs w:val="18"/>
              </w:rPr>
              <w:t>. Prispel k tomu aj zdĺhavý proces od podania žiadosti o poskytnutie NFP na zelené projekty až po uzavretie zmluvy. Problém pre obce predstavuje aj nedostatok vlastných finančných zdrojov na realizáciu a udržanie projektov zelenej infraštruktúry. Kontrola poukázala aj na nedostatočné monitorovanie udržateľnosti projektov zo strany M</w:t>
            </w:r>
            <w:r>
              <w:rPr>
                <w:rFonts w:cs="Segoe UI"/>
                <w:bCs/>
                <w:sz w:val="18"/>
                <w:szCs w:val="18"/>
              </w:rPr>
              <w:t>PRV SR</w:t>
            </w:r>
            <w:r w:rsidRPr="00324A0D">
              <w:rPr>
                <w:rFonts w:cs="Segoe UI"/>
                <w:bCs/>
                <w:sz w:val="18"/>
                <w:szCs w:val="18"/>
              </w:rPr>
              <w:t xml:space="preserve">, neskôr </w:t>
            </w:r>
            <w:r>
              <w:rPr>
                <w:rFonts w:cs="Segoe UI"/>
                <w:bCs/>
                <w:sz w:val="18"/>
                <w:szCs w:val="18"/>
              </w:rPr>
              <w:t>MIRRI SR</w:t>
            </w:r>
            <w:r w:rsidRPr="00324A0D">
              <w:rPr>
                <w:rFonts w:cs="Segoe UI"/>
                <w:bCs/>
                <w:sz w:val="18"/>
                <w:szCs w:val="18"/>
              </w:rPr>
              <w:t xml:space="preserve"> a</w:t>
            </w:r>
            <w:r>
              <w:rPr>
                <w:rFonts w:cs="Segoe UI"/>
                <w:bCs/>
                <w:sz w:val="18"/>
                <w:szCs w:val="18"/>
              </w:rPr>
              <w:t> VÚC</w:t>
            </w:r>
            <w:r w:rsidRPr="00324A0D">
              <w:rPr>
                <w:rFonts w:cs="Segoe UI"/>
                <w:bCs/>
                <w:sz w:val="18"/>
                <w:szCs w:val="18"/>
              </w:rPr>
              <w:t xml:space="preserve"> ako poskytovateľov NFP, keďže fyzické kontroly na mieste nerealizovali a monitorovanie prebehlo len </w:t>
            </w:r>
            <w:r>
              <w:rPr>
                <w:rFonts w:cs="Segoe UI"/>
                <w:bCs/>
                <w:sz w:val="18"/>
                <w:szCs w:val="18"/>
              </w:rPr>
              <w:t>cez</w:t>
            </w:r>
            <w:r w:rsidRPr="00324A0D">
              <w:rPr>
                <w:rFonts w:cs="Segoe UI"/>
                <w:bCs/>
                <w:sz w:val="18"/>
                <w:szCs w:val="18"/>
              </w:rPr>
              <w:t xml:space="preserve"> n</w:t>
            </w:r>
            <w:r>
              <w:rPr>
                <w:rFonts w:cs="Segoe UI"/>
                <w:bCs/>
                <w:sz w:val="18"/>
                <w:szCs w:val="18"/>
              </w:rPr>
              <w:t>ásledné monitorovacie správy.</w:t>
            </w:r>
          </w:p>
          <w:p w14:paraId="4F94845E" w14:textId="77777777" w:rsidR="008A4BCF" w:rsidRPr="00324A0D" w:rsidRDefault="008A4BCF" w:rsidP="00B44AC3">
            <w:pPr>
              <w:spacing w:line="240" w:lineRule="auto"/>
              <w:rPr>
                <w:rFonts w:cs="Segoe UI"/>
                <w:bCs/>
                <w:sz w:val="18"/>
                <w:szCs w:val="18"/>
              </w:rPr>
            </w:pPr>
            <w:r w:rsidRPr="00324A0D">
              <w:rPr>
                <w:rFonts w:cs="Segoe UI"/>
                <w:bCs/>
                <w:sz w:val="18"/>
                <w:szCs w:val="18"/>
              </w:rPr>
              <w:t>NKÚ</w:t>
            </w:r>
            <w:r>
              <w:rPr>
                <w:rFonts w:cs="Segoe UI"/>
                <w:bCs/>
                <w:sz w:val="18"/>
                <w:szCs w:val="18"/>
              </w:rPr>
              <w:t xml:space="preserve"> SR</w:t>
            </w:r>
            <w:r w:rsidRPr="00324A0D">
              <w:rPr>
                <w:rFonts w:cs="Segoe UI"/>
                <w:bCs/>
                <w:sz w:val="18"/>
                <w:szCs w:val="18"/>
              </w:rPr>
              <w:t xml:space="preserve"> odporúčal Výboru NR SR pre verejnú správu a regionálny rozvoj, aby zaviazal MIRRI SR vydať metodické postupy a usmernenia pre nositeľov agendy s dôrazom na vykonávanie vnútornej kontroly a kontroly na mieste v rámci vybranej vzorky projektov. Problémom sa javia aj merateľné ukazovatele, ktoré boli </w:t>
            </w:r>
            <w:r>
              <w:rPr>
                <w:rFonts w:cs="Segoe UI"/>
                <w:bCs/>
                <w:sz w:val="18"/>
                <w:szCs w:val="18"/>
              </w:rPr>
              <w:t>len</w:t>
            </w:r>
            <w:r w:rsidRPr="00324A0D">
              <w:rPr>
                <w:rFonts w:cs="Segoe UI"/>
                <w:bCs/>
                <w:sz w:val="18"/>
                <w:szCs w:val="18"/>
              </w:rPr>
              <w:t xml:space="preserve"> kvantitatívne. Chýbal však kvalitatívny aspekt, nebolo tak možné vyhodnotiť, na akej úrovni sa zlepšilo životné prostredie. </w:t>
            </w:r>
          </w:p>
          <w:p w14:paraId="0FA6E3D7" w14:textId="77777777" w:rsidR="008A4BCF" w:rsidRPr="00324A0D" w:rsidRDefault="008A4BCF" w:rsidP="00B44AC3">
            <w:pPr>
              <w:spacing w:line="240" w:lineRule="auto"/>
              <w:rPr>
                <w:rFonts w:cs="Segoe UI"/>
                <w:i/>
                <w:sz w:val="18"/>
                <w:szCs w:val="18"/>
                <w:u w:val="single"/>
              </w:rPr>
            </w:pPr>
            <w:r w:rsidRPr="00324A0D">
              <w:rPr>
                <w:rFonts w:cs="Segoe UI"/>
                <w:i/>
                <w:sz w:val="18"/>
                <w:szCs w:val="18"/>
                <w:u w:val="single"/>
              </w:rPr>
              <w:t xml:space="preserve">Poplatok za rozvoj v samospráve </w:t>
            </w:r>
            <w:r w:rsidRPr="0084133A">
              <w:rPr>
                <w:rFonts w:cs="Segoe UI"/>
                <w:sz w:val="18"/>
                <w:szCs w:val="18"/>
                <w:u w:val="single"/>
                <w:lang w:val="en-US"/>
              </w:rPr>
              <w:t>[</w:t>
            </w:r>
            <w:hyperlink r:id="rId74" w:history="1">
              <w:r w:rsidRPr="0084133A">
                <w:rPr>
                  <w:rStyle w:val="Hypertextovprepojenie"/>
                  <w:rFonts w:cs="Segoe UI"/>
                  <w:sz w:val="18"/>
                  <w:szCs w:val="18"/>
                </w:rPr>
                <w:t>online</w:t>
              </w:r>
            </w:hyperlink>
            <w:r>
              <w:rPr>
                <w:rStyle w:val="Hypertextovprepojenie"/>
                <w:rFonts w:cs="Segoe UI"/>
                <w:sz w:val="18"/>
                <w:szCs w:val="18"/>
              </w:rPr>
              <w:t>]</w:t>
            </w:r>
            <w:r w:rsidRPr="0084133A">
              <w:rPr>
                <w:rStyle w:val="Hypertextovprepojenie"/>
                <w:rFonts w:cs="Segoe UI"/>
                <w:sz w:val="18"/>
                <w:szCs w:val="18"/>
              </w:rPr>
              <w:t xml:space="preserve">, </w:t>
            </w:r>
            <w:r>
              <w:rPr>
                <w:rStyle w:val="Hypertextovprepojenie"/>
                <w:rFonts w:cs="Segoe UI"/>
                <w:sz w:val="18"/>
                <w:szCs w:val="18"/>
              </w:rPr>
              <w:t>[</w:t>
            </w:r>
            <w:r w:rsidRPr="0084133A">
              <w:rPr>
                <w:rStyle w:val="Hypertextovprepojenie"/>
                <w:rFonts w:cs="Segoe UI"/>
                <w:sz w:val="18"/>
                <w:szCs w:val="18"/>
              </w:rPr>
              <w:t>online</w:t>
            </w:r>
            <w:r>
              <w:rPr>
                <w:rStyle w:val="Hypertextovprepojenie"/>
                <w:rFonts w:cs="Segoe UI"/>
                <w:sz w:val="18"/>
                <w:szCs w:val="18"/>
              </w:rPr>
              <w:t>]</w:t>
            </w:r>
            <w:r w:rsidRPr="00324A0D">
              <w:rPr>
                <w:rFonts w:cs="Segoe UI"/>
                <w:i/>
                <w:sz w:val="18"/>
                <w:szCs w:val="18"/>
                <w:u w:val="single"/>
              </w:rPr>
              <w:t xml:space="preserve"> </w:t>
            </w:r>
          </w:p>
          <w:p w14:paraId="107F72D8" w14:textId="77777777" w:rsidR="008A4BCF" w:rsidRPr="00324A0D" w:rsidRDefault="008A4BCF" w:rsidP="00B44AC3">
            <w:pPr>
              <w:autoSpaceDE w:val="0"/>
              <w:autoSpaceDN w:val="0"/>
              <w:adjustRightInd w:val="0"/>
              <w:spacing w:line="240" w:lineRule="auto"/>
              <w:rPr>
                <w:rFonts w:cs="Segoe UI"/>
                <w:sz w:val="18"/>
                <w:szCs w:val="18"/>
              </w:rPr>
            </w:pPr>
            <w:r w:rsidRPr="00324A0D">
              <w:rPr>
                <w:rFonts w:cs="Segoe UI"/>
                <w:sz w:val="18"/>
                <w:szCs w:val="18"/>
              </w:rPr>
              <w:t>Predmetom kontroly bolo zavedenie poplatku za rozvoj, jeho vyrubovanie a vyberanie, ako aj dodržanie podmienok účelového použitia takto získaných finančných prostriedkov.</w:t>
            </w:r>
            <w:r>
              <w:rPr>
                <w:rFonts w:cs="Segoe UI"/>
                <w:sz w:val="18"/>
                <w:szCs w:val="18"/>
              </w:rPr>
              <w:t xml:space="preserve"> </w:t>
            </w:r>
            <w:r w:rsidRPr="00324A0D">
              <w:rPr>
                <w:rFonts w:cs="Segoe UI"/>
                <w:bCs/>
                <w:sz w:val="18"/>
                <w:szCs w:val="18"/>
              </w:rPr>
              <w:t>Z kontroly vyplynulo, že zavedenie poplatku za rozvoj bolo</w:t>
            </w:r>
            <w:r>
              <w:rPr>
                <w:rFonts w:cs="Segoe UI"/>
                <w:bCs/>
                <w:sz w:val="18"/>
                <w:szCs w:val="18"/>
              </w:rPr>
              <w:t xml:space="preserve"> pre obce na Slovensku prínosné – z</w:t>
            </w:r>
            <w:r w:rsidRPr="00324A0D">
              <w:rPr>
                <w:rFonts w:cs="Segoe UI"/>
                <w:bCs/>
                <w:sz w:val="18"/>
                <w:szCs w:val="18"/>
              </w:rPr>
              <w:t xml:space="preserve">avedenie poplatkov za rozvoj plní účel, je ďalším </w:t>
            </w:r>
            <w:r w:rsidRPr="00324A0D">
              <w:rPr>
                <w:rFonts w:cs="Segoe UI"/>
                <w:bCs/>
                <w:sz w:val="18"/>
                <w:szCs w:val="18"/>
              </w:rPr>
              <w:lastRenderedPageBreak/>
              <w:t xml:space="preserve">zdrojom financovania stavieb pre občiansku vybavenosť a služby obcí a po navrhovaných úpravách legislatívy sa ešte zvýši pozitívny vplyv na príjmy rozpočtov obcí. Kontrola poukázala </w:t>
            </w:r>
            <w:r>
              <w:rPr>
                <w:rFonts w:cs="Segoe UI"/>
                <w:bCs/>
                <w:sz w:val="18"/>
                <w:szCs w:val="18"/>
              </w:rPr>
              <w:t xml:space="preserve">na </w:t>
            </w:r>
            <w:r w:rsidRPr="00324A0D">
              <w:rPr>
                <w:rFonts w:cs="Segoe UI"/>
                <w:bCs/>
                <w:sz w:val="18"/>
                <w:szCs w:val="18"/>
              </w:rPr>
              <w:t xml:space="preserve">nesúlad niektorých všeobecne záväzných nariadení obcí so zákonmi a nedodržiavanie zákonných podmienok pri vyrubovaní poplatku aj pre rozdielne definované pojmy v legislatíve. Ďalší problém sa týkal vyčísľovania údajov o výmerách jednotlivých plôch podľa účelu využitia, a to najmä pri viacúčelových stavbách </w:t>
            </w:r>
            <w:r w:rsidRPr="00324A0D">
              <w:rPr>
                <w:rFonts w:cs="Segoe UI"/>
                <w:sz w:val="18"/>
                <w:szCs w:val="18"/>
              </w:rPr>
              <w:t xml:space="preserve">pozostávajúcich z viacerých stavebných objektov. </w:t>
            </w:r>
          </w:p>
          <w:p w14:paraId="046583BE" w14:textId="77777777" w:rsidR="008A4BCF" w:rsidRPr="00324A0D" w:rsidRDefault="008A4BCF" w:rsidP="00B44AC3">
            <w:pPr>
              <w:autoSpaceDE w:val="0"/>
              <w:autoSpaceDN w:val="0"/>
              <w:adjustRightInd w:val="0"/>
              <w:spacing w:line="240" w:lineRule="auto"/>
              <w:rPr>
                <w:rFonts w:cs="Segoe UI"/>
                <w:bCs/>
                <w:sz w:val="18"/>
                <w:szCs w:val="18"/>
              </w:rPr>
            </w:pPr>
            <w:r w:rsidRPr="00324A0D">
              <w:rPr>
                <w:rFonts w:cs="Segoe UI"/>
                <w:sz w:val="18"/>
                <w:szCs w:val="18"/>
              </w:rPr>
              <w:t>NKÚ SR odporúčal Výboru</w:t>
            </w:r>
            <w:r w:rsidRPr="00324A0D">
              <w:rPr>
                <w:rFonts w:cs="Segoe UI"/>
                <w:bCs/>
                <w:sz w:val="18"/>
                <w:szCs w:val="18"/>
              </w:rPr>
              <w:t xml:space="preserve"> NR SR pre financie a rozpočet iniciovať MF SR ako gestora zákona o poplatku, aby vypracovalo jeho novelizáciu, predmetom ktorej bude zmena sadzieb poplatku za rozvoj, úprava definícii pojmov v oblasti základu poplatku za rozvoj, jeho výpočtu</w:t>
            </w:r>
            <w:r>
              <w:rPr>
                <w:rFonts w:cs="Segoe UI"/>
                <w:bCs/>
                <w:sz w:val="18"/>
                <w:szCs w:val="18"/>
              </w:rPr>
              <w:t>,</w:t>
            </w:r>
            <w:r w:rsidRPr="00324A0D">
              <w:rPr>
                <w:rFonts w:cs="Segoe UI"/>
                <w:bCs/>
                <w:sz w:val="18"/>
                <w:szCs w:val="18"/>
              </w:rPr>
              <w:t xml:space="preserve"> ako aj spresnenie možností použitia poplatku za rozvoj v § 11 aj na obstaranie nehnuteľností. </w:t>
            </w:r>
          </w:p>
          <w:p w14:paraId="457BB723" w14:textId="77777777" w:rsidR="008A4BCF" w:rsidRPr="00324A0D" w:rsidRDefault="008A4BCF" w:rsidP="00B44AC3">
            <w:pPr>
              <w:spacing w:line="240" w:lineRule="auto"/>
              <w:rPr>
                <w:rFonts w:cs="Segoe UI"/>
                <w:i/>
                <w:sz w:val="18"/>
                <w:szCs w:val="18"/>
                <w:u w:val="single"/>
              </w:rPr>
            </w:pPr>
            <w:r w:rsidRPr="00324A0D">
              <w:rPr>
                <w:rFonts w:cs="Segoe UI"/>
                <w:i/>
                <w:sz w:val="18"/>
                <w:szCs w:val="18"/>
                <w:u w:val="single"/>
              </w:rPr>
              <w:t xml:space="preserve">Účinnosť zavedenia objektívnej zodpovednosti a efektívnosť jej fungovania (KA-029/2023), </w:t>
            </w:r>
            <w:r w:rsidRPr="0084133A">
              <w:rPr>
                <w:rFonts w:cs="Segoe UI"/>
                <w:sz w:val="18"/>
                <w:szCs w:val="18"/>
                <w:u w:val="single"/>
              </w:rPr>
              <w:t>[</w:t>
            </w:r>
            <w:hyperlink r:id="rId75" w:history="1">
              <w:r w:rsidRPr="0084133A">
                <w:rPr>
                  <w:rStyle w:val="Hypertextovprepojenie"/>
                  <w:rFonts w:cs="Segoe UI"/>
                  <w:sz w:val="18"/>
                  <w:szCs w:val="18"/>
                </w:rPr>
                <w:t>online</w:t>
              </w:r>
            </w:hyperlink>
            <w:r w:rsidRPr="0084133A">
              <w:rPr>
                <w:rStyle w:val="Hypertextovprepojenie"/>
                <w:rFonts w:cs="Segoe UI"/>
                <w:sz w:val="18"/>
                <w:szCs w:val="18"/>
              </w:rPr>
              <w:t>], [</w:t>
            </w:r>
            <w:hyperlink r:id="rId76" w:history="1">
              <w:r w:rsidRPr="0084133A">
                <w:rPr>
                  <w:rStyle w:val="Hypertextovprepojenie"/>
                  <w:rFonts w:cs="Segoe UI"/>
                  <w:sz w:val="18"/>
                  <w:szCs w:val="18"/>
                </w:rPr>
                <w:t>online</w:t>
              </w:r>
            </w:hyperlink>
            <w:r w:rsidRPr="003B0FED">
              <w:rPr>
                <w:rStyle w:val="Hypertextovprepojenie"/>
                <w:rFonts w:cs="Segoe UI"/>
                <w:sz w:val="18"/>
                <w:szCs w:val="18"/>
              </w:rPr>
              <w:t>]</w:t>
            </w:r>
            <w:r w:rsidRPr="00324A0D">
              <w:rPr>
                <w:rStyle w:val="Hypertextovprepojenie"/>
                <w:rFonts w:cs="Segoe UI"/>
                <w:i/>
                <w:sz w:val="18"/>
                <w:szCs w:val="18"/>
              </w:rPr>
              <w:t xml:space="preserve"> </w:t>
            </w:r>
            <w:r w:rsidRPr="00324A0D">
              <w:rPr>
                <w:rFonts w:cs="Segoe UI"/>
                <w:i/>
                <w:sz w:val="18"/>
                <w:szCs w:val="18"/>
                <w:u w:val="single"/>
              </w:rPr>
              <w:t xml:space="preserve"> </w:t>
            </w:r>
          </w:p>
          <w:p w14:paraId="362D8C83" w14:textId="77777777" w:rsidR="008A4BCF" w:rsidRDefault="008A4BCF" w:rsidP="00B44AC3">
            <w:pPr>
              <w:spacing w:line="240" w:lineRule="auto"/>
              <w:rPr>
                <w:rFonts w:cs="Segoe UI"/>
                <w:sz w:val="18"/>
                <w:szCs w:val="18"/>
              </w:rPr>
            </w:pPr>
            <w:r w:rsidRPr="00324A0D">
              <w:rPr>
                <w:rFonts w:cs="Segoe UI"/>
                <w:sz w:val="18"/>
                <w:szCs w:val="18"/>
              </w:rPr>
              <w:t>Kontrol</w:t>
            </w:r>
            <w:r>
              <w:rPr>
                <w:rFonts w:cs="Segoe UI"/>
                <w:sz w:val="18"/>
                <w:szCs w:val="18"/>
              </w:rPr>
              <w:t>a</w:t>
            </w:r>
            <w:r w:rsidRPr="00324A0D">
              <w:rPr>
                <w:rFonts w:cs="Segoe UI"/>
                <w:sz w:val="18"/>
                <w:szCs w:val="18"/>
              </w:rPr>
              <w:t xml:space="preserve"> bola zameraná na preverenie dopadu inštitútu objektívnej zodpovednosti na bezpečnosť cestnej premávky, dodržiavanie pravidiel cestnej premávky vodičmi a systém fungovania pri jej využívaní PZ SR a obcou.</w:t>
            </w:r>
            <w:r w:rsidRPr="00324A0D">
              <w:rPr>
                <w:sz w:val="18"/>
                <w:szCs w:val="18"/>
              </w:rPr>
              <w:t xml:space="preserve"> </w:t>
            </w:r>
            <w:r w:rsidRPr="00324A0D">
              <w:rPr>
                <w:rFonts w:cs="Segoe UI"/>
                <w:sz w:val="18"/>
                <w:szCs w:val="18"/>
              </w:rPr>
              <w:t>Zavedenie inštitútu objektívnej zodpovednosti v podmienkach SR neprinieslo očakávané zvýšenie bezpečnosti každého účastníka cestnej premávky. V súčasnosti využívaný systém nie je z pohľadu NKÚ</w:t>
            </w:r>
            <w:r>
              <w:rPr>
                <w:rFonts w:cs="Segoe UI"/>
                <w:sz w:val="18"/>
                <w:szCs w:val="18"/>
              </w:rPr>
              <w:t xml:space="preserve"> SR</w:t>
            </w:r>
            <w:r w:rsidRPr="00324A0D">
              <w:rPr>
                <w:rFonts w:cs="Segoe UI"/>
                <w:sz w:val="18"/>
                <w:szCs w:val="18"/>
              </w:rPr>
              <w:t xml:space="preserve"> efektívny a ani po jedenástich rokoch nie je plne automatizovaný, čo má za dôsledok jeho nedostatočnú účinnosť. </w:t>
            </w:r>
          </w:p>
          <w:p w14:paraId="0C744C6B" w14:textId="77777777" w:rsidR="008A4BCF" w:rsidRPr="00324A0D" w:rsidRDefault="008A4BCF" w:rsidP="00B44AC3">
            <w:pPr>
              <w:spacing w:line="240" w:lineRule="auto"/>
              <w:rPr>
                <w:rFonts w:cs="Segoe UI"/>
                <w:sz w:val="18"/>
                <w:szCs w:val="18"/>
              </w:rPr>
            </w:pPr>
            <w:r w:rsidRPr="00324A0D">
              <w:rPr>
                <w:rFonts w:cs="Segoe UI"/>
                <w:sz w:val="18"/>
                <w:szCs w:val="18"/>
              </w:rPr>
              <w:t>NKÚ SR odporúčal Výboru NR SR pre obranu a bezpečnosť zaviazať ministra vnútra</w:t>
            </w:r>
            <w:r>
              <w:rPr>
                <w:rFonts w:cs="Segoe UI"/>
                <w:sz w:val="18"/>
                <w:szCs w:val="18"/>
              </w:rPr>
              <w:t>, aby</w:t>
            </w:r>
            <w:r w:rsidRPr="00324A0D">
              <w:rPr>
                <w:rFonts w:cs="Segoe UI"/>
                <w:sz w:val="18"/>
                <w:szCs w:val="18"/>
              </w:rPr>
              <w:t xml:space="preserve"> predloži</w:t>
            </w:r>
            <w:r>
              <w:rPr>
                <w:rFonts w:cs="Segoe UI"/>
                <w:sz w:val="18"/>
                <w:szCs w:val="18"/>
              </w:rPr>
              <w:t>li</w:t>
            </w:r>
            <w:r w:rsidRPr="00324A0D">
              <w:rPr>
                <w:rFonts w:cs="Segoe UI"/>
                <w:sz w:val="18"/>
                <w:szCs w:val="18"/>
              </w:rPr>
              <w:t xml:space="preserve"> informáciu o </w:t>
            </w:r>
            <w:r>
              <w:rPr>
                <w:rFonts w:cs="Segoe UI"/>
                <w:sz w:val="18"/>
                <w:szCs w:val="18"/>
              </w:rPr>
              <w:t> </w:t>
            </w:r>
            <w:r w:rsidRPr="00324A0D">
              <w:rPr>
                <w:rFonts w:cs="Segoe UI"/>
                <w:sz w:val="18"/>
                <w:szCs w:val="18"/>
              </w:rPr>
              <w:t>možných opatreniach na zvýšenie efektívnosti využívania objektívnej zodpovednosti, ktoré by výrazne prispeli k vyššej bezpečnosti cestnej prevádzky, k edukácii jej účastníkov a využíval sa ako významný protikorupčný nástroj.</w:t>
            </w:r>
          </w:p>
          <w:p w14:paraId="64A45BA4" w14:textId="77777777" w:rsidR="008A4BCF" w:rsidRPr="00324A0D" w:rsidRDefault="008A4BCF" w:rsidP="00B44AC3">
            <w:pPr>
              <w:spacing w:line="240" w:lineRule="auto"/>
              <w:rPr>
                <w:rFonts w:cs="Segoe UI"/>
                <w:i/>
                <w:sz w:val="18"/>
                <w:szCs w:val="18"/>
                <w:u w:val="single"/>
              </w:rPr>
            </w:pPr>
            <w:r w:rsidRPr="00324A0D">
              <w:rPr>
                <w:rFonts w:cs="Segoe UI"/>
                <w:i/>
                <w:sz w:val="18"/>
                <w:szCs w:val="18"/>
                <w:u w:val="single"/>
              </w:rPr>
              <w:t xml:space="preserve">Zdravotnícke zariadenia – nemocnice zverené do správy VÚC (KA-030/2023), </w:t>
            </w:r>
            <w:r w:rsidRPr="0084133A">
              <w:rPr>
                <w:rFonts w:cs="Segoe UI"/>
                <w:sz w:val="18"/>
                <w:szCs w:val="18"/>
                <w:u w:val="single"/>
              </w:rPr>
              <w:t>[</w:t>
            </w:r>
            <w:hyperlink r:id="rId77" w:history="1">
              <w:r w:rsidRPr="0084133A">
                <w:rPr>
                  <w:rStyle w:val="Hypertextovprepojenie"/>
                  <w:rFonts w:cs="Segoe UI"/>
                  <w:sz w:val="18"/>
                  <w:szCs w:val="18"/>
                </w:rPr>
                <w:t>online</w:t>
              </w:r>
            </w:hyperlink>
            <w:r w:rsidRPr="0084133A">
              <w:rPr>
                <w:rStyle w:val="Hypertextovprepojenie"/>
                <w:rFonts w:cs="Segoe UI"/>
                <w:sz w:val="18"/>
                <w:szCs w:val="18"/>
              </w:rPr>
              <w:t>], [</w:t>
            </w:r>
            <w:hyperlink r:id="rId78" w:history="1">
              <w:r w:rsidRPr="0084133A">
                <w:rPr>
                  <w:rStyle w:val="Hypertextovprepojenie"/>
                  <w:rFonts w:cs="Segoe UI"/>
                  <w:sz w:val="18"/>
                  <w:szCs w:val="18"/>
                </w:rPr>
                <w:t>online</w:t>
              </w:r>
            </w:hyperlink>
            <w:r w:rsidRPr="0084133A">
              <w:rPr>
                <w:rStyle w:val="Hypertextovprepojenie"/>
                <w:rFonts w:cs="Segoe UI"/>
                <w:sz w:val="18"/>
                <w:szCs w:val="18"/>
              </w:rPr>
              <w:t>]</w:t>
            </w:r>
            <w:r w:rsidRPr="00324A0D">
              <w:rPr>
                <w:sz w:val="18"/>
                <w:szCs w:val="18"/>
              </w:rPr>
              <w:t xml:space="preserve"> </w:t>
            </w:r>
          </w:p>
          <w:p w14:paraId="105C9A51" w14:textId="77777777" w:rsidR="008A4BCF" w:rsidRPr="00324A0D" w:rsidRDefault="008A4BCF" w:rsidP="00B44AC3">
            <w:pPr>
              <w:spacing w:line="240" w:lineRule="auto"/>
              <w:rPr>
                <w:rFonts w:cs="Segoe UI"/>
                <w:sz w:val="18"/>
                <w:szCs w:val="18"/>
              </w:rPr>
            </w:pPr>
            <w:r w:rsidRPr="00324A0D">
              <w:rPr>
                <w:rFonts w:cs="Segoe UI"/>
                <w:sz w:val="18"/>
                <w:szCs w:val="18"/>
              </w:rPr>
              <w:t>Kontrol</w:t>
            </w:r>
            <w:r>
              <w:rPr>
                <w:rFonts w:cs="Segoe UI"/>
                <w:sz w:val="18"/>
                <w:szCs w:val="18"/>
              </w:rPr>
              <w:t>a</w:t>
            </w:r>
            <w:r w:rsidRPr="00324A0D">
              <w:rPr>
                <w:rFonts w:cs="Segoe UI"/>
                <w:sz w:val="18"/>
                <w:szCs w:val="18"/>
              </w:rPr>
              <w:t xml:space="preserve"> bola zameraná na hospodárenie s majetkom VÚC (delimitovaný majetok na plnenie preneseného výkonu štátnej správy v oblasti zdravotníctva). Kľúčovým nedostatkom je, že štát neriešil, ako si kraje plnia svoje povinnosti, ako zhodnocovali zverený majetok a či doň dostatočne investovali. M</w:t>
            </w:r>
            <w:r>
              <w:rPr>
                <w:rFonts w:cs="Segoe UI"/>
                <w:sz w:val="18"/>
                <w:szCs w:val="18"/>
              </w:rPr>
              <w:t>Z</w:t>
            </w:r>
            <w:r w:rsidRPr="00324A0D">
              <w:rPr>
                <w:rFonts w:cs="Segoe UI"/>
                <w:sz w:val="18"/>
                <w:szCs w:val="18"/>
              </w:rPr>
              <w:t xml:space="preserve"> SR do týchto rozhodnutí nezasahovalo a ani neposkytlo žiadne finančné prostriedky na podporu investícií, pritom naďalej </w:t>
            </w:r>
            <w:r>
              <w:rPr>
                <w:rFonts w:cs="Segoe UI"/>
                <w:sz w:val="18"/>
                <w:szCs w:val="18"/>
              </w:rPr>
              <w:t>z</w:t>
            </w:r>
            <w:r w:rsidRPr="00324A0D">
              <w:rPr>
                <w:rFonts w:cs="Segoe UI"/>
                <w:sz w:val="18"/>
                <w:szCs w:val="18"/>
              </w:rPr>
              <w:t xml:space="preserve">ostáva nositeľom a zodpovedným inštitútom výkonu prenesenej správy v oblasti zdravotníctva. Štát nenastavil systém financovania týchto </w:t>
            </w:r>
            <w:r>
              <w:rPr>
                <w:rFonts w:cs="Segoe UI"/>
                <w:sz w:val="18"/>
                <w:szCs w:val="18"/>
              </w:rPr>
              <w:t>ZZ</w:t>
            </w:r>
            <w:r w:rsidRPr="00324A0D">
              <w:rPr>
                <w:rFonts w:cs="Segoe UI"/>
                <w:sz w:val="18"/>
                <w:szCs w:val="18"/>
              </w:rPr>
              <w:t xml:space="preserve"> dostatočne. Vzhľadom na rozdielne poskytovanie zdravotnej starostlivosti zo strany VÚC, NKÚ </w:t>
            </w:r>
            <w:r>
              <w:rPr>
                <w:rFonts w:cs="Segoe UI"/>
                <w:sz w:val="18"/>
                <w:szCs w:val="18"/>
              </w:rPr>
              <w:t xml:space="preserve">SR </w:t>
            </w:r>
            <w:r w:rsidRPr="00324A0D">
              <w:rPr>
                <w:rFonts w:cs="Segoe UI"/>
                <w:sz w:val="18"/>
                <w:szCs w:val="18"/>
              </w:rPr>
              <w:t xml:space="preserve">upozorňuje na opätovnú potrebu komplexne riešiť prenesený výkon štátnej správy v oblasti zdravotníctva, na ktorom sa samosprávne kraje podieľajú. NKÚ </w:t>
            </w:r>
            <w:r>
              <w:rPr>
                <w:rFonts w:cs="Segoe UI"/>
                <w:sz w:val="18"/>
                <w:szCs w:val="18"/>
              </w:rPr>
              <w:t xml:space="preserve">SR </w:t>
            </w:r>
            <w:r w:rsidRPr="00324A0D">
              <w:rPr>
                <w:rFonts w:cs="Segoe UI"/>
                <w:sz w:val="18"/>
                <w:szCs w:val="18"/>
              </w:rPr>
              <w:t xml:space="preserve">poukazuje aj na potrebu hľadať riešenia, aby sa zabránilo možným rizikám pri nestabilite poskytovania regionálnej zdravotnej starostlivosti v prípade ukončenia nájomných vzťahov. Zároveň tiež odporúča v zákone o majetku </w:t>
            </w:r>
            <w:r>
              <w:rPr>
                <w:rFonts w:cs="Segoe UI"/>
                <w:sz w:val="18"/>
                <w:szCs w:val="18"/>
              </w:rPr>
              <w:t>VÚC</w:t>
            </w:r>
            <w:r w:rsidRPr="00324A0D">
              <w:rPr>
                <w:rFonts w:cs="Segoe UI"/>
                <w:sz w:val="18"/>
                <w:szCs w:val="18"/>
              </w:rPr>
              <w:t xml:space="preserve"> komplexne riešiť problematiku prevodu alebo prenájmu majetku VÚC z dôvodu hodného osobitného zreteľa, najmä aby bol jasný a nespochybniteľný proces prevodu, </w:t>
            </w:r>
            <w:r>
              <w:rPr>
                <w:rFonts w:cs="Segoe UI"/>
                <w:sz w:val="18"/>
                <w:szCs w:val="18"/>
              </w:rPr>
              <w:t>a</w:t>
            </w:r>
            <w:r w:rsidRPr="00324A0D">
              <w:rPr>
                <w:rFonts w:cs="Segoe UI"/>
                <w:sz w:val="18"/>
                <w:szCs w:val="18"/>
              </w:rPr>
              <w:t xml:space="preserve"> aby cena zodpovedala kritériám a podmienkam verejného záujmu.</w:t>
            </w:r>
          </w:p>
          <w:p w14:paraId="4B98D2F1" w14:textId="77777777" w:rsidR="008A4BCF" w:rsidRPr="00324A0D" w:rsidRDefault="008A4BCF" w:rsidP="00B44AC3">
            <w:pPr>
              <w:autoSpaceDE w:val="0"/>
              <w:autoSpaceDN w:val="0"/>
              <w:adjustRightInd w:val="0"/>
              <w:spacing w:line="240" w:lineRule="auto"/>
              <w:rPr>
                <w:rFonts w:cs="Segoe UI"/>
                <w:sz w:val="18"/>
                <w:szCs w:val="18"/>
              </w:rPr>
            </w:pPr>
            <w:r w:rsidRPr="00324A0D">
              <w:rPr>
                <w:rFonts w:cs="Segoe UI"/>
                <w:sz w:val="18"/>
                <w:szCs w:val="18"/>
              </w:rPr>
              <w:t>NKÚ SR odporúčal Výboru NR SR pre zdravotníctvo, aby zaviazal M</w:t>
            </w:r>
            <w:r>
              <w:rPr>
                <w:rFonts w:cs="Segoe UI"/>
                <w:sz w:val="18"/>
                <w:szCs w:val="18"/>
              </w:rPr>
              <w:t>Z</w:t>
            </w:r>
            <w:r w:rsidRPr="00324A0D">
              <w:rPr>
                <w:rFonts w:cs="Segoe UI"/>
                <w:sz w:val="18"/>
                <w:szCs w:val="18"/>
              </w:rPr>
              <w:t xml:space="preserve"> SR </w:t>
            </w:r>
            <w:r>
              <w:rPr>
                <w:rFonts w:cs="Segoe UI"/>
                <w:sz w:val="18"/>
                <w:szCs w:val="18"/>
              </w:rPr>
              <w:t xml:space="preserve">k </w:t>
            </w:r>
            <w:r w:rsidRPr="00324A0D">
              <w:rPr>
                <w:rFonts w:cs="Segoe UI"/>
                <w:sz w:val="18"/>
                <w:szCs w:val="18"/>
              </w:rPr>
              <w:t>predlož</w:t>
            </w:r>
            <w:r>
              <w:rPr>
                <w:rFonts w:cs="Segoe UI"/>
                <w:sz w:val="18"/>
                <w:szCs w:val="18"/>
              </w:rPr>
              <w:t>eniu</w:t>
            </w:r>
            <w:r w:rsidRPr="00324A0D">
              <w:rPr>
                <w:rFonts w:cs="Segoe UI"/>
                <w:sz w:val="18"/>
                <w:szCs w:val="18"/>
              </w:rPr>
              <w:t xml:space="preserve"> koncepci</w:t>
            </w:r>
            <w:r>
              <w:rPr>
                <w:rFonts w:cs="Segoe UI"/>
                <w:sz w:val="18"/>
                <w:szCs w:val="18"/>
              </w:rPr>
              <w:t>e</w:t>
            </w:r>
            <w:r w:rsidRPr="00324A0D">
              <w:rPr>
                <w:rFonts w:cs="Segoe UI"/>
                <w:sz w:val="18"/>
                <w:szCs w:val="18"/>
              </w:rPr>
              <w:t xml:space="preserve"> rozvoja a udržateľnosti siete nemocníc na úrovni VÚC a samospráv v kontexte zabezpečenia ústavnej zdravo</w:t>
            </w:r>
            <w:r>
              <w:rPr>
                <w:rFonts w:cs="Segoe UI"/>
                <w:sz w:val="18"/>
                <w:szCs w:val="18"/>
              </w:rPr>
              <w:t>tníckej starostlivosti pre občanov.</w:t>
            </w:r>
          </w:p>
          <w:p w14:paraId="40E14643" w14:textId="77777777" w:rsidR="008A4BCF" w:rsidRPr="00324A0D" w:rsidRDefault="008A4BCF" w:rsidP="00B44AC3">
            <w:pPr>
              <w:spacing w:line="240" w:lineRule="auto"/>
              <w:rPr>
                <w:rFonts w:cs="Segoe UI"/>
                <w:i/>
                <w:sz w:val="18"/>
                <w:szCs w:val="18"/>
                <w:u w:val="single"/>
              </w:rPr>
            </w:pPr>
            <w:r w:rsidRPr="00324A0D">
              <w:rPr>
                <w:rFonts w:cs="Segoe UI"/>
                <w:i/>
                <w:sz w:val="18"/>
                <w:szCs w:val="18"/>
                <w:u w:val="single"/>
              </w:rPr>
              <w:t xml:space="preserve">Vybrané položky príjmov obcí (KA-046/2023), </w:t>
            </w:r>
            <w:r w:rsidRPr="00DB6B09">
              <w:rPr>
                <w:rFonts w:cs="Segoe UI"/>
                <w:sz w:val="18"/>
                <w:szCs w:val="18"/>
                <w:u w:val="single"/>
                <w:lang w:val="en-US"/>
              </w:rPr>
              <w:t>[</w:t>
            </w:r>
            <w:hyperlink r:id="rId79" w:history="1">
              <w:r w:rsidRPr="00DB6B09">
                <w:rPr>
                  <w:rStyle w:val="Hypertextovprepojenie"/>
                  <w:rFonts w:cs="Segoe UI"/>
                  <w:sz w:val="18"/>
                  <w:szCs w:val="18"/>
                </w:rPr>
                <w:t>online</w:t>
              </w:r>
            </w:hyperlink>
            <w:r w:rsidRPr="00DB6B09">
              <w:rPr>
                <w:rStyle w:val="Hypertextovprepojenie"/>
                <w:rFonts w:cs="Segoe UI"/>
                <w:sz w:val="18"/>
                <w:szCs w:val="18"/>
              </w:rPr>
              <w:t>]</w:t>
            </w:r>
            <w:r w:rsidRPr="00DB6B09">
              <w:rPr>
                <w:rFonts w:cs="Segoe UI"/>
                <w:sz w:val="18"/>
                <w:szCs w:val="18"/>
                <w:u w:val="single"/>
              </w:rPr>
              <w:t xml:space="preserve"> – v procese, neuzavretá</w:t>
            </w:r>
          </w:p>
          <w:p w14:paraId="1D514299" w14:textId="77777777" w:rsidR="008A4BCF" w:rsidRDefault="008A4BCF" w:rsidP="00B44AC3">
            <w:pPr>
              <w:spacing w:line="240" w:lineRule="auto"/>
              <w:rPr>
                <w:rFonts w:cs="Segoe UI"/>
                <w:sz w:val="18"/>
                <w:szCs w:val="18"/>
              </w:rPr>
            </w:pPr>
            <w:r w:rsidRPr="00324A0D">
              <w:rPr>
                <w:rFonts w:cs="Segoe UI"/>
                <w:sz w:val="18"/>
                <w:szCs w:val="18"/>
              </w:rPr>
              <w:t>Kontrol</w:t>
            </w:r>
            <w:r>
              <w:rPr>
                <w:rFonts w:cs="Segoe UI"/>
                <w:sz w:val="18"/>
                <w:szCs w:val="18"/>
              </w:rPr>
              <w:t>a bola</w:t>
            </w:r>
            <w:r w:rsidRPr="00324A0D">
              <w:rPr>
                <w:rFonts w:cs="Segoe UI"/>
                <w:sz w:val="18"/>
                <w:szCs w:val="18"/>
              </w:rPr>
              <w:t xml:space="preserve"> zameraná na analýzu dosiahnutých príjmov </w:t>
            </w:r>
            <w:r>
              <w:rPr>
                <w:rFonts w:cs="Segoe UI"/>
                <w:sz w:val="18"/>
                <w:szCs w:val="18"/>
              </w:rPr>
              <w:t xml:space="preserve">obcí </w:t>
            </w:r>
            <w:r w:rsidRPr="00324A0D">
              <w:rPr>
                <w:rFonts w:cs="Segoe UI"/>
                <w:sz w:val="18"/>
                <w:szCs w:val="18"/>
              </w:rPr>
              <w:t>a na vybrané procesy, ktoré mestá realizovali v súvislosti so zabezpečením príjmov z dane z nehnuteľností a príjmov z pr</w:t>
            </w:r>
            <w:r>
              <w:rPr>
                <w:rFonts w:cs="Segoe UI"/>
                <w:sz w:val="18"/>
                <w:szCs w:val="18"/>
              </w:rPr>
              <w:t xml:space="preserve">enájmu vlastných nehnuteľností. </w:t>
            </w:r>
            <w:r w:rsidRPr="00324A0D">
              <w:rPr>
                <w:rFonts w:cs="Segoe UI"/>
                <w:sz w:val="18"/>
                <w:szCs w:val="18"/>
              </w:rPr>
              <w:t>Pravidelný nárast sadzieb daní je pri súčasnom nastavení výpočtu daní z nehnuteľností hlavný spôsob ochrany týchto príjmov pred ich znehodnocovaním vplyvom inflácie. Proces vyrubovania daní z nehnuteľností je nastavený jednotne vo všetkých kontrolovaných mestách v súlade so zákonom o správe daní. Správne nastavenie a praktické fungovanie bolo preukázané nielen nízkym počtom podaných odvolaní, ale aj malou početnosťou kontrolných zistení NKÚ SR. Opakovane však bolo preukázané, že proces vymáhania nedoplatkov z miestnych daní je komplikovaný a málo efektívny z dôvodu vysokého počtu nedoplatkov s nízkou nominálnou hodnotou</w:t>
            </w:r>
            <w:r>
              <w:rPr>
                <w:rFonts w:cs="Segoe UI"/>
                <w:sz w:val="18"/>
                <w:szCs w:val="18"/>
              </w:rPr>
              <w:t>.</w:t>
            </w:r>
          </w:p>
          <w:p w14:paraId="51749B48" w14:textId="77777777" w:rsidR="008A4BCF" w:rsidRPr="0074250A" w:rsidRDefault="008A4BCF" w:rsidP="00B44AC3">
            <w:pPr>
              <w:spacing w:line="240" w:lineRule="auto"/>
              <w:rPr>
                <w:rFonts w:cs="Segoe UI"/>
                <w:sz w:val="18"/>
                <w:szCs w:val="18"/>
              </w:rPr>
            </w:pPr>
            <w:r w:rsidRPr="00324A0D">
              <w:rPr>
                <w:rFonts w:cs="Segoe UI"/>
                <w:sz w:val="18"/>
                <w:szCs w:val="18"/>
              </w:rPr>
              <w:t xml:space="preserve"> NKÚ SR odporúčal Výboru N</w:t>
            </w:r>
            <w:r>
              <w:rPr>
                <w:rFonts w:cs="Segoe UI"/>
                <w:sz w:val="18"/>
                <w:szCs w:val="18"/>
              </w:rPr>
              <w:t>R SR</w:t>
            </w:r>
            <w:r w:rsidRPr="00324A0D">
              <w:rPr>
                <w:rFonts w:cs="Segoe UI"/>
                <w:sz w:val="18"/>
                <w:szCs w:val="18"/>
              </w:rPr>
              <w:t xml:space="preserve"> pre financie a rozpočet uložiť M</w:t>
            </w:r>
            <w:r>
              <w:rPr>
                <w:rFonts w:cs="Segoe UI"/>
                <w:sz w:val="18"/>
                <w:szCs w:val="18"/>
              </w:rPr>
              <w:t>F</w:t>
            </w:r>
            <w:r w:rsidRPr="00324A0D">
              <w:rPr>
                <w:rFonts w:cs="Segoe UI"/>
                <w:sz w:val="18"/>
                <w:szCs w:val="18"/>
              </w:rPr>
              <w:t xml:space="preserve"> SR zváženie možnosti legislatívnej úpravy zákona o správe daní, cieľom ktorej bude zjednodušenie zániku nedoplatkov s nízkou nominálnou hodnotou a Výboru Národnej rady SR pre verejnú správu a regionálny rozvoj uložiť M</w:t>
            </w:r>
            <w:r>
              <w:rPr>
                <w:rFonts w:cs="Segoe UI"/>
                <w:sz w:val="18"/>
                <w:szCs w:val="18"/>
              </w:rPr>
              <w:t>V</w:t>
            </w:r>
            <w:r w:rsidRPr="00324A0D">
              <w:rPr>
                <w:rFonts w:cs="Segoe UI"/>
                <w:sz w:val="18"/>
                <w:szCs w:val="18"/>
              </w:rPr>
              <w:t xml:space="preserve"> SR, aby v rámci legislatívnej úpravy zákona o obecnom zriadení doplnilo kompetenciu obecného zastupiteľstva prerokovať a vziať na vedomie zostavenú a audítorom overenú účtovnú závierku obce a konsolidovanú účtovnú závierku obce, ak sa zostavuje.</w:t>
            </w:r>
          </w:p>
        </w:tc>
      </w:tr>
      <w:bookmarkEnd w:id="49"/>
    </w:tbl>
    <w:p w14:paraId="4CC53DAA" w14:textId="40147034" w:rsidR="00CC2B42" w:rsidRPr="003102B6" w:rsidRDefault="00CC2B42" w:rsidP="008A4BCF">
      <w:pPr>
        <w:pStyle w:val="Nadpis3"/>
        <w:ind w:left="0"/>
      </w:pPr>
    </w:p>
    <w:sectPr w:rsidR="00CC2B42" w:rsidRPr="003102B6" w:rsidSect="0035229D">
      <w:headerReference w:type="default" r:id="rId80"/>
      <w:footerReference w:type="default" r:id="rId81"/>
      <w:pgSz w:w="11906" w:h="16838"/>
      <w:pgMar w:top="1418" w:right="1418" w:bottom="1134" w:left="1418"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C2488E" w14:textId="77777777" w:rsidR="005F60BB" w:rsidRDefault="005F60BB" w:rsidP="004F10D0">
      <w:pPr>
        <w:spacing w:after="0" w:line="240" w:lineRule="auto"/>
      </w:pPr>
      <w:r>
        <w:separator/>
      </w:r>
    </w:p>
  </w:endnote>
  <w:endnote w:type="continuationSeparator" w:id="0">
    <w:p w14:paraId="19EBD388" w14:textId="77777777" w:rsidR="005F60BB" w:rsidRDefault="005F60BB" w:rsidP="004F10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w:altName w:val="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ontserrat">
    <w:panose1 w:val="00000500000000000000"/>
    <w:charset w:val="EE"/>
    <w:family w:val="auto"/>
    <w:pitch w:val="variable"/>
    <w:sig w:usb0="2000020F" w:usb1="00000003" w:usb2="00000000" w:usb3="00000000" w:csb0="00000197" w:csb1="00000000"/>
  </w:font>
  <w:font w:name="Ebrima">
    <w:panose1 w:val="02000000000000000000"/>
    <w:charset w:val="EE"/>
    <w:family w:val="auto"/>
    <w:pitch w:val="variable"/>
    <w:sig w:usb0="A000005F" w:usb1="02000041" w:usb2="00000800" w:usb3="00000000" w:csb0="00000093"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0417407"/>
      <w:docPartObj>
        <w:docPartGallery w:val="Page Numbers (Bottom of Page)"/>
        <w:docPartUnique/>
      </w:docPartObj>
    </w:sdtPr>
    <w:sdtEndPr>
      <w:rPr>
        <w:rFonts w:cs="Segoe UI"/>
      </w:rPr>
    </w:sdtEndPr>
    <w:sdtContent>
      <w:p w14:paraId="0FC19A5B" w14:textId="1346366C" w:rsidR="00B44AC3" w:rsidRPr="00342AA2" w:rsidRDefault="00B44AC3" w:rsidP="00733BFD">
        <w:pPr>
          <w:pStyle w:val="Pta"/>
          <w:jc w:val="right"/>
          <w:rPr>
            <w:rFonts w:cs="Segoe UI"/>
          </w:rPr>
        </w:pPr>
        <w:r w:rsidRPr="00342AA2">
          <w:rPr>
            <w:rFonts w:cs="Segoe UI"/>
          </w:rPr>
          <w:fldChar w:fldCharType="begin"/>
        </w:r>
        <w:r w:rsidRPr="00342AA2">
          <w:rPr>
            <w:rFonts w:cs="Segoe UI"/>
          </w:rPr>
          <w:instrText>PAGE   \* MERGEFORMAT</w:instrText>
        </w:r>
        <w:r w:rsidRPr="00342AA2">
          <w:rPr>
            <w:rFonts w:cs="Segoe UI"/>
          </w:rPr>
          <w:fldChar w:fldCharType="separate"/>
        </w:r>
        <w:r w:rsidR="002A46D9">
          <w:rPr>
            <w:rFonts w:cs="Segoe UI"/>
            <w:noProof/>
          </w:rPr>
          <w:t>2</w:t>
        </w:r>
        <w:r w:rsidRPr="00342AA2">
          <w:rPr>
            <w:rFonts w:cs="Segoe U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478184"/>
      <w:docPartObj>
        <w:docPartGallery w:val="Page Numbers (Bottom of Page)"/>
        <w:docPartUnique/>
      </w:docPartObj>
    </w:sdtPr>
    <w:sdtEndPr>
      <w:rPr>
        <w:rFonts w:cs="Segoe UI"/>
      </w:rPr>
    </w:sdtEndPr>
    <w:sdtContent>
      <w:p w14:paraId="2F90C670" w14:textId="3FF76386" w:rsidR="00B44AC3" w:rsidRPr="00342AA2" w:rsidRDefault="00B44AC3" w:rsidP="00733BFD">
        <w:pPr>
          <w:pStyle w:val="Pta"/>
          <w:jc w:val="right"/>
          <w:rPr>
            <w:rFonts w:cs="Segoe UI"/>
          </w:rPr>
        </w:pPr>
        <w:r w:rsidRPr="00342AA2">
          <w:rPr>
            <w:rFonts w:cs="Segoe UI"/>
          </w:rPr>
          <w:fldChar w:fldCharType="begin"/>
        </w:r>
        <w:r w:rsidRPr="00342AA2">
          <w:rPr>
            <w:rFonts w:cs="Segoe UI"/>
          </w:rPr>
          <w:instrText>PAGE   \* MERGEFORMAT</w:instrText>
        </w:r>
        <w:r w:rsidRPr="00342AA2">
          <w:rPr>
            <w:rFonts w:cs="Segoe UI"/>
          </w:rPr>
          <w:fldChar w:fldCharType="separate"/>
        </w:r>
        <w:r w:rsidR="002A46D9">
          <w:rPr>
            <w:rFonts w:cs="Segoe UI"/>
            <w:noProof/>
          </w:rPr>
          <w:t>22</w:t>
        </w:r>
        <w:r w:rsidRPr="00342AA2">
          <w:rPr>
            <w:rFonts w:cs="Segoe U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5359340"/>
      <w:docPartObj>
        <w:docPartGallery w:val="Page Numbers (Bottom of Page)"/>
        <w:docPartUnique/>
      </w:docPartObj>
    </w:sdtPr>
    <w:sdtEndPr/>
    <w:sdtContent>
      <w:p w14:paraId="131C6052" w14:textId="3F14D37B" w:rsidR="00B44AC3" w:rsidRDefault="00B44AC3" w:rsidP="00733BFD">
        <w:pPr>
          <w:pStyle w:val="Pta"/>
          <w:jc w:val="right"/>
        </w:pPr>
        <w:r>
          <w:fldChar w:fldCharType="begin"/>
        </w:r>
        <w:r>
          <w:instrText>PAGE   \* MERGEFORMAT</w:instrText>
        </w:r>
        <w:r>
          <w:fldChar w:fldCharType="separate"/>
        </w:r>
        <w:r w:rsidR="002A46D9">
          <w:rPr>
            <w:noProof/>
          </w:rPr>
          <w:t>65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049DFF" w14:textId="77777777" w:rsidR="005F60BB" w:rsidRDefault="005F60BB" w:rsidP="004F10D0">
      <w:pPr>
        <w:spacing w:after="0" w:line="240" w:lineRule="auto"/>
      </w:pPr>
      <w:r>
        <w:separator/>
      </w:r>
    </w:p>
  </w:footnote>
  <w:footnote w:type="continuationSeparator" w:id="0">
    <w:p w14:paraId="70E55969" w14:textId="77777777" w:rsidR="005F60BB" w:rsidRDefault="005F60BB" w:rsidP="004F10D0">
      <w:pPr>
        <w:spacing w:after="0" w:line="240" w:lineRule="auto"/>
      </w:pPr>
      <w:r>
        <w:continuationSeparator/>
      </w:r>
    </w:p>
  </w:footnote>
  <w:footnote w:id="1">
    <w:p w14:paraId="55B3BB5D" w14:textId="2E3FB762" w:rsidR="00B44AC3" w:rsidRDefault="00B44AC3" w:rsidP="00CC7863">
      <w:pPr>
        <w:pStyle w:val="Textpoznmkypodiarou"/>
      </w:pPr>
      <w:r>
        <w:rPr>
          <w:rStyle w:val="Odkaznapoznmkupodiarou"/>
        </w:rPr>
        <w:footnoteRef/>
      </w:r>
      <w:r>
        <w:t xml:space="preserve"> T. j. na základe výsledkov, ktoré </w:t>
      </w:r>
      <w:r w:rsidRPr="00E51868">
        <w:t>sa v metodike ESA 2010 za predchádzajúci rok predkladajú Eurost</w:t>
      </w:r>
      <w:r>
        <w:t>atu do 1. apríla bežného roka.</w:t>
      </w:r>
      <w:r w:rsidRPr="00E51868">
        <w:t xml:space="preserve"> Dôvodom je nevyhnutnosť vykonania auditov finančných výkazov a získanie definitívnych údajov o časovom rozlíšení daní a </w:t>
      </w:r>
      <w:r>
        <w:t> </w:t>
      </w:r>
      <w:r w:rsidRPr="00E51868">
        <w:t>poistných odvodov predovšetkým zo strany F</w:t>
      </w:r>
      <w:r>
        <w:t>inančného riaditeľstva</w:t>
      </w:r>
      <w:r w:rsidRPr="00E51868">
        <w:t xml:space="preserve"> SR, Sociálnej poisťovne a zdravotných poisťovní.</w:t>
      </w:r>
    </w:p>
  </w:footnote>
  <w:footnote w:id="2">
    <w:p w14:paraId="58034EF0" w14:textId="33C6A498" w:rsidR="00B44AC3" w:rsidRPr="006922FF" w:rsidRDefault="00B44AC3" w:rsidP="00750A6E">
      <w:pPr>
        <w:pStyle w:val="Textpoznmkypodiarou"/>
        <w:jc w:val="left"/>
        <w:rPr>
          <w:rFonts w:cs="Segoe UI"/>
        </w:rPr>
      </w:pPr>
      <w:r w:rsidRPr="006922FF">
        <w:rPr>
          <w:rStyle w:val="Odkaznapoznmkupodiarou"/>
          <w:rFonts w:cs="Segoe UI"/>
        </w:rPr>
        <w:footnoteRef/>
      </w:r>
      <w:r w:rsidRPr="006922FF">
        <w:rPr>
          <w:rFonts w:cs="Segoe UI"/>
        </w:rPr>
        <w:t xml:space="preserve"> Napríklad tabuľka 6 na s. 11 v ŠZÚ 2022. </w:t>
      </w:r>
      <w:r w:rsidRPr="006922FF">
        <w:rPr>
          <w:rFonts w:cs="Segoe UI"/>
          <w:lang w:val="en-US"/>
        </w:rPr>
        <w:t>[</w:t>
      </w:r>
      <w:hyperlink r:id="rId1" w:history="1">
        <w:r w:rsidRPr="006922FF">
          <w:rPr>
            <w:rStyle w:val="Hypertextovprepojenie"/>
            <w:rFonts w:cs="Segoe UI"/>
            <w:sz w:val="16"/>
          </w:rPr>
          <w:t>online</w:t>
        </w:r>
      </w:hyperlink>
      <w:r w:rsidRPr="006922FF">
        <w:rPr>
          <w:rFonts w:cs="Segoe UI"/>
        </w:rPr>
        <w:t>]</w:t>
      </w:r>
      <w:r>
        <w:rPr>
          <w:rFonts w:cs="Segoe UI"/>
        </w:rPr>
        <w:t>, tabuľka 4 na s. 11 v ŠZÚ 2021, tabuľka na s. 11 v ŠZÚ 2020, tabuľka na s. 10 v ŠZÚ 2019 atď.</w:t>
      </w:r>
    </w:p>
  </w:footnote>
  <w:footnote w:id="3">
    <w:p w14:paraId="35BEAFF4" w14:textId="77777777" w:rsidR="00B44AC3" w:rsidRDefault="00B44AC3" w:rsidP="00BB71F6">
      <w:pPr>
        <w:pStyle w:val="Textpoznmkypodiarou"/>
      </w:pPr>
      <w:r>
        <w:rPr>
          <w:rStyle w:val="Odkaznapoznmkupodiarou"/>
        </w:rPr>
        <w:footnoteRef/>
      </w:r>
      <w:r>
        <w:t xml:space="preserve"> ŠÚ SR – Revízia ukázala vyšší výkon ekonomiky SR, rast HDP v roku 2023 bol zrevidovaný z 1,1 % na 1,6 %. [</w:t>
      </w:r>
      <w:hyperlink r:id="rId2" w:history="1">
        <w:r w:rsidRPr="00AF0357">
          <w:rPr>
            <w:rStyle w:val="Hypertextovprepojenie"/>
            <w:sz w:val="16"/>
          </w:rPr>
          <w:t>online</w:t>
        </w:r>
      </w:hyperlink>
      <w:r>
        <w:t>].</w:t>
      </w:r>
    </w:p>
  </w:footnote>
  <w:footnote w:id="4">
    <w:p w14:paraId="6E60B264" w14:textId="20776D6E" w:rsidR="00B44AC3" w:rsidRDefault="00B44AC3">
      <w:pPr>
        <w:pStyle w:val="Textpoznmkypodiarou"/>
      </w:pPr>
      <w:r>
        <w:rPr>
          <w:rStyle w:val="Odkaznapoznmkupodiarou"/>
        </w:rPr>
        <w:footnoteRef/>
      </w:r>
      <w:r>
        <w:t xml:space="preserve"> NKÚ SR vypracúva stanovisko k návrhu ŠZÚ schváleného vládou SR a preto v tejto časti používame údaje z návrhu ŠZÚ spracované postupom ŠÚ SR (viď box 1).</w:t>
      </w:r>
    </w:p>
  </w:footnote>
  <w:footnote w:id="5">
    <w:p w14:paraId="7EE7F18E" w14:textId="7FB6224C" w:rsidR="00B44AC3" w:rsidRDefault="00B44AC3" w:rsidP="007A5D69">
      <w:pPr>
        <w:pStyle w:val="Textpoznmkypodiarou"/>
      </w:pPr>
      <w:r>
        <w:rPr>
          <w:rStyle w:val="Odkaznapoznmkupodiarou"/>
        </w:rPr>
        <w:footnoteRef/>
      </w:r>
      <w:r>
        <w:t xml:space="preserve"> </w:t>
      </w:r>
      <w:r w:rsidRPr="005A5ADD">
        <w:t xml:space="preserve">Dodávatelia energií (platitelia DPH) sú v tomto prípade poberateľmi tzv. dotácií k cenám tovarov, ktoré vstupujú do základu dane. Základ dane regulovaných dodávok energií je zo zákona tvorený platbami odberateľov, v tomto prípade domácností, za dodávky energií a kompenzáciami k cenám energií, ktoré prijímajú dodávatelia energií od MH SR, očistené o DPH. </w:t>
      </w:r>
      <w:r>
        <w:t>D</w:t>
      </w:r>
      <w:r w:rsidRPr="005A5ADD">
        <w:t xml:space="preserve">otácia od MH SR sa následne nenachádza v makrozákladni, nakoľko </w:t>
      </w:r>
      <w:r>
        <w:t>tá</w:t>
      </w:r>
      <w:r w:rsidRPr="005A5ADD">
        <w:t xml:space="preserve"> obsahuje </w:t>
      </w:r>
      <w:r>
        <w:t>aj</w:t>
      </w:r>
      <w:r w:rsidRPr="005A5ADD">
        <w:t xml:space="preserve"> medzispotrebu vlády a dotácia má charakter transferu.</w:t>
      </w:r>
    </w:p>
  </w:footnote>
  <w:footnote w:id="6">
    <w:p w14:paraId="4E92B5FE" w14:textId="1932030B" w:rsidR="00B44AC3" w:rsidRDefault="00B44AC3" w:rsidP="00FB0F3F">
      <w:pPr>
        <w:pStyle w:val="Textpoznmkypodiarou"/>
      </w:pPr>
      <w:r>
        <w:rPr>
          <w:rStyle w:val="Odkaznapoznmkupodiarou"/>
        </w:rPr>
        <w:footnoteRef/>
      </w:r>
      <w:r>
        <w:t xml:space="preserve"> Výnos DP FO z podnikania za rok 2023 je zatiaľ odhad, pretože sa daňové priznania za rok 2023 podávajú v roku 2024.</w:t>
      </w:r>
    </w:p>
  </w:footnote>
  <w:footnote w:id="7">
    <w:p w14:paraId="7CE54C14" w14:textId="17E2F628" w:rsidR="00B44AC3" w:rsidRDefault="00B44AC3">
      <w:pPr>
        <w:pStyle w:val="Textpoznmkypodiarou"/>
      </w:pPr>
      <w:r>
        <w:rPr>
          <w:rStyle w:val="Odkaznapoznmkupodiarou"/>
        </w:rPr>
        <w:footnoteRef/>
      </w:r>
      <w:r>
        <w:t xml:space="preserve"> </w:t>
      </w:r>
      <w:r w:rsidRPr="00D64728">
        <w:t>NKÚ SR vypracúva stanovisko k návrhu ŠZÚ schváleného vládou SR a preto v tejto časti používame údaje z návrhu ŠZÚ spracované postupom ŠÚ SR (viď box 1)</w:t>
      </w:r>
      <w:r>
        <w:t>.</w:t>
      </w:r>
    </w:p>
  </w:footnote>
  <w:footnote w:id="8">
    <w:p w14:paraId="57AB7D31" w14:textId="43EE84EE" w:rsidR="00B44AC3" w:rsidRDefault="00B44AC3">
      <w:pPr>
        <w:pStyle w:val="Textpoznmkypodiarou"/>
      </w:pPr>
      <w:r>
        <w:rPr>
          <w:rStyle w:val="Odkaznapoznmkupodiarou"/>
        </w:rPr>
        <w:footnoteRef/>
      </w:r>
      <w:r>
        <w:t xml:space="preserve"> </w:t>
      </w:r>
      <w:r w:rsidRPr="00D64728">
        <w:t>NKÚ SR vypracúva stanovisko k návrhu ŠZÚ schváleného vládou SR a preto v tejto časti používame údaje z návrhu ŠZÚ spracované postupom ŠÚ SR (viď box 1)</w:t>
      </w:r>
      <w:r>
        <w:t>.</w:t>
      </w:r>
    </w:p>
  </w:footnote>
  <w:footnote w:id="9">
    <w:p w14:paraId="4DED9BC9" w14:textId="77777777" w:rsidR="00B44AC3" w:rsidRDefault="00B44AC3" w:rsidP="00BB71F6">
      <w:pPr>
        <w:pStyle w:val="Textpoznmkypodiarou"/>
      </w:pPr>
      <w:r>
        <w:rPr>
          <w:rStyle w:val="Odkaznapoznmkupodiarou"/>
        </w:rPr>
        <w:footnoteRef/>
      </w:r>
      <w:r>
        <w:t xml:space="preserve"> Na základe dohody o poskytnutí stabilizačného príspevku sa zamestnanec zaviazal, že zotrvá v pracovnom pomere nepretržite počas troch rokov. Aj z toho dôvodu bude výdavok rozložený na obdobie rokov 2023 až 2025, pričom hotovostný výdavok sa realizoval v roku 2022.</w:t>
      </w:r>
    </w:p>
  </w:footnote>
  <w:footnote w:id="10">
    <w:p w14:paraId="2627E228" w14:textId="6F50D6A5" w:rsidR="00B44AC3" w:rsidRPr="00115102" w:rsidRDefault="00B44AC3" w:rsidP="00B4653C">
      <w:pPr>
        <w:pStyle w:val="Textpoznmkypodiarou"/>
        <w:rPr>
          <w:rFonts w:cs="Segoe UI"/>
          <w:szCs w:val="16"/>
        </w:rPr>
      </w:pPr>
      <w:r w:rsidRPr="00115102">
        <w:rPr>
          <w:rStyle w:val="Odkaznapoznmkupodiarou"/>
          <w:rFonts w:cs="Segoe UI"/>
          <w:szCs w:val="16"/>
        </w:rPr>
        <w:footnoteRef/>
      </w:r>
      <w:r w:rsidRPr="00115102">
        <w:rPr>
          <w:rFonts w:cs="Segoe UI"/>
          <w:szCs w:val="16"/>
        </w:rPr>
        <w:t xml:space="preserve"> MF SR – Správa o očakávanej skutočnosti za rok 2023 v porovnaní so schváleným RVS na rok 2023. </w:t>
      </w:r>
      <w:r w:rsidRPr="00115102">
        <w:rPr>
          <w:rFonts w:cs="Segoe UI"/>
          <w:szCs w:val="16"/>
          <w:lang w:val="en-US"/>
        </w:rPr>
        <w:t>[</w:t>
      </w:r>
      <w:hyperlink r:id="rId3" w:history="1">
        <w:r w:rsidRPr="00115102">
          <w:rPr>
            <w:rStyle w:val="Hypertextovprepojenie"/>
            <w:rFonts w:cs="Segoe UI"/>
            <w:sz w:val="16"/>
            <w:szCs w:val="16"/>
          </w:rPr>
          <w:t>online</w:t>
        </w:r>
      </w:hyperlink>
      <w:r w:rsidRPr="00115102">
        <w:rPr>
          <w:rFonts w:cs="Segoe UI"/>
          <w:szCs w:val="16"/>
        </w:rPr>
        <w:t>].</w:t>
      </w:r>
    </w:p>
  </w:footnote>
  <w:footnote w:id="11">
    <w:p w14:paraId="4EB8AA70" w14:textId="77777777" w:rsidR="00B44AC3" w:rsidRPr="00115102" w:rsidRDefault="00B44AC3" w:rsidP="0017673E">
      <w:pPr>
        <w:pStyle w:val="Textpoznmkypodiarou"/>
        <w:rPr>
          <w:rFonts w:cs="Segoe UI"/>
          <w:szCs w:val="16"/>
        </w:rPr>
      </w:pPr>
      <w:r w:rsidRPr="00115102">
        <w:rPr>
          <w:rStyle w:val="Odkaznapoznmkupodiarou"/>
          <w:rFonts w:cs="Segoe UI"/>
          <w:szCs w:val="16"/>
          <w:lang w:val="en-GB"/>
        </w:rPr>
        <w:footnoteRef/>
      </w:r>
      <w:r w:rsidRPr="00115102">
        <w:rPr>
          <w:rFonts w:cs="Segoe UI"/>
          <w:szCs w:val="16"/>
          <w:lang w:val="en-GB"/>
        </w:rPr>
        <w:t xml:space="preserve"> IMF – Slovak Republic: Technical Assistance Report-Implementing Public Expenditure Limits.</w:t>
      </w:r>
      <w:r w:rsidRPr="00115102">
        <w:rPr>
          <w:rFonts w:cs="Segoe UI"/>
          <w:szCs w:val="16"/>
        </w:rPr>
        <w:t xml:space="preserve"> </w:t>
      </w:r>
      <w:r w:rsidRPr="00115102">
        <w:rPr>
          <w:rFonts w:cs="Segoe UI"/>
          <w:szCs w:val="16"/>
          <w:lang w:val="en-US"/>
        </w:rPr>
        <w:t>[</w:t>
      </w:r>
      <w:hyperlink r:id="rId4" w:history="1">
        <w:r w:rsidRPr="00115102">
          <w:rPr>
            <w:rStyle w:val="Hypertextovprepojenie"/>
            <w:rFonts w:cs="Segoe UI"/>
            <w:sz w:val="16"/>
            <w:szCs w:val="16"/>
          </w:rPr>
          <w:t>online</w:t>
        </w:r>
      </w:hyperlink>
      <w:r w:rsidRPr="00115102">
        <w:rPr>
          <w:rFonts w:cs="Segoe UI"/>
          <w:szCs w:val="16"/>
        </w:rPr>
        <w:t>].</w:t>
      </w:r>
    </w:p>
  </w:footnote>
  <w:footnote w:id="12">
    <w:p w14:paraId="5E79A78D" w14:textId="77777777" w:rsidR="00B44AC3" w:rsidRPr="00115102" w:rsidRDefault="00B44AC3" w:rsidP="00780954">
      <w:pPr>
        <w:pStyle w:val="Textpoznmkypodiarou"/>
        <w:rPr>
          <w:rFonts w:cs="Segoe UI"/>
          <w:szCs w:val="16"/>
        </w:rPr>
      </w:pPr>
      <w:r w:rsidRPr="00115102">
        <w:rPr>
          <w:rStyle w:val="Odkaznapoznmkupodiarou"/>
          <w:rFonts w:cs="Segoe UI"/>
          <w:szCs w:val="16"/>
        </w:rPr>
        <w:footnoteRef/>
      </w:r>
      <w:r w:rsidRPr="00115102">
        <w:rPr>
          <w:rFonts w:cs="Segoe UI"/>
          <w:szCs w:val="16"/>
        </w:rPr>
        <w:t xml:space="preserve"> Zákon 526/2022 Z. z. o štátnom rozpočte na rok 2023. </w:t>
      </w:r>
      <w:r w:rsidRPr="00115102">
        <w:rPr>
          <w:rFonts w:cs="Segoe UI"/>
          <w:szCs w:val="16"/>
          <w:lang w:val="en-US"/>
        </w:rPr>
        <w:t>[</w:t>
      </w:r>
      <w:hyperlink r:id="rId5" w:anchor="paragraf-7.odsek-1" w:history="1">
        <w:r w:rsidRPr="00115102">
          <w:rPr>
            <w:rStyle w:val="Hypertextovprepojenie"/>
            <w:rFonts w:cs="Segoe UI"/>
            <w:sz w:val="16"/>
            <w:szCs w:val="16"/>
          </w:rPr>
          <w:t>online</w:t>
        </w:r>
      </w:hyperlink>
      <w:r w:rsidRPr="00115102">
        <w:rPr>
          <w:rFonts w:cs="Segoe UI"/>
          <w:szCs w:val="16"/>
        </w:rPr>
        <w:t>].</w:t>
      </w:r>
    </w:p>
  </w:footnote>
  <w:footnote w:id="13">
    <w:p w14:paraId="7C1DC348" w14:textId="28D0DD53" w:rsidR="00B44AC3" w:rsidRPr="00115102" w:rsidRDefault="00B44AC3" w:rsidP="00780954">
      <w:pPr>
        <w:pStyle w:val="Textpoznmkypodiarou"/>
        <w:rPr>
          <w:rFonts w:cs="Segoe UI"/>
          <w:szCs w:val="16"/>
        </w:rPr>
      </w:pPr>
      <w:r w:rsidRPr="00115102">
        <w:rPr>
          <w:rStyle w:val="Odkaznapoznmkupodiarou"/>
          <w:rFonts w:cs="Segoe UI"/>
          <w:szCs w:val="16"/>
        </w:rPr>
        <w:footnoteRef/>
      </w:r>
      <w:r w:rsidRPr="00115102">
        <w:rPr>
          <w:rFonts w:cs="Segoe UI"/>
          <w:szCs w:val="16"/>
        </w:rPr>
        <w:t xml:space="preserve"> </w:t>
      </w:r>
      <w:r>
        <w:rPr>
          <w:rFonts w:cs="Segoe UI"/>
          <w:szCs w:val="16"/>
        </w:rPr>
        <w:t xml:space="preserve">Paragraf </w:t>
      </w:r>
      <w:r w:rsidRPr="00115102">
        <w:rPr>
          <w:rFonts w:cs="Segoe UI"/>
          <w:szCs w:val="16"/>
        </w:rPr>
        <w:t xml:space="preserve">30aa, ods. (22) zákona 523/2004 Z. z. o rozpočtových pravidlách verejnej správy. </w:t>
      </w:r>
      <w:r w:rsidRPr="00115102">
        <w:rPr>
          <w:rFonts w:cs="Segoe UI"/>
          <w:szCs w:val="16"/>
          <w:lang w:val="en-US"/>
        </w:rPr>
        <w:t>[</w:t>
      </w:r>
      <w:hyperlink r:id="rId6" w:anchor="paragraf-30aa.odsek-22" w:history="1">
        <w:r w:rsidRPr="00115102">
          <w:rPr>
            <w:rStyle w:val="Hypertextovprepojenie"/>
            <w:rFonts w:cs="Segoe UI"/>
            <w:sz w:val="16"/>
            <w:szCs w:val="16"/>
          </w:rPr>
          <w:t>online</w:t>
        </w:r>
      </w:hyperlink>
      <w:r w:rsidRPr="00115102">
        <w:rPr>
          <w:rFonts w:cs="Segoe UI"/>
          <w:szCs w:val="16"/>
        </w:rPr>
        <w:t>].</w:t>
      </w:r>
    </w:p>
  </w:footnote>
  <w:footnote w:id="14">
    <w:p w14:paraId="61084AE1" w14:textId="77777777" w:rsidR="00B44AC3" w:rsidRPr="00E05666" w:rsidRDefault="00B44AC3" w:rsidP="000A4E30">
      <w:pPr>
        <w:pStyle w:val="Textpoznmkypodiarou"/>
        <w:rPr>
          <w:szCs w:val="16"/>
        </w:rPr>
      </w:pPr>
      <w:r w:rsidRPr="00E05666">
        <w:rPr>
          <w:rStyle w:val="Odkaznapoznmkupodiarou"/>
          <w:szCs w:val="16"/>
        </w:rPr>
        <w:footnoteRef/>
      </w:r>
      <w:r w:rsidRPr="00E05666">
        <w:rPr>
          <w:szCs w:val="16"/>
        </w:rPr>
        <w:t xml:space="preserve"> ŠÚ SR – Deficit a dlh verejných financií SR za rok 2023. </w:t>
      </w:r>
      <w:hyperlink r:id="rId7" w:history="1">
        <w:r w:rsidRPr="00E05666">
          <w:rPr>
            <w:rStyle w:val="Hypertextovprepojenie"/>
            <w:sz w:val="16"/>
            <w:szCs w:val="16"/>
          </w:rPr>
          <w:t>[online].</w:t>
        </w:r>
      </w:hyperlink>
    </w:p>
  </w:footnote>
  <w:footnote w:id="15">
    <w:p w14:paraId="1B90A79F" w14:textId="77777777" w:rsidR="00B44AC3" w:rsidRPr="007E0A41" w:rsidRDefault="00B44AC3" w:rsidP="004A2208">
      <w:pPr>
        <w:pStyle w:val="Textpoznmkypodiarou"/>
        <w:rPr>
          <w:rFonts w:cs="Segoe UI"/>
          <w:szCs w:val="16"/>
        </w:rPr>
      </w:pPr>
      <w:r w:rsidRPr="007E0A41">
        <w:rPr>
          <w:rStyle w:val="Odkaznapoznmkupodiarou"/>
          <w:rFonts w:cs="Segoe UI"/>
          <w:szCs w:val="16"/>
        </w:rPr>
        <w:footnoteRef/>
      </w:r>
      <w:r w:rsidRPr="007E0A41">
        <w:rPr>
          <w:rFonts w:cs="Segoe UI"/>
          <w:szCs w:val="16"/>
        </w:rPr>
        <w:t xml:space="preserve"> Ústavný zákon </w:t>
      </w:r>
      <w:r w:rsidRPr="007E0A41">
        <w:rPr>
          <w:rFonts w:eastAsia="Times New Roman" w:cs="Segoe UI"/>
          <w:szCs w:val="16"/>
        </w:rPr>
        <w:t xml:space="preserve">493/2011 Z. z. </w:t>
      </w:r>
      <w:r w:rsidRPr="007E0A41">
        <w:rPr>
          <w:rFonts w:cs="Segoe UI"/>
          <w:szCs w:val="16"/>
        </w:rPr>
        <w:t xml:space="preserve">o rozpočtovej zodpovednosti, článok 12. </w:t>
      </w:r>
      <w:r w:rsidRPr="007E0A41">
        <w:rPr>
          <w:rFonts w:cs="Segoe UI"/>
          <w:szCs w:val="16"/>
          <w:lang w:val="en-US"/>
        </w:rPr>
        <w:t>[</w:t>
      </w:r>
      <w:hyperlink r:id="rId8" w:anchor="ustavnyclanok-12" w:history="1">
        <w:r w:rsidRPr="007E0A41">
          <w:rPr>
            <w:rStyle w:val="Hypertextovprepojenie"/>
            <w:rFonts w:cs="Segoe UI"/>
            <w:sz w:val="16"/>
            <w:szCs w:val="16"/>
          </w:rPr>
          <w:t>online</w:t>
        </w:r>
      </w:hyperlink>
      <w:r w:rsidRPr="007E0A41">
        <w:rPr>
          <w:rFonts w:cs="Segoe UI"/>
          <w:szCs w:val="16"/>
        </w:rPr>
        <w:t>].</w:t>
      </w:r>
    </w:p>
  </w:footnote>
  <w:footnote w:id="16">
    <w:p w14:paraId="177B4FE9" w14:textId="77777777" w:rsidR="00B44AC3" w:rsidRPr="007E0A41" w:rsidRDefault="00B44AC3" w:rsidP="004A2208">
      <w:pPr>
        <w:pStyle w:val="Textpoznmkypodiarou"/>
        <w:rPr>
          <w:rFonts w:cs="Segoe UI"/>
          <w:szCs w:val="16"/>
        </w:rPr>
      </w:pPr>
      <w:r w:rsidRPr="007E0A41">
        <w:rPr>
          <w:rStyle w:val="Odkaznapoznmkupodiarou"/>
          <w:rFonts w:cs="Segoe UI"/>
          <w:szCs w:val="16"/>
        </w:rPr>
        <w:footnoteRef/>
      </w:r>
      <w:r w:rsidRPr="007E0A41">
        <w:rPr>
          <w:rFonts w:cs="Segoe UI"/>
          <w:szCs w:val="16"/>
        </w:rPr>
        <w:t xml:space="preserve"> RRZ – Interaktívny vývoj hrubého dlhu a uplatňovaných sankcií. </w:t>
      </w:r>
      <w:r w:rsidRPr="007E0A41">
        <w:rPr>
          <w:rFonts w:cs="Segoe UI"/>
          <w:szCs w:val="16"/>
          <w:lang w:val="en-US"/>
        </w:rPr>
        <w:t>[</w:t>
      </w:r>
      <w:hyperlink r:id="rId9" w:history="1">
        <w:r w:rsidRPr="007E0A41">
          <w:rPr>
            <w:rStyle w:val="Hypertextovprepojenie"/>
            <w:rFonts w:cs="Segoe UI"/>
            <w:sz w:val="16"/>
            <w:szCs w:val="16"/>
          </w:rPr>
          <w:t>online</w:t>
        </w:r>
      </w:hyperlink>
      <w:r w:rsidRPr="007E0A41">
        <w:rPr>
          <w:rFonts w:cs="Segoe UI"/>
          <w:szCs w:val="16"/>
        </w:rPr>
        <w:t>].</w:t>
      </w:r>
    </w:p>
  </w:footnote>
  <w:footnote w:id="17">
    <w:p w14:paraId="70B56C9E" w14:textId="77777777" w:rsidR="00B44AC3" w:rsidRPr="00BB1B70" w:rsidRDefault="00B44AC3" w:rsidP="004A2208">
      <w:pPr>
        <w:pStyle w:val="Textpoznmkypodiarou"/>
        <w:rPr>
          <w:szCs w:val="16"/>
        </w:rPr>
      </w:pPr>
      <w:r w:rsidRPr="007E0A41">
        <w:rPr>
          <w:rStyle w:val="Odkaznapoznmkupodiarou"/>
          <w:szCs w:val="16"/>
        </w:rPr>
        <w:footnoteRef/>
      </w:r>
      <w:r w:rsidRPr="007E0A41">
        <w:rPr>
          <w:szCs w:val="16"/>
        </w:rPr>
        <w:t xml:space="preserve"> EK – Debt Sustainability Monitor 2023. </w:t>
      </w:r>
      <w:hyperlink r:id="rId10" w:history="1">
        <w:r w:rsidRPr="007E0A41">
          <w:rPr>
            <w:rStyle w:val="Hypertextovprepojenie"/>
            <w:sz w:val="16"/>
            <w:szCs w:val="16"/>
          </w:rPr>
          <w:t>[online].</w:t>
        </w:r>
      </w:hyperlink>
    </w:p>
  </w:footnote>
  <w:footnote w:id="18">
    <w:p w14:paraId="3FA382AE" w14:textId="77777777" w:rsidR="00B44AC3" w:rsidRPr="00055615" w:rsidRDefault="00B44AC3" w:rsidP="006B4C53">
      <w:pPr>
        <w:pStyle w:val="Textpoznmkypodiarou"/>
        <w:rPr>
          <w:szCs w:val="16"/>
        </w:rPr>
      </w:pPr>
      <w:r>
        <w:rPr>
          <w:rStyle w:val="Odkaznapoznmkupodiarou"/>
        </w:rPr>
        <w:footnoteRef/>
      </w:r>
      <w:r>
        <w:t xml:space="preserve"> </w:t>
      </w:r>
      <w:r w:rsidRPr="00055615">
        <w:rPr>
          <w:szCs w:val="16"/>
        </w:rPr>
        <w:t xml:space="preserve">ARDAL – SR predala štátne dlhopisy so splatnosťou 10 rokov v hodnote 3 mld. eur s kupónom 3,75 % p. a. </w:t>
      </w:r>
      <w:hyperlink r:id="rId11" w:history="1">
        <w:r w:rsidRPr="00055615">
          <w:rPr>
            <w:rStyle w:val="Hypertextovprepojenie"/>
            <w:sz w:val="16"/>
            <w:szCs w:val="16"/>
          </w:rPr>
          <w:t>[online].</w:t>
        </w:r>
      </w:hyperlink>
    </w:p>
  </w:footnote>
  <w:footnote w:id="19">
    <w:p w14:paraId="7ED93475" w14:textId="3FAD9DFD" w:rsidR="00B44AC3" w:rsidRPr="00055615" w:rsidRDefault="00B44AC3" w:rsidP="006B4C53">
      <w:pPr>
        <w:pStyle w:val="Textpoznmkypodiarou"/>
        <w:rPr>
          <w:lang w:val="en-US"/>
        </w:rPr>
      </w:pPr>
      <w:r w:rsidRPr="00055615">
        <w:rPr>
          <w:rStyle w:val="Odkaznapoznmkupodiarou"/>
          <w:szCs w:val="16"/>
        </w:rPr>
        <w:footnoteRef/>
      </w:r>
      <w:r w:rsidRPr="00055615">
        <w:rPr>
          <w:szCs w:val="16"/>
        </w:rPr>
        <w:t xml:space="preserve"> ARDAL – SR predala dva štátne dlhopisy v celkovej hodnote 635 mil</w:t>
      </w:r>
      <w:r>
        <w:rPr>
          <w:szCs w:val="16"/>
        </w:rPr>
        <w:t>.</w:t>
      </w:r>
      <w:r w:rsidRPr="00055615">
        <w:rPr>
          <w:szCs w:val="16"/>
        </w:rPr>
        <w:t xml:space="preserve"> CHF</w:t>
      </w:r>
      <w:r>
        <w:rPr>
          <w:szCs w:val="16"/>
        </w:rPr>
        <w:t>, 4-ročný v hodnote 325 mil.</w:t>
      </w:r>
      <w:r w:rsidRPr="00055615">
        <w:rPr>
          <w:szCs w:val="16"/>
        </w:rPr>
        <w:t xml:space="preserve"> CHF a</w:t>
      </w:r>
      <w:r>
        <w:rPr>
          <w:szCs w:val="16"/>
        </w:rPr>
        <w:t> 10-ročný v hodnote 310 mil.</w:t>
      </w:r>
      <w:r w:rsidRPr="00055615">
        <w:rPr>
          <w:szCs w:val="16"/>
        </w:rPr>
        <w:t xml:space="preserve"> CHF</w:t>
      </w:r>
      <w:r>
        <w:rPr>
          <w:szCs w:val="16"/>
        </w:rPr>
        <w:t>.</w:t>
      </w:r>
      <w:r w:rsidRPr="00055615">
        <w:rPr>
          <w:szCs w:val="16"/>
        </w:rPr>
        <w:t xml:space="preserve"> </w:t>
      </w:r>
      <w:hyperlink r:id="rId12" w:history="1">
        <w:r w:rsidRPr="00055615">
          <w:rPr>
            <w:rStyle w:val="Hypertextovprepojenie"/>
            <w:sz w:val="16"/>
            <w:szCs w:val="16"/>
            <w:lang w:val="en-US"/>
          </w:rPr>
          <w:t>[online].</w:t>
        </w:r>
      </w:hyperlink>
    </w:p>
  </w:footnote>
  <w:footnote w:id="20">
    <w:p w14:paraId="6BCAA34C" w14:textId="0D568B66" w:rsidR="00B44AC3" w:rsidRDefault="00B44AC3" w:rsidP="007879DB">
      <w:pPr>
        <w:pStyle w:val="Textpoznmkypodiarou"/>
      </w:pPr>
      <w:r>
        <w:rPr>
          <w:rStyle w:val="Odkaznapoznmkupodiarou"/>
        </w:rPr>
        <w:footnoteRef/>
      </w:r>
      <w:r>
        <w:t xml:space="preserve"> </w:t>
      </w:r>
      <w:r w:rsidRPr="007060EE">
        <w:t xml:space="preserve">Doteraz boli uhradené len administratívne poplatky a projektová dokumentácia vo výške 9,5 mil. eur, čo má v konečnom dôsledku pozitívny vplyv na schodok/dlh. Predmetom projektov, ktoré zabezpečuje NSPA je rekonštrukcia rolovacích dráh, vybudovanie nových rolovacích dráh a stojiska, rekonštrukcia skladu náhradných dielov </w:t>
      </w:r>
      <w:r>
        <w:t>–</w:t>
      </w:r>
      <w:r w:rsidRPr="007060EE">
        <w:t xml:space="preserve"> budovy č. 35 a 63, rekonštrukcia trafostanice, vybudovanie vstupu zo Sielnice, rekonštrukcia hangáru údržby, vybudovanie zariadenia pre umývanie lietadiel, rekonštrukcia budovy pre parkovanie pozemných podporných prostriedkov, vybudovanie zariadenia pre skladovanie a plnenie hydrazínu, vybudovanie dočasného skladu munície, rekonštrukcia dielní opráv pre pozemné podporné prostriedky a rekonštrukcia priestorov NATINAMDS.</w:t>
      </w:r>
    </w:p>
  </w:footnote>
  <w:footnote w:id="21">
    <w:p w14:paraId="57E78B27" w14:textId="37398E83" w:rsidR="00B44AC3" w:rsidRDefault="00B44AC3" w:rsidP="007879DB">
      <w:pPr>
        <w:pStyle w:val="Textpoznmkypodiarou"/>
      </w:pPr>
      <w:r>
        <w:rPr>
          <w:rStyle w:val="Odkaznapoznmkupodiarou"/>
        </w:rPr>
        <w:footnoteRef/>
      </w:r>
      <w:r>
        <w:t xml:space="preserve"> Správa o výsledku kontroly – Plán rozvoja infraštruktúry MO SR.</w:t>
      </w:r>
    </w:p>
  </w:footnote>
  <w:footnote w:id="22">
    <w:p w14:paraId="6763176B" w14:textId="7F80BCE9" w:rsidR="00B44AC3" w:rsidRPr="00001348" w:rsidRDefault="00B44AC3">
      <w:pPr>
        <w:pStyle w:val="Textpoznmkypodiarou"/>
        <w:rPr>
          <w:szCs w:val="16"/>
        </w:rPr>
      </w:pPr>
      <w:r w:rsidRPr="00001348">
        <w:rPr>
          <w:rStyle w:val="Odkaznapoznmkupodiarou"/>
          <w:szCs w:val="16"/>
        </w:rPr>
        <w:footnoteRef/>
      </w:r>
      <w:r w:rsidRPr="00001348">
        <w:rPr>
          <w:szCs w:val="16"/>
        </w:rPr>
        <w:t xml:space="preserve"> </w:t>
      </w:r>
      <w:r w:rsidRPr="00001348">
        <w:rPr>
          <w:szCs w:val="16"/>
          <w:lang w:val="en-US"/>
        </w:rPr>
        <w:t xml:space="preserve">NKÚ SR, 2023 – </w:t>
      </w:r>
      <w:r w:rsidRPr="00001348">
        <w:rPr>
          <w:szCs w:val="16"/>
        </w:rPr>
        <w:t>Správa o výsledku kontroly</w:t>
      </w:r>
      <w:r w:rsidRPr="00001348">
        <w:rPr>
          <w:szCs w:val="16"/>
          <w:lang w:val="en-US"/>
        </w:rPr>
        <w:t xml:space="preserve"> </w:t>
      </w:r>
      <w:r w:rsidRPr="00001348">
        <w:rPr>
          <w:szCs w:val="16"/>
        </w:rPr>
        <w:t>Príprava a realizácia investičných projektov národnej nemocnice Rázsochy a Univerzitnej nemocnice sv. Martina</w:t>
      </w:r>
      <w:r w:rsidRPr="00001348">
        <w:rPr>
          <w:szCs w:val="16"/>
          <w:lang w:val="en-US"/>
        </w:rPr>
        <w:t xml:space="preserve">. </w:t>
      </w:r>
      <w:hyperlink r:id="rId13" w:history="1">
        <w:r w:rsidRPr="00001348">
          <w:rPr>
            <w:rStyle w:val="Hypertextovprepojenie"/>
            <w:sz w:val="16"/>
            <w:szCs w:val="16"/>
            <w:lang w:val="en-US"/>
          </w:rPr>
          <w:t>[online].</w:t>
        </w:r>
      </w:hyperlink>
    </w:p>
  </w:footnote>
  <w:footnote w:id="23">
    <w:p w14:paraId="4B611B72" w14:textId="77777777" w:rsidR="00B44AC3" w:rsidRDefault="00B44AC3" w:rsidP="0021192E">
      <w:pPr>
        <w:pStyle w:val="Textpoznmkypodiarou"/>
      </w:pPr>
      <w:r>
        <w:rPr>
          <w:rStyle w:val="Odkaznapoznmkupodiarou"/>
        </w:rPr>
        <w:footnoteRef/>
      </w:r>
      <w:r>
        <w:t xml:space="preserve"> NKÚ SR – (Ne)samostatne zárobkovo činné osoby. [</w:t>
      </w:r>
      <w:hyperlink r:id="rId14" w:history="1">
        <w:r w:rsidRPr="005B1B0D">
          <w:rPr>
            <w:rStyle w:val="Hypertextovprepojenie"/>
            <w:sz w:val="16"/>
          </w:rPr>
          <w:t>online</w:t>
        </w:r>
      </w:hyperlink>
      <w:r>
        <w:t>].</w:t>
      </w:r>
    </w:p>
  </w:footnote>
  <w:footnote w:id="24">
    <w:p w14:paraId="6766BB54" w14:textId="77777777" w:rsidR="00B44AC3" w:rsidRDefault="00B44AC3" w:rsidP="0021192E">
      <w:pPr>
        <w:pStyle w:val="Textpoznmkypodiarou"/>
      </w:pPr>
      <w:r>
        <w:rPr>
          <w:rStyle w:val="Odkaznapoznmkupodiarou"/>
        </w:rPr>
        <w:footnoteRef/>
      </w:r>
      <w:r>
        <w:t xml:space="preserve"> ÚHP – Hľadáme spoľahlivého zamestnanca. Podmienka: na živnosť. [</w:t>
      </w:r>
      <w:hyperlink r:id="rId15" w:history="1">
        <w:r w:rsidRPr="00526E09">
          <w:rPr>
            <w:rStyle w:val="Hypertextovprepojenie"/>
            <w:sz w:val="16"/>
          </w:rPr>
          <w:t>online</w:t>
        </w:r>
      </w:hyperlink>
      <w:r>
        <w:t>].</w:t>
      </w:r>
    </w:p>
  </w:footnote>
  <w:footnote w:id="25">
    <w:p w14:paraId="3BE9A19E" w14:textId="20D3A94D" w:rsidR="00B44AC3" w:rsidRDefault="00B44AC3">
      <w:pPr>
        <w:pStyle w:val="Textpoznmkypodiarou"/>
      </w:pPr>
      <w:r>
        <w:rPr>
          <w:rStyle w:val="Odkaznapoznmkupodiarou"/>
        </w:rPr>
        <w:footnoteRef/>
      </w:r>
      <w:r>
        <w:t xml:space="preserve"> </w:t>
      </w:r>
      <w:r w:rsidRPr="00DE2A9C">
        <w:t>Podľa zákona č. 311/2001 Z. z. Zákonník práce § 1</w:t>
      </w:r>
      <w:r>
        <w:t>.</w:t>
      </w:r>
    </w:p>
  </w:footnote>
  <w:footnote w:id="26">
    <w:p w14:paraId="23A47CF5" w14:textId="77777777" w:rsidR="00B44AC3" w:rsidRPr="00BE3A2B" w:rsidRDefault="00B44AC3" w:rsidP="00B16203">
      <w:pPr>
        <w:pStyle w:val="Textpoznmkypodiarou"/>
        <w:rPr>
          <w:rFonts w:cs="Segoe UI"/>
          <w:szCs w:val="16"/>
        </w:rPr>
      </w:pPr>
      <w:r w:rsidRPr="00BE3A2B">
        <w:rPr>
          <w:rStyle w:val="Odkaznapoznmkupodiarou"/>
          <w:rFonts w:cs="Segoe UI"/>
          <w:szCs w:val="16"/>
        </w:rPr>
        <w:footnoteRef/>
      </w:r>
      <w:r w:rsidRPr="00BE3A2B">
        <w:rPr>
          <w:rFonts w:cs="Segoe UI"/>
          <w:szCs w:val="16"/>
        </w:rPr>
        <w:t xml:space="preserve"> </w:t>
      </w:r>
      <w:r w:rsidRPr="00BE3A2B">
        <w:rPr>
          <w:rFonts w:cs="Segoe UI"/>
          <w:color w:val="000000"/>
          <w:szCs w:val="16"/>
          <w:lang w:eastAsia="sk-SK"/>
        </w:rPr>
        <w:t>Podľa zákona č. 580/2004 Z. z. o zdravotnom poistení v znení neskorších predpisov.</w:t>
      </w:r>
    </w:p>
  </w:footnote>
  <w:footnote w:id="27">
    <w:p w14:paraId="785A9712" w14:textId="098D0417" w:rsidR="00B44AC3" w:rsidRPr="00BE3A2B" w:rsidRDefault="00B44AC3" w:rsidP="00B16203">
      <w:pPr>
        <w:pStyle w:val="Textpoznmkypodiarou"/>
        <w:rPr>
          <w:rFonts w:cs="Segoe UI"/>
          <w:szCs w:val="16"/>
        </w:rPr>
      </w:pPr>
      <w:r w:rsidRPr="00BE3A2B">
        <w:rPr>
          <w:rStyle w:val="Odkaznapoznmkupodiarou"/>
          <w:rFonts w:cs="Segoe UI"/>
          <w:szCs w:val="16"/>
        </w:rPr>
        <w:footnoteRef/>
      </w:r>
      <w:r w:rsidRPr="00BE3A2B">
        <w:rPr>
          <w:rFonts w:cs="Segoe UI"/>
          <w:szCs w:val="16"/>
        </w:rPr>
        <w:t xml:space="preserve"> </w:t>
      </w:r>
      <w:r>
        <w:rPr>
          <w:rFonts w:cs="Segoe UI"/>
          <w:szCs w:val="16"/>
        </w:rPr>
        <w:t xml:space="preserve">ÚDZS – </w:t>
      </w:r>
      <w:r w:rsidRPr="00A4481D">
        <w:rPr>
          <w:rFonts w:cs="Segoe UI"/>
          <w:szCs w:val="16"/>
        </w:rPr>
        <w:t>Všetky tri zdravotné poisťovne majú k 30. 9. 2023 dostatočnú likviditu</w:t>
      </w:r>
      <w:r>
        <w:rPr>
          <w:rFonts w:cs="Segoe UI"/>
          <w:szCs w:val="16"/>
        </w:rPr>
        <w:t xml:space="preserve">, úrad vzhľadom na absenciu finančného dohľadu apeluje na zmeny </w:t>
      </w:r>
      <w:r w:rsidRPr="00BE3A2B">
        <w:rPr>
          <w:rFonts w:cs="Segoe UI"/>
          <w:szCs w:val="16"/>
        </w:rPr>
        <w:t>[</w:t>
      </w:r>
      <w:hyperlink r:id="rId16" w:anchor="_ftn2" w:history="1">
        <w:r w:rsidRPr="00BE3A2B">
          <w:rPr>
            <w:rStyle w:val="Hypertextovprepojenie"/>
            <w:rFonts w:cs="Segoe UI"/>
            <w:sz w:val="16"/>
            <w:szCs w:val="16"/>
          </w:rPr>
          <w:t>online</w:t>
        </w:r>
      </w:hyperlink>
      <w:r w:rsidRPr="00BE3A2B">
        <w:rPr>
          <w:rFonts w:cs="Segoe UI"/>
          <w:szCs w:val="16"/>
        </w:rPr>
        <w:t>].</w:t>
      </w:r>
    </w:p>
  </w:footnote>
  <w:footnote w:id="28">
    <w:p w14:paraId="5F99AFD8" w14:textId="22683EA5" w:rsidR="00B44AC3" w:rsidRPr="00166317" w:rsidRDefault="00B44AC3" w:rsidP="00DB26F8">
      <w:pPr>
        <w:pStyle w:val="Textpoznmkypodiarou"/>
        <w:rPr>
          <w:szCs w:val="16"/>
        </w:rPr>
      </w:pPr>
      <w:r w:rsidRPr="00166317">
        <w:rPr>
          <w:rStyle w:val="Odkaznapoznmkupodiarou"/>
          <w:szCs w:val="16"/>
        </w:rPr>
        <w:footnoteRef/>
      </w:r>
      <w:r w:rsidRPr="00166317">
        <w:rPr>
          <w:szCs w:val="16"/>
        </w:rPr>
        <w:t xml:space="preserve"> [</w:t>
      </w:r>
      <w:hyperlink r:id="rId17" w:anchor="paragraf-38ezg.odsek-2" w:history="1">
        <w:r w:rsidRPr="00166317">
          <w:rPr>
            <w:rStyle w:val="Hypertextovprepojenie"/>
            <w:sz w:val="16"/>
            <w:szCs w:val="16"/>
          </w:rPr>
          <w:t>online</w:t>
        </w:r>
      </w:hyperlink>
      <w:r w:rsidRPr="00166317">
        <w:rPr>
          <w:szCs w:val="16"/>
        </w:rPr>
        <w:t>]</w:t>
      </w:r>
      <w:r>
        <w:rPr>
          <w:szCs w:val="16"/>
        </w:rPr>
        <w:t>.</w:t>
      </w:r>
      <w:r w:rsidRPr="00166317">
        <w:rPr>
          <w:szCs w:val="16"/>
        </w:rPr>
        <w:t xml:space="preserve"> § 38ezg</w:t>
      </w:r>
      <w:r>
        <w:rPr>
          <w:szCs w:val="16"/>
        </w:rPr>
        <w:t>.</w:t>
      </w:r>
    </w:p>
  </w:footnote>
  <w:footnote w:id="29">
    <w:p w14:paraId="16D5CB03" w14:textId="77777777" w:rsidR="00B44AC3" w:rsidRPr="00BE3A2B" w:rsidRDefault="00B44AC3" w:rsidP="00BE3A2B">
      <w:pPr>
        <w:pStyle w:val="Textpoznmkypodiarou"/>
        <w:rPr>
          <w:rFonts w:cs="Segoe UI"/>
          <w:szCs w:val="16"/>
        </w:rPr>
      </w:pPr>
      <w:r w:rsidRPr="00BE3A2B">
        <w:rPr>
          <w:rStyle w:val="Odkaznapoznmkupodiarou"/>
          <w:rFonts w:cs="Segoe UI"/>
          <w:szCs w:val="16"/>
        </w:rPr>
        <w:footnoteRef/>
      </w:r>
      <w:r w:rsidRPr="00BE3A2B">
        <w:rPr>
          <w:rFonts w:cs="Segoe UI"/>
          <w:szCs w:val="16"/>
        </w:rPr>
        <w:t xml:space="preserve"> Návrh na poskytnutie návratných finančných výpomocí obciam a VÚC na kompenzáciu výpadku DPFO v roku 2020. [</w:t>
      </w:r>
      <w:hyperlink r:id="rId18" w:history="1">
        <w:r w:rsidRPr="00BE3A2B">
          <w:rPr>
            <w:rStyle w:val="Hypertextovprepojenie"/>
            <w:rFonts w:cs="Segoe UI"/>
            <w:sz w:val="16"/>
            <w:szCs w:val="16"/>
          </w:rPr>
          <w:t>online</w:t>
        </w:r>
      </w:hyperlink>
      <w:r w:rsidRPr="00BE3A2B">
        <w:rPr>
          <w:rFonts w:cs="Segoe UI"/>
          <w:szCs w:val="16"/>
        </w:rPr>
        <w:t>].</w:t>
      </w:r>
    </w:p>
  </w:footnote>
  <w:footnote w:id="30">
    <w:p w14:paraId="22D9DF6C" w14:textId="77777777" w:rsidR="00B44AC3" w:rsidRPr="00BE3A2B" w:rsidRDefault="00B44AC3" w:rsidP="00BE3A2B">
      <w:pPr>
        <w:pStyle w:val="Textpoznmkypodiarou"/>
        <w:rPr>
          <w:rFonts w:cs="Segoe UI"/>
          <w:szCs w:val="16"/>
        </w:rPr>
      </w:pPr>
      <w:r w:rsidRPr="00BE3A2B">
        <w:rPr>
          <w:rStyle w:val="Odkaznapoznmkupodiarou"/>
          <w:rFonts w:cs="Segoe UI"/>
          <w:szCs w:val="16"/>
        </w:rPr>
        <w:footnoteRef/>
      </w:r>
      <w:r w:rsidRPr="00BE3A2B">
        <w:rPr>
          <w:rFonts w:cs="Segoe UI"/>
          <w:szCs w:val="16"/>
        </w:rPr>
        <w:t xml:space="preserve"> Návrh na zníženie štátnych finančných aktív v správe MF SR. [</w:t>
      </w:r>
      <w:hyperlink r:id="rId19" w:history="1">
        <w:r w:rsidRPr="00BE3A2B">
          <w:rPr>
            <w:rStyle w:val="Hypertextovprepojenie"/>
            <w:rFonts w:cs="Segoe UI"/>
            <w:sz w:val="16"/>
            <w:szCs w:val="16"/>
          </w:rPr>
          <w:t>online</w:t>
        </w:r>
      </w:hyperlink>
      <w:r w:rsidRPr="00BE3A2B">
        <w:rPr>
          <w:rFonts w:cs="Segoe UI"/>
          <w:szCs w:val="16"/>
        </w:rPr>
        <w:t>].</w:t>
      </w:r>
    </w:p>
  </w:footnote>
  <w:footnote w:id="31">
    <w:p w14:paraId="4A971FB1" w14:textId="4D2E280D" w:rsidR="00B44AC3" w:rsidRPr="001E15F4" w:rsidRDefault="00B44AC3" w:rsidP="003951EA">
      <w:pPr>
        <w:pStyle w:val="Textpoznmkypodiarou"/>
        <w:rPr>
          <w:rFonts w:cs="Segoe UI"/>
        </w:rPr>
      </w:pPr>
      <w:r w:rsidRPr="001E15F4">
        <w:rPr>
          <w:rStyle w:val="Odkaznapoznmkupodiarou"/>
          <w:rFonts w:cs="Segoe UI"/>
        </w:rPr>
        <w:footnoteRef/>
      </w:r>
      <w:r w:rsidRPr="001E15F4">
        <w:rPr>
          <w:rFonts w:cs="Segoe UI"/>
        </w:rPr>
        <w:t xml:space="preserve"> Predpokladáme jednoduché úročenie 3,75 p. a. na 20 mil. eur a 10 rokov (20 mil. x 0,0375 x 10 rokov = 7,5 mil.</w:t>
      </w:r>
      <w:r>
        <w:rPr>
          <w:rFonts w:cs="Segoe UI"/>
        </w:rPr>
        <w:t xml:space="preserve"> eur</w:t>
      </w:r>
      <w:r w:rsidRPr="001E15F4">
        <w:rPr>
          <w:rFonts w:cs="Segoe UI"/>
        </w:rPr>
        <w:t>).</w:t>
      </w:r>
    </w:p>
  </w:footnote>
  <w:footnote w:id="32">
    <w:p w14:paraId="4781A37E" w14:textId="6A12C594" w:rsidR="00B44AC3" w:rsidRDefault="00B44AC3" w:rsidP="008E0E12">
      <w:pPr>
        <w:pStyle w:val="Textpoznmkypodiarou"/>
      </w:pPr>
      <w:r>
        <w:rPr>
          <w:rStyle w:val="Odkaznapoznmkupodiarou"/>
        </w:rPr>
        <w:footnoteRef/>
      </w:r>
      <w:r>
        <w:t xml:space="preserve"> V prípade PO 2007 – 2013 bolo do roku 2015 potrebné dočerpať ročný záväzok za rok 2012 (pravidlo n+3) a súčasne ročný záväzok za rok 2013 (pravidlo n+2). Zdroj: Bod 1.2 tlačovej správy MF SR. </w:t>
      </w:r>
      <w:r>
        <w:rPr>
          <w:szCs w:val="16"/>
        </w:rPr>
        <w:t>[</w:t>
      </w:r>
      <w:hyperlink r:id="rId20" w:history="1">
        <w:r w:rsidRPr="00E526A6">
          <w:rPr>
            <w:rStyle w:val="Hypertextovprepojenie1"/>
            <w:sz w:val="16"/>
            <w:szCs w:val="16"/>
          </w:rPr>
          <w:t>online</w:t>
        </w:r>
      </w:hyperlink>
      <w:r>
        <w:rPr>
          <w:rStyle w:val="Hypertextovprepojenie1"/>
          <w:sz w:val="16"/>
          <w:szCs w:val="16"/>
        </w:rPr>
        <w:t>]</w:t>
      </w:r>
      <w:r>
        <w:rPr>
          <w:szCs w:val="16"/>
        </w:rPr>
        <w:t>.</w:t>
      </w:r>
    </w:p>
  </w:footnote>
  <w:footnote w:id="33">
    <w:p w14:paraId="75818737" w14:textId="77777777" w:rsidR="00B44AC3" w:rsidRDefault="00B44AC3" w:rsidP="00F965B0">
      <w:pPr>
        <w:pStyle w:val="Textpoznmkypodiarou"/>
      </w:pPr>
      <w:r>
        <w:rPr>
          <w:rStyle w:val="Odkaznapoznmkupodiarou"/>
        </w:rPr>
        <w:footnoteRef/>
      </w:r>
      <w:r>
        <w:t xml:space="preserve"> MIRRI SR – Informácia o implementácii EŠIF k 31. 12. 2023. </w:t>
      </w:r>
      <w:r w:rsidRPr="007A7A7F">
        <w:rPr>
          <w:rFonts w:cs="Segoe UI"/>
          <w:szCs w:val="16"/>
        </w:rPr>
        <w:t>[</w:t>
      </w:r>
      <w:hyperlink r:id="rId21" w:history="1">
        <w:r w:rsidRPr="007A7A7F">
          <w:rPr>
            <w:rStyle w:val="Hypertextovprepojenie"/>
            <w:sz w:val="16"/>
            <w:szCs w:val="16"/>
          </w:rPr>
          <w:t>online</w:t>
        </w:r>
      </w:hyperlink>
      <w:r w:rsidRPr="007A7A7F">
        <w:rPr>
          <w:rFonts w:cs="Segoe UI"/>
          <w:szCs w:val="16"/>
        </w:rPr>
        <w:t>]</w:t>
      </w:r>
      <w:r>
        <w:rPr>
          <w:rFonts w:cs="Segoe UI"/>
          <w:szCs w:val="16"/>
        </w:rPr>
        <w:t>.</w:t>
      </w:r>
    </w:p>
  </w:footnote>
  <w:footnote w:id="34">
    <w:p w14:paraId="052D33FB" w14:textId="77777777" w:rsidR="00B44AC3" w:rsidRDefault="00B44AC3" w:rsidP="00F965B0">
      <w:pPr>
        <w:pStyle w:val="Textpoznmkypodiarou"/>
      </w:pPr>
      <w:r>
        <w:rPr>
          <w:rStyle w:val="Odkaznapoznmkupodiarou"/>
        </w:rPr>
        <w:footnoteRef/>
      </w:r>
      <w:r>
        <w:t xml:space="preserve"> Tlačová správa MF SR. </w:t>
      </w:r>
      <w:r w:rsidRPr="007A7A7F">
        <w:rPr>
          <w:rFonts w:cs="Segoe UI"/>
          <w:szCs w:val="16"/>
        </w:rPr>
        <w:t>[</w:t>
      </w:r>
      <w:hyperlink r:id="rId22" w:history="1">
        <w:r w:rsidRPr="007A7A7F">
          <w:rPr>
            <w:rStyle w:val="Hypertextovprepojenie"/>
            <w:sz w:val="16"/>
            <w:szCs w:val="16"/>
          </w:rPr>
          <w:t>online</w:t>
        </w:r>
      </w:hyperlink>
      <w:r w:rsidRPr="007A7A7F">
        <w:rPr>
          <w:rFonts w:cs="Segoe UI"/>
          <w:szCs w:val="16"/>
        </w:rPr>
        <w:t>]</w:t>
      </w:r>
      <w:r>
        <w:rPr>
          <w:rFonts w:cs="Segoe UI"/>
          <w:szCs w:val="16"/>
        </w:rPr>
        <w:t>.</w:t>
      </w:r>
    </w:p>
  </w:footnote>
  <w:footnote w:id="35">
    <w:p w14:paraId="5369F070" w14:textId="215A26AC" w:rsidR="00B44AC3" w:rsidRDefault="00B44AC3" w:rsidP="008E0E12">
      <w:pPr>
        <w:pStyle w:val="Textpoznmkypodiarou"/>
      </w:pPr>
      <w:r>
        <w:rPr>
          <w:rStyle w:val="Odkaznapoznmkupodiarou"/>
        </w:rPr>
        <w:footnoteRef/>
      </w:r>
      <w:r>
        <w:t xml:space="preserve"> Dekomitment alebo nesplnený záväzok znamená, že sa nepodarilo vyčerpať dopredu stanovenú sumu peňazí na konkrétny rok, pri ktorom platí pravidlo n+3. Častým dôvodom prepadnutia prostriedkov je práve nestihnutie termínov na ich dočerpanie. </w:t>
      </w:r>
    </w:p>
  </w:footnote>
  <w:footnote w:id="36">
    <w:p w14:paraId="7CC13C21" w14:textId="77777777" w:rsidR="00B44AC3" w:rsidRDefault="00B44AC3" w:rsidP="004E0B09">
      <w:pPr>
        <w:pStyle w:val="Textpoznmkypodiarou"/>
      </w:pPr>
      <w:r>
        <w:rPr>
          <w:rStyle w:val="Odkaznapoznmkupodiarou"/>
        </w:rPr>
        <w:footnoteRef/>
      </w:r>
      <w:r>
        <w:t xml:space="preserve"> Tieto prostriedky ešte neboli schválené platobným orgánom MF SR.</w:t>
      </w:r>
    </w:p>
  </w:footnote>
  <w:footnote w:id="37">
    <w:p w14:paraId="2239E676" w14:textId="77777777" w:rsidR="00B44AC3" w:rsidRDefault="00B44AC3" w:rsidP="008E0E12">
      <w:pPr>
        <w:pStyle w:val="Textpoznmkypodiarou"/>
      </w:pPr>
      <w:r>
        <w:rPr>
          <w:rStyle w:val="Odkaznapoznmkupodiarou"/>
        </w:rPr>
        <w:footnoteRef/>
      </w:r>
      <w:r>
        <w:t xml:space="preserve"> Nákup osobných automobilov bol realizovaný v rámci komponentu Boj proti korupcii a praniu špinavých peňazí v investícii s názvom Nákup nových vozidiel (10 % vozového parku) – elektrických a hybridných vozidiel. Cieľom projektu bol nákup 705 elektrických a hybridných vozidiel pre policajný zbor a následná obmena vozového parku policajného zboru. </w:t>
      </w:r>
    </w:p>
  </w:footnote>
  <w:footnote w:id="38">
    <w:p w14:paraId="224AF451" w14:textId="77777777" w:rsidR="00B44AC3" w:rsidRDefault="00B44AC3" w:rsidP="008E0E12">
      <w:pPr>
        <w:pStyle w:val="Textpoznmkypodiarou"/>
      </w:pPr>
      <w:r>
        <w:rPr>
          <w:rStyle w:val="Odkaznapoznmkupodiarou"/>
        </w:rPr>
        <w:footnoteRef/>
      </w:r>
      <w:r>
        <w:t xml:space="preserve"> Prostriedky z POO je možné čerpať do roku 2026. </w:t>
      </w:r>
    </w:p>
  </w:footnote>
  <w:footnote w:id="39">
    <w:p w14:paraId="308B8ACA" w14:textId="0F9E1E52" w:rsidR="00B44AC3" w:rsidRDefault="00B44AC3" w:rsidP="008E0E12">
      <w:pPr>
        <w:pStyle w:val="Textpoznmkypodiarou"/>
      </w:pPr>
      <w:r>
        <w:rPr>
          <w:rStyle w:val="Odkaznapoznmkupodiarou"/>
        </w:rPr>
        <w:footnoteRef/>
      </w:r>
      <w:r>
        <w:t xml:space="preserve"> NKÚ SR, 2023 – Správa o výsledku kontroly 2022</w:t>
      </w:r>
      <w:r w:rsidRPr="00993B8D">
        <w:t xml:space="preserve"> Čistiarne odpadových vôd a odkanalizovanie SR</w:t>
      </w:r>
      <w:r>
        <w:t xml:space="preserve">. </w:t>
      </w:r>
      <w:hyperlink r:id="rId23" w:history="1">
        <w:r w:rsidRPr="00BA324B">
          <w:rPr>
            <w:rStyle w:val="Hypertextovprepojenie"/>
            <w:sz w:val="16"/>
          </w:rPr>
          <w:t>[online].</w:t>
        </w:r>
      </w:hyperlink>
    </w:p>
  </w:footnote>
  <w:footnote w:id="40">
    <w:p w14:paraId="7458262B" w14:textId="70EB8523" w:rsidR="00B44AC3" w:rsidRDefault="00B44AC3" w:rsidP="008E0E12">
      <w:pPr>
        <w:pStyle w:val="Textpoznmkypodiarou"/>
      </w:pPr>
      <w:r>
        <w:rPr>
          <w:rStyle w:val="Odkaznapoznmkupodiarou"/>
        </w:rPr>
        <w:footnoteRef/>
      </w:r>
      <w:r>
        <w:t xml:space="preserve"> NKÚ SR, 2023 – Správa o výsledku kontroly 2022</w:t>
      </w:r>
      <w:r w:rsidRPr="00993B8D">
        <w:t xml:space="preserve"> </w:t>
      </w:r>
      <w:r w:rsidRPr="004273E7">
        <w:t>Štátny program sanácie environmentálnych záťaží (2016 – 2021)</w:t>
      </w:r>
      <w:r>
        <w:t xml:space="preserve">. </w:t>
      </w:r>
      <w:hyperlink r:id="rId24" w:history="1">
        <w:r w:rsidRPr="00BA324B">
          <w:rPr>
            <w:rStyle w:val="Hypertextovprepojenie"/>
            <w:sz w:val="16"/>
          </w:rPr>
          <w:t>[online].</w:t>
        </w:r>
      </w:hyperlink>
    </w:p>
  </w:footnote>
  <w:footnote w:id="41">
    <w:p w14:paraId="74BD4810" w14:textId="78FC253A" w:rsidR="00B44AC3" w:rsidRDefault="00B44AC3" w:rsidP="008E0E12">
      <w:pPr>
        <w:pStyle w:val="Textpoznmkypodiarou"/>
      </w:pPr>
      <w:r>
        <w:rPr>
          <w:rStyle w:val="Odkaznapoznmkupodiarou"/>
        </w:rPr>
        <w:footnoteRef/>
      </w:r>
      <w:r>
        <w:t xml:space="preserve"> NKÚ SR, 2023 – Správa o výsledku kontroly 2022</w:t>
      </w:r>
      <w:r w:rsidRPr="00993B8D">
        <w:t xml:space="preserve"> </w:t>
      </w:r>
      <w:r w:rsidRPr="00B80F26">
        <w:t>Obnova verejných budov</w:t>
      </w:r>
      <w:r>
        <w:t xml:space="preserve">. </w:t>
      </w:r>
      <w:hyperlink r:id="rId25" w:history="1">
        <w:r w:rsidRPr="00BA324B">
          <w:rPr>
            <w:rStyle w:val="Hypertextovprepojenie"/>
            <w:sz w:val="16"/>
          </w:rPr>
          <w:t>[online].</w:t>
        </w:r>
      </w:hyperlink>
    </w:p>
  </w:footnote>
  <w:footnote w:id="42">
    <w:p w14:paraId="28AEBF3C" w14:textId="40BDF68C" w:rsidR="00B44AC3" w:rsidRPr="002240F4" w:rsidRDefault="00B44AC3" w:rsidP="00405C13">
      <w:pPr>
        <w:pStyle w:val="Textpoznmkypodiarou"/>
        <w:rPr>
          <w:szCs w:val="16"/>
        </w:rPr>
      </w:pPr>
      <w:r w:rsidRPr="002240F4">
        <w:rPr>
          <w:rStyle w:val="Odkaznapoznmkupodiarou"/>
          <w:szCs w:val="16"/>
        </w:rPr>
        <w:footnoteRef/>
      </w:r>
      <w:r w:rsidRPr="002240F4">
        <w:rPr>
          <w:szCs w:val="16"/>
        </w:rPr>
        <w:t xml:space="preserve"> Stanovisko NKÚ SR k Návrhu štátneho záverečného účtu SR za rok 2022. [online].</w:t>
      </w:r>
    </w:p>
  </w:footnote>
  <w:footnote w:id="43">
    <w:p w14:paraId="064A76BE" w14:textId="35A18007" w:rsidR="00B44AC3" w:rsidRDefault="00B44AC3">
      <w:pPr>
        <w:pStyle w:val="Textpoznmkypodiarou"/>
      </w:pPr>
      <w:r>
        <w:rPr>
          <w:rStyle w:val="Odkaznapoznmkupodiarou"/>
        </w:rPr>
        <w:footnoteRef/>
      </w:r>
      <w:r>
        <w:t xml:space="preserve"> </w:t>
      </w:r>
      <w:r w:rsidRPr="00711CDD">
        <w:t>Štandardne používané ukazovatele, ako napríklad odvrátiteľná úmrtnosť, očakávaná dĺžka života a pod. sú spravidla vykazované s väčším časovým odstupom, preto ich hodnoty za rok 2023 nie sú v čase spracovávania stanoviska dostupné. Hodnotenie výsledkov zdravotníctva v roku 2023 ilustrujeme preto cez menej často používané ukazovatele.</w:t>
      </w:r>
    </w:p>
  </w:footnote>
  <w:footnote w:id="44">
    <w:p w14:paraId="43B490F2" w14:textId="77777777" w:rsidR="00B44AC3" w:rsidRDefault="00B44AC3" w:rsidP="0029006B">
      <w:pPr>
        <w:pStyle w:val="Textpoznmkypodiarou"/>
      </w:pPr>
      <w:r>
        <w:rPr>
          <w:rStyle w:val="Odkaznapoznmkupodiarou"/>
        </w:rPr>
        <w:footnoteRef/>
      </w:r>
      <w:r>
        <w:t xml:space="preserve"> Ukazovateľ hovorí o mediánovom počte rokov, ktorý osoba v istom veku na základe dátach o úmrtnosti danej vekovej skupiny má ešte prežiť. Na účely tejto analýzy sme pracovali s vekovou hranicou menej ako 1 rok, teda ukazovateľ v podstate hovorí o očakávanej dĺžke života pri narodení.</w:t>
      </w:r>
    </w:p>
  </w:footnote>
  <w:footnote w:id="45">
    <w:p w14:paraId="12E0BA63" w14:textId="77777777" w:rsidR="00B44AC3" w:rsidRPr="003E7B3C" w:rsidRDefault="00B44AC3" w:rsidP="00B44557">
      <w:pPr>
        <w:pStyle w:val="Textpoznmkypodiarou"/>
        <w:rPr>
          <w:szCs w:val="16"/>
        </w:rPr>
      </w:pPr>
      <w:r w:rsidRPr="003E7B3C">
        <w:rPr>
          <w:rStyle w:val="Odkaznapoznmkupodiarou"/>
          <w:szCs w:val="16"/>
        </w:rPr>
        <w:footnoteRef/>
      </w:r>
      <w:r w:rsidRPr="003E7B3C">
        <w:rPr>
          <w:szCs w:val="16"/>
        </w:rPr>
        <w:t xml:space="preserve"> MZ SR je po uplynutí obdobia podmienenej úhrady povinné v prípade podmienene zaradeného lieku začať konanie o tzv. vyrovnávacom rozdiele, t. j. posúdiť podľa § 21 zákona č. 363/2011 Z. z. (resp. podľa § 21 ods. 7 zákona č. 363/2011 Z. z. v znení účinnom do 31. 12. 2017), či reálna suma úhrad ZP za liek je vyššia ako v rozhodnutí o podmienenom zaradení lieku určená maximálna výška úhrady ZP. Ak je reálna suma vyššia, MZ SR je povinné rozhodnutím určiť výšku vyrovnávacieho rozdielu, ktorú je držiteľ registrácie tohto lieku povinný vrátiť ZP, výšku podielu ZP na vyrovnávacom rozdiele a lehotu jeho splatnosti.</w:t>
      </w:r>
    </w:p>
  </w:footnote>
  <w:footnote w:id="46">
    <w:p w14:paraId="525B28ED" w14:textId="77777777" w:rsidR="00B44AC3" w:rsidRPr="003E7B3C" w:rsidRDefault="00B44AC3" w:rsidP="00B44557">
      <w:pPr>
        <w:pStyle w:val="Textpoznmkypodiarou"/>
        <w:rPr>
          <w:szCs w:val="16"/>
        </w:rPr>
      </w:pPr>
      <w:r w:rsidRPr="003E7B3C">
        <w:rPr>
          <w:rStyle w:val="Odkaznapoznmkupodiarou"/>
          <w:szCs w:val="16"/>
        </w:rPr>
        <w:footnoteRef/>
      </w:r>
      <w:r w:rsidRPr="003E7B3C">
        <w:rPr>
          <w:szCs w:val="16"/>
        </w:rPr>
        <w:t xml:space="preserve"> Generické lieky a biologicky podobné lieky sú registrované lieky obsahujúce účinné látky, u ktorých skončila patentová ochrana. Uvedené lieky sú menej nákladné pre VZP, pretože do ceny týchto liekov nebolo potrebné zahrnúť výskum a vývoj účinných látok.</w:t>
      </w:r>
    </w:p>
  </w:footnote>
  <w:footnote w:id="47">
    <w:p w14:paraId="21B33DAD" w14:textId="77777777" w:rsidR="00B44AC3" w:rsidRPr="003E7B3C" w:rsidRDefault="00B44AC3" w:rsidP="00FA04C6">
      <w:pPr>
        <w:pStyle w:val="Textpoznmkypodiarou"/>
        <w:rPr>
          <w:szCs w:val="16"/>
        </w:rPr>
      </w:pPr>
      <w:r w:rsidRPr="003E7B3C">
        <w:rPr>
          <w:rStyle w:val="Odkaznapoznmkupodiarou"/>
          <w:szCs w:val="16"/>
        </w:rPr>
        <w:footnoteRef/>
      </w:r>
      <w:r w:rsidRPr="003E7B3C">
        <w:rPr>
          <w:szCs w:val="16"/>
        </w:rPr>
        <w:t xml:space="preserve"> Orphany sú lieky určené pre diagnostiku, prevenciu alebo liečbu zriedkavých ochorení</w:t>
      </w:r>
      <w:r>
        <w:rPr>
          <w:szCs w:val="16"/>
        </w:rPr>
        <w:t>.</w:t>
      </w:r>
    </w:p>
  </w:footnote>
  <w:footnote w:id="48">
    <w:p w14:paraId="01B6567C" w14:textId="77777777" w:rsidR="00B44AC3" w:rsidRPr="00876825" w:rsidRDefault="00B44AC3" w:rsidP="00B44557">
      <w:pPr>
        <w:pStyle w:val="Textpoznmkypodiarou"/>
        <w:rPr>
          <w:rFonts w:cs="Segoe UI"/>
          <w:szCs w:val="16"/>
        </w:rPr>
      </w:pPr>
      <w:r w:rsidRPr="00876825">
        <w:rPr>
          <w:rStyle w:val="Odkaznapoznmkupodiarou"/>
          <w:rFonts w:cs="Segoe UI"/>
          <w:szCs w:val="16"/>
        </w:rPr>
        <w:footnoteRef/>
      </w:r>
      <w:r w:rsidRPr="00876825">
        <w:rPr>
          <w:rFonts w:cs="Segoe UI"/>
          <w:szCs w:val="16"/>
        </w:rPr>
        <w:t xml:space="preserve"> MZ SR – Kategorizácia liekov a úradné určenie cien liekov, ktoré nie sú zaradené v zozname kategorizovaných liekov. [</w:t>
      </w:r>
      <w:hyperlink r:id="rId26" w:history="1">
        <w:r w:rsidRPr="00876825">
          <w:rPr>
            <w:rStyle w:val="Hypertextovprepojenie"/>
            <w:rFonts w:cs="Segoe UI"/>
            <w:sz w:val="16"/>
            <w:szCs w:val="16"/>
          </w:rPr>
          <w:t>online</w:t>
        </w:r>
      </w:hyperlink>
      <w:r w:rsidRPr="00876825">
        <w:rPr>
          <w:rFonts w:cs="Segoe UI"/>
          <w:szCs w:val="16"/>
        </w:rPr>
        <w:t>].</w:t>
      </w:r>
    </w:p>
  </w:footnote>
  <w:footnote w:id="49">
    <w:p w14:paraId="7FBF8A96" w14:textId="77777777" w:rsidR="00B44AC3" w:rsidRPr="007A7A7F" w:rsidRDefault="00B44AC3" w:rsidP="00BA5F6A">
      <w:pPr>
        <w:pStyle w:val="Textpoznmkypodiarou"/>
        <w:rPr>
          <w:rFonts w:cs="Segoe UI"/>
          <w:szCs w:val="16"/>
        </w:rPr>
      </w:pPr>
      <w:r w:rsidRPr="007A7A7F">
        <w:rPr>
          <w:rStyle w:val="Odkaznapoznmkupodiarou"/>
          <w:rFonts w:cs="Segoe UI"/>
          <w:szCs w:val="16"/>
        </w:rPr>
        <w:footnoteRef/>
      </w:r>
      <w:r w:rsidRPr="007A7A7F">
        <w:rPr>
          <w:rFonts w:cs="Segoe UI"/>
          <w:szCs w:val="16"/>
        </w:rPr>
        <w:t xml:space="preserve"> [</w:t>
      </w:r>
      <w:hyperlink r:id="rId27" w:history="1">
        <w:r w:rsidRPr="007A7A7F">
          <w:rPr>
            <w:rStyle w:val="Hypertextovprepojenie"/>
            <w:rFonts w:cs="Segoe UI"/>
            <w:sz w:val="16"/>
            <w:szCs w:val="16"/>
          </w:rPr>
          <w:t>online</w:t>
        </w:r>
      </w:hyperlink>
      <w:r w:rsidRPr="007A7A7F">
        <w:rPr>
          <w:rFonts w:cs="Segoe UI"/>
          <w:szCs w:val="16"/>
        </w:rPr>
        <w:t>].</w:t>
      </w:r>
    </w:p>
  </w:footnote>
  <w:footnote w:id="50">
    <w:p w14:paraId="646E9F6F" w14:textId="7BCBAFBF" w:rsidR="00B44AC3" w:rsidRPr="005E764C" w:rsidRDefault="00B44AC3" w:rsidP="005E764C">
      <w:pPr>
        <w:pStyle w:val="Textpoznmkypodiarou"/>
        <w:rPr>
          <w:szCs w:val="16"/>
        </w:rPr>
      </w:pPr>
      <w:r w:rsidRPr="005E764C">
        <w:rPr>
          <w:rStyle w:val="Odkaznapoznmkupodiarou"/>
          <w:szCs w:val="16"/>
        </w:rPr>
        <w:footnoteRef/>
      </w:r>
      <w:r w:rsidRPr="005E764C">
        <w:rPr>
          <w:szCs w:val="16"/>
        </w:rPr>
        <w:t xml:space="preserve"> Vec C-412/23: Žaloba podaná dňa 5. júla 2023 – Európska komisia v. Slovenská republika. </w:t>
      </w:r>
      <w:r>
        <w:rPr>
          <w:szCs w:val="16"/>
        </w:rPr>
        <w:t>[</w:t>
      </w:r>
      <w:hyperlink r:id="rId28" w:history="1">
        <w:r w:rsidRPr="005E764C">
          <w:rPr>
            <w:rStyle w:val="Hypertextovprepojenie"/>
            <w:sz w:val="16"/>
            <w:szCs w:val="16"/>
          </w:rPr>
          <w:t>online</w:t>
        </w:r>
      </w:hyperlink>
      <w:r>
        <w:rPr>
          <w:szCs w:val="16"/>
        </w:rPr>
        <w:t>].</w:t>
      </w:r>
      <w:r w:rsidRPr="005E764C">
        <w:rPr>
          <w:szCs w:val="16"/>
        </w:rPr>
        <w:t xml:space="preserve"> </w:t>
      </w:r>
    </w:p>
  </w:footnote>
  <w:footnote w:id="51">
    <w:p w14:paraId="02E74B4E" w14:textId="440041F6" w:rsidR="00B44AC3" w:rsidRPr="005E764C" w:rsidRDefault="00B44AC3" w:rsidP="005E764C">
      <w:pPr>
        <w:pStyle w:val="Textpoznmkypodiarou"/>
        <w:rPr>
          <w:szCs w:val="16"/>
        </w:rPr>
      </w:pPr>
      <w:r w:rsidRPr="005E764C">
        <w:rPr>
          <w:rStyle w:val="Odkaznapoznmkupodiarou"/>
          <w:szCs w:val="16"/>
        </w:rPr>
        <w:footnoteRef/>
      </w:r>
      <w:r w:rsidRPr="005E764C">
        <w:rPr>
          <w:szCs w:val="16"/>
        </w:rPr>
        <w:t xml:space="preserve"> Smernica Európskeho parlamentu a Rady 2011/7/EÚ zo 16. februára 2011 o boji proti oneskoreným platbám v obchodných transakciách.</w:t>
      </w:r>
      <w:r>
        <w:rPr>
          <w:szCs w:val="16"/>
        </w:rPr>
        <w:t xml:space="preserve"> [</w:t>
      </w:r>
      <w:hyperlink r:id="rId29" w:anchor="d1e720-1-1" w:history="1">
        <w:r w:rsidRPr="005526D6">
          <w:rPr>
            <w:rStyle w:val="Hypertextovprepojenie"/>
            <w:sz w:val="16"/>
            <w:szCs w:val="16"/>
          </w:rPr>
          <w:t>online</w:t>
        </w:r>
      </w:hyperlink>
      <w:r>
        <w:rPr>
          <w:szCs w:val="16"/>
        </w:rPr>
        <w:t>].</w:t>
      </w:r>
    </w:p>
  </w:footnote>
  <w:footnote w:id="52">
    <w:p w14:paraId="4E5F7C4F" w14:textId="77777777" w:rsidR="00B44AC3" w:rsidRPr="007A7A7F" w:rsidRDefault="00B44AC3" w:rsidP="00C250A0">
      <w:pPr>
        <w:pStyle w:val="Textpoznmkypodiarou"/>
        <w:rPr>
          <w:szCs w:val="16"/>
        </w:rPr>
      </w:pPr>
      <w:r w:rsidRPr="007A7A7F">
        <w:rPr>
          <w:rStyle w:val="Odkaznapoznmkupodiarou"/>
          <w:szCs w:val="16"/>
        </w:rPr>
        <w:footnoteRef/>
      </w:r>
      <w:r w:rsidRPr="007A7A7F">
        <w:rPr>
          <w:szCs w:val="16"/>
        </w:rPr>
        <w:t xml:space="preserve"> </w:t>
      </w:r>
      <w:r w:rsidRPr="007A7A7F">
        <w:rPr>
          <w:rFonts w:cs="Segoe UI"/>
          <w:szCs w:val="16"/>
        </w:rPr>
        <w:t>Podľa údajov MZ SR k 31. 12. 2023.</w:t>
      </w:r>
    </w:p>
  </w:footnote>
  <w:footnote w:id="53">
    <w:p w14:paraId="32D8A3E7" w14:textId="77777777" w:rsidR="00B44AC3" w:rsidRPr="007A7A7F" w:rsidRDefault="00B44AC3" w:rsidP="00ED3DC2">
      <w:pPr>
        <w:pStyle w:val="Textpoznmkypodiarou"/>
        <w:rPr>
          <w:rFonts w:cs="Segoe UI"/>
          <w:szCs w:val="16"/>
        </w:rPr>
      </w:pPr>
      <w:r w:rsidRPr="007A7A7F">
        <w:rPr>
          <w:rStyle w:val="Odkaznapoznmkupodiarou"/>
          <w:rFonts w:cs="Segoe UI"/>
          <w:szCs w:val="16"/>
        </w:rPr>
        <w:footnoteRef/>
      </w:r>
      <w:r w:rsidRPr="007A7A7F">
        <w:rPr>
          <w:rFonts w:cs="Segoe UI"/>
          <w:szCs w:val="16"/>
        </w:rPr>
        <w:t xml:space="preserve"> Register účtovných závierok. [</w:t>
      </w:r>
      <w:hyperlink r:id="rId30" w:history="1">
        <w:r w:rsidRPr="007A7A7F">
          <w:rPr>
            <w:rStyle w:val="Hypertextovprepojenie"/>
            <w:sz w:val="16"/>
            <w:szCs w:val="16"/>
          </w:rPr>
          <w:t>online</w:t>
        </w:r>
      </w:hyperlink>
      <w:r w:rsidRPr="007A7A7F">
        <w:rPr>
          <w:rFonts w:cs="Segoe UI"/>
          <w:szCs w:val="16"/>
        </w:rPr>
        <w:t>]. (Poznámky k ÚZ 2023 - str. 8.).</w:t>
      </w:r>
    </w:p>
  </w:footnote>
  <w:footnote w:id="54">
    <w:p w14:paraId="3C149282" w14:textId="77777777" w:rsidR="00B44AC3" w:rsidRPr="007A7A7F" w:rsidRDefault="00B44AC3" w:rsidP="00ED3DC2">
      <w:pPr>
        <w:pStyle w:val="Textpoznmkypodiarou"/>
        <w:rPr>
          <w:szCs w:val="16"/>
        </w:rPr>
      </w:pPr>
      <w:r w:rsidRPr="007A7A7F">
        <w:rPr>
          <w:rStyle w:val="Odkaznapoznmkupodiarou"/>
          <w:rFonts w:cs="Segoe UI"/>
          <w:szCs w:val="16"/>
        </w:rPr>
        <w:footnoteRef/>
      </w:r>
      <w:r w:rsidRPr="007A7A7F">
        <w:rPr>
          <w:rFonts w:cs="Segoe UI"/>
          <w:szCs w:val="16"/>
        </w:rPr>
        <w:t xml:space="preserve"> CRZ – Dohoda o podmienkach oddlženia. [</w:t>
      </w:r>
      <w:hyperlink r:id="rId31" w:history="1">
        <w:r w:rsidRPr="007A7A7F">
          <w:rPr>
            <w:rStyle w:val="Hypertextovprepojenie"/>
            <w:sz w:val="16"/>
            <w:szCs w:val="16"/>
          </w:rPr>
          <w:t>online</w:t>
        </w:r>
      </w:hyperlink>
      <w:r w:rsidRPr="007A7A7F">
        <w:rPr>
          <w:rFonts w:cs="Segoe UI"/>
          <w:szCs w:val="16"/>
        </w:rPr>
        <w:t>].</w:t>
      </w:r>
      <w:r w:rsidRPr="007A7A7F">
        <w:rPr>
          <w:szCs w:val="16"/>
        </w:rPr>
        <w:t xml:space="preserve"> </w:t>
      </w:r>
    </w:p>
  </w:footnote>
  <w:footnote w:id="55">
    <w:p w14:paraId="1A5D678D" w14:textId="10B13659" w:rsidR="00B44AC3" w:rsidRPr="00D44813" w:rsidRDefault="00B44AC3" w:rsidP="00B16203">
      <w:pPr>
        <w:shd w:val="clear" w:color="auto" w:fill="FFFFFF"/>
        <w:tabs>
          <w:tab w:val="left" w:pos="0"/>
        </w:tabs>
        <w:spacing w:after="0" w:line="240" w:lineRule="auto"/>
        <w:rPr>
          <w:rFonts w:cs="Segoe UI"/>
          <w:bCs/>
          <w:sz w:val="16"/>
          <w:szCs w:val="16"/>
        </w:rPr>
      </w:pPr>
      <w:r w:rsidRPr="00D44813">
        <w:rPr>
          <w:rStyle w:val="Odkaznapoznmkupodiarou"/>
          <w:rFonts w:cs="Segoe UI"/>
          <w:sz w:val="16"/>
          <w:szCs w:val="16"/>
        </w:rPr>
        <w:footnoteRef/>
      </w:r>
      <w:r w:rsidRPr="00D44813">
        <w:rPr>
          <w:rFonts w:eastAsia="Calibri" w:cs="Segoe UI"/>
          <w:bCs/>
          <w:kern w:val="3"/>
          <w:sz w:val="16"/>
          <w:szCs w:val="16"/>
        </w:rPr>
        <w:t xml:space="preserve"> Zákonom č. 65/2023 Z. z. </w:t>
      </w:r>
      <w:r>
        <w:rPr>
          <w:rFonts w:eastAsia="Calibri" w:cs="Segoe UI"/>
          <w:bCs/>
          <w:kern w:val="3"/>
          <w:sz w:val="16"/>
          <w:szCs w:val="16"/>
        </w:rPr>
        <w:t>s účinnosťou od</w:t>
      </w:r>
      <w:r w:rsidRPr="00D44813">
        <w:rPr>
          <w:rFonts w:eastAsia="Calibri" w:cs="Segoe UI"/>
          <w:bCs/>
          <w:kern w:val="3"/>
          <w:sz w:val="16"/>
          <w:szCs w:val="16"/>
        </w:rPr>
        <w:t xml:space="preserve"> 1. </w:t>
      </w:r>
      <w:r>
        <w:rPr>
          <w:rFonts w:eastAsia="Calibri" w:cs="Segoe UI"/>
          <w:bCs/>
          <w:kern w:val="3"/>
          <w:sz w:val="16"/>
          <w:szCs w:val="16"/>
        </w:rPr>
        <w:t>5.</w:t>
      </w:r>
      <w:r w:rsidRPr="00D44813">
        <w:rPr>
          <w:rFonts w:eastAsia="Calibri" w:cs="Segoe UI"/>
          <w:bCs/>
          <w:kern w:val="3"/>
          <w:sz w:val="16"/>
          <w:szCs w:val="16"/>
        </w:rPr>
        <w:t xml:space="preserve"> 2023 </w:t>
      </w:r>
      <w:r w:rsidRPr="00D44813">
        <w:rPr>
          <w:rFonts w:eastAsia="Times New Roman" w:cs="Segoe UI"/>
          <w:color w:val="000000"/>
          <w:sz w:val="16"/>
          <w:szCs w:val="16"/>
          <w:lang w:eastAsia="sk-SK"/>
        </w:rPr>
        <w:t xml:space="preserve">došlo k rozšíreniu cieľovej skupiny pre poskytnutie dotácie na všetky deti v poslednom ročníku </w:t>
      </w:r>
      <w:r>
        <w:rPr>
          <w:rFonts w:eastAsia="Times New Roman" w:cs="Segoe UI"/>
          <w:color w:val="000000"/>
          <w:sz w:val="16"/>
          <w:szCs w:val="16"/>
          <w:lang w:eastAsia="sk-SK"/>
        </w:rPr>
        <w:t>MŠ</w:t>
      </w:r>
      <w:r w:rsidRPr="00D44813">
        <w:rPr>
          <w:rFonts w:eastAsia="Times New Roman" w:cs="Segoe UI"/>
          <w:color w:val="000000"/>
          <w:sz w:val="16"/>
          <w:szCs w:val="16"/>
          <w:lang w:eastAsia="sk-SK"/>
        </w:rPr>
        <w:t xml:space="preserve"> a na všetky deti v</w:t>
      </w:r>
      <w:r>
        <w:rPr>
          <w:rFonts w:eastAsia="Times New Roman" w:cs="Segoe UI"/>
          <w:color w:val="000000"/>
          <w:sz w:val="16"/>
          <w:szCs w:val="16"/>
          <w:lang w:eastAsia="sk-SK"/>
        </w:rPr>
        <w:t> ZŠ,</w:t>
      </w:r>
      <w:r w:rsidRPr="00D44813">
        <w:rPr>
          <w:rFonts w:eastAsia="Times New Roman" w:cs="Segoe UI"/>
          <w:color w:val="000000"/>
          <w:sz w:val="16"/>
          <w:szCs w:val="16"/>
          <w:lang w:eastAsia="sk-SK"/>
        </w:rPr>
        <w:t xml:space="preserve"> a </w:t>
      </w:r>
      <w:r>
        <w:rPr>
          <w:rFonts w:eastAsia="Times New Roman" w:cs="Segoe UI"/>
          <w:color w:val="000000"/>
          <w:sz w:val="16"/>
          <w:szCs w:val="16"/>
          <w:lang w:eastAsia="sk-SK"/>
        </w:rPr>
        <w:t>podľa</w:t>
      </w:r>
      <w:r w:rsidRPr="00D44813">
        <w:rPr>
          <w:rFonts w:cs="Segoe UI"/>
          <w:bCs/>
          <w:sz w:val="16"/>
          <w:szCs w:val="16"/>
        </w:rPr>
        <w:t xml:space="preserve"> zákona č. 280/2023 Z. z. sa s účinnosťou od 1. </w:t>
      </w:r>
      <w:r>
        <w:rPr>
          <w:rFonts w:cs="Segoe UI"/>
          <w:bCs/>
          <w:sz w:val="16"/>
          <w:szCs w:val="16"/>
        </w:rPr>
        <w:t>9.</w:t>
      </w:r>
      <w:r w:rsidRPr="00D44813">
        <w:rPr>
          <w:rFonts w:cs="Segoe UI"/>
          <w:bCs/>
          <w:sz w:val="16"/>
          <w:szCs w:val="16"/>
        </w:rPr>
        <w:t xml:space="preserve"> 2023 rozšírila cieľová skupina pre poskytovanie dotácie na podporu výchovy k stravovacím návykom dieťaťa, a to na deti navštevujúce 1. až 4. ročník 8-ročného gymnázia a deti v prvom ročníku päťročných SŠ, ktoré nastúpili po 8. ročníku ZŠ.</w:t>
      </w:r>
    </w:p>
  </w:footnote>
  <w:footnote w:id="56">
    <w:p w14:paraId="0C5A57D4" w14:textId="63421CCC" w:rsidR="00B44AC3" w:rsidRPr="00D44813" w:rsidRDefault="00B44AC3" w:rsidP="00B16203">
      <w:pPr>
        <w:widowControl w:val="0"/>
        <w:suppressAutoHyphens/>
        <w:autoSpaceDN w:val="0"/>
        <w:spacing w:after="0" w:line="240" w:lineRule="auto"/>
        <w:textAlignment w:val="baseline"/>
        <w:rPr>
          <w:rFonts w:eastAsia="Calibri" w:cs="Segoe UI"/>
          <w:bCs/>
          <w:kern w:val="3"/>
          <w:sz w:val="16"/>
          <w:szCs w:val="16"/>
        </w:rPr>
      </w:pPr>
      <w:r w:rsidRPr="00D44813">
        <w:rPr>
          <w:rStyle w:val="Odkaznapoznmkupodiarou"/>
          <w:rFonts w:cs="Segoe UI"/>
          <w:sz w:val="16"/>
          <w:szCs w:val="16"/>
        </w:rPr>
        <w:footnoteRef/>
      </w:r>
      <w:r w:rsidRPr="00D44813">
        <w:rPr>
          <w:rFonts w:cs="Segoe UI"/>
          <w:sz w:val="16"/>
          <w:szCs w:val="16"/>
        </w:rPr>
        <w:t xml:space="preserve"> </w:t>
      </w:r>
      <w:r w:rsidRPr="00D44813">
        <w:rPr>
          <w:rFonts w:eastAsia="Calibri" w:cs="Segoe UI"/>
          <w:bCs/>
          <w:kern w:val="3"/>
          <w:sz w:val="16"/>
          <w:szCs w:val="16"/>
        </w:rPr>
        <w:t>Sumy dotácie boli upravené: 1,40 eura na dieťa v </w:t>
      </w:r>
      <w:r>
        <w:rPr>
          <w:rFonts w:eastAsia="Calibri" w:cs="Segoe UI"/>
          <w:bCs/>
          <w:kern w:val="3"/>
          <w:sz w:val="16"/>
          <w:szCs w:val="16"/>
        </w:rPr>
        <w:t>MŠ</w:t>
      </w:r>
      <w:r w:rsidRPr="00D44813">
        <w:rPr>
          <w:rFonts w:eastAsia="Calibri" w:cs="Segoe UI"/>
          <w:bCs/>
          <w:kern w:val="3"/>
          <w:sz w:val="16"/>
          <w:szCs w:val="16"/>
        </w:rPr>
        <w:t xml:space="preserve">, 2,10 eura na dieťa na I. stupni </w:t>
      </w:r>
      <w:r>
        <w:rPr>
          <w:rFonts w:eastAsia="Calibri" w:cs="Segoe UI"/>
          <w:bCs/>
          <w:kern w:val="3"/>
          <w:sz w:val="16"/>
          <w:szCs w:val="16"/>
        </w:rPr>
        <w:t>ZŠ</w:t>
      </w:r>
      <w:r w:rsidRPr="00D44813">
        <w:rPr>
          <w:rFonts w:eastAsia="Calibri" w:cs="Segoe UI"/>
          <w:bCs/>
          <w:kern w:val="3"/>
          <w:sz w:val="16"/>
          <w:szCs w:val="16"/>
        </w:rPr>
        <w:t xml:space="preserve">, 2,30 eura na dieťa na II. stupni </w:t>
      </w:r>
      <w:r>
        <w:rPr>
          <w:rFonts w:eastAsia="Calibri" w:cs="Segoe UI"/>
          <w:bCs/>
          <w:kern w:val="3"/>
          <w:sz w:val="16"/>
          <w:szCs w:val="16"/>
        </w:rPr>
        <w:t>ZŠ</w:t>
      </w:r>
      <w:r w:rsidRPr="00D44813">
        <w:rPr>
          <w:rFonts w:eastAsia="Calibri" w:cs="Segoe UI"/>
          <w:bCs/>
          <w:kern w:val="3"/>
          <w:sz w:val="16"/>
          <w:szCs w:val="16"/>
        </w:rPr>
        <w:t>.</w:t>
      </w:r>
    </w:p>
  </w:footnote>
  <w:footnote w:id="57">
    <w:p w14:paraId="00E81E0F" w14:textId="207EA0C1" w:rsidR="00B44AC3" w:rsidRPr="00E92B85" w:rsidRDefault="00B44AC3" w:rsidP="00B16203">
      <w:pPr>
        <w:widowControl w:val="0"/>
        <w:shd w:val="clear" w:color="auto" w:fill="FFFFFF"/>
        <w:suppressAutoHyphens/>
        <w:autoSpaceDN w:val="0"/>
        <w:spacing w:after="0" w:line="240" w:lineRule="auto"/>
        <w:textAlignment w:val="baseline"/>
        <w:rPr>
          <w:rFonts w:eastAsia="Calibri" w:cs="Segoe UI"/>
          <w:kern w:val="3"/>
          <w:sz w:val="16"/>
          <w:szCs w:val="16"/>
        </w:rPr>
      </w:pPr>
      <w:r w:rsidRPr="00D44813">
        <w:rPr>
          <w:rStyle w:val="Odkaznapoznmkupodiarou"/>
          <w:rFonts w:cs="Segoe UI"/>
          <w:sz w:val="16"/>
          <w:szCs w:val="16"/>
        </w:rPr>
        <w:footnoteRef/>
      </w:r>
      <w:r w:rsidRPr="00D44813">
        <w:rPr>
          <w:rFonts w:cs="Segoe UI"/>
          <w:sz w:val="16"/>
          <w:szCs w:val="16"/>
        </w:rPr>
        <w:t xml:space="preserve"> </w:t>
      </w:r>
      <w:r w:rsidRPr="00D44813">
        <w:rPr>
          <w:rFonts w:eastAsia="Calibri" w:cs="Segoe UI"/>
          <w:bCs/>
          <w:kern w:val="3"/>
          <w:sz w:val="16"/>
          <w:szCs w:val="16"/>
        </w:rPr>
        <w:t>Zákonom č. 397/2022 Z. z.</w:t>
      </w:r>
      <w:r w:rsidRPr="00D44813">
        <w:rPr>
          <w:rFonts w:eastAsia="Calibri" w:cs="Segoe UI"/>
          <w:kern w:val="3"/>
          <w:sz w:val="16"/>
          <w:szCs w:val="16"/>
        </w:rPr>
        <w:t xml:space="preserve"> o prídavku na dieťa </w:t>
      </w:r>
      <w:r>
        <w:rPr>
          <w:rFonts w:eastAsia="Calibri" w:cs="Segoe UI"/>
          <w:kern w:val="3"/>
          <w:sz w:val="16"/>
          <w:szCs w:val="16"/>
        </w:rPr>
        <w:t xml:space="preserve">sa </w:t>
      </w:r>
      <w:r w:rsidRPr="00D44813">
        <w:rPr>
          <w:rFonts w:eastAsia="Calibri" w:cs="Segoe UI"/>
          <w:kern w:val="3"/>
          <w:sz w:val="16"/>
          <w:szCs w:val="16"/>
        </w:rPr>
        <w:t xml:space="preserve">s účinnosťou </w:t>
      </w:r>
      <w:r w:rsidRPr="00E92B85">
        <w:rPr>
          <w:rFonts w:eastAsia="Calibri" w:cs="Segoe UI"/>
          <w:bCs/>
          <w:kern w:val="3"/>
          <w:sz w:val="16"/>
          <w:szCs w:val="16"/>
        </w:rPr>
        <w:t>od 1. 1. 2023</w:t>
      </w:r>
      <w:r>
        <w:rPr>
          <w:rFonts w:eastAsia="Calibri" w:cs="Segoe UI"/>
          <w:kern w:val="3"/>
          <w:sz w:val="16"/>
          <w:szCs w:val="16"/>
        </w:rPr>
        <w:t xml:space="preserve"> upravila suma</w:t>
      </w:r>
      <w:r w:rsidRPr="00E92B85">
        <w:rPr>
          <w:rFonts w:eastAsia="Calibri" w:cs="Segoe UI"/>
          <w:kern w:val="3"/>
          <w:sz w:val="16"/>
          <w:szCs w:val="16"/>
        </w:rPr>
        <w:t xml:space="preserve"> prídavku na dieťa</w:t>
      </w:r>
      <w:r>
        <w:rPr>
          <w:rFonts w:eastAsia="Calibri" w:cs="Segoe UI"/>
          <w:kern w:val="3"/>
          <w:sz w:val="16"/>
          <w:szCs w:val="16"/>
        </w:rPr>
        <w:t xml:space="preserve"> na</w:t>
      </w:r>
      <w:r w:rsidRPr="00E92B85">
        <w:rPr>
          <w:rFonts w:eastAsia="Times New Roman" w:cs="Segoe UI"/>
          <w:kern w:val="3"/>
          <w:sz w:val="16"/>
          <w:szCs w:val="16"/>
          <w:lang w:eastAsia="sk-SK"/>
        </w:rPr>
        <w:t xml:space="preserve"> 60 eur</w:t>
      </w:r>
      <w:r>
        <w:rPr>
          <w:rFonts w:eastAsia="Times New Roman" w:cs="Segoe UI"/>
          <w:kern w:val="3"/>
          <w:sz w:val="16"/>
          <w:szCs w:val="16"/>
          <w:lang w:eastAsia="sk-SK"/>
        </w:rPr>
        <w:t xml:space="preserve"> a</w:t>
      </w:r>
      <w:r w:rsidRPr="00E92B85">
        <w:rPr>
          <w:rFonts w:eastAsia="Calibri" w:cs="Segoe UI"/>
          <w:kern w:val="3"/>
          <w:sz w:val="16"/>
          <w:szCs w:val="16"/>
        </w:rPr>
        <w:t xml:space="preserve"> </w:t>
      </w:r>
      <w:r w:rsidRPr="00E92B85">
        <w:rPr>
          <w:rFonts w:eastAsia="Times New Roman" w:cs="Segoe UI"/>
          <w:kern w:val="3"/>
          <w:sz w:val="16"/>
          <w:szCs w:val="16"/>
          <w:lang w:eastAsia="sk-SK"/>
        </w:rPr>
        <w:t xml:space="preserve">jednorazové zvýšenie prídavku na dieťa, ktoré prvýkrát nastúpilo do prvého ročníka ZŠ </w:t>
      </w:r>
      <w:r>
        <w:rPr>
          <w:rFonts w:eastAsia="Times New Roman" w:cs="Segoe UI"/>
          <w:kern w:val="3"/>
          <w:sz w:val="16"/>
          <w:szCs w:val="16"/>
          <w:lang w:eastAsia="sk-SK"/>
        </w:rPr>
        <w:t>na</w:t>
      </w:r>
      <w:r w:rsidRPr="00E92B85">
        <w:rPr>
          <w:rFonts w:eastAsia="Times New Roman" w:cs="Segoe UI"/>
          <w:kern w:val="3"/>
          <w:sz w:val="16"/>
          <w:szCs w:val="16"/>
          <w:lang w:eastAsia="sk-SK"/>
        </w:rPr>
        <w:t xml:space="preserve"> 110 eur.</w:t>
      </w:r>
    </w:p>
  </w:footnote>
  <w:footnote w:id="58">
    <w:p w14:paraId="2DEEE426" w14:textId="62AC0F39" w:rsidR="00B44AC3" w:rsidRPr="00E92B85" w:rsidRDefault="00B44AC3" w:rsidP="006453AB">
      <w:pPr>
        <w:pStyle w:val="Textpoznmkypodiarou"/>
        <w:rPr>
          <w:rFonts w:cs="Segoe UI"/>
          <w:szCs w:val="16"/>
        </w:rPr>
      </w:pPr>
      <w:r w:rsidRPr="00E92B85">
        <w:rPr>
          <w:rStyle w:val="Odkaznapoznmkupodiarou"/>
          <w:rFonts w:cs="Segoe UI"/>
          <w:szCs w:val="16"/>
        </w:rPr>
        <w:footnoteRef/>
      </w:r>
      <w:r w:rsidRPr="00E92B85">
        <w:rPr>
          <w:rFonts w:cs="Segoe UI"/>
          <w:szCs w:val="16"/>
        </w:rPr>
        <w:t xml:space="preserve"> </w:t>
      </w:r>
      <w:r>
        <w:rPr>
          <w:rFonts w:cs="Segoe UI"/>
          <w:szCs w:val="16"/>
        </w:rPr>
        <w:t>13. dôchodok v tom čase predstavoval sociálnu dávku poskytovanú z rozpočtu MPSVR SR. Podľa</w:t>
      </w:r>
      <w:r w:rsidRPr="00E92B85">
        <w:rPr>
          <w:rFonts w:cs="Segoe UI"/>
          <w:szCs w:val="16"/>
        </w:rPr>
        <w:t xml:space="preserve"> zákona č. 296/2020 Z. z. o 13. dôchodku poberateľovi dôchodku vznikol jednorazový nárok na 13. dôchodok v roku 2023 v mesiaci december v sume 300 eur.</w:t>
      </w:r>
      <w:r>
        <w:rPr>
          <w:rFonts w:cs="Segoe UI"/>
          <w:szCs w:val="16"/>
        </w:rPr>
        <w:t xml:space="preserve"> </w:t>
      </w:r>
      <w:r w:rsidRPr="00E92B85">
        <w:rPr>
          <w:rFonts w:eastAsia="Times New Roman" w:cs="Segoe UI"/>
          <w:szCs w:val="16"/>
          <w:lang w:eastAsia="sk-SK"/>
        </w:rPr>
        <w:t xml:space="preserve">V zmysle zákona č. 443/2023 Z. z. o 13. dôchodku sa v decembri 2023 všetkým poberateľom dôchodku mimoriadne vyplatil ďalší 13. dôchodok, a to v rovnakej sume </w:t>
      </w:r>
      <w:r>
        <w:rPr>
          <w:rFonts w:eastAsia="Times New Roman" w:cs="Segoe UI"/>
          <w:szCs w:val="16"/>
          <w:lang w:eastAsia="sk-SK"/>
        </w:rPr>
        <w:t xml:space="preserve">300 eur </w:t>
      </w:r>
      <w:r w:rsidRPr="00E92B85">
        <w:rPr>
          <w:rFonts w:eastAsia="Times New Roman" w:cs="Segoe UI"/>
          <w:szCs w:val="16"/>
          <w:lang w:eastAsia="sk-SK"/>
        </w:rPr>
        <w:t>pre všetkých poberateľov.</w:t>
      </w:r>
    </w:p>
  </w:footnote>
  <w:footnote w:id="59">
    <w:p w14:paraId="5C9EAC5B" w14:textId="77777777" w:rsidR="00B44AC3" w:rsidRDefault="00B44AC3" w:rsidP="0053254C">
      <w:pPr>
        <w:pStyle w:val="Textpoznmkypodiarou"/>
      </w:pPr>
      <w:r>
        <w:rPr>
          <w:rStyle w:val="Odkaznapoznmkupodiarou"/>
        </w:rPr>
        <w:footnoteRef/>
      </w:r>
      <w:r>
        <w:t xml:space="preserve"> </w:t>
      </w:r>
      <w:r w:rsidRPr="00C44BA8">
        <w:t>EK v súvislosti so zmiernením negatívnych dôsledkov energetickej krízy umožnila realizovať opatrenia zo zdrojov národnej alokácie EŠIF na PO 2014 až 2020.</w:t>
      </w:r>
    </w:p>
  </w:footnote>
  <w:footnote w:id="60">
    <w:p w14:paraId="383153CD" w14:textId="5AD05D73" w:rsidR="00B44AC3" w:rsidRDefault="00B44AC3" w:rsidP="00747F82">
      <w:pPr>
        <w:pStyle w:val="Textpoznmkypodiarou"/>
      </w:pPr>
      <w:r>
        <w:rPr>
          <w:rStyle w:val="Odkaznapoznmkupodiarou"/>
        </w:rPr>
        <w:footnoteRef/>
      </w:r>
      <w:r>
        <w:t xml:space="preserve"> </w:t>
      </w:r>
      <w:r w:rsidRPr="00A54583">
        <w:t>Rozvoj vysokého školstva</w:t>
      </w:r>
      <w:r>
        <w:t>.</w:t>
      </w:r>
    </w:p>
  </w:footnote>
  <w:footnote w:id="61">
    <w:p w14:paraId="5768A1B5" w14:textId="06F02200" w:rsidR="00B44AC3" w:rsidRPr="006A3683" w:rsidRDefault="00B44AC3" w:rsidP="00747F82">
      <w:pPr>
        <w:pStyle w:val="Textpoznmkypodiarou"/>
        <w:rPr>
          <w:rFonts w:cs="Segoe UI"/>
        </w:rPr>
      </w:pPr>
      <w:r w:rsidRPr="008D1548">
        <w:rPr>
          <w:rStyle w:val="Odkaznapoznmkupodiarou"/>
          <w:rFonts w:cs="Segoe UI"/>
          <w:sz w:val="18"/>
        </w:rPr>
        <w:footnoteRef/>
      </w:r>
      <w:r w:rsidRPr="006A3683">
        <w:rPr>
          <w:rFonts w:cs="Segoe UI"/>
        </w:rPr>
        <w:t xml:space="preserve"> Príklad zle nastaveného cieľa a merateľného ukazovateľa</w:t>
      </w:r>
      <w:r>
        <w:rPr>
          <w:rFonts w:cs="Segoe UI"/>
        </w:rPr>
        <w:t xml:space="preserve"> pre c</w:t>
      </w:r>
      <w:r w:rsidRPr="006A3683">
        <w:rPr>
          <w:rFonts w:cs="Segoe UI"/>
        </w:rPr>
        <w:t xml:space="preserve">ieľ 7: Zabezpečiť realizáciu Štipendia Martina Filka. Merateľný ukazovateľ: Počet prihlásených záujemcov na Štipendium Martina Filka. Cieľová hodnota pre rok 2023: 15, skutočne dosiahnutá hodnota: 13. Z hľadiska celkového objemu prostriedkov alokovaných na vysokoškolské vzdelávanie ide na tento typ štipendia malá alokácia. Zároveň ministerstvo cez množstvo rozpočtovaných prostriedkov nedokáže ovplyvniť splnenie cieľa, </w:t>
      </w:r>
      <w:r>
        <w:rPr>
          <w:rFonts w:cs="Segoe UI"/>
        </w:rPr>
        <w:t>keďže</w:t>
      </w:r>
      <w:r w:rsidRPr="006A3683">
        <w:rPr>
          <w:rFonts w:cs="Segoe UI"/>
        </w:rPr>
        <w:t xml:space="preserve"> aj pri zvýšení alokácie sa môže prihlásiť menej účastníkov (a naopak).</w:t>
      </w:r>
    </w:p>
  </w:footnote>
  <w:footnote w:id="62">
    <w:p w14:paraId="64108C78" w14:textId="5062E466" w:rsidR="00B44AC3" w:rsidRPr="008D1548" w:rsidRDefault="00B44AC3" w:rsidP="00747F82">
      <w:pPr>
        <w:pStyle w:val="Textpoznmkypodiarou"/>
        <w:rPr>
          <w:rFonts w:cs="Segoe UI"/>
        </w:rPr>
      </w:pPr>
      <w:r w:rsidRPr="008D1548">
        <w:rPr>
          <w:rStyle w:val="Odkaznapoznmkupodiarou"/>
          <w:rFonts w:cs="Segoe UI"/>
          <w:sz w:val="18"/>
        </w:rPr>
        <w:footnoteRef/>
      </w:r>
      <w:r w:rsidRPr="008D1548">
        <w:rPr>
          <w:rFonts w:cs="Segoe UI"/>
        </w:rPr>
        <w:t xml:space="preserve"> Príklad zle nastaveného cieľa prostredníc</w:t>
      </w:r>
      <w:r>
        <w:rPr>
          <w:rFonts w:cs="Segoe UI"/>
        </w:rPr>
        <w:t>tvom logickej hodnoty (áno/nie) pre c</w:t>
      </w:r>
      <w:r w:rsidRPr="008D1548">
        <w:rPr>
          <w:rFonts w:cs="Segoe UI"/>
        </w:rPr>
        <w:t>ieľ 52: Každoročne zabezpečiť finančné prostriedky na nákup učebníc pre všetky druhy a typy ZŠ a SŠ. Merateľný ukazovateľ: Nákup učebníc pre ZŠ a SŠ. Cieľová hodnota pre rok 2023: áno, skutočne dosiahnutá hodnota: N/A.</w:t>
      </w:r>
      <w:r>
        <w:rPr>
          <w:rFonts w:cs="Segoe UI"/>
        </w:rPr>
        <w:t xml:space="preserve"> Tento ukazovateľ je samo napĺňajúci sa, vzhľadom na rozpočtový proces stačí, aby ministerstvo alokovalo prostriedky na nákup učebníc a cieľ sa dá považovať za splnený bez ohľadu na to, aká hodnota sa za vynaložené prostriedky dosiahla.</w:t>
      </w:r>
    </w:p>
  </w:footnote>
  <w:footnote w:id="63">
    <w:p w14:paraId="69E9D120" w14:textId="77777777" w:rsidR="00B44AC3" w:rsidRPr="001307A2" w:rsidRDefault="00B44AC3" w:rsidP="00747F82">
      <w:pPr>
        <w:pStyle w:val="Textpoznmkypodiarou"/>
        <w:rPr>
          <w:rFonts w:cs="Segoe UI"/>
          <w:szCs w:val="16"/>
        </w:rPr>
      </w:pPr>
      <w:r w:rsidRPr="00F84EE4">
        <w:rPr>
          <w:rStyle w:val="Odkaznapoznmkupodiarou"/>
          <w:rFonts w:cs="Segoe UI"/>
        </w:rPr>
        <w:footnoteRef/>
      </w:r>
      <w:r w:rsidRPr="00F84EE4">
        <w:rPr>
          <w:rFonts w:cs="Segoe UI"/>
        </w:rPr>
        <w:t xml:space="preserve"> </w:t>
      </w:r>
      <w:r>
        <w:rPr>
          <w:rFonts w:cs="Segoe UI"/>
        </w:rPr>
        <w:t xml:space="preserve">Cieľ 16: </w:t>
      </w:r>
      <w:r w:rsidRPr="00F84EE4">
        <w:rPr>
          <w:rFonts w:cs="Segoe UI"/>
        </w:rPr>
        <w:t>Dosahovať úroveň skóre žiakov v medzinárodnej štúdii PISA (výsledky slovenských</w:t>
      </w:r>
      <w:r>
        <w:rPr>
          <w:rFonts w:cs="Segoe UI"/>
        </w:rPr>
        <w:t xml:space="preserve"> žiakov v oblasti matematickej, </w:t>
      </w:r>
      <w:r w:rsidRPr="00F84EE4">
        <w:rPr>
          <w:rFonts w:cs="Segoe UI"/>
        </w:rPr>
        <w:t>prírodovednej a čitateľsk</w:t>
      </w:r>
      <w:r>
        <w:rPr>
          <w:rFonts w:cs="Segoe UI"/>
        </w:rPr>
        <w:t xml:space="preserve">ej gramotnosti), ktorú dosiahli </w:t>
      </w:r>
      <w:r w:rsidRPr="00F84EE4">
        <w:rPr>
          <w:rFonts w:cs="Segoe UI"/>
        </w:rPr>
        <w:t xml:space="preserve">v testovaní PISA v roku 2003 (trojročné cykly) a tiež porovnať úroveň skóre </w:t>
      </w:r>
      <w:r w:rsidRPr="001307A2">
        <w:rPr>
          <w:rFonts w:cs="Segoe UI"/>
          <w:szCs w:val="16"/>
        </w:rPr>
        <w:t>aktuálneho cyklu štúdie s plánovaným výkonom žiakov v danej oblasti.</w:t>
      </w:r>
    </w:p>
  </w:footnote>
  <w:footnote w:id="64">
    <w:p w14:paraId="0E469A3A" w14:textId="77777777" w:rsidR="00B44AC3" w:rsidRPr="001307A2" w:rsidRDefault="00B44AC3" w:rsidP="00AC5F80">
      <w:pPr>
        <w:pStyle w:val="Textpoznmkypodiarou"/>
        <w:rPr>
          <w:rFonts w:cs="Segoe UI"/>
          <w:szCs w:val="16"/>
        </w:rPr>
      </w:pPr>
      <w:r w:rsidRPr="001307A2">
        <w:rPr>
          <w:rStyle w:val="Odkaznapoznmkupodiarou"/>
          <w:rFonts w:cs="Segoe UI"/>
          <w:szCs w:val="16"/>
        </w:rPr>
        <w:footnoteRef/>
      </w:r>
      <w:r w:rsidRPr="001307A2">
        <w:rPr>
          <w:rFonts w:cs="Segoe UI"/>
          <w:szCs w:val="16"/>
        </w:rPr>
        <w:t xml:space="preserve"> Revízia výdavkov, kompetencií a personálnych kapacít vo výskume,  vývoji a inováciách. [</w:t>
      </w:r>
      <w:hyperlink r:id="rId32" w:history="1">
        <w:r w:rsidRPr="001307A2">
          <w:rPr>
            <w:rStyle w:val="Hypertextovprepojenie"/>
            <w:rFonts w:cs="Segoe UI"/>
            <w:sz w:val="16"/>
            <w:szCs w:val="16"/>
          </w:rPr>
          <w:t>online</w:t>
        </w:r>
      </w:hyperlink>
      <w:r w:rsidRPr="001307A2">
        <w:rPr>
          <w:rFonts w:cs="Segoe UI"/>
          <w:szCs w:val="16"/>
        </w:rPr>
        <w:t>].</w:t>
      </w:r>
    </w:p>
  </w:footnote>
  <w:footnote w:id="65">
    <w:p w14:paraId="4979C7C7" w14:textId="77777777" w:rsidR="00B44AC3" w:rsidRPr="001307A2" w:rsidRDefault="00B44AC3" w:rsidP="00747F82">
      <w:pPr>
        <w:pStyle w:val="Textpoznmkypodiarou"/>
        <w:rPr>
          <w:rFonts w:cs="Segoe UI"/>
          <w:szCs w:val="16"/>
        </w:rPr>
      </w:pPr>
      <w:r w:rsidRPr="001307A2">
        <w:rPr>
          <w:rStyle w:val="Odkaznapoznmkupodiarou"/>
          <w:rFonts w:cs="Segoe UI"/>
          <w:szCs w:val="16"/>
        </w:rPr>
        <w:footnoteRef/>
      </w:r>
      <w:r w:rsidRPr="001307A2">
        <w:rPr>
          <w:rFonts w:cs="Segoe UI"/>
          <w:szCs w:val="16"/>
        </w:rPr>
        <w:t xml:space="preserve"> Národná stratégia výskumu, vývoja a inovácií 2030. [</w:t>
      </w:r>
      <w:hyperlink r:id="rId33" w:history="1">
        <w:r w:rsidRPr="001307A2">
          <w:rPr>
            <w:rStyle w:val="Hypertextovprepojenie"/>
            <w:rFonts w:cs="Segoe UI"/>
            <w:sz w:val="16"/>
            <w:szCs w:val="16"/>
          </w:rPr>
          <w:t>online</w:t>
        </w:r>
      </w:hyperlink>
      <w:r w:rsidRPr="001307A2">
        <w:rPr>
          <w:rFonts w:cs="Segoe UI"/>
          <w:szCs w:val="16"/>
        </w:rPr>
        <w:t>].</w:t>
      </w:r>
    </w:p>
  </w:footnote>
  <w:footnote w:id="66">
    <w:p w14:paraId="5FA5B067" w14:textId="77777777" w:rsidR="00B44AC3" w:rsidRPr="001307A2" w:rsidRDefault="00B44AC3" w:rsidP="00747F82">
      <w:pPr>
        <w:pStyle w:val="Textpoznmkypodiarou"/>
        <w:rPr>
          <w:szCs w:val="16"/>
        </w:rPr>
      </w:pPr>
      <w:r w:rsidRPr="001307A2">
        <w:rPr>
          <w:rStyle w:val="Odkaznapoznmkupodiarou"/>
          <w:szCs w:val="16"/>
        </w:rPr>
        <w:footnoteRef/>
      </w:r>
      <w:r w:rsidRPr="001307A2">
        <w:rPr>
          <w:szCs w:val="16"/>
        </w:rPr>
        <w:t xml:space="preserve"> Égert a kol., 2023. Quantifying the effect of policies to promote educational performance on macroeconomic productivity. [</w:t>
      </w:r>
      <w:hyperlink r:id="rId34" w:history="1">
        <w:r w:rsidRPr="001307A2">
          <w:rPr>
            <w:rStyle w:val="Hypertextovprepojenie"/>
            <w:sz w:val="16"/>
            <w:szCs w:val="16"/>
          </w:rPr>
          <w:t>online</w:t>
        </w:r>
      </w:hyperlink>
      <w:r w:rsidRPr="001307A2">
        <w:rPr>
          <w:szCs w:val="16"/>
        </w:rPr>
        <w:t>].</w:t>
      </w:r>
    </w:p>
  </w:footnote>
  <w:footnote w:id="67">
    <w:p w14:paraId="5938C380" w14:textId="77777777" w:rsidR="00B44AC3" w:rsidRDefault="00B44AC3" w:rsidP="005E0A95">
      <w:pPr>
        <w:pStyle w:val="Textpoznmkypodiarou"/>
      </w:pPr>
      <w:r>
        <w:rPr>
          <w:rStyle w:val="Odkaznapoznmkupodiarou"/>
        </w:rPr>
        <w:footnoteRef/>
      </w:r>
      <w:r>
        <w:t xml:space="preserve"> Programové vyhlásenie vlády SR 2023 - 2027. [</w:t>
      </w:r>
      <w:hyperlink r:id="rId35" w:history="1">
        <w:r w:rsidRPr="008A75AA">
          <w:rPr>
            <w:rStyle w:val="Hypertextovprepojenie"/>
            <w:sz w:val="16"/>
          </w:rPr>
          <w:t>online</w:t>
        </w:r>
      </w:hyperlink>
      <w:r>
        <w:t>].</w:t>
      </w:r>
    </w:p>
  </w:footnote>
  <w:footnote w:id="68">
    <w:p w14:paraId="71B0EE3F" w14:textId="77777777" w:rsidR="00B44AC3" w:rsidRDefault="00B44AC3" w:rsidP="005E0A95">
      <w:pPr>
        <w:pStyle w:val="Textpoznmkypodiarou"/>
      </w:pPr>
      <w:r>
        <w:rPr>
          <w:rStyle w:val="Odkaznapoznmkupodiarou"/>
        </w:rPr>
        <w:footnoteRef/>
      </w:r>
      <w:r>
        <w:t xml:space="preserve"> Programové vyhlásenie vlády SR na obdobie rokov 2021 - 2024. [</w:t>
      </w:r>
      <w:hyperlink r:id="rId36" w:history="1">
        <w:r w:rsidRPr="008A75AA">
          <w:rPr>
            <w:rStyle w:val="Hypertextovprepojenie"/>
            <w:sz w:val="16"/>
          </w:rPr>
          <w:t>online</w:t>
        </w:r>
      </w:hyperlink>
      <w:r>
        <w:t>].</w:t>
      </w:r>
    </w:p>
  </w:footnote>
  <w:footnote w:id="69">
    <w:p w14:paraId="726D4A30" w14:textId="50A20DEE" w:rsidR="00B44AC3" w:rsidRPr="001307A2" w:rsidRDefault="00B44AC3" w:rsidP="00747F82">
      <w:pPr>
        <w:pStyle w:val="Textpoznmkypodiarou"/>
        <w:rPr>
          <w:szCs w:val="16"/>
        </w:rPr>
      </w:pPr>
      <w:r w:rsidRPr="001307A2">
        <w:rPr>
          <w:rStyle w:val="Odkaznapoznmkupodiarou"/>
          <w:szCs w:val="16"/>
        </w:rPr>
        <w:footnoteRef/>
      </w:r>
      <w:r w:rsidRPr="001307A2">
        <w:rPr>
          <w:szCs w:val="16"/>
        </w:rPr>
        <w:t xml:space="preserve"> NKÚ SR </w:t>
      </w:r>
      <w:r>
        <w:rPr>
          <w:szCs w:val="16"/>
        </w:rPr>
        <w:t xml:space="preserve">– </w:t>
      </w:r>
      <w:r w:rsidRPr="001307A2">
        <w:rPr>
          <w:szCs w:val="16"/>
        </w:rPr>
        <w:t>Stanovisko NKÚ SR k Návrhu Štátneho záverečného účtu SR za rok 2022. [</w:t>
      </w:r>
      <w:hyperlink r:id="rId37" w:history="1">
        <w:r w:rsidRPr="001307A2">
          <w:rPr>
            <w:rStyle w:val="Hypertextovprepojenie"/>
            <w:sz w:val="16"/>
            <w:szCs w:val="16"/>
          </w:rPr>
          <w:t>online</w:t>
        </w:r>
      </w:hyperlink>
      <w:r w:rsidRPr="001307A2">
        <w:rPr>
          <w:szCs w:val="16"/>
        </w:rPr>
        <w:t>].</w:t>
      </w:r>
    </w:p>
  </w:footnote>
  <w:footnote w:id="70">
    <w:p w14:paraId="65C40D6B" w14:textId="2F9AD854" w:rsidR="00B44AC3" w:rsidRDefault="00B44AC3" w:rsidP="00747F82">
      <w:pPr>
        <w:pStyle w:val="Textpoznmkypodiarou"/>
      </w:pPr>
      <w:r w:rsidRPr="001307A2">
        <w:rPr>
          <w:rStyle w:val="Odkaznapoznmkupodiarou"/>
          <w:szCs w:val="16"/>
        </w:rPr>
        <w:footnoteRef/>
      </w:r>
      <w:r w:rsidRPr="001307A2">
        <w:rPr>
          <w:szCs w:val="16"/>
        </w:rPr>
        <w:t xml:space="preserve"> NKÚ SR </w:t>
      </w:r>
      <w:r>
        <w:rPr>
          <w:szCs w:val="16"/>
        </w:rPr>
        <w:t xml:space="preserve">– </w:t>
      </w:r>
      <w:r w:rsidRPr="001307A2">
        <w:rPr>
          <w:szCs w:val="16"/>
        </w:rPr>
        <w:t>Stanovisko NKÚ SR k návrhu štátneho rozpočtu SR na rok 2024. [</w:t>
      </w:r>
      <w:hyperlink r:id="rId38" w:history="1">
        <w:r w:rsidRPr="001307A2">
          <w:rPr>
            <w:rStyle w:val="Hypertextovprepojenie"/>
            <w:sz w:val="16"/>
            <w:szCs w:val="16"/>
          </w:rPr>
          <w:t>online</w:t>
        </w:r>
      </w:hyperlink>
      <w:r w:rsidRPr="001307A2">
        <w:rPr>
          <w:szCs w:val="16"/>
        </w:rPr>
        <w:t>].</w:t>
      </w:r>
    </w:p>
  </w:footnote>
  <w:footnote w:id="71">
    <w:p w14:paraId="2B9B7055" w14:textId="6268FCC5" w:rsidR="00B44AC3" w:rsidRPr="000D64DD" w:rsidRDefault="00B44AC3" w:rsidP="00FB4D0B">
      <w:pPr>
        <w:pStyle w:val="Textpoznmkypodiarou"/>
        <w:rPr>
          <w:szCs w:val="16"/>
        </w:rPr>
      </w:pPr>
      <w:r w:rsidRPr="000D64DD">
        <w:rPr>
          <w:rStyle w:val="Odkaznapoznmkupodiarou"/>
          <w:szCs w:val="16"/>
        </w:rPr>
        <w:footnoteRef/>
      </w:r>
      <w:r w:rsidRPr="000D64DD">
        <w:rPr>
          <w:szCs w:val="16"/>
        </w:rPr>
        <w:t xml:space="preserve"> </w:t>
      </w:r>
      <w:r>
        <w:rPr>
          <w:szCs w:val="16"/>
        </w:rPr>
        <w:t>V apríli 2024 ministerstvo navýšilo alokáciu výzvy z 82,6 mil. eur na 128,3</w:t>
      </w:r>
      <w:r w:rsidRPr="000D64DD">
        <w:rPr>
          <w:szCs w:val="16"/>
        </w:rPr>
        <w:t xml:space="preserve"> mil. eur. </w:t>
      </w:r>
      <w:r>
        <w:rPr>
          <w:szCs w:val="16"/>
        </w:rPr>
        <w:t xml:space="preserve">Cieľ </w:t>
      </w:r>
      <w:r w:rsidRPr="006A3A8C">
        <w:rPr>
          <w:szCs w:val="16"/>
        </w:rPr>
        <w:t>9 114 novovytvor</w:t>
      </w:r>
      <w:r>
        <w:rPr>
          <w:szCs w:val="16"/>
        </w:rPr>
        <w:t xml:space="preserve">ených miest v MŠ je predmetom potenciálnej revízie. Ako dôvod sa uvádza nižšia reálna potreba. </w:t>
      </w:r>
      <w:r w:rsidRPr="000D64DD">
        <w:rPr>
          <w:szCs w:val="16"/>
        </w:rPr>
        <w:t>[</w:t>
      </w:r>
      <w:hyperlink r:id="rId39" w:history="1">
        <w:r w:rsidRPr="000D64DD">
          <w:rPr>
            <w:rStyle w:val="Hypertextovprepojenie"/>
            <w:sz w:val="16"/>
            <w:szCs w:val="16"/>
          </w:rPr>
          <w:t>online</w:t>
        </w:r>
      </w:hyperlink>
      <w:r w:rsidRPr="000D64DD">
        <w:rPr>
          <w:szCs w:val="16"/>
        </w:rPr>
        <w:t>].</w:t>
      </w:r>
      <w:hyperlink r:id="rId40" w:history="1"/>
    </w:p>
  </w:footnote>
  <w:footnote w:id="72">
    <w:p w14:paraId="19CFB7B8" w14:textId="77777777" w:rsidR="00B44AC3" w:rsidRPr="000D64DD" w:rsidRDefault="00B44AC3" w:rsidP="00747F82">
      <w:pPr>
        <w:pStyle w:val="Textpoznmkypodiarou"/>
        <w:rPr>
          <w:szCs w:val="16"/>
        </w:rPr>
      </w:pPr>
      <w:r w:rsidRPr="000D64DD">
        <w:rPr>
          <w:rStyle w:val="Odkaznapoznmkupodiarou"/>
          <w:szCs w:val="16"/>
        </w:rPr>
        <w:footnoteRef/>
      </w:r>
      <w:r w:rsidRPr="000D64DD">
        <w:rPr>
          <w:szCs w:val="16"/>
        </w:rPr>
        <w:t xml:space="preserve"> Celkové oprávnené výdavky.</w:t>
      </w:r>
    </w:p>
  </w:footnote>
  <w:footnote w:id="73">
    <w:p w14:paraId="50C7BCF9" w14:textId="41FEF34E" w:rsidR="00B44AC3" w:rsidRPr="000D64DD" w:rsidRDefault="00B44AC3" w:rsidP="00747F82">
      <w:pPr>
        <w:pStyle w:val="Textpoznmkypodiarou"/>
        <w:rPr>
          <w:szCs w:val="16"/>
        </w:rPr>
      </w:pPr>
      <w:r w:rsidRPr="000D64DD">
        <w:rPr>
          <w:rStyle w:val="Odkaznapoznmkupodiarou"/>
          <w:szCs w:val="16"/>
        </w:rPr>
        <w:footnoteRef/>
      </w:r>
      <w:r w:rsidRPr="000D64DD">
        <w:rPr>
          <w:szCs w:val="16"/>
        </w:rPr>
        <w:t xml:space="preserve"> </w:t>
      </w:r>
      <w:r>
        <w:rPr>
          <w:szCs w:val="16"/>
        </w:rPr>
        <w:t xml:space="preserve">Inštitút vzdelávacej politiky – </w:t>
      </w:r>
      <w:r w:rsidRPr="000D64DD">
        <w:rPr>
          <w:szCs w:val="16"/>
        </w:rPr>
        <w:t>Index dostupnosti materských škôl. [</w:t>
      </w:r>
      <w:hyperlink r:id="rId41" w:history="1">
        <w:r w:rsidRPr="000D64DD">
          <w:rPr>
            <w:rStyle w:val="Hypertextovprepojenie"/>
            <w:sz w:val="16"/>
            <w:szCs w:val="16"/>
          </w:rPr>
          <w:t>online</w:t>
        </w:r>
      </w:hyperlink>
      <w:r w:rsidRPr="000D64DD">
        <w:rPr>
          <w:szCs w:val="16"/>
        </w:rPr>
        <w:t>].</w:t>
      </w:r>
    </w:p>
  </w:footnote>
  <w:footnote w:id="74">
    <w:p w14:paraId="19A97FF7" w14:textId="4EAA1EC7" w:rsidR="00B44AC3" w:rsidRDefault="00B44AC3" w:rsidP="00747F82">
      <w:pPr>
        <w:pStyle w:val="Textpoznmkypodiarou"/>
      </w:pPr>
      <w:r w:rsidRPr="000D64DD">
        <w:rPr>
          <w:rStyle w:val="Odkaznapoznmkupodiarou"/>
          <w:szCs w:val="16"/>
        </w:rPr>
        <w:footnoteRef/>
      </w:r>
      <w:r w:rsidRPr="000D64DD">
        <w:rPr>
          <w:szCs w:val="16"/>
        </w:rPr>
        <w:t xml:space="preserve"> Dva schválené projekty sa týkajú obcí bez MŠ, preto im nevieme priradiť hodnotu indexu. Z tohto dôvodu nie sú zahrnuté do výpočtu.</w:t>
      </w:r>
    </w:p>
  </w:footnote>
  <w:footnote w:id="75">
    <w:p w14:paraId="45CB13CE" w14:textId="231635E5" w:rsidR="00B44AC3" w:rsidRDefault="00B44AC3">
      <w:pPr>
        <w:pStyle w:val="Textpoznmkypodiarou"/>
      </w:pPr>
      <w:r>
        <w:rPr>
          <w:rStyle w:val="Odkaznapoznmkupodiarou"/>
        </w:rPr>
        <w:footnoteRef/>
      </w:r>
      <w:r>
        <w:t xml:space="preserve"> Názov ministerstva sa zmenil od 1. 2. 2024.</w:t>
      </w:r>
    </w:p>
  </w:footnote>
  <w:footnote w:id="76">
    <w:p w14:paraId="169EE29A" w14:textId="77777777" w:rsidR="00B44AC3" w:rsidRPr="000B466E" w:rsidRDefault="00B44AC3" w:rsidP="00747F82">
      <w:pPr>
        <w:pStyle w:val="Textpoznmkypodiarou"/>
        <w:rPr>
          <w:szCs w:val="16"/>
        </w:rPr>
      </w:pPr>
      <w:r w:rsidRPr="00E2764B">
        <w:rPr>
          <w:rStyle w:val="Odkaznapoznmkupodiarou"/>
        </w:rPr>
        <w:footnoteRef/>
      </w:r>
      <w:r w:rsidRPr="00E2764B">
        <w:t xml:space="preserve"> To dá rozum, 2019. Analýza zistení o stave školstva na </w:t>
      </w:r>
      <w:r w:rsidRPr="000B466E">
        <w:rPr>
          <w:szCs w:val="16"/>
        </w:rPr>
        <w:t>Slovensku. [</w:t>
      </w:r>
      <w:hyperlink r:id="rId42" w:history="1">
        <w:r w:rsidRPr="000B466E">
          <w:rPr>
            <w:rStyle w:val="Hypertextovprepojenie"/>
            <w:sz w:val="16"/>
            <w:szCs w:val="16"/>
          </w:rPr>
          <w:t>online</w:t>
        </w:r>
      </w:hyperlink>
      <w:r w:rsidRPr="000B466E">
        <w:rPr>
          <w:szCs w:val="16"/>
        </w:rPr>
        <w:t>].</w:t>
      </w:r>
    </w:p>
  </w:footnote>
  <w:footnote w:id="77">
    <w:p w14:paraId="6867E670" w14:textId="77777777" w:rsidR="00B44AC3" w:rsidRPr="000B466E" w:rsidRDefault="00B44AC3" w:rsidP="00747F82">
      <w:pPr>
        <w:pStyle w:val="Textpoznmkypodiarou"/>
        <w:rPr>
          <w:szCs w:val="16"/>
        </w:rPr>
      </w:pPr>
      <w:r w:rsidRPr="000B466E">
        <w:rPr>
          <w:rStyle w:val="Odkaznapoznmkupodiarou"/>
          <w:szCs w:val="16"/>
        </w:rPr>
        <w:footnoteRef/>
      </w:r>
      <w:r w:rsidRPr="000B466E">
        <w:rPr>
          <w:szCs w:val="16"/>
        </w:rPr>
        <w:t xml:space="preserve"> </w:t>
      </w:r>
      <w:r w:rsidRPr="000B466E">
        <w:rPr>
          <w:i/>
          <w:szCs w:val="16"/>
        </w:rPr>
        <w:t>Komplexná modernizácia budov a internátov verejných a štátnych vysokých škôl</w:t>
      </w:r>
      <w:r w:rsidRPr="000B466E">
        <w:rPr>
          <w:szCs w:val="16"/>
        </w:rPr>
        <w:t xml:space="preserve"> (výzva č. 4) a </w:t>
      </w:r>
      <w:r w:rsidRPr="000B466E">
        <w:rPr>
          <w:i/>
          <w:szCs w:val="16"/>
        </w:rPr>
        <w:t>Podpora pri strategickom rozvoji infraštruktúry vysokých škôl (konzorciá)</w:t>
      </w:r>
      <w:r w:rsidRPr="000B466E">
        <w:rPr>
          <w:szCs w:val="16"/>
        </w:rPr>
        <w:t xml:space="preserve"> (výzva č. 5).</w:t>
      </w:r>
    </w:p>
  </w:footnote>
  <w:footnote w:id="78">
    <w:p w14:paraId="7500553D" w14:textId="6423987F" w:rsidR="00B44AC3" w:rsidRPr="000B466E" w:rsidRDefault="00B44AC3" w:rsidP="00747F82">
      <w:pPr>
        <w:pStyle w:val="Textpoznmkypodiarou"/>
        <w:rPr>
          <w:szCs w:val="16"/>
        </w:rPr>
      </w:pPr>
      <w:r w:rsidRPr="000B466E">
        <w:rPr>
          <w:rStyle w:val="Odkaznapoznmkupodiarou"/>
          <w:szCs w:val="16"/>
        </w:rPr>
        <w:footnoteRef/>
      </w:r>
      <w:r w:rsidRPr="000B466E">
        <w:rPr>
          <w:szCs w:val="16"/>
        </w:rPr>
        <w:t xml:space="preserve"> Hodnota nastavená k 15. </w:t>
      </w:r>
      <w:r>
        <w:rPr>
          <w:szCs w:val="16"/>
        </w:rPr>
        <w:t>3.</w:t>
      </w:r>
      <w:r w:rsidRPr="000B466E">
        <w:rPr>
          <w:szCs w:val="16"/>
        </w:rPr>
        <w:t xml:space="preserve"> 2024.</w:t>
      </w:r>
    </w:p>
  </w:footnote>
  <w:footnote w:id="79">
    <w:p w14:paraId="688CFD07" w14:textId="77777777" w:rsidR="00B44AC3" w:rsidRDefault="00B44AC3" w:rsidP="007B6FB2">
      <w:pPr>
        <w:pStyle w:val="Textpoznmkypodiarou"/>
      </w:pPr>
      <w:r w:rsidRPr="000B466E">
        <w:rPr>
          <w:rStyle w:val="Odkaznapoznmkupodiarou"/>
          <w:szCs w:val="16"/>
        </w:rPr>
        <w:footnoteRef/>
      </w:r>
      <w:r w:rsidRPr="000B466E">
        <w:rPr>
          <w:szCs w:val="16"/>
        </w:rPr>
        <w:t xml:space="preserve"> Investičný plán Ministerstva školstva, vedy, výskumu a športu SR na roky 2023-2028. [</w:t>
      </w:r>
      <w:hyperlink r:id="rId43" w:history="1">
        <w:r w:rsidRPr="000B466E">
          <w:rPr>
            <w:rStyle w:val="Hypertextovprepojenie"/>
            <w:sz w:val="16"/>
            <w:szCs w:val="16"/>
          </w:rPr>
          <w:t>online</w:t>
        </w:r>
      </w:hyperlink>
      <w:r w:rsidRPr="000B466E">
        <w:rPr>
          <w:szCs w:val="16"/>
        </w:rPr>
        <w:t>].</w:t>
      </w:r>
    </w:p>
  </w:footnote>
  <w:footnote w:id="80">
    <w:p w14:paraId="03D3E3C4" w14:textId="77777777" w:rsidR="00B44AC3" w:rsidRDefault="00B44AC3" w:rsidP="007B6FB2">
      <w:pPr>
        <w:pStyle w:val="Textpoznmkypodiarou"/>
      </w:pPr>
      <w:r w:rsidRPr="003B7996">
        <w:rPr>
          <w:szCs w:val="16"/>
          <w:vertAlign w:val="superscript"/>
        </w:rPr>
        <w:footnoteRef/>
      </w:r>
      <w:r w:rsidRPr="003B7996">
        <w:rPr>
          <w:szCs w:val="16"/>
        </w:rPr>
        <w:t xml:space="preserve"> Ide o súčty výdavkov projektov, ktorých názov obsahoval slovo </w:t>
      </w:r>
      <w:r>
        <w:rPr>
          <w:szCs w:val="16"/>
        </w:rPr>
        <w:t>„rekonštrukcia“, resp.</w:t>
      </w:r>
      <w:r w:rsidRPr="003B7996">
        <w:rPr>
          <w:szCs w:val="16"/>
        </w:rPr>
        <w:t xml:space="preserve"> </w:t>
      </w:r>
      <w:r>
        <w:rPr>
          <w:szCs w:val="16"/>
        </w:rPr>
        <w:t>„modernizácia</w:t>
      </w:r>
      <w:r w:rsidRPr="003B7996">
        <w:rPr>
          <w:szCs w:val="16"/>
        </w:rPr>
        <w:t>“.</w:t>
      </w:r>
      <w:r>
        <w:rPr>
          <w:szCs w:val="16"/>
        </w:rPr>
        <w:t xml:space="preserve"> Rekonštrukcie a modernizácie sa však mohli týkať aj projektov, ktoré tieto slová nemali explicitne v názve. Uvedené hodnoty sú teda spodnou hranicou výšky požiadaviek škôl.</w:t>
      </w:r>
    </w:p>
  </w:footnote>
  <w:footnote w:id="81">
    <w:p w14:paraId="653E78B8" w14:textId="75A4FA87" w:rsidR="00B44AC3" w:rsidRDefault="00B44AC3" w:rsidP="00747F82">
      <w:pPr>
        <w:pStyle w:val="Textpoznmkypodiarou"/>
      </w:pPr>
      <w:r w:rsidRPr="00A754B8">
        <w:rPr>
          <w:rStyle w:val="Odkaznapoznmkupodiarou"/>
        </w:rPr>
        <w:footnoteRef/>
      </w:r>
      <w:r w:rsidRPr="00A754B8">
        <w:t xml:space="preserve"> </w:t>
      </w:r>
      <w:r w:rsidRPr="00164DF6">
        <w:rPr>
          <w:szCs w:val="16"/>
        </w:rPr>
        <w:t xml:space="preserve">Okrem rekonštrukcií a modernizácií </w:t>
      </w:r>
      <w:r>
        <w:rPr>
          <w:szCs w:val="16"/>
        </w:rPr>
        <w:t>ide napr.</w:t>
      </w:r>
      <w:r w:rsidRPr="00164DF6">
        <w:rPr>
          <w:szCs w:val="16"/>
        </w:rPr>
        <w:t xml:space="preserve"> o</w:t>
      </w:r>
      <w:r>
        <w:rPr>
          <w:szCs w:val="16"/>
        </w:rPr>
        <w:t> revitalizácie, výstavby</w:t>
      </w:r>
      <w:r w:rsidRPr="00164DF6">
        <w:rPr>
          <w:szCs w:val="16"/>
        </w:rPr>
        <w:t xml:space="preserve"> </w:t>
      </w:r>
      <w:r>
        <w:rPr>
          <w:szCs w:val="16"/>
        </w:rPr>
        <w:t>a budovanie rôznych objektov či nákupy technológií.</w:t>
      </w:r>
      <w:r w:rsidRPr="00051A48">
        <w:t xml:space="preserve"> </w:t>
      </w:r>
      <w:r w:rsidRPr="00A754B8">
        <w:t>Všetky zdroje financovania spolu.</w:t>
      </w:r>
    </w:p>
  </w:footnote>
  <w:footnote w:id="82">
    <w:p w14:paraId="28AA1625" w14:textId="77777777" w:rsidR="00B44AC3" w:rsidRDefault="00B44AC3" w:rsidP="00747F82">
      <w:pPr>
        <w:pStyle w:val="Textpoznmkypodiarou"/>
      </w:pPr>
      <w:r w:rsidRPr="009A010B">
        <w:rPr>
          <w:rStyle w:val="Odkaznapoznmkupodiarou"/>
        </w:rPr>
        <w:footnoteRef/>
      </w:r>
      <w:r w:rsidRPr="009A010B">
        <w:t xml:space="preserve"> </w:t>
      </w:r>
      <w:r>
        <w:t xml:space="preserve">Súčet </w:t>
      </w:r>
      <w:r w:rsidRPr="009A010B">
        <w:t>53 mil.</w:t>
      </w:r>
      <w:r>
        <w:t xml:space="preserve"> eur</w:t>
      </w:r>
      <w:r w:rsidRPr="009A010B">
        <w:t xml:space="preserve"> alokovaných na výzvu č. 4 a 120 mil. eur alokovaných na výzvu č. 5.</w:t>
      </w:r>
    </w:p>
  </w:footnote>
  <w:footnote w:id="83">
    <w:p w14:paraId="042438A2" w14:textId="77777777" w:rsidR="00B44AC3" w:rsidRDefault="00B44AC3" w:rsidP="008A4BCF">
      <w:pPr>
        <w:pStyle w:val="Textpoznmkypodiarou"/>
      </w:pPr>
      <w:r>
        <w:rPr>
          <w:rStyle w:val="Odkaznapoznmkupodiarou"/>
        </w:rPr>
        <w:footnoteRef/>
      </w:r>
      <w:r>
        <w:t xml:space="preserve"> </w:t>
      </w:r>
      <w:r w:rsidRPr="00A42FA1">
        <w:t>SpringerNature od mája 2023, Elsevier od júna 2023 a IEEE od decembra 2023</w:t>
      </w:r>
      <w:r>
        <w:t>.</w:t>
      </w:r>
    </w:p>
  </w:footnote>
  <w:footnote w:id="84">
    <w:p w14:paraId="7C9D60DC" w14:textId="77777777" w:rsidR="00B44AC3" w:rsidRDefault="00B44AC3" w:rsidP="008A4BCF">
      <w:pPr>
        <w:pStyle w:val="Textpoznmkypodiarou"/>
      </w:pPr>
      <w:r>
        <w:rPr>
          <w:rStyle w:val="Odkaznapoznmkupodiarou"/>
        </w:rPr>
        <w:footnoteRef/>
      </w:r>
      <w:r>
        <w:t xml:space="preserve"> </w:t>
      </w:r>
      <w:r w:rsidRPr="00A42FA1">
        <w:t>SpringerNature 29.</w:t>
      </w:r>
      <w:r>
        <w:t xml:space="preserve"> </w:t>
      </w:r>
      <w:r w:rsidRPr="00A42FA1">
        <w:t>3.</w:t>
      </w:r>
      <w:r>
        <w:t xml:space="preserve"> </w:t>
      </w:r>
      <w:r w:rsidRPr="00A42FA1">
        <w:t>2023, Elsevier 30.</w:t>
      </w:r>
      <w:r>
        <w:t xml:space="preserve"> </w:t>
      </w:r>
      <w:r w:rsidRPr="00A42FA1">
        <w:t>9.</w:t>
      </w:r>
      <w:r>
        <w:t xml:space="preserve"> </w:t>
      </w:r>
      <w:r w:rsidRPr="00A42FA1">
        <w:t>2023 a IEEE 3.</w:t>
      </w:r>
      <w:r>
        <w:t xml:space="preserve"> </w:t>
      </w:r>
      <w:r w:rsidRPr="00A42FA1">
        <w:t>5.</w:t>
      </w:r>
      <w:r>
        <w:t xml:space="preserve"> </w:t>
      </w:r>
      <w:r w:rsidRPr="00A42FA1">
        <w:t>2023</w:t>
      </w:r>
      <w:r>
        <w:t>.</w:t>
      </w:r>
    </w:p>
  </w:footnote>
  <w:footnote w:id="85">
    <w:p w14:paraId="3C99D919" w14:textId="77777777" w:rsidR="00B44AC3" w:rsidRDefault="00B44AC3" w:rsidP="008A4BCF">
      <w:pPr>
        <w:pStyle w:val="Textpoznmkypodiarou"/>
      </w:pPr>
      <w:r>
        <w:rPr>
          <w:rStyle w:val="Odkaznapoznmkupodiarou"/>
        </w:rPr>
        <w:footnoteRef/>
      </w:r>
      <w:r>
        <w:t xml:space="preserve"> </w:t>
      </w:r>
      <w:r w:rsidRPr="0012120E">
        <w:t>IEEE Article Processing Charges</w:t>
      </w:r>
      <w:r>
        <w:t>. [</w:t>
      </w:r>
      <w:hyperlink r:id="rId44" w:history="1">
        <w:r w:rsidRPr="0012120E">
          <w:rPr>
            <w:rStyle w:val="Hypertextovprepojenie"/>
            <w:sz w:val="16"/>
          </w:rPr>
          <w:t>online</w:t>
        </w:r>
      </w:hyperlink>
      <w:r>
        <w:t>].</w:t>
      </w:r>
    </w:p>
  </w:footnote>
  <w:footnote w:id="86">
    <w:p w14:paraId="752A739D" w14:textId="77777777" w:rsidR="00B44AC3" w:rsidRDefault="00B44AC3" w:rsidP="008A4BCF">
      <w:pPr>
        <w:pStyle w:val="Textpoznmkypodiarou"/>
      </w:pPr>
      <w:r>
        <w:rPr>
          <w:rStyle w:val="Odkaznapoznmkupodiarou"/>
        </w:rPr>
        <w:footnoteRef/>
      </w:r>
      <w:r>
        <w:t xml:space="preserve"> Medzinárodné vydavateľstvá sú zahraničné organizácie fungujúce ako holding s rozdelenými centrami riadenia registrovanými v rôznych obchodných registroch jednotlivých krajín po celom svete. CVTI SR potrebuje veľakrát doložiť podrobné informácie z registrov o partneroch verejného sektora, ktoré v prípade takýchto konglomerátov trvá zabezpečiť aj viac ako jeden kalendárny rok, čo odrádza tieto subjekty od vstupu na slovenský trh.</w:t>
      </w:r>
    </w:p>
  </w:footnote>
  <w:footnote w:id="87">
    <w:p w14:paraId="78A23E93" w14:textId="77777777" w:rsidR="00B44AC3" w:rsidRDefault="00B44AC3" w:rsidP="008A4BCF">
      <w:pPr>
        <w:pStyle w:val="Textpoznmkypodiarou"/>
      </w:pPr>
      <w:r>
        <w:rPr>
          <w:rStyle w:val="Odkaznapoznmkupodiarou"/>
        </w:rPr>
        <w:footnoteRef/>
      </w:r>
      <w:r>
        <w:t xml:space="preserve"> Z pohľadu objemu publikačných poplatkov (APC – Article Processing Charges) za rok 2021. (Zdroj: CVTI SR.  Analýza APC poplatkov vynakladaných slovenskými výskumnými inštitúciami na publikovanie zlatou cestou otvoreného prístupu za rok 2021. [</w:t>
      </w:r>
      <w:hyperlink r:id="rId45" w:anchor=".Y0UOSEzP2Uk" w:history="1">
        <w:r w:rsidRPr="00705798">
          <w:rPr>
            <w:rStyle w:val="Hypertextovprepojenie"/>
            <w:sz w:val="16"/>
          </w:rPr>
          <w:t>online</w:t>
        </w:r>
      </w:hyperlink>
      <w:r>
        <w:t>].)</w:t>
      </w:r>
    </w:p>
  </w:footnote>
  <w:footnote w:id="88">
    <w:p w14:paraId="03478704" w14:textId="77777777" w:rsidR="00B44AC3" w:rsidRPr="000B79B0" w:rsidRDefault="00B44AC3" w:rsidP="008A4BCF">
      <w:pPr>
        <w:autoSpaceDE w:val="0"/>
        <w:autoSpaceDN w:val="0"/>
        <w:spacing w:after="0" w:line="240" w:lineRule="auto"/>
        <w:rPr>
          <w:sz w:val="16"/>
          <w:szCs w:val="16"/>
        </w:rPr>
      </w:pPr>
      <w:r w:rsidRPr="000B79B0">
        <w:rPr>
          <w:rStyle w:val="Odkaznapoznmkupodiarou"/>
          <w:sz w:val="16"/>
          <w:szCs w:val="16"/>
        </w:rPr>
        <w:footnoteRef/>
      </w:r>
      <w:r w:rsidRPr="000B79B0">
        <w:rPr>
          <w:sz w:val="16"/>
          <w:szCs w:val="16"/>
        </w:rPr>
        <w:t xml:space="preserve"> MUMAP je verejne dostupná webová aplikácia NKÚ SR, ktorej obsahom sú rôzne údaje o mestách a obciach SR, vrátane údajov o hospodárení, čerpaní fondov EÚ, vykonaných kontrolách a zisteniach. [</w:t>
      </w:r>
      <w:hyperlink r:id="rId46" w:history="1">
        <w:r w:rsidRPr="000B79B0">
          <w:rPr>
            <w:rStyle w:val="Hypertextovprepojenie"/>
            <w:sz w:val="16"/>
            <w:szCs w:val="16"/>
          </w:rPr>
          <w:t>online</w:t>
        </w:r>
      </w:hyperlink>
      <w:r w:rsidRPr="000B79B0">
        <w:rPr>
          <w:rStyle w:val="Hypertextovprepojenie"/>
          <w:color w:val="auto"/>
          <w:sz w:val="16"/>
          <w:szCs w:val="16"/>
          <w:u w:val="none"/>
        </w:rPr>
        <w:t>]</w:t>
      </w:r>
      <w:r w:rsidRPr="000B79B0">
        <w:rPr>
          <w:sz w:val="16"/>
          <w:szCs w:val="16"/>
        </w:rPr>
        <w:t>.</w:t>
      </w:r>
    </w:p>
  </w:footnote>
  <w:footnote w:id="89">
    <w:p w14:paraId="6A13506F" w14:textId="77777777" w:rsidR="00B44AC3" w:rsidRPr="000B79B0" w:rsidRDefault="00B44AC3" w:rsidP="008A4BCF">
      <w:pPr>
        <w:pStyle w:val="Textpoznmkypodiarou"/>
        <w:rPr>
          <w:rFonts w:cs="Segoe UI"/>
          <w:szCs w:val="16"/>
        </w:rPr>
      </w:pPr>
      <w:r w:rsidRPr="000B79B0">
        <w:rPr>
          <w:rStyle w:val="Odkaznapoznmkupodiarou"/>
          <w:szCs w:val="16"/>
        </w:rPr>
        <w:footnoteRef/>
      </w:r>
      <w:r w:rsidRPr="000B79B0">
        <w:rPr>
          <w:szCs w:val="16"/>
        </w:rPr>
        <w:t xml:space="preserve"> </w:t>
      </w:r>
      <w:r>
        <w:rPr>
          <w:szCs w:val="16"/>
        </w:rPr>
        <w:t xml:space="preserve">NKÚ SR – </w:t>
      </w:r>
      <w:r w:rsidRPr="000B79B0">
        <w:rPr>
          <w:szCs w:val="16"/>
        </w:rPr>
        <w:t>Správy o výsledkoch kontrolnej činnosti NKÚ SR za roky 2022</w:t>
      </w:r>
      <w:r>
        <w:rPr>
          <w:szCs w:val="16"/>
        </w:rPr>
        <w:t xml:space="preserve"> a </w:t>
      </w:r>
      <w:r w:rsidRPr="000B79B0">
        <w:rPr>
          <w:szCs w:val="16"/>
        </w:rPr>
        <w:t>2023</w:t>
      </w:r>
      <w:r>
        <w:rPr>
          <w:szCs w:val="16"/>
        </w:rPr>
        <w:t>.</w:t>
      </w:r>
      <w:r w:rsidRPr="000B79B0">
        <w:rPr>
          <w:szCs w:val="16"/>
        </w:rPr>
        <w:t xml:space="preserve"> [</w:t>
      </w:r>
      <w:hyperlink r:id="rId47" w:history="1">
        <w:r w:rsidRPr="000B79B0">
          <w:rPr>
            <w:rStyle w:val="Hypertextovprepojenie"/>
            <w:sz w:val="16"/>
            <w:szCs w:val="16"/>
          </w:rPr>
          <w:t>online</w:t>
        </w:r>
      </w:hyperlink>
      <w:r w:rsidRPr="000B79B0">
        <w:rPr>
          <w:rStyle w:val="Hypertextovprepojenie"/>
          <w:color w:val="auto"/>
          <w:sz w:val="16"/>
          <w:szCs w:val="16"/>
          <w:u w:val="none"/>
        </w:rPr>
        <w:t>]</w:t>
      </w:r>
      <w:r>
        <w:rPr>
          <w:rStyle w:val="Hypertextovprepojenie"/>
          <w:color w:val="auto"/>
          <w:sz w:val="16"/>
          <w:szCs w:val="16"/>
          <w:u w:val="none"/>
        </w:rPr>
        <w:t>.</w:t>
      </w:r>
      <w:r w:rsidRPr="000B79B0">
        <w:rPr>
          <w:szCs w:val="16"/>
          <w:lang w:val="en-US"/>
        </w:rPr>
        <w:t xml:space="preserve"> </w:t>
      </w:r>
      <w:r w:rsidRPr="000B79B0">
        <w:rPr>
          <w:rFonts w:cs="Segoe UI"/>
          <w:szCs w:val="16"/>
        </w:rPr>
        <w:t>Analýza rizík v udržateľnom smerovaní spoločnosti na základe výsledkov kontrolnej činnosti Najvyššieho kontrolného úradu</w:t>
      </w:r>
      <w:r>
        <w:rPr>
          <w:rFonts w:cs="Segoe UI"/>
          <w:szCs w:val="16"/>
        </w:rPr>
        <w:t>.</w:t>
      </w:r>
      <w:r w:rsidRPr="000B79B0">
        <w:rPr>
          <w:rFonts w:cs="Segoe UI"/>
          <w:szCs w:val="16"/>
        </w:rPr>
        <w:t xml:space="preserve"> [</w:t>
      </w:r>
      <w:hyperlink r:id="rId48" w:history="1">
        <w:r w:rsidRPr="000B79B0">
          <w:rPr>
            <w:rStyle w:val="Hypertextovprepojenie"/>
            <w:rFonts w:cs="Segoe UI"/>
            <w:sz w:val="16"/>
            <w:szCs w:val="16"/>
          </w:rPr>
          <w:t>online</w:t>
        </w:r>
      </w:hyperlink>
      <w:r w:rsidRPr="000B79B0">
        <w:rPr>
          <w:rStyle w:val="Hypertextovprepojenie"/>
          <w:rFonts w:cs="Segoe UI"/>
          <w:color w:val="auto"/>
          <w:sz w:val="16"/>
          <w:szCs w:val="16"/>
          <w:u w:val="none"/>
        </w:rPr>
        <w:t>]</w:t>
      </w:r>
      <w:r>
        <w:rPr>
          <w:rFonts w:cs="Segoe UI"/>
          <w:szCs w:val="16"/>
        </w:rPr>
        <w:t>.</w:t>
      </w:r>
    </w:p>
  </w:footnote>
  <w:footnote w:id="90">
    <w:p w14:paraId="0201A412" w14:textId="77777777" w:rsidR="00B44AC3" w:rsidRPr="000B79B0" w:rsidRDefault="00B44AC3" w:rsidP="008A4BCF">
      <w:pPr>
        <w:pStyle w:val="Textpoznmkypodiarou"/>
        <w:rPr>
          <w:szCs w:val="16"/>
        </w:rPr>
      </w:pPr>
      <w:r w:rsidRPr="000B79B0">
        <w:rPr>
          <w:rStyle w:val="Odkaznapoznmkupodiarou"/>
          <w:szCs w:val="16"/>
        </w:rPr>
        <w:footnoteRef/>
      </w:r>
      <w:r w:rsidRPr="000B79B0">
        <w:rPr>
          <w:szCs w:val="16"/>
        </w:rPr>
        <w:t xml:space="preserve"> EK</w:t>
      </w:r>
      <w:r>
        <w:rPr>
          <w:szCs w:val="16"/>
        </w:rPr>
        <w:t xml:space="preserve"> – </w:t>
      </w:r>
      <w:r w:rsidRPr="000B79B0">
        <w:rPr>
          <w:szCs w:val="16"/>
        </w:rPr>
        <w:t xml:space="preserve">Správa o krajine </w:t>
      </w:r>
      <w:r>
        <w:rPr>
          <w:szCs w:val="16"/>
        </w:rPr>
        <w:t xml:space="preserve">2023 </w:t>
      </w:r>
      <w:r w:rsidRPr="000B79B0">
        <w:rPr>
          <w:szCs w:val="16"/>
        </w:rPr>
        <w:t>– Slovensko. [</w:t>
      </w:r>
      <w:hyperlink r:id="rId49" w:history="1">
        <w:r w:rsidRPr="000B79B0">
          <w:rPr>
            <w:rStyle w:val="Hypertextovprepojenie"/>
            <w:sz w:val="16"/>
            <w:szCs w:val="16"/>
          </w:rPr>
          <w:t>online</w:t>
        </w:r>
      </w:hyperlink>
      <w:r w:rsidRPr="000B79B0">
        <w:rPr>
          <w:szCs w:val="16"/>
        </w:rPr>
        <w:t>].</w:t>
      </w:r>
    </w:p>
  </w:footnote>
  <w:footnote w:id="91">
    <w:p w14:paraId="140006AE" w14:textId="77777777" w:rsidR="00B44AC3" w:rsidRPr="000B79B0" w:rsidRDefault="00B44AC3" w:rsidP="008A4BCF">
      <w:pPr>
        <w:pStyle w:val="Textpoznmkypodiarou"/>
        <w:rPr>
          <w:szCs w:val="16"/>
        </w:rPr>
      </w:pPr>
      <w:r w:rsidRPr="000B79B0">
        <w:rPr>
          <w:rStyle w:val="Odkaznapoznmkupodiarou"/>
          <w:szCs w:val="16"/>
        </w:rPr>
        <w:footnoteRef/>
      </w:r>
      <w:r w:rsidRPr="000B79B0">
        <w:rPr>
          <w:szCs w:val="16"/>
        </w:rPr>
        <w:t xml:space="preserve"> </w:t>
      </w:r>
      <w:r w:rsidRPr="000B79B0">
        <w:rPr>
          <w:rFonts w:eastAsia="Times New Roman" w:cs="Segoe UI"/>
          <w:szCs w:val="16"/>
          <w:lang w:eastAsia="sk-SK"/>
        </w:rPr>
        <w:t>Nárast transferu bol spôsobený najmä zvýšenými požiadavkami na normatívne a nenormatívne výdavky pre školy a školské zariadenia v zmysle zákona č. 597/2003 Z. z., na financovanie jazykových kurzov cudzincov a podporu začlenenia detí a žiakov z U</w:t>
      </w:r>
      <w:r>
        <w:rPr>
          <w:rFonts w:eastAsia="Times New Roman" w:cs="Segoe UI"/>
          <w:szCs w:val="16"/>
          <w:lang w:eastAsia="sk-SK"/>
        </w:rPr>
        <w:t>krajiny</w:t>
      </w:r>
      <w:r w:rsidRPr="000B79B0">
        <w:rPr>
          <w:rFonts w:eastAsia="Times New Roman" w:cs="Segoe UI"/>
          <w:szCs w:val="16"/>
          <w:lang w:eastAsia="sk-SK"/>
        </w:rPr>
        <w:t>, na úhrady nákladov súvisiacich s ubytovaním odídencov, na kompenzácie poplatkov pre žiakov zo sociálne znevýhodneného prostredia a v hmotnej núdzi, na úhrady osobných výdavkov zdravotníckych pracovníkov, na financovanie pracovných miest pomocný</w:t>
      </w:r>
      <w:r>
        <w:rPr>
          <w:rFonts w:eastAsia="Times New Roman" w:cs="Segoe UI"/>
          <w:szCs w:val="16"/>
          <w:lang w:eastAsia="sk-SK"/>
        </w:rPr>
        <w:t>ch</w:t>
      </w:r>
      <w:r w:rsidRPr="000B79B0">
        <w:rPr>
          <w:rFonts w:eastAsia="Times New Roman" w:cs="Segoe UI"/>
          <w:szCs w:val="16"/>
          <w:lang w:eastAsia="sk-SK"/>
        </w:rPr>
        <w:t xml:space="preserve"> vychovávateľ</w:t>
      </w:r>
      <w:r>
        <w:rPr>
          <w:rFonts w:eastAsia="Times New Roman" w:cs="Segoe UI"/>
          <w:szCs w:val="16"/>
          <w:lang w:eastAsia="sk-SK"/>
        </w:rPr>
        <w:t>ov</w:t>
      </w:r>
      <w:r w:rsidRPr="000B79B0">
        <w:rPr>
          <w:rFonts w:eastAsia="Times New Roman" w:cs="Segoe UI"/>
          <w:szCs w:val="16"/>
          <w:lang w:eastAsia="sk-SK"/>
        </w:rPr>
        <w:t xml:space="preserve">. Významný nárast tvorili aj kapitálové transfery použité najmä na odstránenie havarijných situácií na školách, dobudovávanie kapacít </w:t>
      </w:r>
      <w:r>
        <w:rPr>
          <w:rFonts w:eastAsia="Times New Roman" w:cs="Segoe UI"/>
          <w:szCs w:val="16"/>
          <w:lang w:eastAsia="sk-SK"/>
        </w:rPr>
        <w:t>MŠ</w:t>
      </w:r>
      <w:r w:rsidRPr="000B79B0">
        <w:rPr>
          <w:rFonts w:eastAsia="Times New Roman" w:cs="Segoe UI"/>
          <w:szCs w:val="16"/>
          <w:lang w:eastAsia="sk-SK"/>
        </w:rPr>
        <w:t xml:space="preserve"> atď.</w:t>
      </w:r>
    </w:p>
  </w:footnote>
  <w:footnote w:id="92">
    <w:p w14:paraId="600D0745" w14:textId="77777777" w:rsidR="00B44AC3" w:rsidRPr="006C1519" w:rsidRDefault="00B44AC3" w:rsidP="008A4BCF">
      <w:pPr>
        <w:pStyle w:val="Textpoznmkypodiarou"/>
        <w:rPr>
          <w:rFonts w:cs="Segoe UI"/>
          <w:szCs w:val="16"/>
        </w:rPr>
      </w:pPr>
      <w:r w:rsidRPr="006C1519">
        <w:rPr>
          <w:rStyle w:val="Odkaznapoznmkupodiarou"/>
          <w:rFonts w:cs="Segoe UI"/>
          <w:szCs w:val="16"/>
        </w:rPr>
        <w:footnoteRef/>
      </w:r>
      <w:r w:rsidRPr="006C1519">
        <w:rPr>
          <w:rFonts w:cs="Segoe UI"/>
          <w:szCs w:val="16"/>
        </w:rPr>
        <w:t xml:space="preserve"> Nekonsolidovaný dlh: 53 % tvoria bankové úvery, 40 % pôžičky od ŠFRB, 3 % NFV. Úroveň NFV sa oproti roku </w:t>
      </w:r>
      <w:r>
        <w:rPr>
          <w:rFonts w:cs="Segoe UI"/>
          <w:szCs w:val="16"/>
        </w:rPr>
        <w:t xml:space="preserve">2022 </w:t>
      </w:r>
      <w:r w:rsidRPr="006C1519">
        <w:rPr>
          <w:rFonts w:cs="Segoe UI"/>
          <w:szCs w:val="16"/>
        </w:rPr>
        <w:t>výrazne znížila vďaka odpusteniu NF</w:t>
      </w:r>
      <w:r>
        <w:rPr>
          <w:rFonts w:cs="Segoe UI"/>
          <w:szCs w:val="16"/>
        </w:rPr>
        <w:t>V poskytnutých n</w:t>
      </w:r>
      <w:r w:rsidRPr="006C1519">
        <w:rPr>
          <w:rFonts w:cs="Segoe UI"/>
          <w:szCs w:val="16"/>
        </w:rPr>
        <w:t>a účel</w:t>
      </w:r>
      <w:r>
        <w:rPr>
          <w:rFonts w:cs="Segoe UI"/>
          <w:szCs w:val="16"/>
        </w:rPr>
        <w:t>y</w:t>
      </w:r>
      <w:r w:rsidRPr="006C1519">
        <w:rPr>
          <w:rFonts w:cs="Segoe UI"/>
          <w:szCs w:val="16"/>
        </w:rPr>
        <w:t xml:space="preserve"> zmiernenia negatívneho dopadu pandémie COVID-19 v celkovej sume 99 748 tis. eur</w:t>
      </w:r>
      <w:r>
        <w:rPr>
          <w:rFonts w:cs="Segoe UI"/>
          <w:szCs w:val="16"/>
        </w:rPr>
        <w:t xml:space="preserve"> (box 5 v kapitole o 3.7)</w:t>
      </w:r>
      <w:r w:rsidRPr="006C1519">
        <w:rPr>
          <w:rFonts w:cs="Segoe UI"/>
          <w:szCs w:val="16"/>
        </w:rPr>
        <w:t>.</w:t>
      </w:r>
    </w:p>
  </w:footnote>
  <w:footnote w:id="93">
    <w:p w14:paraId="6EDCCC89" w14:textId="77777777" w:rsidR="00B44AC3" w:rsidRDefault="00B44AC3" w:rsidP="008A4BCF">
      <w:pPr>
        <w:pStyle w:val="Textpoznmkypodiarou"/>
      </w:pPr>
      <w:r>
        <w:rPr>
          <w:rStyle w:val="Odkaznapoznmkupodiarou"/>
        </w:rPr>
        <w:footnoteRef/>
      </w:r>
      <w:r>
        <w:t xml:space="preserve"> </w:t>
      </w:r>
      <w:r w:rsidRPr="00306ACC">
        <w:rPr>
          <w:rFonts w:cs="Segoe UI"/>
        </w:rPr>
        <w:t>Financovanie investičných projektov bolo sústredené najmä do oblasti vzdelávania a športu, na zlepšenie kvality života v regiónoch</w:t>
      </w:r>
      <w:r w:rsidRPr="006C5581">
        <w:rPr>
          <w:sz w:val="24"/>
          <w:szCs w:val="24"/>
        </w:rPr>
        <w:t xml:space="preserve"> </w:t>
      </w:r>
      <w:r w:rsidRPr="00306ACC">
        <w:rPr>
          <w:rFonts w:cs="Segoe UI"/>
        </w:rPr>
        <w:t>s dôrazom na životné prostredie, na modernizáciu zdravotníckej a vzdelávacej infraštruktúry, na zníženie energetickej náročnosti a zvýšenie energetickej účinnosti budov, zvyšovanie kapacity budov, obnovu</w:t>
      </w:r>
      <w:r>
        <w:rPr>
          <w:sz w:val="24"/>
          <w:szCs w:val="24"/>
        </w:rPr>
        <w:t xml:space="preserve"> </w:t>
      </w:r>
      <w:r w:rsidRPr="00306ACC">
        <w:rPr>
          <w:rFonts w:cs="Segoe UI"/>
        </w:rPr>
        <w:t>bytového fondu, výstavbu a modernizáciu, resp. rekonštrukciu cestnej dopravy, ekologickej dopravy (budovanie cyklotrás), kultúrnych pamiatok a ďalšieho majetku obce, na rozšírenie kanalizácie a </w:t>
      </w:r>
      <w:r>
        <w:rPr>
          <w:rFonts w:cs="Segoe UI"/>
        </w:rPr>
        <w:t>ČOV</w:t>
      </w:r>
      <w:r w:rsidRPr="00306ACC">
        <w:rPr>
          <w:rFonts w:cs="Segoe UI"/>
        </w:rPr>
        <w:t xml:space="preserve">, na vybudovanie zberných dvorov, </w:t>
      </w:r>
      <w:r>
        <w:rPr>
          <w:rFonts w:cs="Segoe UI"/>
        </w:rPr>
        <w:t xml:space="preserve">zhodnocovanie biologicky rozložiteľného odpadu aeróbnym alebo anaeróbnym spôsobom (kompostovaním, resp. spracovaním na bioplyn) </w:t>
      </w:r>
      <w:r w:rsidRPr="00306ACC">
        <w:rPr>
          <w:rFonts w:cs="Segoe UI"/>
        </w:rPr>
        <w:t>a na vodozádržné opatrenia v intraviláne miest a obcí, na technickú vybavenosť v obciach evidovaných v Atlase rómskych komunít s prítomnosťou marginalizovaných rómskych komunít a projekty sociálnej inklúzie.</w:t>
      </w:r>
    </w:p>
  </w:footnote>
  <w:footnote w:id="94">
    <w:p w14:paraId="279FA83F" w14:textId="77777777" w:rsidR="00B44AC3" w:rsidRDefault="00B44AC3" w:rsidP="008A4BCF">
      <w:pPr>
        <w:pStyle w:val="Textpoznmkypodiarou"/>
      </w:pPr>
      <w:r>
        <w:rPr>
          <w:rStyle w:val="Odkaznapoznmkupodiarou"/>
        </w:rPr>
        <w:footnoteRef/>
      </w:r>
      <w:r>
        <w:t xml:space="preserve"> </w:t>
      </w:r>
      <w:r w:rsidRPr="00385208">
        <w:t>Nárast transferu bol spôsobený najmä zvýšenými požiadavkami na normatívne a nenormatívne výdavky pre školy v zriaďovateľskej pôsobnosti VÚC v zm</w:t>
      </w:r>
      <w:r>
        <w:t>ysle zákona č. 597/2003 Z. z. na</w:t>
      </w:r>
      <w:r w:rsidRPr="00385208">
        <w:t xml:space="preserve"> financovanie jazykových kurzov cudzincov a podporu začlenenia detí a žiakov z Ukrajiny, na úhrady nákladov súvisiacich s hromadným prílevom utečencov z Ukrajiny. </w:t>
      </w:r>
    </w:p>
  </w:footnote>
  <w:footnote w:id="95">
    <w:p w14:paraId="330631C2" w14:textId="77777777" w:rsidR="00B44AC3" w:rsidRPr="00054061" w:rsidRDefault="00B44AC3" w:rsidP="008A4BCF">
      <w:pPr>
        <w:pStyle w:val="Textpoznmkypodiarou"/>
        <w:rPr>
          <w:szCs w:val="16"/>
        </w:rPr>
      </w:pPr>
      <w:r w:rsidRPr="00054061">
        <w:rPr>
          <w:rStyle w:val="Odkaznapoznmkupodiarou"/>
          <w:szCs w:val="16"/>
        </w:rPr>
        <w:footnoteRef/>
      </w:r>
      <w:r w:rsidRPr="00054061">
        <w:rPr>
          <w:szCs w:val="16"/>
        </w:rPr>
        <w:t xml:space="preserve"> </w:t>
      </w:r>
      <w:r>
        <w:rPr>
          <w:szCs w:val="16"/>
        </w:rPr>
        <w:t xml:space="preserve">Nekonsolidovaný dlh: </w:t>
      </w:r>
      <w:r w:rsidRPr="00054061">
        <w:rPr>
          <w:rFonts w:cs="Segoe UI"/>
          <w:szCs w:val="16"/>
        </w:rPr>
        <w:t xml:space="preserve">65 % tvoria bankové úvery, 34 % NFV. NFV poskytnuté VÚC počas roka 2020 </w:t>
      </w:r>
      <w:r>
        <w:rPr>
          <w:rFonts w:cs="Segoe UI"/>
          <w:szCs w:val="16"/>
        </w:rPr>
        <w:t>n</w:t>
      </w:r>
      <w:r w:rsidRPr="00054061">
        <w:rPr>
          <w:rFonts w:cs="Segoe UI"/>
          <w:szCs w:val="16"/>
        </w:rPr>
        <w:t>a účel zmiernenia negatívneho dopadu pandémie COVID-19 vo výške 52 074 tis. eur boli v plnej výške odpustené</w:t>
      </w:r>
      <w:r>
        <w:rPr>
          <w:rFonts w:cs="Segoe UI"/>
          <w:szCs w:val="16"/>
        </w:rPr>
        <w:t xml:space="preserve"> (box 5 v kapitole 3.7)</w:t>
      </w:r>
      <w:r w:rsidRPr="006C1519">
        <w:rPr>
          <w:rFonts w:cs="Segoe UI"/>
          <w:szCs w:val="16"/>
        </w:rPr>
        <w:t>.</w:t>
      </w:r>
    </w:p>
  </w:footnote>
  <w:footnote w:id="96">
    <w:p w14:paraId="0FAFB426" w14:textId="77777777" w:rsidR="00B44AC3" w:rsidRPr="008D5255" w:rsidRDefault="00B44AC3" w:rsidP="008A4BCF">
      <w:pPr>
        <w:pStyle w:val="Normlnywebov"/>
        <w:shd w:val="clear" w:color="auto" w:fill="FFFFFF"/>
        <w:spacing w:before="0" w:beforeAutospacing="0" w:after="225" w:afterAutospacing="0"/>
        <w:jc w:val="both"/>
        <w:rPr>
          <w:rFonts w:ascii="Segoe UI" w:eastAsiaTheme="minorHAnsi" w:hAnsi="Segoe UI" w:cs="Segoe UI"/>
          <w:sz w:val="16"/>
          <w:szCs w:val="16"/>
          <w:lang w:eastAsia="en-US"/>
        </w:rPr>
      </w:pPr>
      <w:r w:rsidRPr="008D5255">
        <w:rPr>
          <w:rStyle w:val="Odkaznapoznmkupodiarou"/>
          <w:rFonts w:ascii="Segoe UI" w:hAnsi="Segoe UI" w:cs="Segoe UI"/>
          <w:sz w:val="16"/>
          <w:szCs w:val="16"/>
        </w:rPr>
        <w:footnoteRef/>
      </w:r>
      <w:r w:rsidRPr="008D5255">
        <w:rPr>
          <w:rFonts w:ascii="Segoe UI" w:hAnsi="Segoe UI" w:cs="Segoe UI"/>
          <w:sz w:val="16"/>
          <w:szCs w:val="16"/>
        </w:rPr>
        <w:t xml:space="preserve"> </w:t>
      </w:r>
      <w:r w:rsidRPr="008D5255">
        <w:rPr>
          <w:rFonts w:ascii="Segoe UI" w:eastAsiaTheme="minorHAnsi" w:hAnsi="Segoe UI" w:cs="Segoe UI"/>
          <w:sz w:val="16"/>
          <w:szCs w:val="16"/>
          <w:lang w:eastAsia="en-US"/>
        </w:rPr>
        <w:t>National Development Fund II., a.s. (NDF II.) je investičný fond, cez ktorý sa implementujú finančné nástroje z Európskych štrukturálnych a investičných fondov v programovom období 2014-2020. NDF II. je v správe spoločnosti Slovak Investment Holding (SIH). Investičná stratégia NDF II. vychádza z operačných programov, z ktorých boli do NDF II. investované finančné prostriedky a zo zmlúv o financovaní medzi riadiacimi/sprostredkovateľskými orgánmi, SIH a NDF II. Hlavným cieľom NDF II. je zlepšiť prístup k financovaniu pre projekty a inštitúcie pôsobiace v nasledovných oblastiach: Dopravná infraštruktúra, Energetická efektívnosť,  Odpadové hospodárstvo, Sociálna ekonomika, Malé a stredné podniky</w:t>
      </w:r>
      <w:r>
        <w:rPr>
          <w:rFonts w:ascii="Segoe UI" w:eastAsiaTheme="minorHAnsi" w:hAnsi="Segoe UI" w:cs="Segoe UI"/>
          <w:sz w:val="16"/>
          <w:szCs w:val="16"/>
          <w:lang w:eastAsia="en-US"/>
        </w:rPr>
        <w:t>.</w:t>
      </w:r>
      <w:r w:rsidRPr="008D5255">
        <w:rPr>
          <w:rFonts w:ascii="Segoe UI" w:eastAsiaTheme="minorHAnsi" w:hAnsi="Segoe UI" w:cs="Segoe UI"/>
          <w:sz w:val="16"/>
          <w:szCs w:val="16"/>
          <w:lang w:eastAsia="en-US"/>
        </w:rPr>
        <w:t xml:space="preserve"> </w:t>
      </w:r>
    </w:p>
    <w:p w14:paraId="629ED305" w14:textId="77777777" w:rsidR="00B44AC3" w:rsidRPr="008D5255" w:rsidRDefault="00B44AC3" w:rsidP="008A4BCF">
      <w:pPr>
        <w:pStyle w:val="Textpoznmkypodiarou"/>
        <w:rPr>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6803" w:type="pct"/>
      <w:tblInd w:w="-1418" w:type="dxa"/>
      <w:shd w:val="clear" w:color="auto" w:fill="9CB9EC" w:themeFill="accent2"/>
      <w:tblCellMar>
        <w:top w:w="115" w:type="dxa"/>
        <w:left w:w="115" w:type="dxa"/>
        <w:bottom w:w="115" w:type="dxa"/>
        <w:right w:w="115" w:type="dxa"/>
      </w:tblCellMar>
      <w:tblLook w:val="04A0" w:firstRow="1" w:lastRow="0" w:firstColumn="1" w:lastColumn="0" w:noHBand="0" w:noVBand="1"/>
    </w:tblPr>
    <w:tblGrid>
      <w:gridCol w:w="12341"/>
    </w:tblGrid>
    <w:tr w:rsidR="00B44AC3" w14:paraId="3D984AF9" w14:textId="77777777" w:rsidTr="00D368ED">
      <w:trPr>
        <w:trHeight w:val="1911"/>
      </w:trPr>
      <w:tc>
        <w:tcPr>
          <w:tcW w:w="5000" w:type="pct"/>
          <w:shd w:val="clear" w:color="auto" w:fill="314364"/>
          <w:vAlign w:val="center"/>
        </w:tcPr>
        <w:p w14:paraId="1278EAFC" w14:textId="77777777" w:rsidR="00B44AC3" w:rsidRPr="00D368ED" w:rsidRDefault="00B44AC3" w:rsidP="00C62DA9">
          <w:pPr>
            <w:pStyle w:val="Hlavika"/>
            <w:spacing w:before="360" w:after="240"/>
            <w:ind w:left="1308"/>
            <w:jc w:val="left"/>
            <w:rPr>
              <w:rFonts w:cs="Segoe UI"/>
              <w:b/>
              <w:caps/>
              <w:color w:val="FFFFFF" w:themeColor="background1"/>
              <w:sz w:val="40"/>
              <w:szCs w:val="40"/>
            </w:rPr>
          </w:pPr>
          <w:r w:rsidRPr="0060315B">
            <w:rPr>
              <w:rFonts w:cs="Segoe UI"/>
              <w:noProof/>
              <w:color w:val="FFFFFF" w:themeColor="background1"/>
              <w:sz w:val="40"/>
              <w:lang w:eastAsia="sk-SK"/>
            </w:rPr>
            <w:drawing>
              <wp:anchor distT="0" distB="0" distL="114300" distR="114300" simplePos="0" relativeHeight="251659264" behindDoc="0" locked="0" layoutInCell="1" allowOverlap="1" wp14:anchorId="29CDF2DF" wp14:editId="5310C9D4">
                <wp:simplePos x="0" y="0"/>
                <wp:positionH relativeFrom="margin">
                  <wp:posOffset>5232400</wp:posOffset>
                </wp:positionH>
                <wp:positionV relativeFrom="margin">
                  <wp:posOffset>189865</wp:posOffset>
                </wp:positionV>
                <wp:extent cx="1400175" cy="1031875"/>
                <wp:effectExtent l="0" t="0" r="9525" b="0"/>
                <wp:wrapSquare wrapText="bothSides"/>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Obrázok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00175" cy="1031875"/>
                        </a:xfrm>
                        <a:prstGeom prst="rect">
                          <a:avLst/>
                        </a:prstGeom>
                      </pic:spPr>
                    </pic:pic>
                  </a:graphicData>
                </a:graphic>
                <wp14:sizeRelH relativeFrom="margin">
                  <wp14:pctWidth>0</wp14:pctWidth>
                </wp14:sizeRelH>
                <wp14:sizeRelV relativeFrom="margin">
                  <wp14:pctHeight>0</wp14:pctHeight>
                </wp14:sizeRelV>
              </wp:anchor>
            </w:drawing>
          </w:r>
          <w:r w:rsidRPr="00D368ED">
            <w:rPr>
              <w:rFonts w:cs="Segoe UI"/>
              <w:b/>
              <w:caps/>
              <w:color w:val="FFFFFF" w:themeColor="background1"/>
              <w:sz w:val="40"/>
              <w:szCs w:val="40"/>
            </w:rPr>
            <w:t>NAJVYŠŠÍ KONTROLNÝ ÚRAD</w:t>
          </w:r>
          <w:r w:rsidRPr="00D368ED">
            <w:rPr>
              <w:rFonts w:cs="Segoe UI"/>
              <w:b/>
              <w:caps/>
              <w:color w:val="FFFFFF" w:themeColor="background1"/>
              <w:sz w:val="40"/>
              <w:szCs w:val="40"/>
            </w:rPr>
            <w:br/>
            <w:t>SLOVENSKEJ REPUBLIKY</w:t>
          </w:r>
        </w:p>
        <w:p w14:paraId="599B805D" w14:textId="77777777" w:rsidR="00B44AC3" w:rsidRPr="00452B4A" w:rsidRDefault="00B44AC3" w:rsidP="00D368ED">
          <w:pPr>
            <w:pStyle w:val="Hlavika"/>
            <w:ind w:left="1308"/>
            <w:jc w:val="left"/>
            <w:rPr>
              <w:rFonts w:ascii="Montserrat" w:hAnsi="Montserrat"/>
              <w:caps/>
              <w:color w:val="FFFFFF" w:themeColor="background1"/>
            </w:rPr>
          </w:pPr>
          <w:r>
            <w:rPr>
              <w:rFonts w:cs="Segoe UI"/>
              <w:color w:val="FFFFFF" w:themeColor="background1"/>
              <w:sz w:val="24"/>
            </w:rPr>
            <w:t>www.nku.gov.sk</w:t>
          </w:r>
        </w:p>
      </w:tc>
    </w:tr>
  </w:tbl>
  <w:p w14:paraId="16810E79" w14:textId="77777777" w:rsidR="00B44AC3" w:rsidRDefault="00B44AC3">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6600" w:type="pct"/>
      <w:tblInd w:w="-1471" w:type="dxa"/>
      <w:shd w:val="clear" w:color="auto" w:fill="9CB9EC" w:themeFill="accent2"/>
      <w:tblCellMar>
        <w:top w:w="115" w:type="dxa"/>
        <w:left w:w="115" w:type="dxa"/>
        <w:bottom w:w="115" w:type="dxa"/>
        <w:right w:w="115" w:type="dxa"/>
      </w:tblCellMar>
      <w:tblLook w:val="04A0" w:firstRow="1" w:lastRow="0" w:firstColumn="1" w:lastColumn="0" w:noHBand="0" w:noVBand="1"/>
    </w:tblPr>
    <w:tblGrid>
      <w:gridCol w:w="11972"/>
    </w:tblGrid>
    <w:tr w:rsidR="00B44AC3" w14:paraId="0F5C15DD" w14:textId="77777777" w:rsidTr="0056118C">
      <w:trPr>
        <w:trHeight w:val="1134"/>
      </w:trPr>
      <w:tc>
        <w:tcPr>
          <w:tcW w:w="5000" w:type="pct"/>
          <w:shd w:val="clear" w:color="auto" w:fill="314364"/>
          <w:vAlign w:val="center"/>
        </w:tcPr>
        <w:p w14:paraId="45DB7674" w14:textId="77777777" w:rsidR="00B44AC3" w:rsidRPr="00962F36" w:rsidRDefault="00B44AC3" w:rsidP="00092577">
          <w:pPr>
            <w:pStyle w:val="Hlavika"/>
            <w:tabs>
              <w:tab w:val="clear" w:pos="4536"/>
              <w:tab w:val="center" w:pos="309"/>
            </w:tabs>
            <w:spacing w:before="120"/>
            <w:ind w:left="309" w:right="1296"/>
            <w:jc w:val="right"/>
            <w:rPr>
              <w:rFonts w:cs="Segoe UI"/>
              <w:color w:val="FFFFFF" w:themeColor="background1"/>
              <w:sz w:val="24"/>
            </w:rPr>
          </w:pPr>
          <w:r>
            <w:rPr>
              <w:rFonts w:cs="Segoe UI"/>
              <w:color w:val="FFFFFF" w:themeColor="background1"/>
              <w:sz w:val="24"/>
            </w:rPr>
            <w:t>www.nku.gov.sk</w:t>
          </w:r>
        </w:p>
      </w:tc>
    </w:tr>
  </w:tbl>
  <w:p w14:paraId="5ABF6AF8" w14:textId="77777777" w:rsidR="00B44AC3" w:rsidRDefault="00B44AC3">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6600" w:type="pct"/>
      <w:tblInd w:w="-1471" w:type="dxa"/>
      <w:shd w:val="clear" w:color="auto" w:fill="9CB9EC" w:themeFill="accent2"/>
      <w:tblCellMar>
        <w:top w:w="115" w:type="dxa"/>
        <w:left w:w="115" w:type="dxa"/>
        <w:bottom w:w="115" w:type="dxa"/>
        <w:right w:w="115" w:type="dxa"/>
      </w:tblCellMar>
      <w:tblLook w:val="04A0" w:firstRow="1" w:lastRow="0" w:firstColumn="1" w:lastColumn="0" w:noHBand="0" w:noVBand="1"/>
    </w:tblPr>
    <w:tblGrid>
      <w:gridCol w:w="11972"/>
    </w:tblGrid>
    <w:tr w:rsidR="00B44AC3" w14:paraId="1126AE2E" w14:textId="77777777" w:rsidTr="004C0D26">
      <w:trPr>
        <w:trHeight w:val="1134"/>
      </w:trPr>
      <w:tc>
        <w:tcPr>
          <w:tcW w:w="5000" w:type="pct"/>
          <w:shd w:val="clear" w:color="auto" w:fill="314364"/>
          <w:vAlign w:val="center"/>
        </w:tcPr>
        <w:p w14:paraId="74CA54DE" w14:textId="10345B23" w:rsidR="00B44AC3" w:rsidRPr="004C0D26" w:rsidRDefault="00B44AC3" w:rsidP="004C0D26">
          <w:pPr>
            <w:pStyle w:val="Hlavika"/>
            <w:tabs>
              <w:tab w:val="clear" w:pos="4536"/>
            </w:tabs>
            <w:spacing w:before="120"/>
            <w:jc w:val="center"/>
            <w:rPr>
              <w:rFonts w:cs="Segoe UI"/>
              <w:b/>
              <w:color w:val="FFFFFF" w:themeColor="background1"/>
              <w:sz w:val="24"/>
            </w:rPr>
          </w:pPr>
          <w:r w:rsidRPr="004C0D26">
            <w:rPr>
              <w:rFonts w:cs="Segoe UI"/>
              <w:b/>
              <w:color w:val="FFFFFF" w:themeColor="background1"/>
              <w:sz w:val="40"/>
            </w:rPr>
            <w:t>HOSPODÁRENIE SR V ČÍSLACH</w:t>
          </w:r>
        </w:p>
      </w:tc>
    </w:tr>
  </w:tbl>
  <w:p w14:paraId="13F4D2FC" w14:textId="77777777" w:rsidR="00B44AC3" w:rsidRDefault="00B44AC3">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6600" w:type="pct"/>
      <w:tblInd w:w="-1471" w:type="dxa"/>
      <w:shd w:val="clear" w:color="auto" w:fill="9CB9EC" w:themeFill="accent2"/>
      <w:tblCellMar>
        <w:top w:w="115" w:type="dxa"/>
        <w:left w:w="115" w:type="dxa"/>
        <w:bottom w:w="115" w:type="dxa"/>
        <w:right w:w="115" w:type="dxa"/>
      </w:tblCellMar>
      <w:tblLook w:val="04A0" w:firstRow="1" w:lastRow="0" w:firstColumn="1" w:lastColumn="0" w:noHBand="0" w:noVBand="1"/>
    </w:tblPr>
    <w:tblGrid>
      <w:gridCol w:w="11972"/>
    </w:tblGrid>
    <w:tr w:rsidR="00B44AC3" w14:paraId="71A00F73" w14:textId="77777777" w:rsidTr="0056118C">
      <w:trPr>
        <w:trHeight w:val="1134"/>
      </w:trPr>
      <w:tc>
        <w:tcPr>
          <w:tcW w:w="5000" w:type="pct"/>
          <w:shd w:val="clear" w:color="auto" w:fill="314364"/>
          <w:vAlign w:val="center"/>
        </w:tcPr>
        <w:p w14:paraId="43A0245E" w14:textId="77777777" w:rsidR="00B44AC3" w:rsidRPr="00962F36" w:rsidRDefault="00B44AC3" w:rsidP="00092577">
          <w:pPr>
            <w:pStyle w:val="Hlavika"/>
            <w:tabs>
              <w:tab w:val="clear" w:pos="4536"/>
              <w:tab w:val="center" w:pos="309"/>
            </w:tabs>
            <w:spacing w:before="120"/>
            <w:ind w:left="309" w:right="1296"/>
            <w:jc w:val="right"/>
            <w:rPr>
              <w:rFonts w:cs="Segoe UI"/>
              <w:color w:val="FFFFFF" w:themeColor="background1"/>
              <w:sz w:val="24"/>
            </w:rPr>
          </w:pPr>
          <w:r>
            <w:rPr>
              <w:rFonts w:cs="Segoe UI"/>
              <w:color w:val="FFFFFF" w:themeColor="background1"/>
              <w:sz w:val="24"/>
            </w:rPr>
            <w:t>www.nku.gov.sk</w:t>
          </w:r>
        </w:p>
      </w:tc>
    </w:tr>
  </w:tbl>
  <w:p w14:paraId="247D9ECC" w14:textId="77777777" w:rsidR="00B44AC3" w:rsidRDefault="00B44AC3">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6600" w:type="pct"/>
      <w:tblInd w:w="-1471" w:type="dxa"/>
      <w:shd w:val="clear" w:color="auto" w:fill="9CB9EC" w:themeFill="accent2"/>
      <w:tblCellMar>
        <w:top w:w="115" w:type="dxa"/>
        <w:left w:w="115" w:type="dxa"/>
        <w:bottom w:w="115" w:type="dxa"/>
        <w:right w:w="115" w:type="dxa"/>
      </w:tblCellMar>
      <w:tblLook w:val="04A0" w:firstRow="1" w:lastRow="0" w:firstColumn="1" w:lastColumn="0" w:noHBand="0" w:noVBand="1"/>
    </w:tblPr>
    <w:tblGrid>
      <w:gridCol w:w="11972"/>
    </w:tblGrid>
    <w:tr w:rsidR="00B44AC3" w14:paraId="49660FB9" w14:textId="77777777" w:rsidTr="0056118C">
      <w:trPr>
        <w:trHeight w:val="1134"/>
      </w:trPr>
      <w:tc>
        <w:tcPr>
          <w:tcW w:w="5000" w:type="pct"/>
          <w:shd w:val="clear" w:color="auto" w:fill="314364"/>
          <w:vAlign w:val="center"/>
        </w:tcPr>
        <w:p w14:paraId="726C8CE5" w14:textId="77777777" w:rsidR="00B44AC3" w:rsidRPr="00962F36" w:rsidRDefault="00B44AC3" w:rsidP="00092577">
          <w:pPr>
            <w:pStyle w:val="Hlavika"/>
            <w:tabs>
              <w:tab w:val="clear" w:pos="4536"/>
              <w:tab w:val="center" w:pos="309"/>
            </w:tabs>
            <w:spacing w:before="120"/>
            <w:ind w:left="309" w:right="1296"/>
            <w:jc w:val="right"/>
            <w:rPr>
              <w:rFonts w:cs="Segoe UI"/>
              <w:color w:val="FFFFFF" w:themeColor="background1"/>
              <w:sz w:val="24"/>
            </w:rPr>
          </w:pPr>
          <w:r>
            <w:rPr>
              <w:rFonts w:cs="Segoe UI"/>
              <w:color w:val="FFFFFF" w:themeColor="background1"/>
              <w:sz w:val="24"/>
            </w:rPr>
            <w:t>www.nku.gov.sk</w:t>
          </w:r>
        </w:p>
      </w:tc>
    </w:tr>
  </w:tbl>
  <w:p w14:paraId="6B7600A6" w14:textId="77777777" w:rsidR="00B44AC3" w:rsidRDefault="00B44AC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B2355"/>
    <w:multiLevelType w:val="hybridMultilevel"/>
    <w:tmpl w:val="27CAE994"/>
    <w:lvl w:ilvl="0" w:tplc="2B1ACFC8">
      <w:numFmt w:val="bullet"/>
      <w:lvlText w:val="-"/>
      <w:lvlJc w:val="left"/>
      <w:pPr>
        <w:ind w:left="720" w:hanging="360"/>
      </w:pPr>
      <w:rPr>
        <w:rFonts w:ascii="Segoe UI" w:eastAsiaTheme="minorHAnsi" w:hAnsi="Segoe UI" w:cs="Segoe UI" w:hint="default"/>
      </w:rPr>
    </w:lvl>
    <w:lvl w:ilvl="1" w:tplc="861AFF14">
      <w:numFmt w:val="bullet"/>
      <w:lvlText w:val="•"/>
      <w:lvlJc w:val="left"/>
      <w:pPr>
        <w:ind w:left="1785" w:hanging="705"/>
      </w:pPr>
      <w:rPr>
        <w:rFonts w:ascii="Segoe UI" w:eastAsia="Calibri" w:hAnsi="Segoe UI" w:cs="Segoe UI"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6333D1C"/>
    <w:multiLevelType w:val="hybridMultilevel"/>
    <w:tmpl w:val="17DEE7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00F5B7F"/>
    <w:multiLevelType w:val="hybridMultilevel"/>
    <w:tmpl w:val="E9282D78"/>
    <w:lvl w:ilvl="0" w:tplc="07FE0F28">
      <w:start w:val="1"/>
      <w:numFmt w:val="bullet"/>
      <w:lvlText w:val="-"/>
      <w:lvlJc w:val="left"/>
      <w:pPr>
        <w:ind w:left="720" w:hanging="360"/>
      </w:pPr>
      <w:rPr>
        <w:rFonts w:ascii="Segoe UI" w:eastAsia="Calibri" w:hAnsi="Segoe UI" w:cs="Segoe U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A7C6C90"/>
    <w:multiLevelType w:val="hybridMultilevel"/>
    <w:tmpl w:val="AE7651D6"/>
    <w:lvl w:ilvl="0" w:tplc="FD8C9962">
      <w:start w:val="3"/>
      <w:numFmt w:val="bullet"/>
      <w:lvlText w:val="-"/>
      <w:lvlJc w:val="left"/>
      <w:pPr>
        <w:ind w:left="720" w:hanging="360"/>
      </w:pPr>
      <w:rPr>
        <w:rFonts w:ascii="Segoe UI" w:eastAsiaTheme="minorHAnsi" w:hAnsi="Segoe UI" w:cs="Segoe UI" w:hint="default"/>
        <w:b/>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BC401FD"/>
    <w:multiLevelType w:val="hybridMultilevel"/>
    <w:tmpl w:val="C0D0763E"/>
    <w:lvl w:ilvl="0" w:tplc="041B000F">
      <w:start w:val="1"/>
      <w:numFmt w:val="decimal"/>
      <w:lvlText w:val="%1."/>
      <w:lvlJc w:val="left"/>
      <w:pPr>
        <w:ind w:left="1068" w:hanging="360"/>
      </w:p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5" w15:restartNumberingAfterBreak="0">
    <w:nsid w:val="3F642969"/>
    <w:multiLevelType w:val="hybridMultilevel"/>
    <w:tmpl w:val="485A2692"/>
    <w:lvl w:ilvl="0" w:tplc="365491D6">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3223A1A"/>
    <w:multiLevelType w:val="hybridMultilevel"/>
    <w:tmpl w:val="90688902"/>
    <w:lvl w:ilvl="0" w:tplc="7FBE4410">
      <w:numFmt w:val="bullet"/>
      <w:lvlText w:val="-"/>
      <w:lvlJc w:val="left"/>
      <w:pPr>
        <w:ind w:left="720" w:hanging="360"/>
      </w:pPr>
      <w:rPr>
        <w:rFonts w:ascii="Segoe UI" w:eastAsiaTheme="minorHAnsi" w:hAnsi="Segoe UI" w:cs="Segoe U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5D062F5"/>
    <w:multiLevelType w:val="hybridMultilevel"/>
    <w:tmpl w:val="42E495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59600ABC"/>
    <w:multiLevelType w:val="hybridMultilevel"/>
    <w:tmpl w:val="7DB4E5CA"/>
    <w:lvl w:ilvl="0" w:tplc="5608C2E0">
      <w:start w:val="1"/>
      <w:numFmt w:val="bullet"/>
      <w:lvlText w:val=""/>
      <w:lvlJc w:val="left"/>
      <w:pPr>
        <w:ind w:left="510" w:hanging="15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F2569EA"/>
    <w:multiLevelType w:val="hybridMultilevel"/>
    <w:tmpl w:val="5826FEA6"/>
    <w:lvl w:ilvl="0" w:tplc="1EBC9888">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15:restartNumberingAfterBreak="0">
    <w:nsid w:val="660D3C0F"/>
    <w:multiLevelType w:val="hybridMultilevel"/>
    <w:tmpl w:val="7936AE06"/>
    <w:lvl w:ilvl="0" w:tplc="980C73D2">
      <w:start w:val="1"/>
      <w:numFmt w:val="decimal"/>
      <w:pStyle w:val="Pouitliteratra"/>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51E5FAD"/>
    <w:multiLevelType w:val="hybridMultilevel"/>
    <w:tmpl w:val="A7F0221A"/>
    <w:lvl w:ilvl="0" w:tplc="EF927748">
      <w:start w:val="1"/>
      <w:numFmt w:val="bullet"/>
      <w:lvlText w:val=""/>
      <w:lvlJc w:val="left"/>
      <w:pPr>
        <w:ind w:left="510" w:hanging="340"/>
      </w:pPr>
      <w:rPr>
        <w:rFonts w:ascii="Symbol" w:hAnsi="Symbol" w:hint="default"/>
      </w:rPr>
    </w:lvl>
    <w:lvl w:ilvl="1" w:tplc="F17CB392">
      <w:numFmt w:val="bullet"/>
      <w:lvlText w:val="–"/>
      <w:lvlJc w:val="left"/>
      <w:pPr>
        <w:ind w:left="1440" w:hanging="360"/>
      </w:pPr>
      <w:rPr>
        <w:rFonts w:ascii="Arial Narrow" w:eastAsiaTheme="minorHAnsi" w:hAnsi="Arial Narrow" w:cstheme="minorBidi"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7718234E"/>
    <w:multiLevelType w:val="multilevel"/>
    <w:tmpl w:val="059CA770"/>
    <w:lvl w:ilvl="0">
      <w:start w:val="1"/>
      <w:numFmt w:val="decimal"/>
      <w:pStyle w:val="Nadpis1"/>
      <w:lvlText w:val="%1"/>
      <w:lvlJc w:val="left"/>
      <w:pPr>
        <w:ind w:left="360" w:hanging="360"/>
      </w:pPr>
      <w:rPr>
        <w:rFonts w:hint="default"/>
      </w:rPr>
    </w:lvl>
    <w:lvl w:ilvl="1">
      <w:start w:val="1"/>
      <w:numFmt w:val="decimal"/>
      <w:isLgl/>
      <w:lvlText w:val="%1.%2"/>
      <w:lvlJc w:val="left"/>
      <w:pPr>
        <w:ind w:left="1343" w:hanging="525"/>
      </w:pPr>
      <w:rPr>
        <w:rFonts w:hint="default"/>
      </w:rPr>
    </w:lvl>
    <w:lvl w:ilvl="2">
      <w:start w:val="3"/>
      <w:numFmt w:val="decimal"/>
      <w:isLgl/>
      <w:lvlText w:val="%1.%2.%3"/>
      <w:lvlJc w:val="left"/>
      <w:pPr>
        <w:ind w:left="1996" w:hanging="720"/>
      </w:pPr>
      <w:rPr>
        <w:rFonts w:hint="default"/>
      </w:rPr>
    </w:lvl>
    <w:lvl w:ilvl="3">
      <w:start w:val="1"/>
      <w:numFmt w:val="decimal"/>
      <w:isLgl/>
      <w:lvlText w:val="%1.%2.%3.%4"/>
      <w:lvlJc w:val="left"/>
      <w:pPr>
        <w:ind w:left="2814" w:hanging="1080"/>
      </w:pPr>
      <w:rPr>
        <w:rFonts w:hint="default"/>
      </w:rPr>
    </w:lvl>
    <w:lvl w:ilvl="4">
      <w:start w:val="1"/>
      <w:numFmt w:val="decimal"/>
      <w:isLgl/>
      <w:lvlText w:val="%1.%2.%3.%4.%5"/>
      <w:lvlJc w:val="left"/>
      <w:pPr>
        <w:ind w:left="3272" w:hanging="1080"/>
      </w:pPr>
      <w:rPr>
        <w:rFonts w:hint="default"/>
      </w:rPr>
    </w:lvl>
    <w:lvl w:ilvl="5">
      <w:start w:val="1"/>
      <w:numFmt w:val="decimal"/>
      <w:isLgl/>
      <w:lvlText w:val="%1.%2.%3.%4.%5.%6"/>
      <w:lvlJc w:val="left"/>
      <w:pPr>
        <w:ind w:left="4090" w:hanging="1440"/>
      </w:pPr>
      <w:rPr>
        <w:rFonts w:hint="default"/>
      </w:rPr>
    </w:lvl>
    <w:lvl w:ilvl="6">
      <w:start w:val="1"/>
      <w:numFmt w:val="decimal"/>
      <w:isLgl/>
      <w:lvlText w:val="%1.%2.%3.%4.%5.%6.%7"/>
      <w:lvlJc w:val="left"/>
      <w:pPr>
        <w:ind w:left="4548" w:hanging="1440"/>
      </w:pPr>
      <w:rPr>
        <w:rFonts w:hint="default"/>
      </w:rPr>
    </w:lvl>
    <w:lvl w:ilvl="7">
      <w:start w:val="1"/>
      <w:numFmt w:val="decimal"/>
      <w:isLgl/>
      <w:lvlText w:val="%1.%2.%3.%4.%5.%6.%7.%8"/>
      <w:lvlJc w:val="left"/>
      <w:pPr>
        <w:ind w:left="5366" w:hanging="1800"/>
      </w:pPr>
      <w:rPr>
        <w:rFonts w:hint="default"/>
      </w:rPr>
    </w:lvl>
    <w:lvl w:ilvl="8">
      <w:start w:val="1"/>
      <w:numFmt w:val="decimal"/>
      <w:isLgl/>
      <w:lvlText w:val="%1.%2.%3.%4.%5.%6.%7.%8.%9"/>
      <w:lvlJc w:val="left"/>
      <w:pPr>
        <w:ind w:left="5824" w:hanging="1800"/>
      </w:pPr>
      <w:rPr>
        <w:rFonts w:hint="default"/>
      </w:rPr>
    </w:lvl>
  </w:abstractNum>
  <w:abstractNum w:abstractNumId="13" w15:restartNumberingAfterBreak="0">
    <w:nsid w:val="78756592"/>
    <w:multiLevelType w:val="hybridMultilevel"/>
    <w:tmpl w:val="9BDEFA5A"/>
    <w:lvl w:ilvl="0" w:tplc="974CB1DA">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6"/>
  </w:num>
  <w:num w:numId="4">
    <w:abstractNumId w:val="1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9"/>
  </w:num>
  <w:num w:numId="8">
    <w:abstractNumId w:val="12"/>
  </w:num>
  <w:num w:numId="9">
    <w:abstractNumId w:val="8"/>
  </w:num>
  <w:num w:numId="10">
    <w:abstractNumId w:val="12"/>
  </w:num>
  <w:num w:numId="11">
    <w:abstractNumId w:val="3"/>
  </w:num>
  <w:num w:numId="12">
    <w:abstractNumId w:val="7"/>
  </w:num>
  <w:num w:numId="13">
    <w:abstractNumId w:val="1"/>
  </w:num>
  <w:num w:numId="14">
    <w:abstractNumId w:val="0"/>
  </w:num>
  <w:num w:numId="15">
    <w:abstractNumId w:val="13"/>
  </w:num>
  <w:num w:numId="16">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6C2"/>
    <w:rsid w:val="00000294"/>
    <w:rsid w:val="000003AC"/>
    <w:rsid w:val="00000A60"/>
    <w:rsid w:val="00001348"/>
    <w:rsid w:val="00002667"/>
    <w:rsid w:val="00002EFA"/>
    <w:rsid w:val="000039A4"/>
    <w:rsid w:val="00003F74"/>
    <w:rsid w:val="00004033"/>
    <w:rsid w:val="00004B07"/>
    <w:rsid w:val="00005A23"/>
    <w:rsid w:val="00006881"/>
    <w:rsid w:val="00007439"/>
    <w:rsid w:val="00010499"/>
    <w:rsid w:val="00010D1E"/>
    <w:rsid w:val="00011DEB"/>
    <w:rsid w:val="00015CB4"/>
    <w:rsid w:val="00017CA7"/>
    <w:rsid w:val="00020393"/>
    <w:rsid w:val="0002054E"/>
    <w:rsid w:val="00021291"/>
    <w:rsid w:val="00022607"/>
    <w:rsid w:val="00023340"/>
    <w:rsid w:val="000237AF"/>
    <w:rsid w:val="00023E79"/>
    <w:rsid w:val="000248C3"/>
    <w:rsid w:val="00025225"/>
    <w:rsid w:val="0002561E"/>
    <w:rsid w:val="00025A0E"/>
    <w:rsid w:val="000306CA"/>
    <w:rsid w:val="00030D77"/>
    <w:rsid w:val="00031716"/>
    <w:rsid w:val="00031F34"/>
    <w:rsid w:val="00032291"/>
    <w:rsid w:val="00033B65"/>
    <w:rsid w:val="00034CCD"/>
    <w:rsid w:val="00034FDB"/>
    <w:rsid w:val="0003553D"/>
    <w:rsid w:val="00041476"/>
    <w:rsid w:val="00041751"/>
    <w:rsid w:val="00043049"/>
    <w:rsid w:val="00043408"/>
    <w:rsid w:val="000443C8"/>
    <w:rsid w:val="00046011"/>
    <w:rsid w:val="0004651E"/>
    <w:rsid w:val="000469F1"/>
    <w:rsid w:val="00047A70"/>
    <w:rsid w:val="00050329"/>
    <w:rsid w:val="00050436"/>
    <w:rsid w:val="00050AE9"/>
    <w:rsid w:val="00050F66"/>
    <w:rsid w:val="000518F7"/>
    <w:rsid w:val="00051A48"/>
    <w:rsid w:val="00051CA0"/>
    <w:rsid w:val="0005233D"/>
    <w:rsid w:val="00052D96"/>
    <w:rsid w:val="00054A22"/>
    <w:rsid w:val="00054EA8"/>
    <w:rsid w:val="00055575"/>
    <w:rsid w:val="000567EB"/>
    <w:rsid w:val="00056B89"/>
    <w:rsid w:val="00056EB9"/>
    <w:rsid w:val="0005731D"/>
    <w:rsid w:val="000601AC"/>
    <w:rsid w:val="00060491"/>
    <w:rsid w:val="00060ADF"/>
    <w:rsid w:val="000615A9"/>
    <w:rsid w:val="00061772"/>
    <w:rsid w:val="00061EAE"/>
    <w:rsid w:val="00061F1F"/>
    <w:rsid w:val="00062025"/>
    <w:rsid w:val="000625B2"/>
    <w:rsid w:val="000628FE"/>
    <w:rsid w:val="000637F1"/>
    <w:rsid w:val="000645DC"/>
    <w:rsid w:val="00064BF9"/>
    <w:rsid w:val="00064CA0"/>
    <w:rsid w:val="000652A9"/>
    <w:rsid w:val="00065472"/>
    <w:rsid w:val="00066A87"/>
    <w:rsid w:val="00067084"/>
    <w:rsid w:val="00067346"/>
    <w:rsid w:val="00067591"/>
    <w:rsid w:val="0007157E"/>
    <w:rsid w:val="00071CBB"/>
    <w:rsid w:val="00071D97"/>
    <w:rsid w:val="00075266"/>
    <w:rsid w:val="0007587F"/>
    <w:rsid w:val="000763B9"/>
    <w:rsid w:val="000774D9"/>
    <w:rsid w:val="000807F8"/>
    <w:rsid w:val="00080D8B"/>
    <w:rsid w:val="00081734"/>
    <w:rsid w:val="00081B1A"/>
    <w:rsid w:val="000822F0"/>
    <w:rsid w:val="00083097"/>
    <w:rsid w:val="00083541"/>
    <w:rsid w:val="000841AE"/>
    <w:rsid w:val="0008598B"/>
    <w:rsid w:val="00085AC0"/>
    <w:rsid w:val="000869A6"/>
    <w:rsid w:val="00086CFA"/>
    <w:rsid w:val="0008770A"/>
    <w:rsid w:val="00091193"/>
    <w:rsid w:val="00091AF8"/>
    <w:rsid w:val="00092577"/>
    <w:rsid w:val="00092B94"/>
    <w:rsid w:val="00092E55"/>
    <w:rsid w:val="000934F7"/>
    <w:rsid w:val="0009377B"/>
    <w:rsid w:val="0009532E"/>
    <w:rsid w:val="00095CF4"/>
    <w:rsid w:val="00096178"/>
    <w:rsid w:val="00097220"/>
    <w:rsid w:val="000972BD"/>
    <w:rsid w:val="000A00A3"/>
    <w:rsid w:val="000A0207"/>
    <w:rsid w:val="000A043F"/>
    <w:rsid w:val="000A07DB"/>
    <w:rsid w:val="000A0B1D"/>
    <w:rsid w:val="000A107D"/>
    <w:rsid w:val="000A2D0D"/>
    <w:rsid w:val="000A4E30"/>
    <w:rsid w:val="000A5F43"/>
    <w:rsid w:val="000A6902"/>
    <w:rsid w:val="000A73EC"/>
    <w:rsid w:val="000B0147"/>
    <w:rsid w:val="000B048E"/>
    <w:rsid w:val="000B090C"/>
    <w:rsid w:val="000B115F"/>
    <w:rsid w:val="000B17E1"/>
    <w:rsid w:val="000B1C0A"/>
    <w:rsid w:val="000B2315"/>
    <w:rsid w:val="000B3403"/>
    <w:rsid w:val="000B3E81"/>
    <w:rsid w:val="000B419A"/>
    <w:rsid w:val="000B47A7"/>
    <w:rsid w:val="000B65D2"/>
    <w:rsid w:val="000B6B66"/>
    <w:rsid w:val="000B757D"/>
    <w:rsid w:val="000B79B0"/>
    <w:rsid w:val="000B7C4A"/>
    <w:rsid w:val="000B7CDD"/>
    <w:rsid w:val="000C05D2"/>
    <w:rsid w:val="000C2CBF"/>
    <w:rsid w:val="000C33D4"/>
    <w:rsid w:val="000C44E9"/>
    <w:rsid w:val="000C49A6"/>
    <w:rsid w:val="000C4B65"/>
    <w:rsid w:val="000C55CC"/>
    <w:rsid w:val="000C7B37"/>
    <w:rsid w:val="000D05F2"/>
    <w:rsid w:val="000D05F7"/>
    <w:rsid w:val="000D08CC"/>
    <w:rsid w:val="000D282F"/>
    <w:rsid w:val="000D2C8B"/>
    <w:rsid w:val="000D44E2"/>
    <w:rsid w:val="000D4E03"/>
    <w:rsid w:val="000D6043"/>
    <w:rsid w:val="000D6395"/>
    <w:rsid w:val="000D6535"/>
    <w:rsid w:val="000D70E5"/>
    <w:rsid w:val="000E0317"/>
    <w:rsid w:val="000E0405"/>
    <w:rsid w:val="000E081F"/>
    <w:rsid w:val="000E09DC"/>
    <w:rsid w:val="000E1E08"/>
    <w:rsid w:val="000E23C9"/>
    <w:rsid w:val="000E3622"/>
    <w:rsid w:val="000E3932"/>
    <w:rsid w:val="000E57A9"/>
    <w:rsid w:val="000E5831"/>
    <w:rsid w:val="000E75B3"/>
    <w:rsid w:val="000F0595"/>
    <w:rsid w:val="000F0907"/>
    <w:rsid w:val="000F0E19"/>
    <w:rsid w:val="000F1474"/>
    <w:rsid w:val="000F1F04"/>
    <w:rsid w:val="000F1F9B"/>
    <w:rsid w:val="000F2D84"/>
    <w:rsid w:val="000F2FDF"/>
    <w:rsid w:val="000F449C"/>
    <w:rsid w:val="000F4780"/>
    <w:rsid w:val="000F4B02"/>
    <w:rsid w:val="000F56BD"/>
    <w:rsid w:val="000F5C6D"/>
    <w:rsid w:val="000F5D85"/>
    <w:rsid w:val="000F608B"/>
    <w:rsid w:val="000F6BE0"/>
    <w:rsid w:val="000F6D77"/>
    <w:rsid w:val="000F6E16"/>
    <w:rsid w:val="000F746B"/>
    <w:rsid w:val="00100410"/>
    <w:rsid w:val="0010079F"/>
    <w:rsid w:val="00100826"/>
    <w:rsid w:val="00102FC8"/>
    <w:rsid w:val="00104F9C"/>
    <w:rsid w:val="00105C15"/>
    <w:rsid w:val="00105C46"/>
    <w:rsid w:val="00105E47"/>
    <w:rsid w:val="0010629E"/>
    <w:rsid w:val="00106539"/>
    <w:rsid w:val="00106764"/>
    <w:rsid w:val="001067DB"/>
    <w:rsid w:val="00106BF8"/>
    <w:rsid w:val="001078E1"/>
    <w:rsid w:val="00107C80"/>
    <w:rsid w:val="00110271"/>
    <w:rsid w:val="00111090"/>
    <w:rsid w:val="001111BA"/>
    <w:rsid w:val="00111FF4"/>
    <w:rsid w:val="001123B5"/>
    <w:rsid w:val="001133DA"/>
    <w:rsid w:val="0011360B"/>
    <w:rsid w:val="00113C5D"/>
    <w:rsid w:val="001146BD"/>
    <w:rsid w:val="00114DE6"/>
    <w:rsid w:val="0011508D"/>
    <w:rsid w:val="00115102"/>
    <w:rsid w:val="00115741"/>
    <w:rsid w:val="00115BC7"/>
    <w:rsid w:val="00116A72"/>
    <w:rsid w:val="0011737A"/>
    <w:rsid w:val="0011791E"/>
    <w:rsid w:val="0012007B"/>
    <w:rsid w:val="001209F4"/>
    <w:rsid w:val="00121099"/>
    <w:rsid w:val="00122118"/>
    <w:rsid w:val="00122526"/>
    <w:rsid w:val="001227F7"/>
    <w:rsid w:val="00123348"/>
    <w:rsid w:val="00123812"/>
    <w:rsid w:val="001241C9"/>
    <w:rsid w:val="001254B2"/>
    <w:rsid w:val="001256A4"/>
    <w:rsid w:val="00125972"/>
    <w:rsid w:val="00126219"/>
    <w:rsid w:val="001262A3"/>
    <w:rsid w:val="0012712A"/>
    <w:rsid w:val="00127302"/>
    <w:rsid w:val="00127A20"/>
    <w:rsid w:val="00127D1A"/>
    <w:rsid w:val="00130318"/>
    <w:rsid w:val="001308E6"/>
    <w:rsid w:val="00130929"/>
    <w:rsid w:val="00131776"/>
    <w:rsid w:val="00131B0E"/>
    <w:rsid w:val="00132DC7"/>
    <w:rsid w:val="00133D0E"/>
    <w:rsid w:val="00134BE2"/>
    <w:rsid w:val="00135CA5"/>
    <w:rsid w:val="00135D56"/>
    <w:rsid w:val="00137321"/>
    <w:rsid w:val="00137A77"/>
    <w:rsid w:val="00137EA9"/>
    <w:rsid w:val="001424DE"/>
    <w:rsid w:val="00143D5A"/>
    <w:rsid w:val="00144438"/>
    <w:rsid w:val="0014526A"/>
    <w:rsid w:val="00145644"/>
    <w:rsid w:val="00145BA9"/>
    <w:rsid w:val="00145FDF"/>
    <w:rsid w:val="00146855"/>
    <w:rsid w:val="00147007"/>
    <w:rsid w:val="00147452"/>
    <w:rsid w:val="00147D55"/>
    <w:rsid w:val="00150C3E"/>
    <w:rsid w:val="00151147"/>
    <w:rsid w:val="0015153D"/>
    <w:rsid w:val="001515D1"/>
    <w:rsid w:val="001529CA"/>
    <w:rsid w:val="00152C77"/>
    <w:rsid w:val="00152CF0"/>
    <w:rsid w:val="0015356E"/>
    <w:rsid w:val="00153599"/>
    <w:rsid w:val="001539AA"/>
    <w:rsid w:val="00153B7B"/>
    <w:rsid w:val="00154246"/>
    <w:rsid w:val="00154F18"/>
    <w:rsid w:val="001551E5"/>
    <w:rsid w:val="00155528"/>
    <w:rsid w:val="001555F8"/>
    <w:rsid w:val="00160835"/>
    <w:rsid w:val="001609D9"/>
    <w:rsid w:val="00160F4C"/>
    <w:rsid w:val="00161337"/>
    <w:rsid w:val="001615BD"/>
    <w:rsid w:val="00161B2F"/>
    <w:rsid w:val="001622C2"/>
    <w:rsid w:val="001626C3"/>
    <w:rsid w:val="001629C7"/>
    <w:rsid w:val="00164091"/>
    <w:rsid w:val="001648A0"/>
    <w:rsid w:val="00164DF3"/>
    <w:rsid w:val="00165A0A"/>
    <w:rsid w:val="00167222"/>
    <w:rsid w:val="0016767C"/>
    <w:rsid w:val="00167DB2"/>
    <w:rsid w:val="00170159"/>
    <w:rsid w:val="00170EBD"/>
    <w:rsid w:val="00172759"/>
    <w:rsid w:val="001736C2"/>
    <w:rsid w:val="00173DD7"/>
    <w:rsid w:val="00174344"/>
    <w:rsid w:val="001761E0"/>
    <w:rsid w:val="0017673E"/>
    <w:rsid w:val="001778A6"/>
    <w:rsid w:val="00181C89"/>
    <w:rsid w:val="00182145"/>
    <w:rsid w:val="001825BC"/>
    <w:rsid w:val="001826D3"/>
    <w:rsid w:val="00182851"/>
    <w:rsid w:val="00182BE8"/>
    <w:rsid w:val="00183295"/>
    <w:rsid w:val="001842B5"/>
    <w:rsid w:val="00184758"/>
    <w:rsid w:val="0018540D"/>
    <w:rsid w:val="00186AD2"/>
    <w:rsid w:val="001900F8"/>
    <w:rsid w:val="00190922"/>
    <w:rsid w:val="0019189A"/>
    <w:rsid w:val="00191A51"/>
    <w:rsid w:val="00191B04"/>
    <w:rsid w:val="00191D2B"/>
    <w:rsid w:val="00192A7B"/>
    <w:rsid w:val="00193236"/>
    <w:rsid w:val="0019343E"/>
    <w:rsid w:val="0019494A"/>
    <w:rsid w:val="00195BFD"/>
    <w:rsid w:val="00196D31"/>
    <w:rsid w:val="00197492"/>
    <w:rsid w:val="001976A5"/>
    <w:rsid w:val="0019785D"/>
    <w:rsid w:val="001A02AC"/>
    <w:rsid w:val="001A2FF8"/>
    <w:rsid w:val="001A3D08"/>
    <w:rsid w:val="001A46DA"/>
    <w:rsid w:val="001A4A44"/>
    <w:rsid w:val="001A5A7E"/>
    <w:rsid w:val="001A6521"/>
    <w:rsid w:val="001A6A02"/>
    <w:rsid w:val="001A6A41"/>
    <w:rsid w:val="001A6FB8"/>
    <w:rsid w:val="001A7B7E"/>
    <w:rsid w:val="001B03A6"/>
    <w:rsid w:val="001B05D4"/>
    <w:rsid w:val="001B10CB"/>
    <w:rsid w:val="001B1AC2"/>
    <w:rsid w:val="001B38DE"/>
    <w:rsid w:val="001B3C83"/>
    <w:rsid w:val="001B40C3"/>
    <w:rsid w:val="001B4E3D"/>
    <w:rsid w:val="001B5DED"/>
    <w:rsid w:val="001B5E58"/>
    <w:rsid w:val="001B642F"/>
    <w:rsid w:val="001B69B4"/>
    <w:rsid w:val="001B7A8D"/>
    <w:rsid w:val="001C196A"/>
    <w:rsid w:val="001C1A61"/>
    <w:rsid w:val="001C2C66"/>
    <w:rsid w:val="001C3C24"/>
    <w:rsid w:val="001C3C79"/>
    <w:rsid w:val="001C4048"/>
    <w:rsid w:val="001C4366"/>
    <w:rsid w:val="001C47F4"/>
    <w:rsid w:val="001C6B11"/>
    <w:rsid w:val="001C767E"/>
    <w:rsid w:val="001D0AFF"/>
    <w:rsid w:val="001D1BE1"/>
    <w:rsid w:val="001D28E7"/>
    <w:rsid w:val="001D2976"/>
    <w:rsid w:val="001D3538"/>
    <w:rsid w:val="001D3A9E"/>
    <w:rsid w:val="001D3B89"/>
    <w:rsid w:val="001D4049"/>
    <w:rsid w:val="001D46C1"/>
    <w:rsid w:val="001D4805"/>
    <w:rsid w:val="001D528A"/>
    <w:rsid w:val="001D56CD"/>
    <w:rsid w:val="001D7483"/>
    <w:rsid w:val="001D7955"/>
    <w:rsid w:val="001E109F"/>
    <w:rsid w:val="001E10F7"/>
    <w:rsid w:val="001E11FE"/>
    <w:rsid w:val="001E15F4"/>
    <w:rsid w:val="001E1941"/>
    <w:rsid w:val="001E1F58"/>
    <w:rsid w:val="001E2419"/>
    <w:rsid w:val="001E27EB"/>
    <w:rsid w:val="001E2F1A"/>
    <w:rsid w:val="001E3DBD"/>
    <w:rsid w:val="001E547A"/>
    <w:rsid w:val="001E5C0E"/>
    <w:rsid w:val="001E5DB0"/>
    <w:rsid w:val="001E602B"/>
    <w:rsid w:val="001E7CCF"/>
    <w:rsid w:val="001F04A4"/>
    <w:rsid w:val="001F22A4"/>
    <w:rsid w:val="001F35FE"/>
    <w:rsid w:val="001F3866"/>
    <w:rsid w:val="001F4513"/>
    <w:rsid w:val="001F460E"/>
    <w:rsid w:val="001F46F8"/>
    <w:rsid w:val="001F4AA2"/>
    <w:rsid w:val="001F5220"/>
    <w:rsid w:val="001F596D"/>
    <w:rsid w:val="001F7057"/>
    <w:rsid w:val="001F74D6"/>
    <w:rsid w:val="00200433"/>
    <w:rsid w:val="002011C1"/>
    <w:rsid w:val="00201AD2"/>
    <w:rsid w:val="00202081"/>
    <w:rsid w:val="0020222C"/>
    <w:rsid w:val="00202934"/>
    <w:rsid w:val="002031B6"/>
    <w:rsid w:val="002032F9"/>
    <w:rsid w:val="002038B4"/>
    <w:rsid w:val="00204A6D"/>
    <w:rsid w:val="002064E7"/>
    <w:rsid w:val="0020707C"/>
    <w:rsid w:val="002071BF"/>
    <w:rsid w:val="002077D2"/>
    <w:rsid w:val="00210ADE"/>
    <w:rsid w:val="00210CF0"/>
    <w:rsid w:val="00211538"/>
    <w:rsid w:val="00211893"/>
    <w:rsid w:val="0021192E"/>
    <w:rsid w:val="00212DE6"/>
    <w:rsid w:val="0021321E"/>
    <w:rsid w:val="0021374F"/>
    <w:rsid w:val="00213D9E"/>
    <w:rsid w:val="00214D64"/>
    <w:rsid w:val="00215066"/>
    <w:rsid w:val="002156D2"/>
    <w:rsid w:val="002158AB"/>
    <w:rsid w:val="00220229"/>
    <w:rsid w:val="00220608"/>
    <w:rsid w:val="00220B75"/>
    <w:rsid w:val="0022128C"/>
    <w:rsid w:val="00222062"/>
    <w:rsid w:val="0022251D"/>
    <w:rsid w:val="0022320A"/>
    <w:rsid w:val="0022363D"/>
    <w:rsid w:val="00223BAA"/>
    <w:rsid w:val="00223F2C"/>
    <w:rsid w:val="002240F4"/>
    <w:rsid w:val="00224E07"/>
    <w:rsid w:val="00225746"/>
    <w:rsid w:val="002267D4"/>
    <w:rsid w:val="002272FA"/>
    <w:rsid w:val="00227B92"/>
    <w:rsid w:val="00227DB9"/>
    <w:rsid w:val="00230663"/>
    <w:rsid w:val="00230728"/>
    <w:rsid w:val="0023166E"/>
    <w:rsid w:val="0023186B"/>
    <w:rsid w:val="00231B14"/>
    <w:rsid w:val="0023278D"/>
    <w:rsid w:val="0023281E"/>
    <w:rsid w:val="00232A70"/>
    <w:rsid w:val="00232D38"/>
    <w:rsid w:val="00233842"/>
    <w:rsid w:val="00234063"/>
    <w:rsid w:val="00234481"/>
    <w:rsid w:val="00234BA5"/>
    <w:rsid w:val="00234C44"/>
    <w:rsid w:val="0023515F"/>
    <w:rsid w:val="002351E4"/>
    <w:rsid w:val="002363F5"/>
    <w:rsid w:val="002372BC"/>
    <w:rsid w:val="002407D6"/>
    <w:rsid w:val="002419DE"/>
    <w:rsid w:val="00241B68"/>
    <w:rsid w:val="00241C50"/>
    <w:rsid w:val="00241DE2"/>
    <w:rsid w:val="0024233A"/>
    <w:rsid w:val="00242A9D"/>
    <w:rsid w:val="00243A51"/>
    <w:rsid w:val="00243C99"/>
    <w:rsid w:val="00243D49"/>
    <w:rsid w:val="00243D4D"/>
    <w:rsid w:val="00246EED"/>
    <w:rsid w:val="002523E4"/>
    <w:rsid w:val="00252540"/>
    <w:rsid w:val="002548B5"/>
    <w:rsid w:val="00254935"/>
    <w:rsid w:val="0025552C"/>
    <w:rsid w:val="0025680A"/>
    <w:rsid w:val="00256AF8"/>
    <w:rsid w:val="002570A4"/>
    <w:rsid w:val="002579CE"/>
    <w:rsid w:val="00257DC9"/>
    <w:rsid w:val="00260589"/>
    <w:rsid w:val="00262424"/>
    <w:rsid w:val="00263164"/>
    <w:rsid w:val="0026362C"/>
    <w:rsid w:val="0026379B"/>
    <w:rsid w:val="00263BBB"/>
    <w:rsid w:val="00263EB5"/>
    <w:rsid w:val="00264116"/>
    <w:rsid w:val="0026439C"/>
    <w:rsid w:val="002664FC"/>
    <w:rsid w:val="002665F3"/>
    <w:rsid w:val="00270C86"/>
    <w:rsid w:val="00270F8D"/>
    <w:rsid w:val="0027200C"/>
    <w:rsid w:val="002727A0"/>
    <w:rsid w:val="0027333D"/>
    <w:rsid w:val="002741AA"/>
    <w:rsid w:val="002745C0"/>
    <w:rsid w:val="0027570B"/>
    <w:rsid w:val="00275C41"/>
    <w:rsid w:val="00275C50"/>
    <w:rsid w:val="00276436"/>
    <w:rsid w:val="00276CEE"/>
    <w:rsid w:val="002772C7"/>
    <w:rsid w:val="00277985"/>
    <w:rsid w:val="00277C8B"/>
    <w:rsid w:val="00285E47"/>
    <w:rsid w:val="00285FA1"/>
    <w:rsid w:val="00286B7A"/>
    <w:rsid w:val="00287025"/>
    <w:rsid w:val="0028719D"/>
    <w:rsid w:val="002872F8"/>
    <w:rsid w:val="0029006B"/>
    <w:rsid w:val="00290500"/>
    <w:rsid w:val="00290B26"/>
    <w:rsid w:val="00292076"/>
    <w:rsid w:val="00292443"/>
    <w:rsid w:val="00294A5D"/>
    <w:rsid w:val="00294C28"/>
    <w:rsid w:val="00295075"/>
    <w:rsid w:val="002959C5"/>
    <w:rsid w:val="00297061"/>
    <w:rsid w:val="00297510"/>
    <w:rsid w:val="00297EE2"/>
    <w:rsid w:val="002A1496"/>
    <w:rsid w:val="002A20BC"/>
    <w:rsid w:val="002A3F2B"/>
    <w:rsid w:val="002A4564"/>
    <w:rsid w:val="002A46D9"/>
    <w:rsid w:val="002A5217"/>
    <w:rsid w:val="002A5D73"/>
    <w:rsid w:val="002A652E"/>
    <w:rsid w:val="002A6607"/>
    <w:rsid w:val="002A674F"/>
    <w:rsid w:val="002B0AFD"/>
    <w:rsid w:val="002B0E19"/>
    <w:rsid w:val="002B3571"/>
    <w:rsid w:val="002B3E85"/>
    <w:rsid w:val="002B428B"/>
    <w:rsid w:val="002B4809"/>
    <w:rsid w:val="002B51E9"/>
    <w:rsid w:val="002B62A7"/>
    <w:rsid w:val="002B7960"/>
    <w:rsid w:val="002C027A"/>
    <w:rsid w:val="002C4827"/>
    <w:rsid w:val="002C5517"/>
    <w:rsid w:val="002C61B7"/>
    <w:rsid w:val="002C641A"/>
    <w:rsid w:val="002C6B80"/>
    <w:rsid w:val="002C71CC"/>
    <w:rsid w:val="002C790F"/>
    <w:rsid w:val="002C7FF9"/>
    <w:rsid w:val="002D16A3"/>
    <w:rsid w:val="002D216B"/>
    <w:rsid w:val="002D28E4"/>
    <w:rsid w:val="002D2DC9"/>
    <w:rsid w:val="002D3CCA"/>
    <w:rsid w:val="002D4106"/>
    <w:rsid w:val="002D4645"/>
    <w:rsid w:val="002D4ED0"/>
    <w:rsid w:val="002D4EEC"/>
    <w:rsid w:val="002D5105"/>
    <w:rsid w:val="002D54D7"/>
    <w:rsid w:val="002D5984"/>
    <w:rsid w:val="002D5EF1"/>
    <w:rsid w:val="002D61D5"/>
    <w:rsid w:val="002D650E"/>
    <w:rsid w:val="002D7D5E"/>
    <w:rsid w:val="002E0AA8"/>
    <w:rsid w:val="002E130C"/>
    <w:rsid w:val="002E1446"/>
    <w:rsid w:val="002E1C20"/>
    <w:rsid w:val="002E2337"/>
    <w:rsid w:val="002E2817"/>
    <w:rsid w:val="002E2965"/>
    <w:rsid w:val="002E29A6"/>
    <w:rsid w:val="002E2ABB"/>
    <w:rsid w:val="002E3294"/>
    <w:rsid w:val="002E3AB9"/>
    <w:rsid w:val="002E43BB"/>
    <w:rsid w:val="002E49E1"/>
    <w:rsid w:val="002E4CC5"/>
    <w:rsid w:val="002E52BA"/>
    <w:rsid w:val="002E694F"/>
    <w:rsid w:val="002F055E"/>
    <w:rsid w:val="002F1328"/>
    <w:rsid w:val="002F1468"/>
    <w:rsid w:val="002F2116"/>
    <w:rsid w:val="002F2A5C"/>
    <w:rsid w:val="002F2AC0"/>
    <w:rsid w:val="002F45E5"/>
    <w:rsid w:val="002F4F44"/>
    <w:rsid w:val="002F5CC3"/>
    <w:rsid w:val="002F6E31"/>
    <w:rsid w:val="00301215"/>
    <w:rsid w:val="00301279"/>
    <w:rsid w:val="00301E07"/>
    <w:rsid w:val="00303336"/>
    <w:rsid w:val="00303817"/>
    <w:rsid w:val="00303B8A"/>
    <w:rsid w:val="00303CD5"/>
    <w:rsid w:val="00305D3C"/>
    <w:rsid w:val="003066DA"/>
    <w:rsid w:val="00306D79"/>
    <w:rsid w:val="0030742B"/>
    <w:rsid w:val="00307F0B"/>
    <w:rsid w:val="0031008D"/>
    <w:rsid w:val="003102B6"/>
    <w:rsid w:val="0031039E"/>
    <w:rsid w:val="00311A80"/>
    <w:rsid w:val="00311DA9"/>
    <w:rsid w:val="00312033"/>
    <w:rsid w:val="0031267F"/>
    <w:rsid w:val="003131B6"/>
    <w:rsid w:val="00313BE3"/>
    <w:rsid w:val="00313D71"/>
    <w:rsid w:val="00314552"/>
    <w:rsid w:val="003166DF"/>
    <w:rsid w:val="00320202"/>
    <w:rsid w:val="003212A1"/>
    <w:rsid w:val="003218DA"/>
    <w:rsid w:val="00321E01"/>
    <w:rsid w:val="00322540"/>
    <w:rsid w:val="0032280E"/>
    <w:rsid w:val="00322F02"/>
    <w:rsid w:val="00323FFD"/>
    <w:rsid w:val="0032465C"/>
    <w:rsid w:val="0032491C"/>
    <w:rsid w:val="00324A0D"/>
    <w:rsid w:val="00324BA4"/>
    <w:rsid w:val="00325A54"/>
    <w:rsid w:val="00325C1A"/>
    <w:rsid w:val="00326B7A"/>
    <w:rsid w:val="003308BB"/>
    <w:rsid w:val="00332448"/>
    <w:rsid w:val="00333744"/>
    <w:rsid w:val="00335DDE"/>
    <w:rsid w:val="00335E5F"/>
    <w:rsid w:val="00335FB0"/>
    <w:rsid w:val="003369D8"/>
    <w:rsid w:val="00337BD2"/>
    <w:rsid w:val="00342AA2"/>
    <w:rsid w:val="003434E6"/>
    <w:rsid w:val="003441E4"/>
    <w:rsid w:val="00344256"/>
    <w:rsid w:val="00344CF5"/>
    <w:rsid w:val="00345086"/>
    <w:rsid w:val="003451D7"/>
    <w:rsid w:val="003460E2"/>
    <w:rsid w:val="003465F3"/>
    <w:rsid w:val="003470FF"/>
    <w:rsid w:val="00350588"/>
    <w:rsid w:val="003507F2"/>
    <w:rsid w:val="0035167C"/>
    <w:rsid w:val="0035229D"/>
    <w:rsid w:val="00352A98"/>
    <w:rsid w:val="00353534"/>
    <w:rsid w:val="0035455B"/>
    <w:rsid w:val="00356869"/>
    <w:rsid w:val="00357361"/>
    <w:rsid w:val="003577BE"/>
    <w:rsid w:val="0036113A"/>
    <w:rsid w:val="00362C0F"/>
    <w:rsid w:val="00362DAD"/>
    <w:rsid w:val="00363203"/>
    <w:rsid w:val="00363DB9"/>
    <w:rsid w:val="00363DD7"/>
    <w:rsid w:val="0036463B"/>
    <w:rsid w:val="00365A57"/>
    <w:rsid w:val="003660F2"/>
    <w:rsid w:val="003671FA"/>
    <w:rsid w:val="003712F4"/>
    <w:rsid w:val="0037141B"/>
    <w:rsid w:val="003726AF"/>
    <w:rsid w:val="00372A88"/>
    <w:rsid w:val="003731BB"/>
    <w:rsid w:val="003733A4"/>
    <w:rsid w:val="003733BE"/>
    <w:rsid w:val="00373F39"/>
    <w:rsid w:val="00374D54"/>
    <w:rsid w:val="00375629"/>
    <w:rsid w:val="0037567D"/>
    <w:rsid w:val="0037680E"/>
    <w:rsid w:val="00376C8E"/>
    <w:rsid w:val="00377BD7"/>
    <w:rsid w:val="0038039A"/>
    <w:rsid w:val="0038046B"/>
    <w:rsid w:val="00382271"/>
    <w:rsid w:val="00383112"/>
    <w:rsid w:val="00384A65"/>
    <w:rsid w:val="00386E58"/>
    <w:rsid w:val="00387EA0"/>
    <w:rsid w:val="00390B2B"/>
    <w:rsid w:val="00391685"/>
    <w:rsid w:val="00391708"/>
    <w:rsid w:val="00391726"/>
    <w:rsid w:val="0039259F"/>
    <w:rsid w:val="00393658"/>
    <w:rsid w:val="003943B4"/>
    <w:rsid w:val="003951EA"/>
    <w:rsid w:val="0039524E"/>
    <w:rsid w:val="00397688"/>
    <w:rsid w:val="003A15C9"/>
    <w:rsid w:val="003A1D20"/>
    <w:rsid w:val="003A2779"/>
    <w:rsid w:val="003A36E4"/>
    <w:rsid w:val="003A6C19"/>
    <w:rsid w:val="003A74A2"/>
    <w:rsid w:val="003A76F8"/>
    <w:rsid w:val="003B0361"/>
    <w:rsid w:val="003B1938"/>
    <w:rsid w:val="003B1D74"/>
    <w:rsid w:val="003B2095"/>
    <w:rsid w:val="003B2664"/>
    <w:rsid w:val="003B321A"/>
    <w:rsid w:val="003B32A2"/>
    <w:rsid w:val="003B5316"/>
    <w:rsid w:val="003B7137"/>
    <w:rsid w:val="003C0021"/>
    <w:rsid w:val="003C08BE"/>
    <w:rsid w:val="003C19F0"/>
    <w:rsid w:val="003C1D40"/>
    <w:rsid w:val="003C2B08"/>
    <w:rsid w:val="003C353D"/>
    <w:rsid w:val="003C4ECF"/>
    <w:rsid w:val="003C67BD"/>
    <w:rsid w:val="003C7B7C"/>
    <w:rsid w:val="003D22AA"/>
    <w:rsid w:val="003D34BC"/>
    <w:rsid w:val="003D38F0"/>
    <w:rsid w:val="003D420E"/>
    <w:rsid w:val="003D4D45"/>
    <w:rsid w:val="003D4DE9"/>
    <w:rsid w:val="003D5680"/>
    <w:rsid w:val="003D5822"/>
    <w:rsid w:val="003D6267"/>
    <w:rsid w:val="003D6553"/>
    <w:rsid w:val="003D655A"/>
    <w:rsid w:val="003D70B7"/>
    <w:rsid w:val="003D7974"/>
    <w:rsid w:val="003E1828"/>
    <w:rsid w:val="003E1B64"/>
    <w:rsid w:val="003E257A"/>
    <w:rsid w:val="003E3CD3"/>
    <w:rsid w:val="003E7B3C"/>
    <w:rsid w:val="003F1333"/>
    <w:rsid w:val="003F1666"/>
    <w:rsid w:val="003F248C"/>
    <w:rsid w:val="003F28BE"/>
    <w:rsid w:val="003F3882"/>
    <w:rsid w:val="003F54BD"/>
    <w:rsid w:val="003F5555"/>
    <w:rsid w:val="003F6293"/>
    <w:rsid w:val="003F67C9"/>
    <w:rsid w:val="003F69EA"/>
    <w:rsid w:val="003F7659"/>
    <w:rsid w:val="0040055F"/>
    <w:rsid w:val="00401055"/>
    <w:rsid w:val="0040140F"/>
    <w:rsid w:val="0040227D"/>
    <w:rsid w:val="00402A51"/>
    <w:rsid w:val="00403A6D"/>
    <w:rsid w:val="00403AC0"/>
    <w:rsid w:val="00405C13"/>
    <w:rsid w:val="00406429"/>
    <w:rsid w:val="00406C8D"/>
    <w:rsid w:val="00410D46"/>
    <w:rsid w:val="004111DA"/>
    <w:rsid w:val="004116F1"/>
    <w:rsid w:val="00411BCA"/>
    <w:rsid w:val="00412388"/>
    <w:rsid w:val="00412486"/>
    <w:rsid w:val="00412C5B"/>
    <w:rsid w:val="00412CA0"/>
    <w:rsid w:val="00413602"/>
    <w:rsid w:val="00413DDE"/>
    <w:rsid w:val="00417691"/>
    <w:rsid w:val="00417920"/>
    <w:rsid w:val="00417B80"/>
    <w:rsid w:val="004207C0"/>
    <w:rsid w:val="00420ED9"/>
    <w:rsid w:val="004217F8"/>
    <w:rsid w:val="00421C69"/>
    <w:rsid w:val="00422249"/>
    <w:rsid w:val="00422487"/>
    <w:rsid w:val="00422FE5"/>
    <w:rsid w:val="00423C94"/>
    <w:rsid w:val="0042475D"/>
    <w:rsid w:val="004249A8"/>
    <w:rsid w:val="00425B45"/>
    <w:rsid w:val="00425C9F"/>
    <w:rsid w:val="00426286"/>
    <w:rsid w:val="00426946"/>
    <w:rsid w:val="00432BC1"/>
    <w:rsid w:val="00432C4B"/>
    <w:rsid w:val="00432E68"/>
    <w:rsid w:val="004330EB"/>
    <w:rsid w:val="00433B40"/>
    <w:rsid w:val="00433CD5"/>
    <w:rsid w:val="00434518"/>
    <w:rsid w:val="0043565C"/>
    <w:rsid w:val="004362C0"/>
    <w:rsid w:val="004368CE"/>
    <w:rsid w:val="00436A43"/>
    <w:rsid w:val="00436F9A"/>
    <w:rsid w:val="004402CC"/>
    <w:rsid w:val="004424A9"/>
    <w:rsid w:val="00442CE6"/>
    <w:rsid w:val="0044305F"/>
    <w:rsid w:val="00443176"/>
    <w:rsid w:val="00443229"/>
    <w:rsid w:val="0044420C"/>
    <w:rsid w:val="004442BC"/>
    <w:rsid w:val="004455B4"/>
    <w:rsid w:val="00445968"/>
    <w:rsid w:val="0044757A"/>
    <w:rsid w:val="00447820"/>
    <w:rsid w:val="00450053"/>
    <w:rsid w:val="004516D3"/>
    <w:rsid w:val="00451A0F"/>
    <w:rsid w:val="00452C79"/>
    <w:rsid w:val="00452FAE"/>
    <w:rsid w:val="004542BF"/>
    <w:rsid w:val="0045441E"/>
    <w:rsid w:val="00454460"/>
    <w:rsid w:val="00454845"/>
    <w:rsid w:val="00454AE6"/>
    <w:rsid w:val="00456490"/>
    <w:rsid w:val="00457148"/>
    <w:rsid w:val="00460AEA"/>
    <w:rsid w:val="00461923"/>
    <w:rsid w:val="00462688"/>
    <w:rsid w:val="00462D9B"/>
    <w:rsid w:val="004631BA"/>
    <w:rsid w:val="00463705"/>
    <w:rsid w:val="004643AC"/>
    <w:rsid w:val="00464ECB"/>
    <w:rsid w:val="00465964"/>
    <w:rsid w:val="004659E7"/>
    <w:rsid w:val="0046701B"/>
    <w:rsid w:val="0046703F"/>
    <w:rsid w:val="004678E5"/>
    <w:rsid w:val="00471E8A"/>
    <w:rsid w:val="0047318A"/>
    <w:rsid w:val="00473D81"/>
    <w:rsid w:val="004818FF"/>
    <w:rsid w:val="004821A5"/>
    <w:rsid w:val="00485933"/>
    <w:rsid w:val="00486525"/>
    <w:rsid w:val="00486E74"/>
    <w:rsid w:val="004874E0"/>
    <w:rsid w:val="00487C38"/>
    <w:rsid w:val="00490DE9"/>
    <w:rsid w:val="0049128E"/>
    <w:rsid w:val="004918CE"/>
    <w:rsid w:val="00491B1C"/>
    <w:rsid w:val="00492FA8"/>
    <w:rsid w:val="00493BE3"/>
    <w:rsid w:val="00493DDD"/>
    <w:rsid w:val="0049418E"/>
    <w:rsid w:val="004961FF"/>
    <w:rsid w:val="004969F3"/>
    <w:rsid w:val="00496F9A"/>
    <w:rsid w:val="00497CAB"/>
    <w:rsid w:val="00497F9E"/>
    <w:rsid w:val="004A0209"/>
    <w:rsid w:val="004A13EF"/>
    <w:rsid w:val="004A2208"/>
    <w:rsid w:val="004A3484"/>
    <w:rsid w:val="004A4364"/>
    <w:rsid w:val="004A4470"/>
    <w:rsid w:val="004A4FA5"/>
    <w:rsid w:val="004A5262"/>
    <w:rsid w:val="004A57C6"/>
    <w:rsid w:val="004A6E96"/>
    <w:rsid w:val="004A6F6B"/>
    <w:rsid w:val="004A71D4"/>
    <w:rsid w:val="004A73A8"/>
    <w:rsid w:val="004B027F"/>
    <w:rsid w:val="004B1FF4"/>
    <w:rsid w:val="004B20C0"/>
    <w:rsid w:val="004B2B1B"/>
    <w:rsid w:val="004B44DE"/>
    <w:rsid w:val="004B5FC1"/>
    <w:rsid w:val="004B745D"/>
    <w:rsid w:val="004B794D"/>
    <w:rsid w:val="004B7D41"/>
    <w:rsid w:val="004B7D48"/>
    <w:rsid w:val="004C0D26"/>
    <w:rsid w:val="004C18E7"/>
    <w:rsid w:val="004C39EE"/>
    <w:rsid w:val="004C3AFC"/>
    <w:rsid w:val="004C4143"/>
    <w:rsid w:val="004C4495"/>
    <w:rsid w:val="004C474D"/>
    <w:rsid w:val="004C501B"/>
    <w:rsid w:val="004C556C"/>
    <w:rsid w:val="004C691A"/>
    <w:rsid w:val="004C6D1F"/>
    <w:rsid w:val="004C706F"/>
    <w:rsid w:val="004C738B"/>
    <w:rsid w:val="004C7E47"/>
    <w:rsid w:val="004D283B"/>
    <w:rsid w:val="004D3016"/>
    <w:rsid w:val="004D316B"/>
    <w:rsid w:val="004D4968"/>
    <w:rsid w:val="004D4BF4"/>
    <w:rsid w:val="004D6B4C"/>
    <w:rsid w:val="004D7832"/>
    <w:rsid w:val="004D7ECD"/>
    <w:rsid w:val="004E04B1"/>
    <w:rsid w:val="004E051A"/>
    <w:rsid w:val="004E0B09"/>
    <w:rsid w:val="004E1E40"/>
    <w:rsid w:val="004E206E"/>
    <w:rsid w:val="004E2928"/>
    <w:rsid w:val="004E3C13"/>
    <w:rsid w:val="004E415F"/>
    <w:rsid w:val="004E4B62"/>
    <w:rsid w:val="004E5F56"/>
    <w:rsid w:val="004E612D"/>
    <w:rsid w:val="004E6F9A"/>
    <w:rsid w:val="004F00A1"/>
    <w:rsid w:val="004F018B"/>
    <w:rsid w:val="004F0688"/>
    <w:rsid w:val="004F10D0"/>
    <w:rsid w:val="004F356B"/>
    <w:rsid w:val="004F3A02"/>
    <w:rsid w:val="004F4ED6"/>
    <w:rsid w:val="004F4F5E"/>
    <w:rsid w:val="004F4FE6"/>
    <w:rsid w:val="004F5211"/>
    <w:rsid w:val="004F54E6"/>
    <w:rsid w:val="004F7097"/>
    <w:rsid w:val="004F7A95"/>
    <w:rsid w:val="004F7DE2"/>
    <w:rsid w:val="00500D62"/>
    <w:rsid w:val="00501CBD"/>
    <w:rsid w:val="005024CC"/>
    <w:rsid w:val="00502D01"/>
    <w:rsid w:val="005041FE"/>
    <w:rsid w:val="00504932"/>
    <w:rsid w:val="00504F1F"/>
    <w:rsid w:val="00505B3A"/>
    <w:rsid w:val="005072A3"/>
    <w:rsid w:val="005074F1"/>
    <w:rsid w:val="00510514"/>
    <w:rsid w:val="005112C2"/>
    <w:rsid w:val="00512FE6"/>
    <w:rsid w:val="00513306"/>
    <w:rsid w:val="00513E0C"/>
    <w:rsid w:val="00514510"/>
    <w:rsid w:val="00514809"/>
    <w:rsid w:val="00514E43"/>
    <w:rsid w:val="005158D2"/>
    <w:rsid w:val="00515DB3"/>
    <w:rsid w:val="00515EDA"/>
    <w:rsid w:val="0051673C"/>
    <w:rsid w:val="00517499"/>
    <w:rsid w:val="005175CC"/>
    <w:rsid w:val="00517DA6"/>
    <w:rsid w:val="00520830"/>
    <w:rsid w:val="00520D47"/>
    <w:rsid w:val="005217B4"/>
    <w:rsid w:val="0052268C"/>
    <w:rsid w:val="00522A39"/>
    <w:rsid w:val="00523D20"/>
    <w:rsid w:val="00524357"/>
    <w:rsid w:val="00525003"/>
    <w:rsid w:val="0052508B"/>
    <w:rsid w:val="005302BF"/>
    <w:rsid w:val="0053254C"/>
    <w:rsid w:val="00533CCB"/>
    <w:rsid w:val="00533E21"/>
    <w:rsid w:val="00534A0C"/>
    <w:rsid w:val="00534FE0"/>
    <w:rsid w:val="00535358"/>
    <w:rsid w:val="005405AE"/>
    <w:rsid w:val="00540BC2"/>
    <w:rsid w:val="005412F2"/>
    <w:rsid w:val="0054251C"/>
    <w:rsid w:val="0054367D"/>
    <w:rsid w:val="00544882"/>
    <w:rsid w:val="00544E66"/>
    <w:rsid w:val="00545B15"/>
    <w:rsid w:val="00546B5A"/>
    <w:rsid w:val="00550CC8"/>
    <w:rsid w:val="00550DAB"/>
    <w:rsid w:val="0055102F"/>
    <w:rsid w:val="0055104C"/>
    <w:rsid w:val="00552364"/>
    <w:rsid w:val="005526D6"/>
    <w:rsid w:val="005540BD"/>
    <w:rsid w:val="00554DD6"/>
    <w:rsid w:val="0055662C"/>
    <w:rsid w:val="00557132"/>
    <w:rsid w:val="0055740F"/>
    <w:rsid w:val="00557876"/>
    <w:rsid w:val="005579D6"/>
    <w:rsid w:val="005603E6"/>
    <w:rsid w:val="0056096B"/>
    <w:rsid w:val="00560B1D"/>
    <w:rsid w:val="00560EA4"/>
    <w:rsid w:val="0056118C"/>
    <w:rsid w:val="00562978"/>
    <w:rsid w:val="005651B3"/>
    <w:rsid w:val="00565D0B"/>
    <w:rsid w:val="00565D46"/>
    <w:rsid w:val="00566E65"/>
    <w:rsid w:val="00567AE1"/>
    <w:rsid w:val="00567CCE"/>
    <w:rsid w:val="00571A80"/>
    <w:rsid w:val="0057282C"/>
    <w:rsid w:val="00572994"/>
    <w:rsid w:val="0057351D"/>
    <w:rsid w:val="00573522"/>
    <w:rsid w:val="00573AE3"/>
    <w:rsid w:val="0057485D"/>
    <w:rsid w:val="00574ACF"/>
    <w:rsid w:val="00574DC5"/>
    <w:rsid w:val="00574E5C"/>
    <w:rsid w:val="005752DC"/>
    <w:rsid w:val="005760E1"/>
    <w:rsid w:val="005761F4"/>
    <w:rsid w:val="005772BD"/>
    <w:rsid w:val="005776DC"/>
    <w:rsid w:val="0058021D"/>
    <w:rsid w:val="00581578"/>
    <w:rsid w:val="00582A6C"/>
    <w:rsid w:val="00583007"/>
    <w:rsid w:val="00583F16"/>
    <w:rsid w:val="0058408C"/>
    <w:rsid w:val="00584854"/>
    <w:rsid w:val="00585485"/>
    <w:rsid w:val="005856ED"/>
    <w:rsid w:val="00585A84"/>
    <w:rsid w:val="00585B65"/>
    <w:rsid w:val="00585DF4"/>
    <w:rsid w:val="0058660B"/>
    <w:rsid w:val="005908DC"/>
    <w:rsid w:val="00590B0F"/>
    <w:rsid w:val="0059120A"/>
    <w:rsid w:val="00593393"/>
    <w:rsid w:val="00593FF8"/>
    <w:rsid w:val="005943EC"/>
    <w:rsid w:val="00594957"/>
    <w:rsid w:val="00597422"/>
    <w:rsid w:val="00597CD3"/>
    <w:rsid w:val="005A06AD"/>
    <w:rsid w:val="005A20CA"/>
    <w:rsid w:val="005A24B8"/>
    <w:rsid w:val="005A2AD9"/>
    <w:rsid w:val="005A2CD4"/>
    <w:rsid w:val="005A4C1A"/>
    <w:rsid w:val="005A52DE"/>
    <w:rsid w:val="005A54A6"/>
    <w:rsid w:val="005A581F"/>
    <w:rsid w:val="005B043B"/>
    <w:rsid w:val="005B05EB"/>
    <w:rsid w:val="005B08CF"/>
    <w:rsid w:val="005B0A15"/>
    <w:rsid w:val="005B0BEB"/>
    <w:rsid w:val="005B144E"/>
    <w:rsid w:val="005B253E"/>
    <w:rsid w:val="005B267C"/>
    <w:rsid w:val="005B3BF9"/>
    <w:rsid w:val="005B3CF9"/>
    <w:rsid w:val="005B50AB"/>
    <w:rsid w:val="005B56E7"/>
    <w:rsid w:val="005B5DE4"/>
    <w:rsid w:val="005B6BB6"/>
    <w:rsid w:val="005B7108"/>
    <w:rsid w:val="005B751B"/>
    <w:rsid w:val="005B76B6"/>
    <w:rsid w:val="005B7CF2"/>
    <w:rsid w:val="005C01A0"/>
    <w:rsid w:val="005C0CDB"/>
    <w:rsid w:val="005C107A"/>
    <w:rsid w:val="005C1FD3"/>
    <w:rsid w:val="005C27C3"/>
    <w:rsid w:val="005C3034"/>
    <w:rsid w:val="005C3B91"/>
    <w:rsid w:val="005C4B63"/>
    <w:rsid w:val="005C55A0"/>
    <w:rsid w:val="005C61DD"/>
    <w:rsid w:val="005C6EDB"/>
    <w:rsid w:val="005C7792"/>
    <w:rsid w:val="005C7E53"/>
    <w:rsid w:val="005D19E3"/>
    <w:rsid w:val="005D2463"/>
    <w:rsid w:val="005D384F"/>
    <w:rsid w:val="005D3DC8"/>
    <w:rsid w:val="005D4BBA"/>
    <w:rsid w:val="005D6175"/>
    <w:rsid w:val="005D797B"/>
    <w:rsid w:val="005E0A95"/>
    <w:rsid w:val="005E0F72"/>
    <w:rsid w:val="005E1715"/>
    <w:rsid w:val="005E1FFA"/>
    <w:rsid w:val="005E276B"/>
    <w:rsid w:val="005E2986"/>
    <w:rsid w:val="005E312A"/>
    <w:rsid w:val="005E32E9"/>
    <w:rsid w:val="005E346A"/>
    <w:rsid w:val="005E3A70"/>
    <w:rsid w:val="005E3E18"/>
    <w:rsid w:val="005E4E5D"/>
    <w:rsid w:val="005E4ECF"/>
    <w:rsid w:val="005E4FDB"/>
    <w:rsid w:val="005E582F"/>
    <w:rsid w:val="005E58A8"/>
    <w:rsid w:val="005E58BC"/>
    <w:rsid w:val="005E65E6"/>
    <w:rsid w:val="005E667F"/>
    <w:rsid w:val="005E6869"/>
    <w:rsid w:val="005E6E68"/>
    <w:rsid w:val="005E711E"/>
    <w:rsid w:val="005E764C"/>
    <w:rsid w:val="005F15AA"/>
    <w:rsid w:val="005F261C"/>
    <w:rsid w:val="005F292F"/>
    <w:rsid w:val="005F3388"/>
    <w:rsid w:val="005F3517"/>
    <w:rsid w:val="005F35C5"/>
    <w:rsid w:val="005F3976"/>
    <w:rsid w:val="005F3E0B"/>
    <w:rsid w:val="005F55B7"/>
    <w:rsid w:val="005F5AC3"/>
    <w:rsid w:val="005F60BB"/>
    <w:rsid w:val="005F64E6"/>
    <w:rsid w:val="005F65AC"/>
    <w:rsid w:val="0060034F"/>
    <w:rsid w:val="006007E7"/>
    <w:rsid w:val="00600A82"/>
    <w:rsid w:val="006023A2"/>
    <w:rsid w:val="00602E14"/>
    <w:rsid w:val="00604012"/>
    <w:rsid w:val="00604829"/>
    <w:rsid w:val="00604C5F"/>
    <w:rsid w:val="006058CE"/>
    <w:rsid w:val="006066B6"/>
    <w:rsid w:val="00606C83"/>
    <w:rsid w:val="00607303"/>
    <w:rsid w:val="00610FCD"/>
    <w:rsid w:val="006119C0"/>
    <w:rsid w:val="00611F98"/>
    <w:rsid w:val="0061235B"/>
    <w:rsid w:val="0061240F"/>
    <w:rsid w:val="00612D23"/>
    <w:rsid w:val="00613B83"/>
    <w:rsid w:val="00613D4B"/>
    <w:rsid w:val="00614192"/>
    <w:rsid w:val="006145F0"/>
    <w:rsid w:val="006147D5"/>
    <w:rsid w:val="0061650D"/>
    <w:rsid w:val="00621100"/>
    <w:rsid w:val="00622A44"/>
    <w:rsid w:val="006234BA"/>
    <w:rsid w:val="006241A4"/>
    <w:rsid w:val="00624E9A"/>
    <w:rsid w:val="00625FEF"/>
    <w:rsid w:val="00626C8C"/>
    <w:rsid w:val="00627E34"/>
    <w:rsid w:val="00630BD8"/>
    <w:rsid w:val="0063134B"/>
    <w:rsid w:val="0063315A"/>
    <w:rsid w:val="006338D6"/>
    <w:rsid w:val="006346E0"/>
    <w:rsid w:val="006361A7"/>
    <w:rsid w:val="00636EC0"/>
    <w:rsid w:val="00636EF1"/>
    <w:rsid w:val="006372C4"/>
    <w:rsid w:val="0063796D"/>
    <w:rsid w:val="00640ABF"/>
    <w:rsid w:val="006422FF"/>
    <w:rsid w:val="006426A6"/>
    <w:rsid w:val="00642FF1"/>
    <w:rsid w:val="00643475"/>
    <w:rsid w:val="006437DD"/>
    <w:rsid w:val="006439ED"/>
    <w:rsid w:val="006440A7"/>
    <w:rsid w:val="00644D8D"/>
    <w:rsid w:val="006453AB"/>
    <w:rsid w:val="00645BE6"/>
    <w:rsid w:val="0064629E"/>
    <w:rsid w:val="00646C81"/>
    <w:rsid w:val="006509D9"/>
    <w:rsid w:val="00650EAB"/>
    <w:rsid w:val="00651460"/>
    <w:rsid w:val="0065156A"/>
    <w:rsid w:val="00651597"/>
    <w:rsid w:val="0065184C"/>
    <w:rsid w:val="006518FE"/>
    <w:rsid w:val="006534DE"/>
    <w:rsid w:val="00653F42"/>
    <w:rsid w:val="006541BE"/>
    <w:rsid w:val="0065477C"/>
    <w:rsid w:val="00654C9D"/>
    <w:rsid w:val="0065501A"/>
    <w:rsid w:val="00655149"/>
    <w:rsid w:val="00655535"/>
    <w:rsid w:val="006576F1"/>
    <w:rsid w:val="00660C3A"/>
    <w:rsid w:val="00660C5F"/>
    <w:rsid w:val="006613CC"/>
    <w:rsid w:val="006616C3"/>
    <w:rsid w:val="00661849"/>
    <w:rsid w:val="00664B90"/>
    <w:rsid w:val="006667CD"/>
    <w:rsid w:val="00666EFE"/>
    <w:rsid w:val="00667932"/>
    <w:rsid w:val="00670B23"/>
    <w:rsid w:val="00671929"/>
    <w:rsid w:val="00671CC8"/>
    <w:rsid w:val="00672034"/>
    <w:rsid w:val="00673170"/>
    <w:rsid w:val="00673C87"/>
    <w:rsid w:val="006765E9"/>
    <w:rsid w:val="00676A94"/>
    <w:rsid w:val="0067734B"/>
    <w:rsid w:val="00680124"/>
    <w:rsid w:val="006813B5"/>
    <w:rsid w:val="00681F3C"/>
    <w:rsid w:val="00683170"/>
    <w:rsid w:val="00683561"/>
    <w:rsid w:val="006835EA"/>
    <w:rsid w:val="00683807"/>
    <w:rsid w:val="00684647"/>
    <w:rsid w:val="00684F50"/>
    <w:rsid w:val="00685E19"/>
    <w:rsid w:val="00687440"/>
    <w:rsid w:val="00690429"/>
    <w:rsid w:val="0069052A"/>
    <w:rsid w:val="00691712"/>
    <w:rsid w:val="006922FF"/>
    <w:rsid w:val="00692848"/>
    <w:rsid w:val="006947D9"/>
    <w:rsid w:val="00694846"/>
    <w:rsid w:val="00694F30"/>
    <w:rsid w:val="00695663"/>
    <w:rsid w:val="006960A9"/>
    <w:rsid w:val="00696488"/>
    <w:rsid w:val="00696621"/>
    <w:rsid w:val="00696DE6"/>
    <w:rsid w:val="006A10F8"/>
    <w:rsid w:val="006A2F04"/>
    <w:rsid w:val="006A38DD"/>
    <w:rsid w:val="006A4E91"/>
    <w:rsid w:val="006A7016"/>
    <w:rsid w:val="006A728F"/>
    <w:rsid w:val="006A73C0"/>
    <w:rsid w:val="006B0082"/>
    <w:rsid w:val="006B152B"/>
    <w:rsid w:val="006B1E23"/>
    <w:rsid w:val="006B21C6"/>
    <w:rsid w:val="006B2C59"/>
    <w:rsid w:val="006B3D3C"/>
    <w:rsid w:val="006B4C53"/>
    <w:rsid w:val="006B5831"/>
    <w:rsid w:val="006B60AA"/>
    <w:rsid w:val="006B6528"/>
    <w:rsid w:val="006B7D1B"/>
    <w:rsid w:val="006C0572"/>
    <w:rsid w:val="006C08DB"/>
    <w:rsid w:val="006C0A47"/>
    <w:rsid w:val="006C291D"/>
    <w:rsid w:val="006C2B02"/>
    <w:rsid w:val="006C2FCA"/>
    <w:rsid w:val="006C2FF3"/>
    <w:rsid w:val="006C3690"/>
    <w:rsid w:val="006C52BA"/>
    <w:rsid w:val="006C557F"/>
    <w:rsid w:val="006C6292"/>
    <w:rsid w:val="006C6D8B"/>
    <w:rsid w:val="006C7C9C"/>
    <w:rsid w:val="006C7E3F"/>
    <w:rsid w:val="006D0283"/>
    <w:rsid w:val="006D092D"/>
    <w:rsid w:val="006D094C"/>
    <w:rsid w:val="006D16DD"/>
    <w:rsid w:val="006D16ED"/>
    <w:rsid w:val="006D2563"/>
    <w:rsid w:val="006D3199"/>
    <w:rsid w:val="006D40BF"/>
    <w:rsid w:val="006D548F"/>
    <w:rsid w:val="006D5AAA"/>
    <w:rsid w:val="006D6F6D"/>
    <w:rsid w:val="006D7691"/>
    <w:rsid w:val="006D7737"/>
    <w:rsid w:val="006E0656"/>
    <w:rsid w:val="006E06B7"/>
    <w:rsid w:val="006E099B"/>
    <w:rsid w:val="006E0B99"/>
    <w:rsid w:val="006E0F9F"/>
    <w:rsid w:val="006E16C1"/>
    <w:rsid w:val="006E1CA2"/>
    <w:rsid w:val="006E2809"/>
    <w:rsid w:val="006E33C8"/>
    <w:rsid w:val="006E3ECE"/>
    <w:rsid w:val="006E4871"/>
    <w:rsid w:val="006E4D9B"/>
    <w:rsid w:val="006E4E14"/>
    <w:rsid w:val="006E53E1"/>
    <w:rsid w:val="006E6D60"/>
    <w:rsid w:val="006E6F8E"/>
    <w:rsid w:val="006F0C3C"/>
    <w:rsid w:val="006F1365"/>
    <w:rsid w:val="006F17BA"/>
    <w:rsid w:val="006F2B5B"/>
    <w:rsid w:val="006F2B9A"/>
    <w:rsid w:val="006F2F8A"/>
    <w:rsid w:val="006F3575"/>
    <w:rsid w:val="006F3595"/>
    <w:rsid w:val="006F418A"/>
    <w:rsid w:val="006F4D81"/>
    <w:rsid w:val="006F5D6F"/>
    <w:rsid w:val="006F6CC9"/>
    <w:rsid w:val="006F7935"/>
    <w:rsid w:val="007012F2"/>
    <w:rsid w:val="00701CF8"/>
    <w:rsid w:val="007025DF"/>
    <w:rsid w:val="007033B5"/>
    <w:rsid w:val="007035BA"/>
    <w:rsid w:val="007042BD"/>
    <w:rsid w:val="0070456C"/>
    <w:rsid w:val="0070595E"/>
    <w:rsid w:val="0071085D"/>
    <w:rsid w:val="00711042"/>
    <w:rsid w:val="007115AA"/>
    <w:rsid w:val="0071190C"/>
    <w:rsid w:val="00711CDD"/>
    <w:rsid w:val="00711CF6"/>
    <w:rsid w:val="0071215F"/>
    <w:rsid w:val="007123AC"/>
    <w:rsid w:val="0071288A"/>
    <w:rsid w:val="007129A4"/>
    <w:rsid w:val="00712B22"/>
    <w:rsid w:val="00712C4E"/>
    <w:rsid w:val="007136A3"/>
    <w:rsid w:val="00714075"/>
    <w:rsid w:val="00715128"/>
    <w:rsid w:val="0071516C"/>
    <w:rsid w:val="00715E08"/>
    <w:rsid w:val="00717909"/>
    <w:rsid w:val="00720294"/>
    <w:rsid w:val="0072056C"/>
    <w:rsid w:val="00720E6F"/>
    <w:rsid w:val="00721698"/>
    <w:rsid w:val="00721E51"/>
    <w:rsid w:val="007227CE"/>
    <w:rsid w:val="007232EA"/>
    <w:rsid w:val="0072434B"/>
    <w:rsid w:val="007252FD"/>
    <w:rsid w:val="007269E7"/>
    <w:rsid w:val="00726CEA"/>
    <w:rsid w:val="0073003A"/>
    <w:rsid w:val="00730F50"/>
    <w:rsid w:val="00731613"/>
    <w:rsid w:val="007321EB"/>
    <w:rsid w:val="00733BFD"/>
    <w:rsid w:val="00733D5F"/>
    <w:rsid w:val="00735903"/>
    <w:rsid w:val="0073666E"/>
    <w:rsid w:val="0073707D"/>
    <w:rsid w:val="00740542"/>
    <w:rsid w:val="007419B1"/>
    <w:rsid w:val="0074250A"/>
    <w:rsid w:val="00742D32"/>
    <w:rsid w:val="00744046"/>
    <w:rsid w:val="00744A3C"/>
    <w:rsid w:val="00744FFF"/>
    <w:rsid w:val="00745CDC"/>
    <w:rsid w:val="0074656B"/>
    <w:rsid w:val="007468B9"/>
    <w:rsid w:val="00747F82"/>
    <w:rsid w:val="00750A6E"/>
    <w:rsid w:val="00750D20"/>
    <w:rsid w:val="007511F1"/>
    <w:rsid w:val="00752628"/>
    <w:rsid w:val="00752C16"/>
    <w:rsid w:val="0075316D"/>
    <w:rsid w:val="00753778"/>
    <w:rsid w:val="00753A59"/>
    <w:rsid w:val="00753C5C"/>
    <w:rsid w:val="007550B4"/>
    <w:rsid w:val="00757117"/>
    <w:rsid w:val="00757189"/>
    <w:rsid w:val="00757964"/>
    <w:rsid w:val="00757A0E"/>
    <w:rsid w:val="00760850"/>
    <w:rsid w:val="00760BCC"/>
    <w:rsid w:val="007630E9"/>
    <w:rsid w:val="00765FDB"/>
    <w:rsid w:val="00767017"/>
    <w:rsid w:val="0076749A"/>
    <w:rsid w:val="007713C3"/>
    <w:rsid w:val="0077213E"/>
    <w:rsid w:val="007731C0"/>
    <w:rsid w:val="0077350E"/>
    <w:rsid w:val="00773D17"/>
    <w:rsid w:val="00773D5B"/>
    <w:rsid w:val="00773FB8"/>
    <w:rsid w:val="00774997"/>
    <w:rsid w:val="00774FBD"/>
    <w:rsid w:val="00775113"/>
    <w:rsid w:val="007767AF"/>
    <w:rsid w:val="00776847"/>
    <w:rsid w:val="00776A99"/>
    <w:rsid w:val="00777E82"/>
    <w:rsid w:val="00780954"/>
    <w:rsid w:val="00782207"/>
    <w:rsid w:val="0078256A"/>
    <w:rsid w:val="00782FF2"/>
    <w:rsid w:val="00783674"/>
    <w:rsid w:val="00785612"/>
    <w:rsid w:val="007879DB"/>
    <w:rsid w:val="00787CBC"/>
    <w:rsid w:val="00790E34"/>
    <w:rsid w:val="007913C9"/>
    <w:rsid w:val="00792C08"/>
    <w:rsid w:val="0079432B"/>
    <w:rsid w:val="007950DE"/>
    <w:rsid w:val="00795EEC"/>
    <w:rsid w:val="007963F6"/>
    <w:rsid w:val="00797376"/>
    <w:rsid w:val="007A05D2"/>
    <w:rsid w:val="007A2D6F"/>
    <w:rsid w:val="007A33DA"/>
    <w:rsid w:val="007A38C4"/>
    <w:rsid w:val="007A3ACF"/>
    <w:rsid w:val="007A3FEB"/>
    <w:rsid w:val="007A4318"/>
    <w:rsid w:val="007A47B1"/>
    <w:rsid w:val="007A47BE"/>
    <w:rsid w:val="007A48C0"/>
    <w:rsid w:val="007A512A"/>
    <w:rsid w:val="007A5D69"/>
    <w:rsid w:val="007A664F"/>
    <w:rsid w:val="007A72D5"/>
    <w:rsid w:val="007A7A7F"/>
    <w:rsid w:val="007B082E"/>
    <w:rsid w:val="007B1954"/>
    <w:rsid w:val="007B1C9F"/>
    <w:rsid w:val="007B5057"/>
    <w:rsid w:val="007B6665"/>
    <w:rsid w:val="007B6A42"/>
    <w:rsid w:val="007B6FB2"/>
    <w:rsid w:val="007B71C5"/>
    <w:rsid w:val="007B72A1"/>
    <w:rsid w:val="007C1122"/>
    <w:rsid w:val="007C1B7D"/>
    <w:rsid w:val="007C1F09"/>
    <w:rsid w:val="007C219E"/>
    <w:rsid w:val="007C33EB"/>
    <w:rsid w:val="007C340D"/>
    <w:rsid w:val="007C3535"/>
    <w:rsid w:val="007C3CEE"/>
    <w:rsid w:val="007C497A"/>
    <w:rsid w:val="007C5FC4"/>
    <w:rsid w:val="007C6DE2"/>
    <w:rsid w:val="007C7325"/>
    <w:rsid w:val="007C745F"/>
    <w:rsid w:val="007C7C30"/>
    <w:rsid w:val="007C7CEF"/>
    <w:rsid w:val="007D05C1"/>
    <w:rsid w:val="007D1A5F"/>
    <w:rsid w:val="007D2374"/>
    <w:rsid w:val="007D2BB0"/>
    <w:rsid w:val="007D557B"/>
    <w:rsid w:val="007D57B1"/>
    <w:rsid w:val="007D6309"/>
    <w:rsid w:val="007D7442"/>
    <w:rsid w:val="007E0283"/>
    <w:rsid w:val="007E03A6"/>
    <w:rsid w:val="007E0A41"/>
    <w:rsid w:val="007E0D3D"/>
    <w:rsid w:val="007E10B2"/>
    <w:rsid w:val="007E1557"/>
    <w:rsid w:val="007E2687"/>
    <w:rsid w:val="007E34B9"/>
    <w:rsid w:val="007E4311"/>
    <w:rsid w:val="007E4703"/>
    <w:rsid w:val="007E4889"/>
    <w:rsid w:val="007E4B8F"/>
    <w:rsid w:val="007E51E3"/>
    <w:rsid w:val="007E579B"/>
    <w:rsid w:val="007E597A"/>
    <w:rsid w:val="007E6023"/>
    <w:rsid w:val="007E65A2"/>
    <w:rsid w:val="007E6781"/>
    <w:rsid w:val="007E6C09"/>
    <w:rsid w:val="007F0B66"/>
    <w:rsid w:val="007F0D96"/>
    <w:rsid w:val="007F13D4"/>
    <w:rsid w:val="007F15E3"/>
    <w:rsid w:val="007F15FF"/>
    <w:rsid w:val="007F267B"/>
    <w:rsid w:val="007F26A5"/>
    <w:rsid w:val="007F2B10"/>
    <w:rsid w:val="007F30B4"/>
    <w:rsid w:val="007F3C5A"/>
    <w:rsid w:val="007F4368"/>
    <w:rsid w:val="007F4C04"/>
    <w:rsid w:val="007F4E11"/>
    <w:rsid w:val="007F50B2"/>
    <w:rsid w:val="007F5283"/>
    <w:rsid w:val="007F5E6A"/>
    <w:rsid w:val="007F728B"/>
    <w:rsid w:val="0080065F"/>
    <w:rsid w:val="008012FB"/>
    <w:rsid w:val="00801780"/>
    <w:rsid w:val="00803307"/>
    <w:rsid w:val="008038BA"/>
    <w:rsid w:val="008039B6"/>
    <w:rsid w:val="0080666B"/>
    <w:rsid w:val="00806701"/>
    <w:rsid w:val="008074EE"/>
    <w:rsid w:val="00807D08"/>
    <w:rsid w:val="00807D40"/>
    <w:rsid w:val="00810731"/>
    <w:rsid w:val="00810DE8"/>
    <w:rsid w:val="0081216D"/>
    <w:rsid w:val="008137A6"/>
    <w:rsid w:val="00813D78"/>
    <w:rsid w:val="00813E8F"/>
    <w:rsid w:val="00814502"/>
    <w:rsid w:val="008148FD"/>
    <w:rsid w:val="00814EA5"/>
    <w:rsid w:val="00814EC4"/>
    <w:rsid w:val="00815FB0"/>
    <w:rsid w:val="00816BDA"/>
    <w:rsid w:val="0081797F"/>
    <w:rsid w:val="00817F06"/>
    <w:rsid w:val="00821153"/>
    <w:rsid w:val="008212A4"/>
    <w:rsid w:val="00821911"/>
    <w:rsid w:val="00821C28"/>
    <w:rsid w:val="00822082"/>
    <w:rsid w:val="00822E9B"/>
    <w:rsid w:val="00824014"/>
    <w:rsid w:val="008260D4"/>
    <w:rsid w:val="008265EF"/>
    <w:rsid w:val="00830C57"/>
    <w:rsid w:val="008310E9"/>
    <w:rsid w:val="00831EA4"/>
    <w:rsid w:val="008323C1"/>
    <w:rsid w:val="00832A10"/>
    <w:rsid w:val="00832A16"/>
    <w:rsid w:val="008337CA"/>
    <w:rsid w:val="00835C24"/>
    <w:rsid w:val="00836D2F"/>
    <w:rsid w:val="00836FDF"/>
    <w:rsid w:val="00840B6C"/>
    <w:rsid w:val="00840CF8"/>
    <w:rsid w:val="00840FCB"/>
    <w:rsid w:val="0084133A"/>
    <w:rsid w:val="0084186B"/>
    <w:rsid w:val="008419F0"/>
    <w:rsid w:val="00842A2B"/>
    <w:rsid w:val="00843078"/>
    <w:rsid w:val="00844827"/>
    <w:rsid w:val="00845AE1"/>
    <w:rsid w:val="0084614A"/>
    <w:rsid w:val="00846EB5"/>
    <w:rsid w:val="00846FB6"/>
    <w:rsid w:val="00847EEE"/>
    <w:rsid w:val="00850CC7"/>
    <w:rsid w:val="00851711"/>
    <w:rsid w:val="00851C8A"/>
    <w:rsid w:val="00852613"/>
    <w:rsid w:val="00852B14"/>
    <w:rsid w:val="00852E67"/>
    <w:rsid w:val="00853F48"/>
    <w:rsid w:val="0085618A"/>
    <w:rsid w:val="00856AB5"/>
    <w:rsid w:val="00857CC6"/>
    <w:rsid w:val="008608DF"/>
    <w:rsid w:val="00860A3D"/>
    <w:rsid w:val="00861253"/>
    <w:rsid w:val="008619E4"/>
    <w:rsid w:val="00861EF4"/>
    <w:rsid w:val="008625E6"/>
    <w:rsid w:val="0086387D"/>
    <w:rsid w:val="00863E72"/>
    <w:rsid w:val="008648B6"/>
    <w:rsid w:val="0086527E"/>
    <w:rsid w:val="00865417"/>
    <w:rsid w:val="00865A85"/>
    <w:rsid w:val="00866B63"/>
    <w:rsid w:val="00866E48"/>
    <w:rsid w:val="008673EE"/>
    <w:rsid w:val="0087008B"/>
    <w:rsid w:val="00870553"/>
    <w:rsid w:val="00870B54"/>
    <w:rsid w:val="00870CE5"/>
    <w:rsid w:val="00870E7A"/>
    <w:rsid w:val="008713BA"/>
    <w:rsid w:val="008731B2"/>
    <w:rsid w:val="0087347E"/>
    <w:rsid w:val="00873521"/>
    <w:rsid w:val="008736E8"/>
    <w:rsid w:val="0087544B"/>
    <w:rsid w:val="0087578A"/>
    <w:rsid w:val="00876825"/>
    <w:rsid w:val="00877B40"/>
    <w:rsid w:val="00880276"/>
    <w:rsid w:val="00880466"/>
    <w:rsid w:val="008807A4"/>
    <w:rsid w:val="00880995"/>
    <w:rsid w:val="00881650"/>
    <w:rsid w:val="00883A9D"/>
    <w:rsid w:val="00883D34"/>
    <w:rsid w:val="008842A6"/>
    <w:rsid w:val="008842EF"/>
    <w:rsid w:val="00885BA3"/>
    <w:rsid w:val="00886044"/>
    <w:rsid w:val="008860ED"/>
    <w:rsid w:val="008869F1"/>
    <w:rsid w:val="00886F4E"/>
    <w:rsid w:val="008901BE"/>
    <w:rsid w:val="00890212"/>
    <w:rsid w:val="008905CC"/>
    <w:rsid w:val="00890A89"/>
    <w:rsid w:val="0089102A"/>
    <w:rsid w:val="008924D3"/>
    <w:rsid w:val="008924FB"/>
    <w:rsid w:val="00893A9B"/>
    <w:rsid w:val="00893E45"/>
    <w:rsid w:val="00894537"/>
    <w:rsid w:val="008973BD"/>
    <w:rsid w:val="0089787E"/>
    <w:rsid w:val="008978D1"/>
    <w:rsid w:val="00897F94"/>
    <w:rsid w:val="008A030B"/>
    <w:rsid w:val="008A08FC"/>
    <w:rsid w:val="008A14EB"/>
    <w:rsid w:val="008A2407"/>
    <w:rsid w:val="008A262D"/>
    <w:rsid w:val="008A2D1A"/>
    <w:rsid w:val="008A43DE"/>
    <w:rsid w:val="008A45CE"/>
    <w:rsid w:val="008A4A32"/>
    <w:rsid w:val="008A4BCF"/>
    <w:rsid w:val="008A4CE4"/>
    <w:rsid w:val="008A4E4B"/>
    <w:rsid w:val="008A506A"/>
    <w:rsid w:val="008A51D5"/>
    <w:rsid w:val="008A5740"/>
    <w:rsid w:val="008A57E1"/>
    <w:rsid w:val="008A6266"/>
    <w:rsid w:val="008A68E0"/>
    <w:rsid w:val="008A6BB8"/>
    <w:rsid w:val="008A7B99"/>
    <w:rsid w:val="008A7F1D"/>
    <w:rsid w:val="008B00A2"/>
    <w:rsid w:val="008B0113"/>
    <w:rsid w:val="008B071A"/>
    <w:rsid w:val="008B086C"/>
    <w:rsid w:val="008B15F3"/>
    <w:rsid w:val="008B1F4B"/>
    <w:rsid w:val="008B2739"/>
    <w:rsid w:val="008B2B79"/>
    <w:rsid w:val="008B2D00"/>
    <w:rsid w:val="008B3600"/>
    <w:rsid w:val="008B3B0F"/>
    <w:rsid w:val="008B3C14"/>
    <w:rsid w:val="008B4A7B"/>
    <w:rsid w:val="008B57D5"/>
    <w:rsid w:val="008B690E"/>
    <w:rsid w:val="008B6CCB"/>
    <w:rsid w:val="008B70E4"/>
    <w:rsid w:val="008B78F1"/>
    <w:rsid w:val="008B7B2D"/>
    <w:rsid w:val="008C07ED"/>
    <w:rsid w:val="008C185F"/>
    <w:rsid w:val="008C2A29"/>
    <w:rsid w:val="008C2BDF"/>
    <w:rsid w:val="008C3CCC"/>
    <w:rsid w:val="008C5F76"/>
    <w:rsid w:val="008C6899"/>
    <w:rsid w:val="008C6F2C"/>
    <w:rsid w:val="008C765A"/>
    <w:rsid w:val="008C76F7"/>
    <w:rsid w:val="008D00EE"/>
    <w:rsid w:val="008D098A"/>
    <w:rsid w:val="008D138B"/>
    <w:rsid w:val="008D2C61"/>
    <w:rsid w:val="008D323A"/>
    <w:rsid w:val="008D38AF"/>
    <w:rsid w:val="008D3D9B"/>
    <w:rsid w:val="008D56BA"/>
    <w:rsid w:val="008D5ADF"/>
    <w:rsid w:val="008D627B"/>
    <w:rsid w:val="008E00F5"/>
    <w:rsid w:val="008E0172"/>
    <w:rsid w:val="008E0B1D"/>
    <w:rsid w:val="008E0E12"/>
    <w:rsid w:val="008E13FD"/>
    <w:rsid w:val="008E1CE5"/>
    <w:rsid w:val="008E2D16"/>
    <w:rsid w:val="008E3920"/>
    <w:rsid w:val="008E42D5"/>
    <w:rsid w:val="008E4A85"/>
    <w:rsid w:val="008E52B7"/>
    <w:rsid w:val="008E6998"/>
    <w:rsid w:val="008E72BF"/>
    <w:rsid w:val="008F011D"/>
    <w:rsid w:val="008F0416"/>
    <w:rsid w:val="008F0A84"/>
    <w:rsid w:val="008F35B4"/>
    <w:rsid w:val="008F42B6"/>
    <w:rsid w:val="008F4C29"/>
    <w:rsid w:val="008F527D"/>
    <w:rsid w:val="008F5532"/>
    <w:rsid w:val="008F579D"/>
    <w:rsid w:val="008F5946"/>
    <w:rsid w:val="008F5D36"/>
    <w:rsid w:val="008F6FE5"/>
    <w:rsid w:val="008F71F8"/>
    <w:rsid w:val="008F7241"/>
    <w:rsid w:val="008F72AF"/>
    <w:rsid w:val="008F739C"/>
    <w:rsid w:val="008F7413"/>
    <w:rsid w:val="008F7C5B"/>
    <w:rsid w:val="008F7CA4"/>
    <w:rsid w:val="0090004B"/>
    <w:rsid w:val="00900559"/>
    <w:rsid w:val="00900595"/>
    <w:rsid w:val="00900B9F"/>
    <w:rsid w:val="00900BB5"/>
    <w:rsid w:val="00900E47"/>
    <w:rsid w:val="009011E5"/>
    <w:rsid w:val="0090141D"/>
    <w:rsid w:val="00902809"/>
    <w:rsid w:val="00902BD9"/>
    <w:rsid w:val="00903B1D"/>
    <w:rsid w:val="009046EE"/>
    <w:rsid w:val="0090497F"/>
    <w:rsid w:val="00904EA3"/>
    <w:rsid w:val="0090513C"/>
    <w:rsid w:val="00905D14"/>
    <w:rsid w:val="0090680E"/>
    <w:rsid w:val="00907603"/>
    <w:rsid w:val="00907773"/>
    <w:rsid w:val="00910507"/>
    <w:rsid w:val="009110ED"/>
    <w:rsid w:val="00914BF8"/>
    <w:rsid w:val="00915F62"/>
    <w:rsid w:val="0091611C"/>
    <w:rsid w:val="009166F3"/>
    <w:rsid w:val="00917DBC"/>
    <w:rsid w:val="0092011B"/>
    <w:rsid w:val="00920245"/>
    <w:rsid w:val="00920EE8"/>
    <w:rsid w:val="00921A87"/>
    <w:rsid w:val="00923703"/>
    <w:rsid w:val="009243F9"/>
    <w:rsid w:val="009250C0"/>
    <w:rsid w:val="0092636E"/>
    <w:rsid w:val="00926C34"/>
    <w:rsid w:val="009308CB"/>
    <w:rsid w:val="009314C9"/>
    <w:rsid w:val="009314E5"/>
    <w:rsid w:val="00931E08"/>
    <w:rsid w:val="0093244D"/>
    <w:rsid w:val="00933C9F"/>
    <w:rsid w:val="00933D73"/>
    <w:rsid w:val="00934023"/>
    <w:rsid w:val="00934FC1"/>
    <w:rsid w:val="0093521D"/>
    <w:rsid w:val="009354AA"/>
    <w:rsid w:val="009371F5"/>
    <w:rsid w:val="00940AF4"/>
    <w:rsid w:val="00941459"/>
    <w:rsid w:val="009415D9"/>
    <w:rsid w:val="00942375"/>
    <w:rsid w:val="00942986"/>
    <w:rsid w:val="00942C91"/>
    <w:rsid w:val="009431B2"/>
    <w:rsid w:val="0094427F"/>
    <w:rsid w:val="00945576"/>
    <w:rsid w:val="00946418"/>
    <w:rsid w:val="00946B24"/>
    <w:rsid w:val="009471FF"/>
    <w:rsid w:val="00947B64"/>
    <w:rsid w:val="00950EDF"/>
    <w:rsid w:val="009512D5"/>
    <w:rsid w:val="0095134F"/>
    <w:rsid w:val="009515BC"/>
    <w:rsid w:val="00953CFC"/>
    <w:rsid w:val="009547C9"/>
    <w:rsid w:val="00954B34"/>
    <w:rsid w:val="00955DBA"/>
    <w:rsid w:val="00956730"/>
    <w:rsid w:val="009568C4"/>
    <w:rsid w:val="00956CE0"/>
    <w:rsid w:val="00957B67"/>
    <w:rsid w:val="00957C2E"/>
    <w:rsid w:val="00957C35"/>
    <w:rsid w:val="00957CAC"/>
    <w:rsid w:val="0096113D"/>
    <w:rsid w:val="00961651"/>
    <w:rsid w:val="00961EA0"/>
    <w:rsid w:val="00962E3F"/>
    <w:rsid w:val="00962F36"/>
    <w:rsid w:val="00963FF1"/>
    <w:rsid w:val="009645E4"/>
    <w:rsid w:val="00965DD8"/>
    <w:rsid w:val="00966CBF"/>
    <w:rsid w:val="009672E2"/>
    <w:rsid w:val="009674C4"/>
    <w:rsid w:val="009711B5"/>
    <w:rsid w:val="009714D4"/>
    <w:rsid w:val="00972978"/>
    <w:rsid w:val="009744E1"/>
    <w:rsid w:val="00974D21"/>
    <w:rsid w:val="009750AC"/>
    <w:rsid w:val="00976621"/>
    <w:rsid w:val="00976DEE"/>
    <w:rsid w:val="00976F6D"/>
    <w:rsid w:val="0097772E"/>
    <w:rsid w:val="00980D1C"/>
    <w:rsid w:val="00981CD7"/>
    <w:rsid w:val="00981CE9"/>
    <w:rsid w:val="009822C4"/>
    <w:rsid w:val="009838A5"/>
    <w:rsid w:val="00983AE2"/>
    <w:rsid w:val="00984508"/>
    <w:rsid w:val="009859F8"/>
    <w:rsid w:val="009862F9"/>
    <w:rsid w:val="009871BC"/>
    <w:rsid w:val="009873BD"/>
    <w:rsid w:val="00991A07"/>
    <w:rsid w:val="00992F48"/>
    <w:rsid w:val="00993B2E"/>
    <w:rsid w:val="00993CCA"/>
    <w:rsid w:val="0099475E"/>
    <w:rsid w:val="0099574D"/>
    <w:rsid w:val="00995A6D"/>
    <w:rsid w:val="00995B3F"/>
    <w:rsid w:val="00996AFF"/>
    <w:rsid w:val="00996DC6"/>
    <w:rsid w:val="00996DF1"/>
    <w:rsid w:val="00996FBD"/>
    <w:rsid w:val="009A12E4"/>
    <w:rsid w:val="009A2C4B"/>
    <w:rsid w:val="009A3EC9"/>
    <w:rsid w:val="009A42B4"/>
    <w:rsid w:val="009A5A60"/>
    <w:rsid w:val="009A5D18"/>
    <w:rsid w:val="009A69C1"/>
    <w:rsid w:val="009B1E94"/>
    <w:rsid w:val="009B2068"/>
    <w:rsid w:val="009B2D58"/>
    <w:rsid w:val="009B3A50"/>
    <w:rsid w:val="009B4294"/>
    <w:rsid w:val="009B539E"/>
    <w:rsid w:val="009B6C5B"/>
    <w:rsid w:val="009B6FBA"/>
    <w:rsid w:val="009C033B"/>
    <w:rsid w:val="009C0919"/>
    <w:rsid w:val="009C125B"/>
    <w:rsid w:val="009C1607"/>
    <w:rsid w:val="009C5E4C"/>
    <w:rsid w:val="009C6B63"/>
    <w:rsid w:val="009C7A1A"/>
    <w:rsid w:val="009D11D4"/>
    <w:rsid w:val="009D23BE"/>
    <w:rsid w:val="009D2425"/>
    <w:rsid w:val="009D2C01"/>
    <w:rsid w:val="009D2DF2"/>
    <w:rsid w:val="009D2EC4"/>
    <w:rsid w:val="009D2F88"/>
    <w:rsid w:val="009D3948"/>
    <w:rsid w:val="009D3991"/>
    <w:rsid w:val="009D3B4E"/>
    <w:rsid w:val="009D4AB1"/>
    <w:rsid w:val="009D56A6"/>
    <w:rsid w:val="009D6C7E"/>
    <w:rsid w:val="009D7D93"/>
    <w:rsid w:val="009E05EF"/>
    <w:rsid w:val="009E1D63"/>
    <w:rsid w:val="009E29C4"/>
    <w:rsid w:val="009E3651"/>
    <w:rsid w:val="009E3FD6"/>
    <w:rsid w:val="009E461F"/>
    <w:rsid w:val="009E499D"/>
    <w:rsid w:val="009E4BBC"/>
    <w:rsid w:val="009E5598"/>
    <w:rsid w:val="009E6213"/>
    <w:rsid w:val="009E62FF"/>
    <w:rsid w:val="009E65EE"/>
    <w:rsid w:val="009E6D7B"/>
    <w:rsid w:val="009F11E0"/>
    <w:rsid w:val="009F1882"/>
    <w:rsid w:val="009F2CC0"/>
    <w:rsid w:val="009F301C"/>
    <w:rsid w:val="009F3345"/>
    <w:rsid w:val="009F35EA"/>
    <w:rsid w:val="009F4D6B"/>
    <w:rsid w:val="009F5F8F"/>
    <w:rsid w:val="00A000D8"/>
    <w:rsid w:val="00A001BC"/>
    <w:rsid w:val="00A00826"/>
    <w:rsid w:val="00A02F10"/>
    <w:rsid w:val="00A0378A"/>
    <w:rsid w:val="00A04826"/>
    <w:rsid w:val="00A05A8B"/>
    <w:rsid w:val="00A0690F"/>
    <w:rsid w:val="00A0695E"/>
    <w:rsid w:val="00A10018"/>
    <w:rsid w:val="00A10CA7"/>
    <w:rsid w:val="00A114CC"/>
    <w:rsid w:val="00A11C71"/>
    <w:rsid w:val="00A134ED"/>
    <w:rsid w:val="00A13752"/>
    <w:rsid w:val="00A140F0"/>
    <w:rsid w:val="00A142F5"/>
    <w:rsid w:val="00A14817"/>
    <w:rsid w:val="00A16048"/>
    <w:rsid w:val="00A16163"/>
    <w:rsid w:val="00A167A1"/>
    <w:rsid w:val="00A20597"/>
    <w:rsid w:val="00A20B42"/>
    <w:rsid w:val="00A20DE7"/>
    <w:rsid w:val="00A20E05"/>
    <w:rsid w:val="00A20E5C"/>
    <w:rsid w:val="00A21EA8"/>
    <w:rsid w:val="00A22AD6"/>
    <w:rsid w:val="00A22F60"/>
    <w:rsid w:val="00A2358B"/>
    <w:rsid w:val="00A255B4"/>
    <w:rsid w:val="00A2592E"/>
    <w:rsid w:val="00A303C4"/>
    <w:rsid w:val="00A30808"/>
    <w:rsid w:val="00A3107F"/>
    <w:rsid w:val="00A311DA"/>
    <w:rsid w:val="00A32CCA"/>
    <w:rsid w:val="00A33708"/>
    <w:rsid w:val="00A33FD6"/>
    <w:rsid w:val="00A34B5F"/>
    <w:rsid w:val="00A35108"/>
    <w:rsid w:val="00A352B5"/>
    <w:rsid w:val="00A35D56"/>
    <w:rsid w:val="00A36D9C"/>
    <w:rsid w:val="00A40652"/>
    <w:rsid w:val="00A410DF"/>
    <w:rsid w:val="00A42180"/>
    <w:rsid w:val="00A42AC1"/>
    <w:rsid w:val="00A42EAA"/>
    <w:rsid w:val="00A4359B"/>
    <w:rsid w:val="00A43EC9"/>
    <w:rsid w:val="00A4481D"/>
    <w:rsid w:val="00A44C70"/>
    <w:rsid w:val="00A44E78"/>
    <w:rsid w:val="00A45718"/>
    <w:rsid w:val="00A46257"/>
    <w:rsid w:val="00A4647C"/>
    <w:rsid w:val="00A46D9E"/>
    <w:rsid w:val="00A4705C"/>
    <w:rsid w:val="00A4753C"/>
    <w:rsid w:val="00A47CB6"/>
    <w:rsid w:val="00A50287"/>
    <w:rsid w:val="00A505A1"/>
    <w:rsid w:val="00A506F1"/>
    <w:rsid w:val="00A51143"/>
    <w:rsid w:val="00A512C3"/>
    <w:rsid w:val="00A512DE"/>
    <w:rsid w:val="00A518EF"/>
    <w:rsid w:val="00A519D2"/>
    <w:rsid w:val="00A524EE"/>
    <w:rsid w:val="00A5333D"/>
    <w:rsid w:val="00A5442A"/>
    <w:rsid w:val="00A54434"/>
    <w:rsid w:val="00A54545"/>
    <w:rsid w:val="00A57228"/>
    <w:rsid w:val="00A57541"/>
    <w:rsid w:val="00A6110F"/>
    <w:rsid w:val="00A615AE"/>
    <w:rsid w:val="00A62386"/>
    <w:rsid w:val="00A62B71"/>
    <w:rsid w:val="00A633BF"/>
    <w:rsid w:val="00A6398A"/>
    <w:rsid w:val="00A6497C"/>
    <w:rsid w:val="00A64C8A"/>
    <w:rsid w:val="00A64FF5"/>
    <w:rsid w:val="00A650EB"/>
    <w:rsid w:val="00A66018"/>
    <w:rsid w:val="00A6785B"/>
    <w:rsid w:val="00A703DD"/>
    <w:rsid w:val="00A70BC1"/>
    <w:rsid w:val="00A70C0D"/>
    <w:rsid w:val="00A70CDE"/>
    <w:rsid w:val="00A723B6"/>
    <w:rsid w:val="00A729F9"/>
    <w:rsid w:val="00A7310E"/>
    <w:rsid w:val="00A74DAE"/>
    <w:rsid w:val="00A7518E"/>
    <w:rsid w:val="00A764FA"/>
    <w:rsid w:val="00A76BC7"/>
    <w:rsid w:val="00A76DCF"/>
    <w:rsid w:val="00A8086D"/>
    <w:rsid w:val="00A80EA0"/>
    <w:rsid w:val="00A81877"/>
    <w:rsid w:val="00A81DDC"/>
    <w:rsid w:val="00A825AB"/>
    <w:rsid w:val="00A831BD"/>
    <w:rsid w:val="00A83668"/>
    <w:rsid w:val="00A83DC1"/>
    <w:rsid w:val="00A84070"/>
    <w:rsid w:val="00A8512A"/>
    <w:rsid w:val="00A873F1"/>
    <w:rsid w:val="00A87C29"/>
    <w:rsid w:val="00A90385"/>
    <w:rsid w:val="00A909DC"/>
    <w:rsid w:val="00A90FA2"/>
    <w:rsid w:val="00A91F9B"/>
    <w:rsid w:val="00A92A25"/>
    <w:rsid w:val="00A930C7"/>
    <w:rsid w:val="00A9327A"/>
    <w:rsid w:val="00A932CE"/>
    <w:rsid w:val="00A95428"/>
    <w:rsid w:val="00A96E60"/>
    <w:rsid w:val="00A97760"/>
    <w:rsid w:val="00A97B00"/>
    <w:rsid w:val="00AA047D"/>
    <w:rsid w:val="00AA064D"/>
    <w:rsid w:val="00AA2135"/>
    <w:rsid w:val="00AA2699"/>
    <w:rsid w:val="00AA2A3B"/>
    <w:rsid w:val="00AA4CC9"/>
    <w:rsid w:val="00AA58AE"/>
    <w:rsid w:val="00AA5909"/>
    <w:rsid w:val="00AA6043"/>
    <w:rsid w:val="00AA63CB"/>
    <w:rsid w:val="00AA78EA"/>
    <w:rsid w:val="00AA7F29"/>
    <w:rsid w:val="00AB1033"/>
    <w:rsid w:val="00AB10BC"/>
    <w:rsid w:val="00AB1E31"/>
    <w:rsid w:val="00AB267D"/>
    <w:rsid w:val="00AB27A4"/>
    <w:rsid w:val="00AB2E0C"/>
    <w:rsid w:val="00AB4503"/>
    <w:rsid w:val="00AB4796"/>
    <w:rsid w:val="00AB4EAD"/>
    <w:rsid w:val="00AB5D48"/>
    <w:rsid w:val="00AB62ED"/>
    <w:rsid w:val="00AB6CF7"/>
    <w:rsid w:val="00AC02DD"/>
    <w:rsid w:val="00AC02EC"/>
    <w:rsid w:val="00AC07A5"/>
    <w:rsid w:val="00AC1317"/>
    <w:rsid w:val="00AC2497"/>
    <w:rsid w:val="00AC2C1D"/>
    <w:rsid w:val="00AC572D"/>
    <w:rsid w:val="00AC5B1B"/>
    <w:rsid w:val="00AC5F80"/>
    <w:rsid w:val="00AC6426"/>
    <w:rsid w:val="00AD043C"/>
    <w:rsid w:val="00AD081A"/>
    <w:rsid w:val="00AD202B"/>
    <w:rsid w:val="00AD2717"/>
    <w:rsid w:val="00AD284E"/>
    <w:rsid w:val="00AD3A60"/>
    <w:rsid w:val="00AD442E"/>
    <w:rsid w:val="00AD44F3"/>
    <w:rsid w:val="00AD57D9"/>
    <w:rsid w:val="00AD6C58"/>
    <w:rsid w:val="00AD6E02"/>
    <w:rsid w:val="00AD7720"/>
    <w:rsid w:val="00AD784C"/>
    <w:rsid w:val="00AE098A"/>
    <w:rsid w:val="00AE0A59"/>
    <w:rsid w:val="00AE1DF5"/>
    <w:rsid w:val="00AE2278"/>
    <w:rsid w:val="00AE3438"/>
    <w:rsid w:val="00AE34FD"/>
    <w:rsid w:val="00AE3A87"/>
    <w:rsid w:val="00AE60F3"/>
    <w:rsid w:val="00AE68A4"/>
    <w:rsid w:val="00AE722E"/>
    <w:rsid w:val="00AE7691"/>
    <w:rsid w:val="00AE7930"/>
    <w:rsid w:val="00AF01D2"/>
    <w:rsid w:val="00AF0DDD"/>
    <w:rsid w:val="00AF13DB"/>
    <w:rsid w:val="00AF2674"/>
    <w:rsid w:val="00AF2C08"/>
    <w:rsid w:val="00AF4E34"/>
    <w:rsid w:val="00AF5A13"/>
    <w:rsid w:val="00AF5BF7"/>
    <w:rsid w:val="00AF5C59"/>
    <w:rsid w:val="00AF672A"/>
    <w:rsid w:val="00AF7198"/>
    <w:rsid w:val="00AF735A"/>
    <w:rsid w:val="00AF74B4"/>
    <w:rsid w:val="00AF7A57"/>
    <w:rsid w:val="00AF7D8E"/>
    <w:rsid w:val="00AF7E26"/>
    <w:rsid w:val="00B0039F"/>
    <w:rsid w:val="00B01802"/>
    <w:rsid w:val="00B0188B"/>
    <w:rsid w:val="00B01AC6"/>
    <w:rsid w:val="00B01E03"/>
    <w:rsid w:val="00B025DA"/>
    <w:rsid w:val="00B02C7C"/>
    <w:rsid w:val="00B0325D"/>
    <w:rsid w:val="00B03AA7"/>
    <w:rsid w:val="00B04673"/>
    <w:rsid w:val="00B0481A"/>
    <w:rsid w:val="00B04EEF"/>
    <w:rsid w:val="00B055DB"/>
    <w:rsid w:val="00B075AD"/>
    <w:rsid w:val="00B07963"/>
    <w:rsid w:val="00B10675"/>
    <w:rsid w:val="00B10EC5"/>
    <w:rsid w:val="00B11269"/>
    <w:rsid w:val="00B112BC"/>
    <w:rsid w:val="00B12601"/>
    <w:rsid w:val="00B12F0D"/>
    <w:rsid w:val="00B13837"/>
    <w:rsid w:val="00B14432"/>
    <w:rsid w:val="00B151EE"/>
    <w:rsid w:val="00B16203"/>
    <w:rsid w:val="00B169D7"/>
    <w:rsid w:val="00B16B54"/>
    <w:rsid w:val="00B1713B"/>
    <w:rsid w:val="00B2231D"/>
    <w:rsid w:val="00B25484"/>
    <w:rsid w:val="00B25656"/>
    <w:rsid w:val="00B27577"/>
    <w:rsid w:val="00B27642"/>
    <w:rsid w:val="00B2798B"/>
    <w:rsid w:val="00B27BED"/>
    <w:rsid w:val="00B302E9"/>
    <w:rsid w:val="00B30B2D"/>
    <w:rsid w:val="00B30E17"/>
    <w:rsid w:val="00B315E2"/>
    <w:rsid w:val="00B32125"/>
    <w:rsid w:val="00B32BB2"/>
    <w:rsid w:val="00B332AE"/>
    <w:rsid w:val="00B33722"/>
    <w:rsid w:val="00B33D60"/>
    <w:rsid w:val="00B34AD8"/>
    <w:rsid w:val="00B34C91"/>
    <w:rsid w:val="00B357A9"/>
    <w:rsid w:val="00B35AF3"/>
    <w:rsid w:val="00B36371"/>
    <w:rsid w:val="00B365D4"/>
    <w:rsid w:val="00B36D5E"/>
    <w:rsid w:val="00B40115"/>
    <w:rsid w:val="00B40242"/>
    <w:rsid w:val="00B40476"/>
    <w:rsid w:val="00B40B6B"/>
    <w:rsid w:val="00B40BED"/>
    <w:rsid w:val="00B4242A"/>
    <w:rsid w:val="00B427B7"/>
    <w:rsid w:val="00B42E8E"/>
    <w:rsid w:val="00B43B0E"/>
    <w:rsid w:val="00B44557"/>
    <w:rsid w:val="00B44AC3"/>
    <w:rsid w:val="00B44ADE"/>
    <w:rsid w:val="00B45EA9"/>
    <w:rsid w:val="00B46385"/>
    <w:rsid w:val="00B4653C"/>
    <w:rsid w:val="00B46EF2"/>
    <w:rsid w:val="00B47F49"/>
    <w:rsid w:val="00B502B0"/>
    <w:rsid w:val="00B513D8"/>
    <w:rsid w:val="00B51766"/>
    <w:rsid w:val="00B51B8A"/>
    <w:rsid w:val="00B51FCD"/>
    <w:rsid w:val="00B52098"/>
    <w:rsid w:val="00B521C2"/>
    <w:rsid w:val="00B52C9B"/>
    <w:rsid w:val="00B52EC1"/>
    <w:rsid w:val="00B533FC"/>
    <w:rsid w:val="00B53955"/>
    <w:rsid w:val="00B53AD7"/>
    <w:rsid w:val="00B547DD"/>
    <w:rsid w:val="00B551B4"/>
    <w:rsid w:val="00B55241"/>
    <w:rsid w:val="00B55BB5"/>
    <w:rsid w:val="00B5653E"/>
    <w:rsid w:val="00B567DB"/>
    <w:rsid w:val="00B57529"/>
    <w:rsid w:val="00B579E3"/>
    <w:rsid w:val="00B60D8A"/>
    <w:rsid w:val="00B60F14"/>
    <w:rsid w:val="00B615AC"/>
    <w:rsid w:val="00B62F20"/>
    <w:rsid w:val="00B62F46"/>
    <w:rsid w:val="00B63C8B"/>
    <w:rsid w:val="00B6419D"/>
    <w:rsid w:val="00B67559"/>
    <w:rsid w:val="00B713D7"/>
    <w:rsid w:val="00B745FB"/>
    <w:rsid w:val="00B746B9"/>
    <w:rsid w:val="00B74DF2"/>
    <w:rsid w:val="00B756EF"/>
    <w:rsid w:val="00B75CAD"/>
    <w:rsid w:val="00B76D88"/>
    <w:rsid w:val="00B76DCA"/>
    <w:rsid w:val="00B770E0"/>
    <w:rsid w:val="00B7776D"/>
    <w:rsid w:val="00B80596"/>
    <w:rsid w:val="00B81AEA"/>
    <w:rsid w:val="00B81E07"/>
    <w:rsid w:val="00B822DA"/>
    <w:rsid w:val="00B848EF"/>
    <w:rsid w:val="00B850E5"/>
    <w:rsid w:val="00B85BA0"/>
    <w:rsid w:val="00B862CB"/>
    <w:rsid w:val="00B86F8F"/>
    <w:rsid w:val="00B90949"/>
    <w:rsid w:val="00B91688"/>
    <w:rsid w:val="00B91E8D"/>
    <w:rsid w:val="00B92A44"/>
    <w:rsid w:val="00B94A96"/>
    <w:rsid w:val="00B95BD8"/>
    <w:rsid w:val="00B9617E"/>
    <w:rsid w:val="00B96A31"/>
    <w:rsid w:val="00B96EC3"/>
    <w:rsid w:val="00B975C1"/>
    <w:rsid w:val="00B976B6"/>
    <w:rsid w:val="00BA0CB9"/>
    <w:rsid w:val="00BA1310"/>
    <w:rsid w:val="00BA3868"/>
    <w:rsid w:val="00BA45B8"/>
    <w:rsid w:val="00BA46E8"/>
    <w:rsid w:val="00BA4F62"/>
    <w:rsid w:val="00BA5E7C"/>
    <w:rsid w:val="00BA5F6A"/>
    <w:rsid w:val="00BA63DB"/>
    <w:rsid w:val="00BA68B5"/>
    <w:rsid w:val="00BA6B9B"/>
    <w:rsid w:val="00BA6D28"/>
    <w:rsid w:val="00BA77B0"/>
    <w:rsid w:val="00BA78E8"/>
    <w:rsid w:val="00BB0010"/>
    <w:rsid w:val="00BB00BE"/>
    <w:rsid w:val="00BB087E"/>
    <w:rsid w:val="00BB1561"/>
    <w:rsid w:val="00BB1E7F"/>
    <w:rsid w:val="00BB23FF"/>
    <w:rsid w:val="00BB2768"/>
    <w:rsid w:val="00BB288E"/>
    <w:rsid w:val="00BB2CA0"/>
    <w:rsid w:val="00BB327B"/>
    <w:rsid w:val="00BB5375"/>
    <w:rsid w:val="00BB71F6"/>
    <w:rsid w:val="00BB7970"/>
    <w:rsid w:val="00BB7AFA"/>
    <w:rsid w:val="00BC05B0"/>
    <w:rsid w:val="00BC1349"/>
    <w:rsid w:val="00BC14A0"/>
    <w:rsid w:val="00BC2A27"/>
    <w:rsid w:val="00BC3B13"/>
    <w:rsid w:val="00BC3C75"/>
    <w:rsid w:val="00BC3CA3"/>
    <w:rsid w:val="00BC4FAB"/>
    <w:rsid w:val="00BC5A20"/>
    <w:rsid w:val="00BC6156"/>
    <w:rsid w:val="00BC6DC3"/>
    <w:rsid w:val="00BC7504"/>
    <w:rsid w:val="00BD0761"/>
    <w:rsid w:val="00BD0868"/>
    <w:rsid w:val="00BD0A4F"/>
    <w:rsid w:val="00BD0A95"/>
    <w:rsid w:val="00BD0BEB"/>
    <w:rsid w:val="00BD0CCF"/>
    <w:rsid w:val="00BD0FBF"/>
    <w:rsid w:val="00BD134D"/>
    <w:rsid w:val="00BD1485"/>
    <w:rsid w:val="00BD1B31"/>
    <w:rsid w:val="00BD2E2C"/>
    <w:rsid w:val="00BD3507"/>
    <w:rsid w:val="00BD35D3"/>
    <w:rsid w:val="00BD3AA3"/>
    <w:rsid w:val="00BD3F44"/>
    <w:rsid w:val="00BD6FEE"/>
    <w:rsid w:val="00BD7AC2"/>
    <w:rsid w:val="00BD7C11"/>
    <w:rsid w:val="00BD7D67"/>
    <w:rsid w:val="00BD7E54"/>
    <w:rsid w:val="00BE0036"/>
    <w:rsid w:val="00BE0737"/>
    <w:rsid w:val="00BE10BD"/>
    <w:rsid w:val="00BE1810"/>
    <w:rsid w:val="00BE1B44"/>
    <w:rsid w:val="00BE214A"/>
    <w:rsid w:val="00BE3014"/>
    <w:rsid w:val="00BE385C"/>
    <w:rsid w:val="00BE3A2B"/>
    <w:rsid w:val="00BE3BBD"/>
    <w:rsid w:val="00BE4D78"/>
    <w:rsid w:val="00BE5E3D"/>
    <w:rsid w:val="00BE6F8B"/>
    <w:rsid w:val="00BE7467"/>
    <w:rsid w:val="00BE76AF"/>
    <w:rsid w:val="00BE7E9E"/>
    <w:rsid w:val="00BF1218"/>
    <w:rsid w:val="00BF17D2"/>
    <w:rsid w:val="00BF1E9D"/>
    <w:rsid w:val="00BF208C"/>
    <w:rsid w:val="00BF2286"/>
    <w:rsid w:val="00BF246E"/>
    <w:rsid w:val="00BF2818"/>
    <w:rsid w:val="00BF29B0"/>
    <w:rsid w:val="00BF354C"/>
    <w:rsid w:val="00BF38E1"/>
    <w:rsid w:val="00BF42BC"/>
    <w:rsid w:val="00BF44C0"/>
    <w:rsid w:val="00BF5131"/>
    <w:rsid w:val="00BF55A1"/>
    <w:rsid w:val="00BF5742"/>
    <w:rsid w:val="00BF60AB"/>
    <w:rsid w:val="00BF7FC6"/>
    <w:rsid w:val="00C00543"/>
    <w:rsid w:val="00C00A31"/>
    <w:rsid w:val="00C00AFB"/>
    <w:rsid w:val="00C00FC5"/>
    <w:rsid w:val="00C02352"/>
    <w:rsid w:val="00C025D1"/>
    <w:rsid w:val="00C03836"/>
    <w:rsid w:val="00C03977"/>
    <w:rsid w:val="00C03A34"/>
    <w:rsid w:val="00C055BD"/>
    <w:rsid w:val="00C0649D"/>
    <w:rsid w:val="00C06C0B"/>
    <w:rsid w:val="00C07027"/>
    <w:rsid w:val="00C074E2"/>
    <w:rsid w:val="00C07838"/>
    <w:rsid w:val="00C108E6"/>
    <w:rsid w:val="00C10E65"/>
    <w:rsid w:val="00C119D8"/>
    <w:rsid w:val="00C11FC7"/>
    <w:rsid w:val="00C12043"/>
    <w:rsid w:val="00C12846"/>
    <w:rsid w:val="00C133E3"/>
    <w:rsid w:val="00C13438"/>
    <w:rsid w:val="00C14AC2"/>
    <w:rsid w:val="00C15135"/>
    <w:rsid w:val="00C1598A"/>
    <w:rsid w:val="00C1650A"/>
    <w:rsid w:val="00C16EB3"/>
    <w:rsid w:val="00C16EBD"/>
    <w:rsid w:val="00C17E31"/>
    <w:rsid w:val="00C20BD7"/>
    <w:rsid w:val="00C216FC"/>
    <w:rsid w:val="00C250A0"/>
    <w:rsid w:val="00C250DC"/>
    <w:rsid w:val="00C25B0B"/>
    <w:rsid w:val="00C264C6"/>
    <w:rsid w:val="00C26AFD"/>
    <w:rsid w:val="00C26F01"/>
    <w:rsid w:val="00C27351"/>
    <w:rsid w:val="00C27852"/>
    <w:rsid w:val="00C30435"/>
    <w:rsid w:val="00C310F0"/>
    <w:rsid w:val="00C31E3C"/>
    <w:rsid w:val="00C32CC1"/>
    <w:rsid w:val="00C343E8"/>
    <w:rsid w:val="00C3542B"/>
    <w:rsid w:val="00C35563"/>
    <w:rsid w:val="00C3651C"/>
    <w:rsid w:val="00C378A0"/>
    <w:rsid w:val="00C37D14"/>
    <w:rsid w:val="00C404F2"/>
    <w:rsid w:val="00C4058F"/>
    <w:rsid w:val="00C40A27"/>
    <w:rsid w:val="00C40F0C"/>
    <w:rsid w:val="00C41EAE"/>
    <w:rsid w:val="00C41F32"/>
    <w:rsid w:val="00C4202A"/>
    <w:rsid w:val="00C42616"/>
    <w:rsid w:val="00C43965"/>
    <w:rsid w:val="00C43ABB"/>
    <w:rsid w:val="00C44824"/>
    <w:rsid w:val="00C46471"/>
    <w:rsid w:val="00C4661F"/>
    <w:rsid w:val="00C46921"/>
    <w:rsid w:val="00C478C4"/>
    <w:rsid w:val="00C50B0E"/>
    <w:rsid w:val="00C50EAB"/>
    <w:rsid w:val="00C50F50"/>
    <w:rsid w:val="00C50F68"/>
    <w:rsid w:val="00C51713"/>
    <w:rsid w:val="00C518CB"/>
    <w:rsid w:val="00C51F77"/>
    <w:rsid w:val="00C52706"/>
    <w:rsid w:val="00C539AE"/>
    <w:rsid w:val="00C53D37"/>
    <w:rsid w:val="00C55334"/>
    <w:rsid w:val="00C55C5A"/>
    <w:rsid w:val="00C56CEE"/>
    <w:rsid w:val="00C5751F"/>
    <w:rsid w:val="00C57957"/>
    <w:rsid w:val="00C57959"/>
    <w:rsid w:val="00C61998"/>
    <w:rsid w:val="00C62DA9"/>
    <w:rsid w:val="00C64408"/>
    <w:rsid w:val="00C64945"/>
    <w:rsid w:val="00C658CE"/>
    <w:rsid w:val="00C65961"/>
    <w:rsid w:val="00C65FBF"/>
    <w:rsid w:val="00C66343"/>
    <w:rsid w:val="00C669C6"/>
    <w:rsid w:val="00C66C2C"/>
    <w:rsid w:val="00C67497"/>
    <w:rsid w:val="00C67EB2"/>
    <w:rsid w:val="00C71065"/>
    <w:rsid w:val="00C7172A"/>
    <w:rsid w:val="00C718A2"/>
    <w:rsid w:val="00C7563B"/>
    <w:rsid w:val="00C76AB7"/>
    <w:rsid w:val="00C76DB9"/>
    <w:rsid w:val="00C77A5A"/>
    <w:rsid w:val="00C80036"/>
    <w:rsid w:val="00C80109"/>
    <w:rsid w:val="00C8044F"/>
    <w:rsid w:val="00C809F6"/>
    <w:rsid w:val="00C80BAE"/>
    <w:rsid w:val="00C80CAC"/>
    <w:rsid w:val="00C810F9"/>
    <w:rsid w:val="00C81853"/>
    <w:rsid w:val="00C818D1"/>
    <w:rsid w:val="00C81AD4"/>
    <w:rsid w:val="00C81CBF"/>
    <w:rsid w:val="00C824C8"/>
    <w:rsid w:val="00C82E31"/>
    <w:rsid w:val="00C82EB3"/>
    <w:rsid w:val="00C83A9A"/>
    <w:rsid w:val="00C85414"/>
    <w:rsid w:val="00C86409"/>
    <w:rsid w:val="00C866C4"/>
    <w:rsid w:val="00C87105"/>
    <w:rsid w:val="00C87CB6"/>
    <w:rsid w:val="00C87E00"/>
    <w:rsid w:val="00C90429"/>
    <w:rsid w:val="00C90A89"/>
    <w:rsid w:val="00C91BD4"/>
    <w:rsid w:val="00C9200D"/>
    <w:rsid w:val="00C9263C"/>
    <w:rsid w:val="00C9299D"/>
    <w:rsid w:val="00C9335E"/>
    <w:rsid w:val="00C94A9A"/>
    <w:rsid w:val="00C95407"/>
    <w:rsid w:val="00C9567A"/>
    <w:rsid w:val="00C9775B"/>
    <w:rsid w:val="00C9795B"/>
    <w:rsid w:val="00C97B40"/>
    <w:rsid w:val="00CA0444"/>
    <w:rsid w:val="00CA12EF"/>
    <w:rsid w:val="00CA2760"/>
    <w:rsid w:val="00CA3405"/>
    <w:rsid w:val="00CA3F76"/>
    <w:rsid w:val="00CA40AC"/>
    <w:rsid w:val="00CA41EC"/>
    <w:rsid w:val="00CA5CC7"/>
    <w:rsid w:val="00CA778C"/>
    <w:rsid w:val="00CA7D0E"/>
    <w:rsid w:val="00CB3355"/>
    <w:rsid w:val="00CB38CE"/>
    <w:rsid w:val="00CB394A"/>
    <w:rsid w:val="00CB3AA6"/>
    <w:rsid w:val="00CB3B24"/>
    <w:rsid w:val="00CB56A2"/>
    <w:rsid w:val="00CB5BEE"/>
    <w:rsid w:val="00CB73DC"/>
    <w:rsid w:val="00CB79D0"/>
    <w:rsid w:val="00CC180B"/>
    <w:rsid w:val="00CC1C5C"/>
    <w:rsid w:val="00CC237D"/>
    <w:rsid w:val="00CC29F6"/>
    <w:rsid w:val="00CC2B42"/>
    <w:rsid w:val="00CC3260"/>
    <w:rsid w:val="00CC3433"/>
    <w:rsid w:val="00CC398C"/>
    <w:rsid w:val="00CC3AD2"/>
    <w:rsid w:val="00CC48EB"/>
    <w:rsid w:val="00CC51B1"/>
    <w:rsid w:val="00CC5337"/>
    <w:rsid w:val="00CC5592"/>
    <w:rsid w:val="00CC5EFB"/>
    <w:rsid w:val="00CC6065"/>
    <w:rsid w:val="00CC61B4"/>
    <w:rsid w:val="00CC7863"/>
    <w:rsid w:val="00CD06D4"/>
    <w:rsid w:val="00CD081E"/>
    <w:rsid w:val="00CD0D68"/>
    <w:rsid w:val="00CD226B"/>
    <w:rsid w:val="00CD398D"/>
    <w:rsid w:val="00CD5A01"/>
    <w:rsid w:val="00CD5BB4"/>
    <w:rsid w:val="00CD617A"/>
    <w:rsid w:val="00CD64D6"/>
    <w:rsid w:val="00CD7042"/>
    <w:rsid w:val="00CE0502"/>
    <w:rsid w:val="00CE1EEE"/>
    <w:rsid w:val="00CE23AC"/>
    <w:rsid w:val="00CE2D9D"/>
    <w:rsid w:val="00CE2E45"/>
    <w:rsid w:val="00CE3628"/>
    <w:rsid w:val="00CE5023"/>
    <w:rsid w:val="00CE5452"/>
    <w:rsid w:val="00CE55ED"/>
    <w:rsid w:val="00CE57D7"/>
    <w:rsid w:val="00CE6C88"/>
    <w:rsid w:val="00CE7159"/>
    <w:rsid w:val="00CE71B4"/>
    <w:rsid w:val="00CE7538"/>
    <w:rsid w:val="00CE7C4D"/>
    <w:rsid w:val="00CF1191"/>
    <w:rsid w:val="00CF1FD3"/>
    <w:rsid w:val="00CF2786"/>
    <w:rsid w:val="00CF2F44"/>
    <w:rsid w:val="00CF5F74"/>
    <w:rsid w:val="00CF6148"/>
    <w:rsid w:val="00CF78E2"/>
    <w:rsid w:val="00CF7BF4"/>
    <w:rsid w:val="00D019CC"/>
    <w:rsid w:val="00D02C21"/>
    <w:rsid w:val="00D02C9C"/>
    <w:rsid w:val="00D03A72"/>
    <w:rsid w:val="00D04E8D"/>
    <w:rsid w:val="00D0533C"/>
    <w:rsid w:val="00D05C89"/>
    <w:rsid w:val="00D05CB5"/>
    <w:rsid w:val="00D05D90"/>
    <w:rsid w:val="00D06487"/>
    <w:rsid w:val="00D07E3C"/>
    <w:rsid w:val="00D10543"/>
    <w:rsid w:val="00D108D5"/>
    <w:rsid w:val="00D10AF5"/>
    <w:rsid w:val="00D10B07"/>
    <w:rsid w:val="00D10E58"/>
    <w:rsid w:val="00D11927"/>
    <w:rsid w:val="00D11BB5"/>
    <w:rsid w:val="00D11C0D"/>
    <w:rsid w:val="00D11E1D"/>
    <w:rsid w:val="00D124F4"/>
    <w:rsid w:val="00D12AE3"/>
    <w:rsid w:val="00D1390D"/>
    <w:rsid w:val="00D13D5E"/>
    <w:rsid w:val="00D14772"/>
    <w:rsid w:val="00D15002"/>
    <w:rsid w:val="00D1536F"/>
    <w:rsid w:val="00D15CFC"/>
    <w:rsid w:val="00D2001F"/>
    <w:rsid w:val="00D203FB"/>
    <w:rsid w:val="00D21879"/>
    <w:rsid w:val="00D218EA"/>
    <w:rsid w:val="00D21933"/>
    <w:rsid w:val="00D22B6B"/>
    <w:rsid w:val="00D23165"/>
    <w:rsid w:val="00D23B5D"/>
    <w:rsid w:val="00D24612"/>
    <w:rsid w:val="00D24BCA"/>
    <w:rsid w:val="00D24EF1"/>
    <w:rsid w:val="00D26422"/>
    <w:rsid w:val="00D26AF3"/>
    <w:rsid w:val="00D305AD"/>
    <w:rsid w:val="00D3111D"/>
    <w:rsid w:val="00D3118D"/>
    <w:rsid w:val="00D3168F"/>
    <w:rsid w:val="00D31A51"/>
    <w:rsid w:val="00D32AEE"/>
    <w:rsid w:val="00D33606"/>
    <w:rsid w:val="00D339E7"/>
    <w:rsid w:val="00D3404D"/>
    <w:rsid w:val="00D34562"/>
    <w:rsid w:val="00D347A7"/>
    <w:rsid w:val="00D34C73"/>
    <w:rsid w:val="00D34F96"/>
    <w:rsid w:val="00D352EE"/>
    <w:rsid w:val="00D368ED"/>
    <w:rsid w:val="00D36924"/>
    <w:rsid w:val="00D36ED9"/>
    <w:rsid w:val="00D37288"/>
    <w:rsid w:val="00D377E9"/>
    <w:rsid w:val="00D37897"/>
    <w:rsid w:val="00D37A54"/>
    <w:rsid w:val="00D4166B"/>
    <w:rsid w:val="00D419E8"/>
    <w:rsid w:val="00D41E69"/>
    <w:rsid w:val="00D41F78"/>
    <w:rsid w:val="00D42F2D"/>
    <w:rsid w:val="00D43730"/>
    <w:rsid w:val="00D43C48"/>
    <w:rsid w:val="00D43D10"/>
    <w:rsid w:val="00D43DDF"/>
    <w:rsid w:val="00D44813"/>
    <w:rsid w:val="00D460B5"/>
    <w:rsid w:val="00D46281"/>
    <w:rsid w:val="00D4643E"/>
    <w:rsid w:val="00D46617"/>
    <w:rsid w:val="00D47A29"/>
    <w:rsid w:val="00D47C41"/>
    <w:rsid w:val="00D50530"/>
    <w:rsid w:val="00D523DA"/>
    <w:rsid w:val="00D52748"/>
    <w:rsid w:val="00D52F05"/>
    <w:rsid w:val="00D53DA0"/>
    <w:rsid w:val="00D54C30"/>
    <w:rsid w:val="00D54E16"/>
    <w:rsid w:val="00D54E4A"/>
    <w:rsid w:val="00D54F5A"/>
    <w:rsid w:val="00D55ABB"/>
    <w:rsid w:val="00D55B59"/>
    <w:rsid w:val="00D5600F"/>
    <w:rsid w:val="00D562AC"/>
    <w:rsid w:val="00D56B44"/>
    <w:rsid w:val="00D57000"/>
    <w:rsid w:val="00D57066"/>
    <w:rsid w:val="00D579E1"/>
    <w:rsid w:val="00D60605"/>
    <w:rsid w:val="00D61B03"/>
    <w:rsid w:val="00D61DC4"/>
    <w:rsid w:val="00D62C7E"/>
    <w:rsid w:val="00D640DB"/>
    <w:rsid w:val="00D64728"/>
    <w:rsid w:val="00D64B9B"/>
    <w:rsid w:val="00D64FA1"/>
    <w:rsid w:val="00D65E1F"/>
    <w:rsid w:val="00D65FAE"/>
    <w:rsid w:val="00D66905"/>
    <w:rsid w:val="00D66937"/>
    <w:rsid w:val="00D66BC5"/>
    <w:rsid w:val="00D67541"/>
    <w:rsid w:val="00D707DC"/>
    <w:rsid w:val="00D721D8"/>
    <w:rsid w:val="00D728FC"/>
    <w:rsid w:val="00D73942"/>
    <w:rsid w:val="00D7471A"/>
    <w:rsid w:val="00D75BF8"/>
    <w:rsid w:val="00D7609D"/>
    <w:rsid w:val="00D76588"/>
    <w:rsid w:val="00D76914"/>
    <w:rsid w:val="00D769B9"/>
    <w:rsid w:val="00D76A57"/>
    <w:rsid w:val="00D77101"/>
    <w:rsid w:val="00D77623"/>
    <w:rsid w:val="00D77B72"/>
    <w:rsid w:val="00D8248A"/>
    <w:rsid w:val="00D8501D"/>
    <w:rsid w:val="00D86321"/>
    <w:rsid w:val="00D8654E"/>
    <w:rsid w:val="00D8680C"/>
    <w:rsid w:val="00D86DC7"/>
    <w:rsid w:val="00D903E0"/>
    <w:rsid w:val="00D9053F"/>
    <w:rsid w:val="00D906E0"/>
    <w:rsid w:val="00D90F1A"/>
    <w:rsid w:val="00D91753"/>
    <w:rsid w:val="00D91AF1"/>
    <w:rsid w:val="00D92AC0"/>
    <w:rsid w:val="00D92BC7"/>
    <w:rsid w:val="00D9325B"/>
    <w:rsid w:val="00D9335F"/>
    <w:rsid w:val="00D944EA"/>
    <w:rsid w:val="00D953D5"/>
    <w:rsid w:val="00D954FB"/>
    <w:rsid w:val="00D95554"/>
    <w:rsid w:val="00D9675A"/>
    <w:rsid w:val="00D975EC"/>
    <w:rsid w:val="00D97803"/>
    <w:rsid w:val="00DA01ED"/>
    <w:rsid w:val="00DA0CF3"/>
    <w:rsid w:val="00DA19C7"/>
    <w:rsid w:val="00DA213E"/>
    <w:rsid w:val="00DA2D01"/>
    <w:rsid w:val="00DA485E"/>
    <w:rsid w:val="00DA5560"/>
    <w:rsid w:val="00DA5B11"/>
    <w:rsid w:val="00DA6CD7"/>
    <w:rsid w:val="00DA7110"/>
    <w:rsid w:val="00DA762B"/>
    <w:rsid w:val="00DB114A"/>
    <w:rsid w:val="00DB1343"/>
    <w:rsid w:val="00DB183A"/>
    <w:rsid w:val="00DB192A"/>
    <w:rsid w:val="00DB26F8"/>
    <w:rsid w:val="00DB623D"/>
    <w:rsid w:val="00DB6327"/>
    <w:rsid w:val="00DB6541"/>
    <w:rsid w:val="00DB6A78"/>
    <w:rsid w:val="00DB6B09"/>
    <w:rsid w:val="00DC016B"/>
    <w:rsid w:val="00DC0C84"/>
    <w:rsid w:val="00DC0E4E"/>
    <w:rsid w:val="00DC0F03"/>
    <w:rsid w:val="00DC2BCA"/>
    <w:rsid w:val="00DC34A9"/>
    <w:rsid w:val="00DC45A4"/>
    <w:rsid w:val="00DC5993"/>
    <w:rsid w:val="00DC7527"/>
    <w:rsid w:val="00DD0450"/>
    <w:rsid w:val="00DD07DF"/>
    <w:rsid w:val="00DD1F55"/>
    <w:rsid w:val="00DD2F5C"/>
    <w:rsid w:val="00DD45D3"/>
    <w:rsid w:val="00DD591C"/>
    <w:rsid w:val="00DD5C08"/>
    <w:rsid w:val="00DD5D9D"/>
    <w:rsid w:val="00DD6915"/>
    <w:rsid w:val="00DD6AF1"/>
    <w:rsid w:val="00DD6B66"/>
    <w:rsid w:val="00DD6E04"/>
    <w:rsid w:val="00DD78CB"/>
    <w:rsid w:val="00DD79BB"/>
    <w:rsid w:val="00DE0FE4"/>
    <w:rsid w:val="00DE1378"/>
    <w:rsid w:val="00DE1EDE"/>
    <w:rsid w:val="00DE2A9C"/>
    <w:rsid w:val="00DE30F4"/>
    <w:rsid w:val="00DE3B94"/>
    <w:rsid w:val="00DE61A5"/>
    <w:rsid w:val="00DE7AF8"/>
    <w:rsid w:val="00DF08D1"/>
    <w:rsid w:val="00DF10EB"/>
    <w:rsid w:val="00DF2468"/>
    <w:rsid w:val="00DF2F4A"/>
    <w:rsid w:val="00DF32F4"/>
    <w:rsid w:val="00DF35BF"/>
    <w:rsid w:val="00DF3B44"/>
    <w:rsid w:val="00DF40E7"/>
    <w:rsid w:val="00DF4103"/>
    <w:rsid w:val="00DF5CA1"/>
    <w:rsid w:val="00DF6994"/>
    <w:rsid w:val="00E003AF"/>
    <w:rsid w:val="00E00D7D"/>
    <w:rsid w:val="00E039C4"/>
    <w:rsid w:val="00E03B1C"/>
    <w:rsid w:val="00E03B8D"/>
    <w:rsid w:val="00E03D51"/>
    <w:rsid w:val="00E04FE1"/>
    <w:rsid w:val="00E05666"/>
    <w:rsid w:val="00E05940"/>
    <w:rsid w:val="00E07BC7"/>
    <w:rsid w:val="00E11CAC"/>
    <w:rsid w:val="00E1284F"/>
    <w:rsid w:val="00E12A8E"/>
    <w:rsid w:val="00E12B03"/>
    <w:rsid w:val="00E140BC"/>
    <w:rsid w:val="00E15045"/>
    <w:rsid w:val="00E16669"/>
    <w:rsid w:val="00E16A0A"/>
    <w:rsid w:val="00E20975"/>
    <w:rsid w:val="00E22BED"/>
    <w:rsid w:val="00E22CA9"/>
    <w:rsid w:val="00E2341C"/>
    <w:rsid w:val="00E239E3"/>
    <w:rsid w:val="00E23AC3"/>
    <w:rsid w:val="00E23B94"/>
    <w:rsid w:val="00E244AD"/>
    <w:rsid w:val="00E248E5"/>
    <w:rsid w:val="00E26F4D"/>
    <w:rsid w:val="00E274E0"/>
    <w:rsid w:val="00E27D98"/>
    <w:rsid w:val="00E301D4"/>
    <w:rsid w:val="00E30DEB"/>
    <w:rsid w:val="00E3117F"/>
    <w:rsid w:val="00E319CE"/>
    <w:rsid w:val="00E320F5"/>
    <w:rsid w:val="00E32DAA"/>
    <w:rsid w:val="00E32E0D"/>
    <w:rsid w:val="00E344A9"/>
    <w:rsid w:val="00E348B1"/>
    <w:rsid w:val="00E36A1F"/>
    <w:rsid w:val="00E36CE2"/>
    <w:rsid w:val="00E36F80"/>
    <w:rsid w:val="00E3720F"/>
    <w:rsid w:val="00E37BED"/>
    <w:rsid w:val="00E407CC"/>
    <w:rsid w:val="00E416D1"/>
    <w:rsid w:val="00E41D61"/>
    <w:rsid w:val="00E42368"/>
    <w:rsid w:val="00E42BCC"/>
    <w:rsid w:val="00E43045"/>
    <w:rsid w:val="00E44248"/>
    <w:rsid w:val="00E44A45"/>
    <w:rsid w:val="00E455E8"/>
    <w:rsid w:val="00E45C76"/>
    <w:rsid w:val="00E45EEF"/>
    <w:rsid w:val="00E46418"/>
    <w:rsid w:val="00E478E5"/>
    <w:rsid w:val="00E4794B"/>
    <w:rsid w:val="00E50451"/>
    <w:rsid w:val="00E504F1"/>
    <w:rsid w:val="00E50A08"/>
    <w:rsid w:val="00E51039"/>
    <w:rsid w:val="00E51CD9"/>
    <w:rsid w:val="00E5264A"/>
    <w:rsid w:val="00E526A6"/>
    <w:rsid w:val="00E536AD"/>
    <w:rsid w:val="00E53E9F"/>
    <w:rsid w:val="00E53F4E"/>
    <w:rsid w:val="00E54289"/>
    <w:rsid w:val="00E54513"/>
    <w:rsid w:val="00E548E6"/>
    <w:rsid w:val="00E55988"/>
    <w:rsid w:val="00E56181"/>
    <w:rsid w:val="00E56350"/>
    <w:rsid w:val="00E56924"/>
    <w:rsid w:val="00E56BC5"/>
    <w:rsid w:val="00E56E04"/>
    <w:rsid w:val="00E56EBE"/>
    <w:rsid w:val="00E57305"/>
    <w:rsid w:val="00E57736"/>
    <w:rsid w:val="00E6042D"/>
    <w:rsid w:val="00E61544"/>
    <w:rsid w:val="00E62956"/>
    <w:rsid w:val="00E63357"/>
    <w:rsid w:val="00E63B95"/>
    <w:rsid w:val="00E63F7E"/>
    <w:rsid w:val="00E64501"/>
    <w:rsid w:val="00E64EBC"/>
    <w:rsid w:val="00E65727"/>
    <w:rsid w:val="00E705E3"/>
    <w:rsid w:val="00E7125F"/>
    <w:rsid w:val="00E71E04"/>
    <w:rsid w:val="00E72435"/>
    <w:rsid w:val="00E72A2B"/>
    <w:rsid w:val="00E73A08"/>
    <w:rsid w:val="00E73D69"/>
    <w:rsid w:val="00E73DF7"/>
    <w:rsid w:val="00E74CA5"/>
    <w:rsid w:val="00E75325"/>
    <w:rsid w:val="00E75B1E"/>
    <w:rsid w:val="00E76220"/>
    <w:rsid w:val="00E76FDC"/>
    <w:rsid w:val="00E773C3"/>
    <w:rsid w:val="00E77A6D"/>
    <w:rsid w:val="00E77D76"/>
    <w:rsid w:val="00E80557"/>
    <w:rsid w:val="00E82B21"/>
    <w:rsid w:val="00E83445"/>
    <w:rsid w:val="00E837BB"/>
    <w:rsid w:val="00E83AD9"/>
    <w:rsid w:val="00E8474B"/>
    <w:rsid w:val="00E86AF6"/>
    <w:rsid w:val="00E86D79"/>
    <w:rsid w:val="00E8769A"/>
    <w:rsid w:val="00E877C8"/>
    <w:rsid w:val="00E9009F"/>
    <w:rsid w:val="00E907D0"/>
    <w:rsid w:val="00E90922"/>
    <w:rsid w:val="00E90C6B"/>
    <w:rsid w:val="00E91732"/>
    <w:rsid w:val="00E91748"/>
    <w:rsid w:val="00E92542"/>
    <w:rsid w:val="00E92B85"/>
    <w:rsid w:val="00E92F34"/>
    <w:rsid w:val="00E940D9"/>
    <w:rsid w:val="00E945F8"/>
    <w:rsid w:val="00E94E43"/>
    <w:rsid w:val="00E95927"/>
    <w:rsid w:val="00E96A64"/>
    <w:rsid w:val="00EA0990"/>
    <w:rsid w:val="00EA0C33"/>
    <w:rsid w:val="00EA1037"/>
    <w:rsid w:val="00EA2828"/>
    <w:rsid w:val="00EA2A8C"/>
    <w:rsid w:val="00EA30B4"/>
    <w:rsid w:val="00EA3BCA"/>
    <w:rsid w:val="00EA4CBA"/>
    <w:rsid w:val="00EA4F45"/>
    <w:rsid w:val="00EA50D3"/>
    <w:rsid w:val="00EA75F9"/>
    <w:rsid w:val="00EA78CD"/>
    <w:rsid w:val="00EB0030"/>
    <w:rsid w:val="00EB08B3"/>
    <w:rsid w:val="00EB23DB"/>
    <w:rsid w:val="00EB2F7E"/>
    <w:rsid w:val="00EB37D2"/>
    <w:rsid w:val="00EB3C24"/>
    <w:rsid w:val="00EB4215"/>
    <w:rsid w:val="00EB559D"/>
    <w:rsid w:val="00EB63CD"/>
    <w:rsid w:val="00EC09B7"/>
    <w:rsid w:val="00EC0A88"/>
    <w:rsid w:val="00EC0C8C"/>
    <w:rsid w:val="00EC0F5A"/>
    <w:rsid w:val="00EC2651"/>
    <w:rsid w:val="00EC3685"/>
    <w:rsid w:val="00EC3812"/>
    <w:rsid w:val="00EC3A3F"/>
    <w:rsid w:val="00EC4813"/>
    <w:rsid w:val="00EC4895"/>
    <w:rsid w:val="00EC49D1"/>
    <w:rsid w:val="00EC5C90"/>
    <w:rsid w:val="00EC6614"/>
    <w:rsid w:val="00EC70B6"/>
    <w:rsid w:val="00EC7D2F"/>
    <w:rsid w:val="00ED26D6"/>
    <w:rsid w:val="00ED290A"/>
    <w:rsid w:val="00ED2BAE"/>
    <w:rsid w:val="00ED3DC2"/>
    <w:rsid w:val="00ED4013"/>
    <w:rsid w:val="00ED46FF"/>
    <w:rsid w:val="00ED5BF4"/>
    <w:rsid w:val="00ED5D02"/>
    <w:rsid w:val="00ED6810"/>
    <w:rsid w:val="00ED69EE"/>
    <w:rsid w:val="00ED6E66"/>
    <w:rsid w:val="00ED76F3"/>
    <w:rsid w:val="00ED78A9"/>
    <w:rsid w:val="00EE0365"/>
    <w:rsid w:val="00EE1636"/>
    <w:rsid w:val="00EE20CC"/>
    <w:rsid w:val="00EE2EBB"/>
    <w:rsid w:val="00EE50DE"/>
    <w:rsid w:val="00EF0140"/>
    <w:rsid w:val="00EF02A4"/>
    <w:rsid w:val="00EF0606"/>
    <w:rsid w:val="00EF0780"/>
    <w:rsid w:val="00EF1BB0"/>
    <w:rsid w:val="00EF1EC7"/>
    <w:rsid w:val="00EF210B"/>
    <w:rsid w:val="00EF31DC"/>
    <w:rsid w:val="00EF3B49"/>
    <w:rsid w:val="00EF3B5E"/>
    <w:rsid w:val="00EF5005"/>
    <w:rsid w:val="00EF5162"/>
    <w:rsid w:val="00EF59AC"/>
    <w:rsid w:val="00EF608C"/>
    <w:rsid w:val="00EF6426"/>
    <w:rsid w:val="00EF6963"/>
    <w:rsid w:val="00EF6C45"/>
    <w:rsid w:val="00F00761"/>
    <w:rsid w:val="00F00B0B"/>
    <w:rsid w:val="00F01646"/>
    <w:rsid w:val="00F01E66"/>
    <w:rsid w:val="00F0230E"/>
    <w:rsid w:val="00F02BC4"/>
    <w:rsid w:val="00F02D7E"/>
    <w:rsid w:val="00F030E8"/>
    <w:rsid w:val="00F042B6"/>
    <w:rsid w:val="00F04312"/>
    <w:rsid w:val="00F04382"/>
    <w:rsid w:val="00F05471"/>
    <w:rsid w:val="00F057A5"/>
    <w:rsid w:val="00F058DA"/>
    <w:rsid w:val="00F059E8"/>
    <w:rsid w:val="00F06180"/>
    <w:rsid w:val="00F0768C"/>
    <w:rsid w:val="00F10063"/>
    <w:rsid w:val="00F103E0"/>
    <w:rsid w:val="00F10ED2"/>
    <w:rsid w:val="00F11162"/>
    <w:rsid w:val="00F11421"/>
    <w:rsid w:val="00F1256D"/>
    <w:rsid w:val="00F13A4B"/>
    <w:rsid w:val="00F15866"/>
    <w:rsid w:val="00F158F7"/>
    <w:rsid w:val="00F15F64"/>
    <w:rsid w:val="00F1619C"/>
    <w:rsid w:val="00F2018F"/>
    <w:rsid w:val="00F203F3"/>
    <w:rsid w:val="00F20839"/>
    <w:rsid w:val="00F20A36"/>
    <w:rsid w:val="00F2127D"/>
    <w:rsid w:val="00F21D42"/>
    <w:rsid w:val="00F21F4B"/>
    <w:rsid w:val="00F2336A"/>
    <w:rsid w:val="00F233A2"/>
    <w:rsid w:val="00F233B1"/>
    <w:rsid w:val="00F2349C"/>
    <w:rsid w:val="00F23965"/>
    <w:rsid w:val="00F242A2"/>
    <w:rsid w:val="00F24D0F"/>
    <w:rsid w:val="00F2647B"/>
    <w:rsid w:val="00F26E4C"/>
    <w:rsid w:val="00F26F99"/>
    <w:rsid w:val="00F2766C"/>
    <w:rsid w:val="00F30509"/>
    <w:rsid w:val="00F306AA"/>
    <w:rsid w:val="00F315FB"/>
    <w:rsid w:val="00F32690"/>
    <w:rsid w:val="00F32C1F"/>
    <w:rsid w:val="00F333AD"/>
    <w:rsid w:val="00F33C95"/>
    <w:rsid w:val="00F34A15"/>
    <w:rsid w:val="00F355C4"/>
    <w:rsid w:val="00F36F51"/>
    <w:rsid w:val="00F36FC3"/>
    <w:rsid w:val="00F3759F"/>
    <w:rsid w:val="00F405A9"/>
    <w:rsid w:val="00F40AC0"/>
    <w:rsid w:val="00F411CB"/>
    <w:rsid w:val="00F4208C"/>
    <w:rsid w:val="00F430DC"/>
    <w:rsid w:val="00F43702"/>
    <w:rsid w:val="00F4378D"/>
    <w:rsid w:val="00F448B4"/>
    <w:rsid w:val="00F4498C"/>
    <w:rsid w:val="00F46586"/>
    <w:rsid w:val="00F467D9"/>
    <w:rsid w:val="00F47770"/>
    <w:rsid w:val="00F47A20"/>
    <w:rsid w:val="00F500FF"/>
    <w:rsid w:val="00F501D2"/>
    <w:rsid w:val="00F51074"/>
    <w:rsid w:val="00F51686"/>
    <w:rsid w:val="00F51BB8"/>
    <w:rsid w:val="00F51BFA"/>
    <w:rsid w:val="00F51C35"/>
    <w:rsid w:val="00F51D0D"/>
    <w:rsid w:val="00F52AAA"/>
    <w:rsid w:val="00F53824"/>
    <w:rsid w:val="00F539EB"/>
    <w:rsid w:val="00F54413"/>
    <w:rsid w:val="00F550E7"/>
    <w:rsid w:val="00F55116"/>
    <w:rsid w:val="00F55952"/>
    <w:rsid w:val="00F55A25"/>
    <w:rsid w:val="00F579E1"/>
    <w:rsid w:val="00F60122"/>
    <w:rsid w:val="00F602A7"/>
    <w:rsid w:val="00F6106A"/>
    <w:rsid w:val="00F610FC"/>
    <w:rsid w:val="00F61656"/>
    <w:rsid w:val="00F619AD"/>
    <w:rsid w:val="00F61C16"/>
    <w:rsid w:val="00F64ED7"/>
    <w:rsid w:val="00F65219"/>
    <w:rsid w:val="00F659D2"/>
    <w:rsid w:val="00F66052"/>
    <w:rsid w:val="00F66EC7"/>
    <w:rsid w:val="00F70362"/>
    <w:rsid w:val="00F71225"/>
    <w:rsid w:val="00F71465"/>
    <w:rsid w:val="00F732B5"/>
    <w:rsid w:val="00F735B5"/>
    <w:rsid w:val="00F7371D"/>
    <w:rsid w:val="00F7397F"/>
    <w:rsid w:val="00F73C62"/>
    <w:rsid w:val="00F74D89"/>
    <w:rsid w:val="00F74EED"/>
    <w:rsid w:val="00F7528F"/>
    <w:rsid w:val="00F75459"/>
    <w:rsid w:val="00F7571D"/>
    <w:rsid w:val="00F75CE6"/>
    <w:rsid w:val="00F7688D"/>
    <w:rsid w:val="00F77318"/>
    <w:rsid w:val="00F77B7A"/>
    <w:rsid w:val="00F77C75"/>
    <w:rsid w:val="00F77CC0"/>
    <w:rsid w:val="00F80189"/>
    <w:rsid w:val="00F80593"/>
    <w:rsid w:val="00F80AB9"/>
    <w:rsid w:val="00F80B8E"/>
    <w:rsid w:val="00F81283"/>
    <w:rsid w:val="00F81C50"/>
    <w:rsid w:val="00F8291B"/>
    <w:rsid w:val="00F83400"/>
    <w:rsid w:val="00F83670"/>
    <w:rsid w:val="00F84C88"/>
    <w:rsid w:val="00F8523D"/>
    <w:rsid w:val="00F85643"/>
    <w:rsid w:val="00F85A44"/>
    <w:rsid w:val="00F86B18"/>
    <w:rsid w:val="00F86E3A"/>
    <w:rsid w:val="00F8721D"/>
    <w:rsid w:val="00F9077C"/>
    <w:rsid w:val="00F9145C"/>
    <w:rsid w:val="00F915AC"/>
    <w:rsid w:val="00F92556"/>
    <w:rsid w:val="00F92789"/>
    <w:rsid w:val="00F93298"/>
    <w:rsid w:val="00F93C5C"/>
    <w:rsid w:val="00F93EC1"/>
    <w:rsid w:val="00F94437"/>
    <w:rsid w:val="00F94F64"/>
    <w:rsid w:val="00F965B0"/>
    <w:rsid w:val="00F96C1A"/>
    <w:rsid w:val="00F974EA"/>
    <w:rsid w:val="00F97B3E"/>
    <w:rsid w:val="00FA04C6"/>
    <w:rsid w:val="00FA23FB"/>
    <w:rsid w:val="00FA328C"/>
    <w:rsid w:val="00FA3646"/>
    <w:rsid w:val="00FA3875"/>
    <w:rsid w:val="00FA3C04"/>
    <w:rsid w:val="00FA44DD"/>
    <w:rsid w:val="00FA453B"/>
    <w:rsid w:val="00FA5B44"/>
    <w:rsid w:val="00FA5E9E"/>
    <w:rsid w:val="00FA6A29"/>
    <w:rsid w:val="00FB0439"/>
    <w:rsid w:val="00FB07AD"/>
    <w:rsid w:val="00FB0F3F"/>
    <w:rsid w:val="00FB2ABA"/>
    <w:rsid w:val="00FB2B27"/>
    <w:rsid w:val="00FB4D0B"/>
    <w:rsid w:val="00FB546E"/>
    <w:rsid w:val="00FB66DA"/>
    <w:rsid w:val="00FB7124"/>
    <w:rsid w:val="00FC01BD"/>
    <w:rsid w:val="00FC041B"/>
    <w:rsid w:val="00FC191E"/>
    <w:rsid w:val="00FC237C"/>
    <w:rsid w:val="00FC259F"/>
    <w:rsid w:val="00FC2863"/>
    <w:rsid w:val="00FC34FC"/>
    <w:rsid w:val="00FC46AF"/>
    <w:rsid w:val="00FC4BA8"/>
    <w:rsid w:val="00FC541D"/>
    <w:rsid w:val="00FC59FD"/>
    <w:rsid w:val="00FC5CB7"/>
    <w:rsid w:val="00FC713C"/>
    <w:rsid w:val="00FC7636"/>
    <w:rsid w:val="00FD1647"/>
    <w:rsid w:val="00FD2405"/>
    <w:rsid w:val="00FD2681"/>
    <w:rsid w:val="00FD3730"/>
    <w:rsid w:val="00FD4A08"/>
    <w:rsid w:val="00FD59A4"/>
    <w:rsid w:val="00FD64A9"/>
    <w:rsid w:val="00FD7EC8"/>
    <w:rsid w:val="00FE013E"/>
    <w:rsid w:val="00FE0DC3"/>
    <w:rsid w:val="00FE1151"/>
    <w:rsid w:val="00FE1AB8"/>
    <w:rsid w:val="00FE1E1E"/>
    <w:rsid w:val="00FE1FA1"/>
    <w:rsid w:val="00FE2501"/>
    <w:rsid w:val="00FE2582"/>
    <w:rsid w:val="00FE2936"/>
    <w:rsid w:val="00FE3038"/>
    <w:rsid w:val="00FE35D3"/>
    <w:rsid w:val="00FE430C"/>
    <w:rsid w:val="00FE47AA"/>
    <w:rsid w:val="00FE50F8"/>
    <w:rsid w:val="00FE63FA"/>
    <w:rsid w:val="00FF0694"/>
    <w:rsid w:val="00FF0BD2"/>
    <w:rsid w:val="00FF16D7"/>
    <w:rsid w:val="00FF1C5E"/>
    <w:rsid w:val="00FF266A"/>
    <w:rsid w:val="00FF37B6"/>
    <w:rsid w:val="00FF3AE5"/>
    <w:rsid w:val="00FF4051"/>
    <w:rsid w:val="00FF5354"/>
    <w:rsid w:val="00FF5DA3"/>
    <w:rsid w:val="00FF638F"/>
    <w:rsid w:val="00FF6A3F"/>
    <w:rsid w:val="00FF6BA0"/>
    <w:rsid w:val="00FF6E7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6F31B0"/>
  <w15:chartTrackingRefBased/>
  <w15:docId w15:val="{3FDB9F59-6ED1-4E83-9C6B-1E7C0CF27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Narrow" w:eastAsiaTheme="minorHAnsi" w:hAnsi="Arial Narrow"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45E5"/>
    <w:pPr>
      <w:spacing w:after="120" w:line="276" w:lineRule="auto"/>
      <w:jc w:val="both"/>
    </w:pPr>
    <w:rPr>
      <w:rFonts w:ascii="Segoe UI" w:hAnsi="Segoe UI"/>
      <w:sz w:val="20"/>
    </w:rPr>
  </w:style>
  <w:style w:type="paragraph" w:styleId="Nadpis1">
    <w:name w:val="heading 1"/>
    <w:basedOn w:val="Normlny"/>
    <w:next w:val="Normlny"/>
    <w:link w:val="Nadpis1Char"/>
    <w:uiPriority w:val="9"/>
    <w:qFormat/>
    <w:rsid w:val="003E1828"/>
    <w:pPr>
      <w:keepNext/>
      <w:keepLines/>
      <w:pageBreakBefore/>
      <w:numPr>
        <w:numId w:val="8"/>
      </w:numPr>
      <w:spacing w:before="120"/>
      <w:outlineLvl w:val="0"/>
    </w:pPr>
    <w:rPr>
      <w:rFonts w:eastAsiaTheme="majorEastAsia" w:cstheme="majorBidi"/>
      <w:b/>
      <w:color w:val="314364"/>
      <w:position w:val="10"/>
      <w:sz w:val="32"/>
      <w:szCs w:val="32"/>
    </w:rPr>
  </w:style>
  <w:style w:type="paragraph" w:styleId="Nadpis2">
    <w:name w:val="heading 2"/>
    <w:basedOn w:val="Normlny"/>
    <w:next w:val="Normlny"/>
    <w:link w:val="Nadpis2Char"/>
    <w:uiPriority w:val="9"/>
    <w:unhideWhenUsed/>
    <w:qFormat/>
    <w:rsid w:val="00946B24"/>
    <w:pPr>
      <w:keepNext/>
      <w:keepLines/>
      <w:spacing w:before="120"/>
      <w:ind w:left="357"/>
      <w:outlineLvl w:val="1"/>
    </w:pPr>
    <w:rPr>
      <w:rFonts w:eastAsiaTheme="majorEastAsia" w:cstheme="majorBidi"/>
      <w:color w:val="314364"/>
      <w:sz w:val="28"/>
      <w:szCs w:val="26"/>
    </w:rPr>
  </w:style>
  <w:style w:type="paragraph" w:styleId="Nadpis3">
    <w:name w:val="heading 3"/>
    <w:basedOn w:val="Normlny"/>
    <w:next w:val="Normlny"/>
    <w:link w:val="Nadpis3Char"/>
    <w:uiPriority w:val="9"/>
    <w:unhideWhenUsed/>
    <w:qFormat/>
    <w:rsid w:val="00DC5993"/>
    <w:pPr>
      <w:keepNext/>
      <w:keepLines/>
      <w:spacing w:before="40"/>
      <w:ind w:left="680"/>
      <w:outlineLvl w:val="2"/>
    </w:pPr>
    <w:rPr>
      <w:rFonts w:eastAsiaTheme="majorEastAsia" w:cstheme="majorBidi"/>
      <w:color w:val="314364"/>
      <w:sz w:val="24"/>
      <w:szCs w:val="24"/>
    </w:rPr>
  </w:style>
  <w:style w:type="paragraph" w:styleId="Nadpis4">
    <w:name w:val="heading 4"/>
    <w:basedOn w:val="Normlny"/>
    <w:next w:val="Normlny"/>
    <w:link w:val="Nadpis4Char"/>
    <w:uiPriority w:val="9"/>
    <w:unhideWhenUsed/>
    <w:qFormat/>
    <w:rsid w:val="00164091"/>
    <w:pPr>
      <w:keepNext/>
      <w:keepLines/>
      <w:outlineLvl w:val="3"/>
    </w:pPr>
    <w:rPr>
      <w:rFonts w:eastAsiaTheme="majorEastAsia" w:cstheme="majorBidi"/>
      <w:color w:val="314364"/>
      <w:sz w:val="22"/>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E1828"/>
    <w:rPr>
      <w:rFonts w:ascii="Segoe UI" w:eastAsiaTheme="majorEastAsia" w:hAnsi="Segoe UI" w:cstheme="majorBidi"/>
      <w:b/>
      <w:color w:val="314364"/>
      <w:position w:val="10"/>
      <w:sz w:val="32"/>
      <w:szCs w:val="32"/>
    </w:rPr>
  </w:style>
  <w:style w:type="character" w:customStyle="1" w:styleId="Nadpis2Char">
    <w:name w:val="Nadpis 2 Char"/>
    <w:basedOn w:val="Predvolenpsmoodseku"/>
    <w:link w:val="Nadpis2"/>
    <w:uiPriority w:val="9"/>
    <w:rsid w:val="00946B24"/>
    <w:rPr>
      <w:rFonts w:ascii="Segoe UI" w:eastAsiaTheme="majorEastAsia" w:hAnsi="Segoe UI" w:cstheme="majorBidi"/>
      <w:color w:val="314364"/>
      <w:sz w:val="28"/>
      <w:szCs w:val="26"/>
    </w:rPr>
  </w:style>
  <w:style w:type="paragraph" w:styleId="Hlavika">
    <w:name w:val="header"/>
    <w:basedOn w:val="Normlny"/>
    <w:link w:val="HlavikaChar"/>
    <w:uiPriority w:val="99"/>
    <w:unhideWhenUsed/>
    <w:rsid w:val="004F10D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F10D0"/>
  </w:style>
  <w:style w:type="paragraph" w:styleId="Pta">
    <w:name w:val="footer"/>
    <w:basedOn w:val="Normlny"/>
    <w:link w:val="PtaChar"/>
    <w:uiPriority w:val="99"/>
    <w:unhideWhenUsed/>
    <w:rsid w:val="004F10D0"/>
    <w:pPr>
      <w:tabs>
        <w:tab w:val="center" w:pos="4536"/>
        <w:tab w:val="right" w:pos="9072"/>
      </w:tabs>
      <w:spacing w:after="0" w:line="240" w:lineRule="auto"/>
    </w:pPr>
  </w:style>
  <w:style w:type="character" w:customStyle="1" w:styleId="PtaChar">
    <w:name w:val="Päta Char"/>
    <w:basedOn w:val="Predvolenpsmoodseku"/>
    <w:link w:val="Pta"/>
    <w:uiPriority w:val="99"/>
    <w:rsid w:val="004F10D0"/>
  </w:style>
  <w:style w:type="character" w:styleId="Zstupntext">
    <w:name w:val="Placeholder Text"/>
    <w:basedOn w:val="Predvolenpsmoodseku"/>
    <w:uiPriority w:val="99"/>
    <w:semiHidden/>
    <w:rsid w:val="00F539EB"/>
    <w:rPr>
      <w:color w:val="808080"/>
    </w:rPr>
  </w:style>
  <w:style w:type="paragraph" w:styleId="Nzov">
    <w:name w:val="Title"/>
    <w:basedOn w:val="Normlny"/>
    <w:next w:val="Normlny"/>
    <w:link w:val="NzovChar"/>
    <w:uiPriority w:val="10"/>
    <w:qFormat/>
    <w:rsid w:val="00FF5DA3"/>
    <w:pPr>
      <w:spacing w:before="240" w:after="240" w:line="240" w:lineRule="auto"/>
      <w:contextualSpacing/>
      <w:jc w:val="center"/>
    </w:pPr>
    <w:rPr>
      <w:rFonts w:eastAsiaTheme="majorEastAsia" w:cstheme="majorBidi"/>
      <w:b/>
      <w:smallCaps/>
      <w:color w:val="314364"/>
      <w:spacing w:val="-10"/>
      <w:kern w:val="28"/>
      <w:sz w:val="44"/>
      <w:szCs w:val="56"/>
    </w:rPr>
  </w:style>
  <w:style w:type="character" w:customStyle="1" w:styleId="NzovChar">
    <w:name w:val="Názov Char"/>
    <w:basedOn w:val="Predvolenpsmoodseku"/>
    <w:link w:val="Nzov"/>
    <w:uiPriority w:val="10"/>
    <w:rsid w:val="00FF5DA3"/>
    <w:rPr>
      <w:rFonts w:ascii="Segoe UI" w:eastAsiaTheme="majorEastAsia" w:hAnsi="Segoe UI" w:cstheme="majorBidi"/>
      <w:b/>
      <w:smallCaps/>
      <w:color w:val="314364"/>
      <w:spacing w:val="-10"/>
      <w:kern w:val="28"/>
      <w:sz w:val="44"/>
      <w:szCs w:val="56"/>
    </w:rPr>
  </w:style>
  <w:style w:type="paragraph" w:styleId="Podtitul">
    <w:name w:val="Subtitle"/>
    <w:basedOn w:val="Normlny"/>
    <w:next w:val="Normlny"/>
    <w:link w:val="PodtitulChar"/>
    <w:uiPriority w:val="11"/>
    <w:qFormat/>
    <w:rsid w:val="001778A6"/>
    <w:pPr>
      <w:numPr>
        <w:ilvl w:val="1"/>
      </w:numPr>
      <w:spacing w:before="240" w:after="240"/>
      <w:jc w:val="center"/>
    </w:pPr>
    <w:rPr>
      <w:rFonts w:eastAsiaTheme="minorEastAsia"/>
      <w:color w:val="314364"/>
      <w:spacing w:val="15"/>
      <w:sz w:val="28"/>
    </w:rPr>
  </w:style>
  <w:style w:type="character" w:customStyle="1" w:styleId="PodtitulChar">
    <w:name w:val="Podtitul Char"/>
    <w:basedOn w:val="Predvolenpsmoodseku"/>
    <w:link w:val="Podtitul"/>
    <w:uiPriority w:val="11"/>
    <w:rsid w:val="001778A6"/>
    <w:rPr>
      <w:rFonts w:ascii="Segoe UI" w:eastAsiaTheme="minorEastAsia" w:hAnsi="Segoe UI"/>
      <w:color w:val="314364"/>
      <w:spacing w:val="15"/>
      <w:sz w:val="28"/>
    </w:rPr>
  </w:style>
  <w:style w:type="paragraph" w:customStyle="1" w:styleId="Zhrnutie">
    <w:name w:val="Zhrnutie"/>
    <w:basedOn w:val="Normlny"/>
    <w:qFormat/>
    <w:rsid w:val="001778A6"/>
    <w:pPr>
      <w:spacing w:before="120"/>
      <w:jc w:val="left"/>
    </w:pPr>
    <w:rPr>
      <w:b/>
      <w:color w:val="314364"/>
      <w:sz w:val="32"/>
    </w:rPr>
  </w:style>
  <w:style w:type="paragraph" w:styleId="Odsekzoznamu">
    <w:name w:val="List Paragraph"/>
    <w:aliases w:val="body,Odsek zoznamu2,Odsek,Odsek zoznamu1,Dot pt,No Spacing1,List Paragraph Char Char Char,Indicator Text,Numbered Para 1,List Paragraph à moi,Odsek zoznamu4,LISTA,Listaszerű bekezdés2,Listaszerű bekezdés3,Listaszerű bekezdés1,Bullet 1,3"/>
    <w:basedOn w:val="Normlny"/>
    <w:link w:val="OdsekzoznamuChar"/>
    <w:uiPriority w:val="34"/>
    <w:qFormat/>
    <w:rsid w:val="0015153D"/>
    <w:pPr>
      <w:ind w:left="720"/>
      <w:contextualSpacing/>
    </w:pPr>
  </w:style>
  <w:style w:type="paragraph" w:customStyle="1" w:styleId="Poakovanie">
    <w:name w:val="Poďakovanie"/>
    <w:basedOn w:val="Normlny"/>
    <w:qFormat/>
    <w:rsid w:val="00BD3507"/>
    <w:pPr>
      <w:spacing w:before="120"/>
      <w:jc w:val="left"/>
    </w:pPr>
    <w:rPr>
      <w:color w:val="314364"/>
      <w:sz w:val="28"/>
    </w:rPr>
  </w:style>
  <w:style w:type="character" w:styleId="Hypertextovprepojenie">
    <w:name w:val="Hyperlink"/>
    <w:basedOn w:val="Predvolenpsmoodseku"/>
    <w:uiPriority w:val="99"/>
    <w:unhideWhenUsed/>
    <w:rsid w:val="00C824C8"/>
    <w:rPr>
      <w:rFonts w:ascii="Segoe UI" w:hAnsi="Segoe UI"/>
      <w:color w:val="314364" w:themeColor="hyperlink"/>
      <w:sz w:val="20"/>
      <w:u w:val="single"/>
    </w:rPr>
  </w:style>
  <w:style w:type="paragraph" w:styleId="Textpoznmkypodiarou">
    <w:name w:val="footnote text"/>
    <w:aliases w:val="Footnote Text Char2,Footnote Text Char1 Char,Footnote Text Char2 Char Char,Footnote Text Char1 Char Char Char,Footnote Text Char2 Char Char Char Char,Footnote Text Char Char1 Char Char Char Char,Footnote Text Char1,f,Plonk"/>
    <w:basedOn w:val="Normlny"/>
    <w:link w:val="TextpoznmkypodiarouChar"/>
    <w:uiPriority w:val="99"/>
    <w:qFormat/>
    <w:rsid w:val="00110271"/>
    <w:pPr>
      <w:spacing w:after="0" w:line="240" w:lineRule="auto"/>
    </w:pPr>
    <w:rPr>
      <w:sz w:val="16"/>
      <w:szCs w:val="20"/>
    </w:rPr>
  </w:style>
  <w:style w:type="character" w:customStyle="1" w:styleId="TextpoznmkypodiarouChar">
    <w:name w:val="Text poznámky pod čiarou Char"/>
    <w:aliases w:val="Footnote Text Char2 Char,Footnote Text Char1 Char Char,Footnote Text Char2 Char Char Char,Footnote Text Char1 Char Char Char Char,Footnote Text Char2 Char Char Char Char Char,Footnote Text Char1 Char1,f Char,Plonk Char"/>
    <w:basedOn w:val="Predvolenpsmoodseku"/>
    <w:link w:val="Textpoznmkypodiarou"/>
    <w:uiPriority w:val="99"/>
    <w:qFormat/>
    <w:rsid w:val="008148FD"/>
    <w:rPr>
      <w:rFonts w:ascii="Segoe UI" w:hAnsi="Segoe UI"/>
      <w:sz w:val="16"/>
      <w:szCs w:val="20"/>
    </w:rPr>
  </w:style>
  <w:style w:type="character" w:styleId="Odkaznapoznmkupodiarou">
    <w:name w:val="footnote reference"/>
    <w:aliases w:val="16 Point,Superscript 6 Point,Footnote Reference Number,Footnote Reference_LVL6,Footnote Reference_LVL61,Footnote Reference_LVL62,Footnote Reference_LVL63,Footnote Reference_LVL64,Footnote call,BVI fnr,SUPERS,Footnote symbol"/>
    <w:basedOn w:val="Predvolenpsmoodseku"/>
    <w:link w:val="Char2"/>
    <w:uiPriority w:val="99"/>
    <w:unhideWhenUsed/>
    <w:qFormat/>
    <w:rsid w:val="002407D6"/>
    <w:rPr>
      <w:vertAlign w:val="superscript"/>
    </w:rPr>
  </w:style>
  <w:style w:type="paragraph" w:customStyle="1" w:styleId="vodZverZhrnutie">
    <w:name w:val="Úvod/Záver/Zhrnutie"/>
    <w:basedOn w:val="Nadpis1"/>
    <w:next w:val="Textpoznmkypodiarou"/>
    <w:rsid w:val="00277C8B"/>
    <w:pPr>
      <w:numPr>
        <w:numId w:val="0"/>
      </w:numPr>
    </w:pPr>
  </w:style>
  <w:style w:type="paragraph" w:customStyle="1" w:styleId="Zdroj">
    <w:name w:val="Zdroj"/>
    <w:basedOn w:val="Normlny"/>
    <w:qFormat/>
    <w:rsid w:val="00730F50"/>
    <w:pPr>
      <w:spacing w:line="240" w:lineRule="auto"/>
      <w:jc w:val="left"/>
    </w:pPr>
    <w:rPr>
      <w:i/>
      <w:color w:val="314364" w:themeColor="text2"/>
      <w:sz w:val="16"/>
    </w:rPr>
  </w:style>
  <w:style w:type="paragraph" w:styleId="Popis">
    <w:name w:val="caption"/>
    <w:basedOn w:val="Normlny"/>
    <w:next w:val="Normlny"/>
    <w:uiPriority w:val="35"/>
    <w:unhideWhenUsed/>
    <w:qFormat/>
    <w:rsid w:val="002407D6"/>
    <w:pPr>
      <w:spacing w:after="0" w:line="240" w:lineRule="auto"/>
    </w:pPr>
    <w:rPr>
      <w:b/>
      <w:iCs/>
      <w:color w:val="314364" w:themeColor="text2"/>
      <w:szCs w:val="18"/>
    </w:rPr>
  </w:style>
  <w:style w:type="table" w:styleId="Mriekatabuky">
    <w:name w:val="Table Grid"/>
    <w:basedOn w:val="Normlnatabuka"/>
    <w:uiPriority w:val="39"/>
    <w:rsid w:val="00664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link w:val="BezriadkovaniaChar"/>
    <w:uiPriority w:val="1"/>
    <w:qFormat/>
    <w:rsid w:val="00664B90"/>
    <w:pPr>
      <w:spacing w:after="0" w:line="240" w:lineRule="auto"/>
    </w:pPr>
    <w:rPr>
      <w:rFonts w:asciiTheme="minorHAnsi" w:eastAsiaTheme="minorEastAsia" w:hAnsiTheme="minorHAnsi"/>
      <w:lang w:eastAsia="sk-SK"/>
    </w:rPr>
  </w:style>
  <w:style w:type="character" w:customStyle="1" w:styleId="BezriadkovaniaChar">
    <w:name w:val="Bez riadkovania Char"/>
    <w:basedOn w:val="Predvolenpsmoodseku"/>
    <w:link w:val="Bezriadkovania"/>
    <w:uiPriority w:val="1"/>
    <w:locked/>
    <w:rsid w:val="00664B90"/>
    <w:rPr>
      <w:rFonts w:asciiTheme="minorHAnsi" w:eastAsiaTheme="minorEastAsia" w:hAnsiTheme="minorHAnsi"/>
      <w:lang w:eastAsia="sk-SK"/>
    </w:rPr>
  </w:style>
  <w:style w:type="paragraph" w:customStyle="1" w:styleId="Pouitliteratra">
    <w:name w:val="Použitá literatúra"/>
    <w:basedOn w:val="Odsekzoznamu"/>
    <w:qFormat/>
    <w:rsid w:val="0070595E"/>
    <w:pPr>
      <w:numPr>
        <w:numId w:val="1"/>
      </w:numPr>
      <w:ind w:left="357" w:hanging="357"/>
    </w:pPr>
  </w:style>
  <w:style w:type="paragraph" w:styleId="Hlavikaobsahu">
    <w:name w:val="TOC Heading"/>
    <w:basedOn w:val="Nadpis1"/>
    <w:next w:val="Normlny"/>
    <w:uiPriority w:val="39"/>
    <w:unhideWhenUsed/>
    <w:qFormat/>
    <w:rsid w:val="00277C8B"/>
    <w:pPr>
      <w:numPr>
        <w:numId w:val="0"/>
      </w:numPr>
      <w:spacing w:before="240" w:after="0" w:line="259" w:lineRule="auto"/>
      <w:jc w:val="left"/>
      <w:outlineLvl w:val="9"/>
    </w:pPr>
    <w:rPr>
      <w:b w:val="0"/>
      <w:position w:val="0"/>
      <w:lang w:eastAsia="sk-SK"/>
    </w:rPr>
  </w:style>
  <w:style w:type="paragraph" w:styleId="Obsah1">
    <w:name w:val="toc 1"/>
    <w:basedOn w:val="Normlny"/>
    <w:next w:val="Normlny"/>
    <w:autoRedefine/>
    <w:uiPriority w:val="39"/>
    <w:unhideWhenUsed/>
    <w:rsid w:val="00A4647C"/>
    <w:pPr>
      <w:tabs>
        <w:tab w:val="left" w:pos="400"/>
        <w:tab w:val="right" w:leader="dot" w:pos="9060"/>
      </w:tabs>
      <w:spacing w:before="120"/>
      <w:jc w:val="left"/>
    </w:pPr>
    <w:rPr>
      <w:rFonts w:asciiTheme="minorHAnsi" w:hAnsiTheme="minorHAnsi"/>
      <w:b/>
      <w:bCs/>
      <w:caps/>
      <w:noProof/>
      <w:color w:val="314364" w:themeColor="text2"/>
      <w:szCs w:val="20"/>
    </w:rPr>
  </w:style>
  <w:style w:type="paragraph" w:styleId="Obsah2">
    <w:name w:val="toc 2"/>
    <w:basedOn w:val="Normlny"/>
    <w:next w:val="Normlny"/>
    <w:autoRedefine/>
    <w:uiPriority w:val="39"/>
    <w:unhideWhenUsed/>
    <w:rsid w:val="00004033"/>
    <w:pPr>
      <w:spacing w:after="0"/>
      <w:ind w:left="200"/>
      <w:jc w:val="left"/>
    </w:pPr>
    <w:rPr>
      <w:rFonts w:asciiTheme="minorHAnsi" w:hAnsiTheme="minorHAnsi"/>
      <w:smallCaps/>
      <w:szCs w:val="20"/>
    </w:rPr>
  </w:style>
  <w:style w:type="paragraph" w:styleId="Obsah3">
    <w:name w:val="toc 3"/>
    <w:basedOn w:val="Normlny"/>
    <w:next w:val="Normlny"/>
    <w:autoRedefine/>
    <w:uiPriority w:val="39"/>
    <w:unhideWhenUsed/>
    <w:rsid w:val="00004033"/>
    <w:pPr>
      <w:spacing w:after="0"/>
      <w:ind w:left="400"/>
      <w:jc w:val="left"/>
    </w:pPr>
    <w:rPr>
      <w:rFonts w:asciiTheme="minorHAnsi" w:hAnsiTheme="minorHAnsi"/>
      <w:i/>
      <w:iCs/>
      <w:szCs w:val="20"/>
    </w:rPr>
  </w:style>
  <w:style w:type="character" w:customStyle="1" w:styleId="Nadpis3Char">
    <w:name w:val="Nadpis 3 Char"/>
    <w:basedOn w:val="Predvolenpsmoodseku"/>
    <w:link w:val="Nadpis3"/>
    <w:uiPriority w:val="9"/>
    <w:rsid w:val="00DC5993"/>
    <w:rPr>
      <w:rFonts w:ascii="Segoe UI" w:eastAsiaTheme="majorEastAsia" w:hAnsi="Segoe UI" w:cstheme="majorBidi"/>
      <w:color w:val="314364"/>
      <w:sz w:val="24"/>
      <w:szCs w:val="24"/>
    </w:rPr>
  </w:style>
  <w:style w:type="paragraph" w:styleId="Textbubliny">
    <w:name w:val="Balloon Text"/>
    <w:basedOn w:val="Normlny"/>
    <w:link w:val="TextbublinyChar"/>
    <w:uiPriority w:val="99"/>
    <w:semiHidden/>
    <w:unhideWhenUsed/>
    <w:rsid w:val="00442CE6"/>
    <w:pPr>
      <w:spacing w:after="0" w:line="240" w:lineRule="auto"/>
    </w:pPr>
    <w:rPr>
      <w:rFonts w:cs="Segoe UI"/>
      <w:sz w:val="18"/>
      <w:szCs w:val="18"/>
    </w:rPr>
  </w:style>
  <w:style w:type="character" w:customStyle="1" w:styleId="TextbublinyChar">
    <w:name w:val="Text bubliny Char"/>
    <w:basedOn w:val="Predvolenpsmoodseku"/>
    <w:link w:val="Textbubliny"/>
    <w:uiPriority w:val="99"/>
    <w:semiHidden/>
    <w:rsid w:val="00442CE6"/>
    <w:rPr>
      <w:rFonts w:ascii="Segoe UI" w:hAnsi="Segoe UI" w:cs="Segoe UI"/>
      <w:sz w:val="18"/>
      <w:szCs w:val="18"/>
    </w:rPr>
  </w:style>
  <w:style w:type="character" w:styleId="Odkaznakomentr">
    <w:name w:val="annotation reference"/>
    <w:basedOn w:val="Predvolenpsmoodseku"/>
    <w:uiPriority w:val="99"/>
    <w:semiHidden/>
    <w:unhideWhenUsed/>
    <w:rsid w:val="003733BE"/>
    <w:rPr>
      <w:sz w:val="16"/>
      <w:szCs w:val="16"/>
    </w:rPr>
  </w:style>
  <w:style w:type="paragraph" w:styleId="Textkomentra">
    <w:name w:val="annotation text"/>
    <w:basedOn w:val="Normlny"/>
    <w:link w:val="TextkomentraChar"/>
    <w:uiPriority w:val="99"/>
    <w:unhideWhenUsed/>
    <w:rsid w:val="003733BE"/>
    <w:pPr>
      <w:spacing w:line="240" w:lineRule="auto"/>
    </w:pPr>
    <w:rPr>
      <w:szCs w:val="20"/>
    </w:rPr>
  </w:style>
  <w:style w:type="character" w:customStyle="1" w:styleId="TextkomentraChar">
    <w:name w:val="Text komentára Char"/>
    <w:basedOn w:val="Predvolenpsmoodseku"/>
    <w:link w:val="Textkomentra"/>
    <w:uiPriority w:val="99"/>
    <w:rsid w:val="003733BE"/>
    <w:rPr>
      <w:rFonts w:ascii="Segoe UI" w:hAnsi="Segoe UI"/>
      <w:sz w:val="20"/>
      <w:szCs w:val="20"/>
    </w:rPr>
  </w:style>
  <w:style w:type="paragraph" w:styleId="Predmetkomentra">
    <w:name w:val="annotation subject"/>
    <w:basedOn w:val="Textkomentra"/>
    <w:next w:val="Textkomentra"/>
    <w:link w:val="PredmetkomentraChar"/>
    <w:uiPriority w:val="99"/>
    <w:semiHidden/>
    <w:unhideWhenUsed/>
    <w:rsid w:val="002D4645"/>
    <w:rPr>
      <w:b/>
      <w:bCs/>
    </w:rPr>
  </w:style>
  <w:style w:type="character" w:customStyle="1" w:styleId="PredmetkomentraChar">
    <w:name w:val="Predmet komentára Char"/>
    <w:basedOn w:val="TextkomentraChar"/>
    <w:link w:val="Predmetkomentra"/>
    <w:uiPriority w:val="99"/>
    <w:semiHidden/>
    <w:rsid w:val="002D4645"/>
    <w:rPr>
      <w:rFonts w:ascii="Segoe UI" w:hAnsi="Segoe UI"/>
      <w:b/>
      <w:bCs/>
      <w:sz w:val="20"/>
      <w:szCs w:val="20"/>
    </w:rPr>
  </w:style>
  <w:style w:type="character" w:customStyle="1" w:styleId="In">
    <w:name w:val="Iné_"/>
    <w:basedOn w:val="Predvolenpsmoodseku"/>
    <w:link w:val="In0"/>
    <w:rsid w:val="0070456C"/>
    <w:rPr>
      <w:rFonts w:ascii="Times New Roman" w:eastAsia="Times New Roman" w:hAnsi="Times New Roman" w:cs="Times New Roman"/>
      <w:shd w:val="clear" w:color="auto" w:fill="FFFFFF"/>
    </w:rPr>
  </w:style>
  <w:style w:type="paragraph" w:customStyle="1" w:styleId="In0">
    <w:name w:val="Iné"/>
    <w:basedOn w:val="Normlny"/>
    <w:link w:val="In"/>
    <w:rsid w:val="0070456C"/>
    <w:pPr>
      <w:widowControl w:val="0"/>
      <w:shd w:val="clear" w:color="auto" w:fill="FFFFFF"/>
      <w:spacing w:after="260" w:line="240" w:lineRule="auto"/>
    </w:pPr>
    <w:rPr>
      <w:rFonts w:ascii="Times New Roman" w:eastAsia="Times New Roman" w:hAnsi="Times New Roman" w:cs="Times New Roman"/>
      <w:sz w:val="22"/>
    </w:rPr>
  </w:style>
  <w:style w:type="table" w:customStyle="1" w:styleId="Mriekatabuky1">
    <w:name w:val="Mriežka tabuľky1"/>
    <w:basedOn w:val="Normlnatabuka"/>
    <w:next w:val="Mriekatabuky"/>
    <w:uiPriority w:val="59"/>
    <w:rsid w:val="004222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4222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39"/>
    <w:rsid w:val="004222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4222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
    <w:name w:val="Základný text_"/>
    <w:basedOn w:val="Predvolenpsmoodseku"/>
    <w:link w:val="Zkladntext1"/>
    <w:rsid w:val="00422249"/>
    <w:rPr>
      <w:rFonts w:ascii="Times New Roman" w:eastAsia="Times New Roman" w:hAnsi="Times New Roman" w:cs="Times New Roman"/>
      <w:shd w:val="clear" w:color="auto" w:fill="FFFFFF"/>
    </w:rPr>
  </w:style>
  <w:style w:type="paragraph" w:customStyle="1" w:styleId="Zkladntext1">
    <w:name w:val="Základný text1"/>
    <w:basedOn w:val="Normlny"/>
    <w:link w:val="Zkladntext"/>
    <w:rsid w:val="00422249"/>
    <w:pPr>
      <w:widowControl w:val="0"/>
      <w:shd w:val="clear" w:color="auto" w:fill="FFFFFF"/>
      <w:spacing w:after="260" w:line="240" w:lineRule="auto"/>
    </w:pPr>
    <w:rPr>
      <w:rFonts w:ascii="Times New Roman" w:eastAsia="Times New Roman" w:hAnsi="Times New Roman" w:cs="Times New Roman"/>
      <w:sz w:val="22"/>
    </w:rPr>
  </w:style>
  <w:style w:type="character" w:customStyle="1" w:styleId="OdsekzoznamuChar">
    <w:name w:val="Odsek zoznamu Char"/>
    <w:aliases w:val="body Char,Odsek zoznamu2 Char,Odsek Char,Odsek zoznamu1 Char,Dot pt Char,No Spacing1 Char,List Paragraph Char Char Char Char,Indicator Text Char,Numbered Para 1 Char,List Paragraph à moi Char,Odsek zoznamu4 Char,LISTA Char,3 Char"/>
    <w:basedOn w:val="Predvolenpsmoodseku"/>
    <w:link w:val="Odsekzoznamu"/>
    <w:uiPriority w:val="34"/>
    <w:qFormat/>
    <w:locked/>
    <w:rsid w:val="00571A80"/>
    <w:rPr>
      <w:rFonts w:ascii="Segoe UI" w:hAnsi="Segoe UI"/>
      <w:sz w:val="20"/>
    </w:rPr>
  </w:style>
  <w:style w:type="paragraph" w:customStyle="1" w:styleId="2stlpce">
    <w:name w:val="2 stlpce"/>
    <w:basedOn w:val="Normlny"/>
    <w:link w:val="2stlpceChar"/>
    <w:qFormat/>
    <w:rsid w:val="00A33FD6"/>
    <w:pPr>
      <w:spacing w:line="240" w:lineRule="auto"/>
    </w:pPr>
    <w:rPr>
      <w:rFonts w:ascii="Calibri" w:hAnsi="Calibri"/>
      <w:sz w:val="22"/>
    </w:rPr>
  </w:style>
  <w:style w:type="character" w:customStyle="1" w:styleId="2stlpceChar">
    <w:name w:val="2 stlpce Char"/>
    <w:basedOn w:val="Predvolenpsmoodseku"/>
    <w:link w:val="2stlpce"/>
    <w:rsid w:val="00A33FD6"/>
    <w:rPr>
      <w:rFonts w:ascii="Calibri" w:hAnsi="Calibri"/>
    </w:rPr>
  </w:style>
  <w:style w:type="character" w:styleId="PouitHypertextovPrepojenie">
    <w:name w:val="FollowedHyperlink"/>
    <w:basedOn w:val="Predvolenpsmoodseku"/>
    <w:uiPriority w:val="99"/>
    <w:semiHidden/>
    <w:unhideWhenUsed/>
    <w:rsid w:val="00582A6C"/>
    <w:rPr>
      <w:color w:val="314364" w:themeColor="followedHyperlink"/>
      <w:u w:val="single"/>
    </w:rPr>
  </w:style>
  <w:style w:type="paragraph" w:customStyle="1" w:styleId="Default">
    <w:name w:val="Default"/>
    <w:rsid w:val="00DC0C84"/>
    <w:pPr>
      <w:autoSpaceDE w:val="0"/>
      <w:autoSpaceDN w:val="0"/>
      <w:adjustRightInd w:val="0"/>
      <w:spacing w:after="0" w:line="240" w:lineRule="auto"/>
    </w:pPr>
    <w:rPr>
      <w:rFonts w:ascii="Times New Roman" w:hAnsi="Times New Roman" w:cs="Times New Roman"/>
      <w:color w:val="000000"/>
      <w:sz w:val="24"/>
      <w:szCs w:val="24"/>
    </w:rPr>
  </w:style>
  <w:style w:type="paragraph" w:styleId="Obsah4">
    <w:name w:val="toc 4"/>
    <w:basedOn w:val="Normlny"/>
    <w:next w:val="Normlny"/>
    <w:autoRedefine/>
    <w:uiPriority w:val="39"/>
    <w:unhideWhenUsed/>
    <w:rsid w:val="00A4647C"/>
    <w:pPr>
      <w:spacing w:after="0"/>
      <w:ind w:left="600"/>
      <w:jc w:val="left"/>
    </w:pPr>
    <w:rPr>
      <w:rFonts w:asciiTheme="minorHAnsi" w:hAnsiTheme="minorHAnsi"/>
      <w:sz w:val="18"/>
      <w:szCs w:val="18"/>
    </w:rPr>
  </w:style>
  <w:style w:type="paragraph" w:styleId="Obsah5">
    <w:name w:val="toc 5"/>
    <w:basedOn w:val="Normlny"/>
    <w:next w:val="Normlny"/>
    <w:autoRedefine/>
    <w:uiPriority w:val="39"/>
    <w:unhideWhenUsed/>
    <w:rsid w:val="00A4647C"/>
    <w:pPr>
      <w:spacing w:after="0"/>
      <w:ind w:left="800"/>
      <w:jc w:val="left"/>
    </w:pPr>
    <w:rPr>
      <w:rFonts w:asciiTheme="minorHAnsi" w:hAnsiTheme="minorHAnsi"/>
      <w:sz w:val="18"/>
      <w:szCs w:val="18"/>
    </w:rPr>
  </w:style>
  <w:style w:type="paragraph" w:styleId="Obsah6">
    <w:name w:val="toc 6"/>
    <w:basedOn w:val="Normlny"/>
    <w:next w:val="Normlny"/>
    <w:autoRedefine/>
    <w:uiPriority w:val="39"/>
    <w:unhideWhenUsed/>
    <w:rsid w:val="00A4647C"/>
    <w:pPr>
      <w:spacing w:after="0"/>
      <w:ind w:left="1000"/>
      <w:jc w:val="left"/>
    </w:pPr>
    <w:rPr>
      <w:rFonts w:asciiTheme="minorHAnsi" w:hAnsiTheme="minorHAnsi"/>
      <w:sz w:val="18"/>
      <w:szCs w:val="18"/>
    </w:rPr>
  </w:style>
  <w:style w:type="paragraph" w:styleId="Obsah7">
    <w:name w:val="toc 7"/>
    <w:basedOn w:val="Normlny"/>
    <w:next w:val="Normlny"/>
    <w:autoRedefine/>
    <w:uiPriority w:val="39"/>
    <w:unhideWhenUsed/>
    <w:rsid w:val="00A4647C"/>
    <w:pPr>
      <w:spacing w:after="0"/>
      <w:ind w:left="1200"/>
      <w:jc w:val="left"/>
    </w:pPr>
    <w:rPr>
      <w:rFonts w:asciiTheme="minorHAnsi" w:hAnsiTheme="minorHAnsi"/>
      <w:sz w:val="18"/>
      <w:szCs w:val="18"/>
    </w:rPr>
  </w:style>
  <w:style w:type="paragraph" w:styleId="Obsah8">
    <w:name w:val="toc 8"/>
    <w:basedOn w:val="Normlny"/>
    <w:next w:val="Normlny"/>
    <w:autoRedefine/>
    <w:uiPriority w:val="39"/>
    <w:unhideWhenUsed/>
    <w:rsid w:val="00A4647C"/>
    <w:pPr>
      <w:spacing w:after="0"/>
      <w:ind w:left="1400"/>
      <w:jc w:val="left"/>
    </w:pPr>
    <w:rPr>
      <w:rFonts w:asciiTheme="minorHAnsi" w:hAnsiTheme="minorHAnsi"/>
      <w:sz w:val="18"/>
      <w:szCs w:val="18"/>
    </w:rPr>
  </w:style>
  <w:style w:type="paragraph" w:styleId="Obsah9">
    <w:name w:val="toc 9"/>
    <w:basedOn w:val="Normlny"/>
    <w:next w:val="Normlny"/>
    <w:autoRedefine/>
    <w:uiPriority w:val="39"/>
    <w:unhideWhenUsed/>
    <w:rsid w:val="00A4647C"/>
    <w:pPr>
      <w:spacing w:after="0"/>
      <w:ind w:left="1600"/>
      <w:jc w:val="left"/>
    </w:pPr>
    <w:rPr>
      <w:rFonts w:asciiTheme="minorHAnsi" w:hAnsiTheme="minorHAnsi"/>
      <w:sz w:val="18"/>
      <w:szCs w:val="18"/>
    </w:rPr>
  </w:style>
  <w:style w:type="table" w:customStyle="1" w:styleId="Mriekatabuky8">
    <w:name w:val="Mriežka tabuľky8"/>
    <w:basedOn w:val="Normlnatabuka"/>
    <w:next w:val="Mriekatabuky"/>
    <w:uiPriority w:val="39"/>
    <w:rsid w:val="001259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basedOn w:val="Predvolenpsmoodseku"/>
    <w:link w:val="Nadpis4"/>
    <w:uiPriority w:val="9"/>
    <w:rsid w:val="00164091"/>
    <w:rPr>
      <w:rFonts w:ascii="Segoe UI" w:eastAsiaTheme="majorEastAsia" w:hAnsi="Segoe UI" w:cstheme="majorBidi"/>
      <w:color w:val="314364"/>
      <w:szCs w:val="24"/>
    </w:rPr>
  </w:style>
  <w:style w:type="character" w:styleId="Siln">
    <w:name w:val="Strong"/>
    <w:basedOn w:val="Predvolenpsmoodseku"/>
    <w:uiPriority w:val="22"/>
    <w:qFormat/>
    <w:rsid w:val="0081797F"/>
    <w:rPr>
      <w:b/>
      <w:bCs/>
    </w:rPr>
  </w:style>
  <w:style w:type="paragraph" w:styleId="Zkladntext0">
    <w:name w:val="Body Text"/>
    <w:basedOn w:val="Normlny"/>
    <w:link w:val="ZkladntextChar"/>
    <w:semiHidden/>
    <w:rsid w:val="0081797F"/>
    <w:pPr>
      <w:spacing w:after="200"/>
      <w:jc w:val="left"/>
    </w:pPr>
    <w:rPr>
      <w:rFonts w:asciiTheme="minorHAnsi" w:hAnsiTheme="minorHAnsi"/>
      <w:sz w:val="22"/>
      <w:szCs w:val="20"/>
    </w:rPr>
  </w:style>
  <w:style w:type="character" w:customStyle="1" w:styleId="ZkladntextChar">
    <w:name w:val="Základný text Char"/>
    <w:basedOn w:val="Predvolenpsmoodseku"/>
    <w:link w:val="Zkladntext0"/>
    <w:semiHidden/>
    <w:rsid w:val="0081797F"/>
    <w:rPr>
      <w:rFonts w:asciiTheme="minorHAnsi" w:hAnsiTheme="minorHAnsi"/>
      <w:szCs w:val="20"/>
    </w:rPr>
  </w:style>
  <w:style w:type="paragraph" w:styleId="Normlnywebov">
    <w:name w:val="Normal (Web)"/>
    <w:basedOn w:val="Normlny"/>
    <w:uiPriority w:val="99"/>
    <w:unhideWhenUsed/>
    <w:rsid w:val="00870CE5"/>
    <w:pPr>
      <w:spacing w:before="100" w:beforeAutospacing="1" w:after="100" w:afterAutospacing="1" w:line="240" w:lineRule="auto"/>
      <w:jc w:val="left"/>
    </w:pPr>
    <w:rPr>
      <w:rFonts w:ascii="Times New Roman" w:eastAsiaTheme="minorEastAsia" w:hAnsi="Times New Roman" w:cs="Times New Roman"/>
      <w:sz w:val="24"/>
      <w:szCs w:val="24"/>
      <w:lang w:eastAsia="sk-SK"/>
    </w:rPr>
  </w:style>
  <w:style w:type="table" w:customStyle="1" w:styleId="Mriekatabuky5">
    <w:name w:val="Mriežka tabuľky5"/>
    <w:basedOn w:val="Normlnatabuka"/>
    <w:next w:val="Mriekatabuky"/>
    <w:uiPriority w:val="59"/>
    <w:rsid w:val="00E925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59"/>
    <w:rsid w:val="00F6521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
    <w:name w:val="Základný text (3)_"/>
    <w:basedOn w:val="Predvolenpsmoodseku"/>
    <w:link w:val="Zkladntext30"/>
    <w:rsid w:val="00F97B3E"/>
    <w:rPr>
      <w:rFonts w:ascii="Times New Roman" w:eastAsia="Times New Roman" w:hAnsi="Times New Roman" w:cs="Times New Roman"/>
      <w:sz w:val="20"/>
      <w:szCs w:val="20"/>
      <w:shd w:val="clear" w:color="auto" w:fill="FFFFFF"/>
    </w:rPr>
  </w:style>
  <w:style w:type="paragraph" w:customStyle="1" w:styleId="Zkladntext30">
    <w:name w:val="Základný text (3)"/>
    <w:basedOn w:val="Normlny"/>
    <w:link w:val="Zkladntext3"/>
    <w:rsid w:val="00F97B3E"/>
    <w:pPr>
      <w:widowControl w:val="0"/>
      <w:shd w:val="clear" w:color="auto" w:fill="FFFFFF"/>
      <w:spacing w:after="520" w:line="240" w:lineRule="auto"/>
      <w:ind w:left="1330"/>
      <w:jc w:val="left"/>
    </w:pPr>
    <w:rPr>
      <w:rFonts w:ascii="Times New Roman" w:eastAsia="Times New Roman" w:hAnsi="Times New Roman" w:cs="Times New Roman"/>
      <w:szCs w:val="20"/>
    </w:rPr>
  </w:style>
  <w:style w:type="table" w:customStyle="1" w:styleId="Mriekatabuky111">
    <w:name w:val="Mriežka tabuľky111"/>
    <w:basedOn w:val="Normlnatabuka"/>
    <w:next w:val="Mriekatabuky"/>
    <w:uiPriority w:val="39"/>
    <w:rsid w:val="00DC0F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
    <w:name w:val="Mriežka tabuľky112"/>
    <w:basedOn w:val="Normlnatabuka"/>
    <w:next w:val="Mriekatabuky"/>
    <w:uiPriority w:val="39"/>
    <w:rsid w:val="00FA3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6">
    <w:name w:val="Mriežka tabuľky6"/>
    <w:basedOn w:val="Normlnatabuka"/>
    <w:next w:val="Mriekatabuky"/>
    <w:uiPriority w:val="59"/>
    <w:rsid w:val="004E4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Normlny"/>
    <w:link w:val="Odkaznapoznmkupodiarou"/>
    <w:uiPriority w:val="99"/>
    <w:rsid w:val="001A7B7E"/>
    <w:pPr>
      <w:spacing w:after="0" w:line="240" w:lineRule="exact"/>
      <w:jc w:val="left"/>
    </w:pPr>
    <w:rPr>
      <w:rFonts w:ascii="Arial Narrow" w:hAnsi="Arial Narrow"/>
      <w:sz w:val="22"/>
      <w:vertAlign w:val="superscript"/>
    </w:rPr>
  </w:style>
  <w:style w:type="paragraph" w:styleId="Revzia">
    <w:name w:val="Revision"/>
    <w:hidden/>
    <w:uiPriority w:val="99"/>
    <w:semiHidden/>
    <w:rsid w:val="0074656B"/>
    <w:pPr>
      <w:spacing w:after="0" w:line="240" w:lineRule="auto"/>
    </w:pPr>
    <w:rPr>
      <w:rFonts w:ascii="Segoe UI" w:hAnsi="Segoe UI"/>
      <w:sz w:val="20"/>
    </w:rPr>
  </w:style>
  <w:style w:type="table" w:customStyle="1" w:styleId="Mriekatabuky7">
    <w:name w:val="Mriežka tabuľky7"/>
    <w:basedOn w:val="Normlnatabuka"/>
    <w:next w:val="Mriekatabuky"/>
    <w:uiPriority w:val="39"/>
    <w:rsid w:val="004224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61">
    <w:name w:val="Mriežka tabuľky61"/>
    <w:basedOn w:val="Normlnatabuka"/>
    <w:next w:val="Mriekatabuky"/>
    <w:uiPriority w:val="59"/>
    <w:rsid w:val="004224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9">
    <w:name w:val="Mriežka tabuľky9"/>
    <w:basedOn w:val="Normlnatabuka"/>
    <w:next w:val="Mriekatabuky"/>
    <w:uiPriority w:val="39"/>
    <w:rsid w:val="00810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textovprepojenie1">
    <w:name w:val="Hypertextové prepojenie1"/>
    <w:basedOn w:val="Predvolenpsmoodseku"/>
    <w:uiPriority w:val="99"/>
    <w:unhideWhenUsed/>
    <w:rsid w:val="000F0907"/>
    <w:rPr>
      <w:rFonts w:ascii="Segoe UI" w:hAnsi="Segoe UI"/>
      <w:color w:val="314364"/>
      <w:sz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383598">
      <w:bodyDiv w:val="1"/>
      <w:marLeft w:val="0"/>
      <w:marRight w:val="0"/>
      <w:marTop w:val="0"/>
      <w:marBottom w:val="0"/>
      <w:divBdr>
        <w:top w:val="none" w:sz="0" w:space="0" w:color="auto"/>
        <w:left w:val="none" w:sz="0" w:space="0" w:color="auto"/>
        <w:bottom w:val="none" w:sz="0" w:space="0" w:color="auto"/>
        <w:right w:val="none" w:sz="0" w:space="0" w:color="auto"/>
      </w:divBdr>
    </w:div>
    <w:div w:id="192227120">
      <w:bodyDiv w:val="1"/>
      <w:marLeft w:val="0"/>
      <w:marRight w:val="0"/>
      <w:marTop w:val="0"/>
      <w:marBottom w:val="0"/>
      <w:divBdr>
        <w:top w:val="none" w:sz="0" w:space="0" w:color="auto"/>
        <w:left w:val="none" w:sz="0" w:space="0" w:color="auto"/>
        <w:bottom w:val="none" w:sz="0" w:space="0" w:color="auto"/>
        <w:right w:val="none" w:sz="0" w:space="0" w:color="auto"/>
      </w:divBdr>
    </w:div>
    <w:div w:id="267277379">
      <w:bodyDiv w:val="1"/>
      <w:marLeft w:val="0"/>
      <w:marRight w:val="0"/>
      <w:marTop w:val="0"/>
      <w:marBottom w:val="0"/>
      <w:divBdr>
        <w:top w:val="none" w:sz="0" w:space="0" w:color="auto"/>
        <w:left w:val="none" w:sz="0" w:space="0" w:color="auto"/>
        <w:bottom w:val="none" w:sz="0" w:space="0" w:color="auto"/>
        <w:right w:val="none" w:sz="0" w:space="0" w:color="auto"/>
      </w:divBdr>
    </w:div>
    <w:div w:id="306593126">
      <w:bodyDiv w:val="1"/>
      <w:marLeft w:val="0"/>
      <w:marRight w:val="0"/>
      <w:marTop w:val="0"/>
      <w:marBottom w:val="0"/>
      <w:divBdr>
        <w:top w:val="none" w:sz="0" w:space="0" w:color="auto"/>
        <w:left w:val="none" w:sz="0" w:space="0" w:color="auto"/>
        <w:bottom w:val="none" w:sz="0" w:space="0" w:color="auto"/>
        <w:right w:val="none" w:sz="0" w:space="0" w:color="auto"/>
      </w:divBdr>
    </w:div>
    <w:div w:id="412892172">
      <w:bodyDiv w:val="1"/>
      <w:marLeft w:val="0"/>
      <w:marRight w:val="0"/>
      <w:marTop w:val="0"/>
      <w:marBottom w:val="0"/>
      <w:divBdr>
        <w:top w:val="none" w:sz="0" w:space="0" w:color="auto"/>
        <w:left w:val="none" w:sz="0" w:space="0" w:color="auto"/>
        <w:bottom w:val="none" w:sz="0" w:space="0" w:color="auto"/>
        <w:right w:val="none" w:sz="0" w:space="0" w:color="auto"/>
      </w:divBdr>
    </w:div>
    <w:div w:id="654648977">
      <w:bodyDiv w:val="1"/>
      <w:marLeft w:val="0"/>
      <w:marRight w:val="0"/>
      <w:marTop w:val="0"/>
      <w:marBottom w:val="0"/>
      <w:divBdr>
        <w:top w:val="none" w:sz="0" w:space="0" w:color="auto"/>
        <w:left w:val="none" w:sz="0" w:space="0" w:color="auto"/>
        <w:bottom w:val="none" w:sz="0" w:space="0" w:color="auto"/>
        <w:right w:val="none" w:sz="0" w:space="0" w:color="auto"/>
      </w:divBdr>
    </w:div>
    <w:div w:id="979767078">
      <w:bodyDiv w:val="1"/>
      <w:marLeft w:val="0"/>
      <w:marRight w:val="0"/>
      <w:marTop w:val="0"/>
      <w:marBottom w:val="0"/>
      <w:divBdr>
        <w:top w:val="none" w:sz="0" w:space="0" w:color="auto"/>
        <w:left w:val="none" w:sz="0" w:space="0" w:color="auto"/>
        <w:bottom w:val="none" w:sz="0" w:space="0" w:color="auto"/>
        <w:right w:val="none" w:sz="0" w:space="0" w:color="auto"/>
      </w:divBdr>
    </w:div>
    <w:div w:id="1202936218">
      <w:bodyDiv w:val="1"/>
      <w:marLeft w:val="0"/>
      <w:marRight w:val="0"/>
      <w:marTop w:val="0"/>
      <w:marBottom w:val="0"/>
      <w:divBdr>
        <w:top w:val="none" w:sz="0" w:space="0" w:color="auto"/>
        <w:left w:val="none" w:sz="0" w:space="0" w:color="auto"/>
        <w:bottom w:val="none" w:sz="0" w:space="0" w:color="auto"/>
        <w:right w:val="none" w:sz="0" w:space="0" w:color="auto"/>
      </w:divBdr>
    </w:div>
    <w:div w:id="1214806455">
      <w:bodyDiv w:val="1"/>
      <w:marLeft w:val="0"/>
      <w:marRight w:val="0"/>
      <w:marTop w:val="0"/>
      <w:marBottom w:val="0"/>
      <w:divBdr>
        <w:top w:val="none" w:sz="0" w:space="0" w:color="auto"/>
        <w:left w:val="none" w:sz="0" w:space="0" w:color="auto"/>
        <w:bottom w:val="none" w:sz="0" w:space="0" w:color="auto"/>
        <w:right w:val="none" w:sz="0" w:space="0" w:color="auto"/>
      </w:divBdr>
    </w:div>
    <w:div w:id="1350990188">
      <w:bodyDiv w:val="1"/>
      <w:marLeft w:val="0"/>
      <w:marRight w:val="0"/>
      <w:marTop w:val="0"/>
      <w:marBottom w:val="0"/>
      <w:divBdr>
        <w:top w:val="none" w:sz="0" w:space="0" w:color="auto"/>
        <w:left w:val="none" w:sz="0" w:space="0" w:color="auto"/>
        <w:bottom w:val="none" w:sz="0" w:space="0" w:color="auto"/>
        <w:right w:val="none" w:sz="0" w:space="0" w:color="auto"/>
      </w:divBdr>
    </w:div>
    <w:div w:id="1429696673">
      <w:bodyDiv w:val="1"/>
      <w:marLeft w:val="0"/>
      <w:marRight w:val="0"/>
      <w:marTop w:val="0"/>
      <w:marBottom w:val="0"/>
      <w:divBdr>
        <w:top w:val="none" w:sz="0" w:space="0" w:color="auto"/>
        <w:left w:val="none" w:sz="0" w:space="0" w:color="auto"/>
        <w:bottom w:val="none" w:sz="0" w:space="0" w:color="auto"/>
        <w:right w:val="none" w:sz="0" w:space="0" w:color="auto"/>
      </w:divBdr>
    </w:div>
    <w:div w:id="1626697887">
      <w:bodyDiv w:val="1"/>
      <w:marLeft w:val="0"/>
      <w:marRight w:val="0"/>
      <w:marTop w:val="0"/>
      <w:marBottom w:val="0"/>
      <w:divBdr>
        <w:top w:val="none" w:sz="0" w:space="0" w:color="auto"/>
        <w:left w:val="none" w:sz="0" w:space="0" w:color="auto"/>
        <w:bottom w:val="none" w:sz="0" w:space="0" w:color="auto"/>
        <w:right w:val="none" w:sz="0" w:space="0" w:color="auto"/>
      </w:divBdr>
    </w:div>
    <w:div w:id="1663041934">
      <w:bodyDiv w:val="1"/>
      <w:marLeft w:val="0"/>
      <w:marRight w:val="0"/>
      <w:marTop w:val="0"/>
      <w:marBottom w:val="0"/>
      <w:divBdr>
        <w:top w:val="none" w:sz="0" w:space="0" w:color="auto"/>
        <w:left w:val="none" w:sz="0" w:space="0" w:color="auto"/>
        <w:bottom w:val="none" w:sz="0" w:space="0" w:color="auto"/>
        <w:right w:val="none" w:sz="0" w:space="0" w:color="auto"/>
      </w:divBdr>
    </w:div>
    <w:div w:id="1737505282">
      <w:bodyDiv w:val="1"/>
      <w:marLeft w:val="0"/>
      <w:marRight w:val="0"/>
      <w:marTop w:val="0"/>
      <w:marBottom w:val="0"/>
      <w:divBdr>
        <w:top w:val="none" w:sz="0" w:space="0" w:color="auto"/>
        <w:left w:val="none" w:sz="0" w:space="0" w:color="auto"/>
        <w:bottom w:val="none" w:sz="0" w:space="0" w:color="auto"/>
        <w:right w:val="none" w:sz="0" w:space="0" w:color="auto"/>
      </w:divBdr>
    </w:div>
    <w:div w:id="1868904178">
      <w:bodyDiv w:val="1"/>
      <w:marLeft w:val="0"/>
      <w:marRight w:val="0"/>
      <w:marTop w:val="0"/>
      <w:marBottom w:val="0"/>
      <w:divBdr>
        <w:top w:val="none" w:sz="0" w:space="0" w:color="auto"/>
        <w:left w:val="none" w:sz="0" w:space="0" w:color="auto"/>
        <w:bottom w:val="none" w:sz="0" w:space="0" w:color="auto"/>
        <w:right w:val="none" w:sz="0" w:space="0" w:color="auto"/>
      </w:divBdr>
    </w:div>
    <w:div w:id="1987469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2.xml"/><Relationship Id="rId21" Type="http://schemas.openxmlformats.org/officeDocument/2006/relationships/chart" Target="charts/chart7.xml"/><Relationship Id="rId42" Type="http://schemas.openxmlformats.org/officeDocument/2006/relationships/chart" Target="charts/chart23.xml"/><Relationship Id="rId47" Type="http://schemas.openxmlformats.org/officeDocument/2006/relationships/chart" Target="charts/chart28.xml"/><Relationship Id="rId63" Type="http://schemas.openxmlformats.org/officeDocument/2006/relationships/hyperlink" Target="https://eiz.cvtisr.sk/open-access-publikovanie/" TargetMode="External"/><Relationship Id="rId68" Type="http://schemas.openxmlformats.org/officeDocument/2006/relationships/hyperlink" Target="https://www.nku.gov.sk/sk/web/nku/publikovanie-zoznamu-aktulnych-kontrol?p_p_id=kisdataPortlet&amp;p_p_lifecycle=0&amp;p_p_state=normal&amp;p_p_mode=view&amp;p_r_p_mvcRenderCommandName=detail&amp;_kisdataPortlet_backURL=%2fvysledky-kontrol%3fp_p_id%3dkisdataPortlet%26p_p_lifecycle%3d1%26p_p_state%3dnormal%26p_p_mode%3dview%26_kisdataPortlet_javax.portlet.action%3dsearch%26_kisdataPortlet_orderByCol%3ddatumZverejnenia%26_kisdataPortlet_orderByType%3dDESC%26_kisdataPortlet_delta%3d20%26p_r_p_mvcRenderCommandName%3d%252F%26p_r_p_mvcRenderCommandName%3d%2f&amp;_kisdataPortlet_entryId=96916" TargetMode="External"/><Relationship Id="rId84" Type="http://schemas.openxmlformats.org/officeDocument/2006/relationships/theme" Target="theme/theme1.xml"/><Relationship Id="rId16" Type="http://schemas.openxmlformats.org/officeDocument/2006/relationships/image" Target="media/image4.png"/><Relationship Id="rId11" Type="http://schemas.openxmlformats.org/officeDocument/2006/relationships/header" Target="header3.xml"/><Relationship Id="rId37" Type="http://schemas.openxmlformats.org/officeDocument/2006/relationships/chart" Target="charts/chart18.xml"/><Relationship Id="rId53" Type="http://schemas.openxmlformats.org/officeDocument/2006/relationships/chart" Target="charts/chart34.xml"/><Relationship Id="rId58" Type="http://schemas.openxmlformats.org/officeDocument/2006/relationships/chart" Target="charts/chart39.xml"/><Relationship Id="rId74" Type="http://schemas.openxmlformats.org/officeDocument/2006/relationships/hyperlink" Target="https://www.nku.gov.sk/publikovanie-zoznamu-aktulnych-kontrol?p_p_id=kisdataPortlet&amp;p_p_lifecycle=0&amp;p_p_state=normal&amp;p_p_mode=view&amp;p_r_p_mvcRenderCommandName=detail&amp;_kisdataPortlet_backURL=%2Fpublikovanie-zoznamu-aktulnych-kontrol%3Fp_p_id%3DkisdataPortlet%26p_p_lifecycle%3D1%26p_p_state%3Dnormal%26p_p_mode%3Dview%26_kisdataPortlet_javax.portlet.action%3Dsearch%26_kisdataPortlet_orderByCol%3Dzoradenie.keyword%26_kisdataPortlet_orderByType%3DDESC%26_kisdataPortlet_delta%3D60%26p_r_p_mvcRenderCommandName%3D%252F%26p_r_p_mvcRenderCommandName%3D%2F&amp;_kisdataPortlet_entryId=96956" TargetMode="External"/><Relationship Id="rId79" Type="http://schemas.openxmlformats.org/officeDocument/2006/relationships/hyperlink" Target="https://www.nku.gov.sk/publikovanie-zoznamu-aktulnych-kontrol?p_p_id=kisdataPortlet&amp;p_p_lifecycle=0&amp;p_p_state=normal&amp;p_p_mode=view&amp;p_r_p_mvcRenderCommandName=detail&amp;_kisdataPortlet_backURL=%2Fpublikovanie-zoznamu-aktulnych-kontrol%3Fp_p_id%3DkisdataPortlet%26p_p_lifecycle%3D1%26p_p_state%3Dnormal%26p_p_mode%3Dview%26_kisdataPortlet_javax.portlet.action%3Dsearch%26_kisdataPortlet_orderByCol%3Dzoradenie.keyword%26_kisdataPortlet_orderByType%3DDESC%26_kisdataPortlet_delta%3D60%26p_r_p_mvcRenderCommandName%3D%252F%26p_r_p_mvcRenderCommandName%3D%2F&amp;_kisdataPortlet_entryId=97067" TargetMode="External"/><Relationship Id="rId5" Type="http://schemas.openxmlformats.org/officeDocument/2006/relationships/webSettings" Target="webSettings.xml"/><Relationship Id="rId61" Type="http://schemas.openxmlformats.org/officeDocument/2006/relationships/chart" Target="charts/chart41.xml"/><Relationship Id="rId82" Type="http://schemas.openxmlformats.org/officeDocument/2006/relationships/fontTable" Target="fontTable.xml"/><Relationship Id="rId19" Type="http://schemas.openxmlformats.org/officeDocument/2006/relationships/chart" Target="charts/chart5.xml"/><Relationship Id="rId14" Type="http://schemas.openxmlformats.org/officeDocument/2006/relationships/chart" Target="charts/chart2.xml"/><Relationship Id="rId22" Type="http://schemas.openxmlformats.org/officeDocument/2006/relationships/chart" Target="charts/chart8.xml"/><Relationship Id="rId27" Type="http://schemas.openxmlformats.org/officeDocument/2006/relationships/chart" Target="charts/chart13.xml"/><Relationship Id="rId35" Type="http://schemas.openxmlformats.org/officeDocument/2006/relationships/chart" Target="charts/chart16.xml"/><Relationship Id="rId43" Type="http://schemas.openxmlformats.org/officeDocument/2006/relationships/chart" Target="charts/chart24.xml"/><Relationship Id="rId48" Type="http://schemas.openxmlformats.org/officeDocument/2006/relationships/chart" Target="charts/chart29.xml"/><Relationship Id="rId56" Type="http://schemas.openxmlformats.org/officeDocument/2006/relationships/chart" Target="charts/chart37.xml"/><Relationship Id="rId64" Type="http://schemas.openxmlformats.org/officeDocument/2006/relationships/header" Target="header4.xml"/><Relationship Id="rId69" Type="http://schemas.openxmlformats.org/officeDocument/2006/relationships/hyperlink" Target="https://www.nku.gov.sk/aktuality/-/asset_publisher/OkVQsC5cs53F/content//kontrola-prevodov-nehnutelneho-majetku-obci-viedla-k-vytvoreniu-optimalneho-postupu-ako-taketo-prevody-realizovat" TargetMode="External"/><Relationship Id="rId77" Type="http://schemas.openxmlformats.org/officeDocument/2006/relationships/hyperlink" Target="https://www.nku.gov.sk/publikovanie-zoznamu-aktulnych-kontrol?p_p_id=kisdataPortlet&amp;p_p_lifecycle=0&amp;p_p_state=normal&amp;p_p_mode=view&amp;p_r_p_mvcRenderCommandName=detail&amp;_kisdataPortlet_backURL=%2Fpublikovanie-zoznamu-aktulnych-kontrol%3Fp_p_id%3DkisdataPortlet%26p_p_lifecycle%3D1%26p_p_state%3Dnormal%26p_p_mode%3Dview%26_kisdataPortlet_javax.portlet.action%3Dsearch%26_kisdataPortlet_orderByCol%3Dzoradenie.keyword%26_kisdataPortlet_orderByType%3DDESC%26_kisdataPortlet_delta%3D60%26p_r_p_mvcRenderCommandName%3D%252F%26p_r_p_mvcRenderCommandName%3D%2F&amp;_kisdataPortlet_entryId=97017" TargetMode="External"/><Relationship Id="rId8" Type="http://schemas.openxmlformats.org/officeDocument/2006/relationships/header" Target="header1.xml"/><Relationship Id="rId51" Type="http://schemas.openxmlformats.org/officeDocument/2006/relationships/chart" Target="charts/chart32.xml"/><Relationship Id="rId72" Type="http://schemas.openxmlformats.org/officeDocument/2006/relationships/hyperlink" Target="https://www.nku.gov.sk/publikovanie-zoznamu-aktulnych-kontrol?p_p_id=kisdataPortlet&amp;p_p_lifecycle=0&amp;p_p_state=normal&amp;p_p_mode=view&amp;p_r_p_mvcRenderCommandName=detail&amp;_kisdataPortlet_backURL=%2Fpublikovanie-zoznamu-aktulnych-kontrol%3Fp_p_id%3DkisdataPortlet%26p_p_lifecycle%3D1%26p_p_state%3Dnormal%26p_p_mode%3Dview%26_kisdataPortlet_javax.portlet.action%3Dsearch%26_kisdataPortlet_orderByCol%3Dzoradenie.keyword%26_kisdataPortlet_orderByType%3DDESC%26_kisdataPortlet_delta%3D60%26p_r_p_mvcRenderCommandName%3D%252F%26p_r_p_mvcRenderCommandName%3D%2F&amp;_kisdataPortlet_entryId=96952" TargetMode="External"/><Relationship Id="rId80" Type="http://schemas.openxmlformats.org/officeDocument/2006/relationships/header" Target="header5.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chart" Target="charts/chart3.xml"/><Relationship Id="rId25" Type="http://schemas.openxmlformats.org/officeDocument/2006/relationships/chart" Target="charts/chart11.xml"/><Relationship Id="rId33" Type="http://schemas.openxmlformats.org/officeDocument/2006/relationships/image" Target="media/image20.png"/><Relationship Id="rId38" Type="http://schemas.openxmlformats.org/officeDocument/2006/relationships/chart" Target="charts/chart19.xml"/><Relationship Id="rId46" Type="http://schemas.openxmlformats.org/officeDocument/2006/relationships/chart" Target="charts/chart27.xml"/><Relationship Id="rId59" Type="http://schemas.openxmlformats.org/officeDocument/2006/relationships/hyperlink" Target="https://www.minedu.sk/index-dostupnosti-materskych-skol/" TargetMode="External"/><Relationship Id="rId67" Type="http://schemas.openxmlformats.org/officeDocument/2006/relationships/hyperlink" Target="https://www.nku.gov.sk/sk/web/nku/publikovanie-zoznamu-aktulnych-kontrol?p_p_id=kisdataPortlet&amp;p_p_lifecycle=0&amp;p_p_state=normal&amp;p_p_mode=view&amp;p_r_p_mvcRenderCommandName=detail&amp;_kisdataPortlet_backURL=%2fvysledky-kontrol%3fp_p_id%3dkisdataPortlet%26p_p_lifecycle%3d0%26p_p_state%3dnormal%26p_p_mode%3dview%26p_r_p_mvcRenderCommandName%3d%252F%26_kisdataPortlet_q%3d%26_kisdataPortlet_orderByCol%3ddatumZverejnenia%26_kisdataPortlet_orderByType%3dDESC%26_kisdataPortlet_year%3d2022%26_kisdataPortlet_resetCur%3dfalse%26_kisdataPortlet_delta%3d20%26_kisdataPortlet_cur%3d1%26p_r_p_mvcRenderCommandName%3d%2f&amp;_kisdataPortlet_entryId=96881" TargetMode="External"/><Relationship Id="rId20" Type="http://schemas.openxmlformats.org/officeDocument/2006/relationships/chart" Target="charts/chart6.xml"/><Relationship Id="rId41" Type="http://schemas.openxmlformats.org/officeDocument/2006/relationships/chart" Target="charts/chart22.xml"/><Relationship Id="rId54" Type="http://schemas.openxmlformats.org/officeDocument/2006/relationships/chart" Target="charts/chart35.xml"/><Relationship Id="rId62" Type="http://schemas.openxmlformats.org/officeDocument/2006/relationships/chart" Target="charts/chart42.xml"/><Relationship Id="rId70" Type="http://schemas.openxmlformats.org/officeDocument/2006/relationships/hyperlink" Target="https://www.nku.gov.sk/publikovanie-zoznamu-aktulnych-kontrol?p_p_id=kisdataPortlet&amp;p_p_lifecycle=0&amp;p_p_state=normal&amp;p_p_mode=view&amp;p_r_p_mvcRenderCommandName=detail&amp;_kisdataPortlet_backURL=%2Fpublikovanie-zoznamu-aktulnych-kontrol%3Fp_p_id%3DkisdataPortlet%26p_p_lifecycle%3D1%26p_p_state%3Dnormal%26p_p_mode%3Dview%26_kisdataPortlet_javax.portlet.action%3Dsearch%26_kisdataPortlet_orderByCol%3Dzoradenie.keyword%26_kisdataPortlet_orderByType%3DDESC%26_kisdataPortlet_delta%3D60%26p_r_p_mvcRenderCommandName%3D%252F%26p_r_p_mvcRenderCommandName%3D%2F&amp;_kisdataPortlet_entryId=96973" TargetMode="External"/><Relationship Id="rId75" Type="http://schemas.openxmlformats.org/officeDocument/2006/relationships/hyperlink" Target="https://www.nku.gov.sk/publikovanie-zoznamu-aktulnych-kontrol?p_p_id=kisdataPortlet&amp;p_p_lifecycle=0&amp;p_p_state=normal&amp;p_p_mode=view&amp;p_r_p_mvcRenderCommandName=detail&amp;_kisdataPortlet_backURL=%2Fpublikovanie-zoznamu-aktulnych-kontrol%3Fp_p_id%3DkisdataPortlet%26p_p_lifecycle%3D1%26p_p_state%3Dnormal%26p_p_mode%3Dview%26_kisdataPortlet_javax.portlet.action%3Dsearch%26_kisdataPortlet_orderByCol%3Dzoradenie.keyword%26_kisdataPortlet_orderByType%3DDESC%26_kisdataPortlet_delta%3D60%26p_r_p_mvcRenderCommandName%3D%252F%26p_r_p_mvcRenderCommandName%3D%2F&amp;_kisdataPortlet_entryId=97012" TargetMode="External"/><Relationship Id="rId83"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chart" Target="charts/chart9.xml"/><Relationship Id="rId28" Type="http://schemas.openxmlformats.org/officeDocument/2006/relationships/chart" Target="charts/chart14.xml"/><Relationship Id="rId36" Type="http://schemas.openxmlformats.org/officeDocument/2006/relationships/chart" Target="charts/chart17.xml"/><Relationship Id="rId49" Type="http://schemas.openxmlformats.org/officeDocument/2006/relationships/chart" Target="charts/chart30.xml"/><Relationship Id="rId57" Type="http://schemas.openxmlformats.org/officeDocument/2006/relationships/chart" Target="charts/chart38.xml"/><Relationship Id="rId10" Type="http://schemas.openxmlformats.org/officeDocument/2006/relationships/footer" Target="footer1.xml"/><Relationship Id="rId44" Type="http://schemas.openxmlformats.org/officeDocument/2006/relationships/chart" Target="charts/chart25.xml"/><Relationship Id="rId52" Type="http://schemas.openxmlformats.org/officeDocument/2006/relationships/chart" Target="charts/chart33.xml"/><Relationship Id="rId60" Type="http://schemas.openxmlformats.org/officeDocument/2006/relationships/chart" Target="charts/chart40.xml"/><Relationship Id="rId65" Type="http://schemas.openxmlformats.org/officeDocument/2006/relationships/footer" Target="footer2.xml"/><Relationship Id="rId73" Type="http://schemas.openxmlformats.org/officeDocument/2006/relationships/hyperlink" Target="https://www.nku.gov.sk/domov/-/asset_publisher/fdfo/content/zelene-projekty-z-eurofondov-zlepsuju-kvalitu-zivota-pre-obce-je-problemova-ich-udrzatelnost-test" TargetMode="External"/><Relationship Id="rId78" Type="http://schemas.openxmlformats.org/officeDocument/2006/relationships/hyperlink" Target="https://www.nku.gov.sk/-/niektore-samospravne-kraje-stratili-kontrolu-nad-nemocnicami-stat-sa-o-ne-roky-nezaujima" TargetMode="External"/><Relationship Id="rId8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chart" Target="charts/chart1.xml"/><Relationship Id="rId18" Type="http://schemas.openxmlformats.org/officeDocument/2006/relationships/chart" Target="charts/chart4.xml"/><Relationship Id="rId39" Type="http://schemas.openxmlformats.org/officeDocument/2006/relationships/chart" Target="charts/chart20.xml"/><Relationship Id="rId34" Type="http://schemas.openxmlformats.org/officeDocument/2006/relationships/chart" Target="charts/chart15.xml"/><Relationship Id="rId50" Type="http://schemas.openxmlformats.org/officeDocument/2006/relationships/chart" Target="charts/chart31.xml"/><Relationship Id="rId55" Type="http://schemas.openxmlformats.org/officeDocument/2006/relationships/chart" Target="charts/chart36.xml"/><Relationship Id="rId76" Type="http://schemas.openxmlformats.org/officeDocument/2006/relationships/hyperlink" Target="https://www.nku.gov.sk/-/objektivnu-zodpovednost-nevyuzivame-dostatocne-za-ostatnych-11-rokov-sa-nic-zasadne-nezmenilo" TargetMode="External"/><Relationship Id="rId7" Type="http://schemas.openxmlformats.org/officeDocument/2006/relationships/endnotes" Target="endnotes.xml"/><Relationship Id="rId71" Type="http://schemas.openxmlformats.org/officeDocument/2006/relationships/hyperlink" Target="https://www.nku.gov.sk/aktuality/-/asset_publisher/OkVQsC5cs53F/content//elektronicky-vykon-moci-mal-ulahcit-komunikaciu-uradov-s-ludmi-opak-je-realitou" TargetMode="External"/><Relationship Id="rId2" Type="http://schemas.openxmlformats.org/officeDocument/2006/relationships/numbering" Target="numbering.xml"/><Relationship Id="rId29" Type="http://schemas.microsoft.com/office/2014/relationships/chartEx" Target="charts/chartEx1.xml"/><Relationship Id="rId24" Type="http://schemas.openxmlformats.org/officeDocument/2006/relationships/chart" Target="charts/chart10.xml"/><Relationship Id="rId40" Type="http://schemas.openxmlformats.org/officeDocument/2006/relationships/chart" Target="charts/chart21.xml"/><Relationship Id="rId45" Type="http://schemas.openxmlformats.org/officeDocument/2006/relationships/chart" Target="charts/chart26.xml"/><Relationship Id="rId66" Type="http://schemas.openxmlformats.org/officeDocument/2006/relationships/hyperlink" Target="https://www.nku.gov.sk/sk/web/nku/publikovanie-zoznamu-aktulnych-kontrol?p_p_id=kisdataPortlet&amp;p_p_lifecycle=0&amp;p_p_state=normal&amp;p_p_mode=view&amp;p_r_p_mvcRenderCommandName=detail&amp;_kisdataPortlet_backURL=%2fvysledky-kontrol%3fp_p_id%3dkisdataPortlet%26p_p_lifecycle%3d1%26p_p_state%3dnormal%26p_p_mode%3dview%26_kisdataPortlet_javax.portlet.action%3dsearch%26_kisdataPortlet_orderByCol%3ddatumZverejnenia%26_kisdataPortlet_orderByType%3dDESC%26_kisdataPortlet_delta%3d20%26p_r_p_mvcRenderCommandName%3d%252F%26p_r_p_mvcRenderCommandName%3d%2f&amp;_kisdataPortlet_entryId=96857"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www.nku.gov.sk/documents/d/nku/sprava_nku_razsochy_martin" TargetMode="External"/><Relationship Id="rId18" Type="http://schemas.openxmlformats.org/officeDocument/2006/relationships/hyperlink" Target="https://rokovania.gov.sk/RVL/Material/25147/1" TargetMode="External"/><Relationship Id="rId26" Type="http://schemas.openxmlformats.org/officeDocument/2006/relationships/hyperlink" Target="https://kategorizacia.mzsr.sk/Registration/Home/Lieky" TargetMode="External"/><Relationship Id="rId39" Type="http://schemas.openxmlformats.org/officeDocument/2006/relationships/hyperlink" Target="https://www.minedu.sk/rezort-skolstva-zvysuje-financie-na-budovanie-kapacit-materskych-a-zakladnych-skol/" TargetMode="External"/><Relationship Id="rId21" Type="http://schemas.openxmlformats.org/officeDocument/2006/relationships/hyperlink" Target="https://mirri.gov.sk/wp-content/uploads/2018/11/Implementacia-ESIF-k-31.12.2023.pdf" TargetMode="External"/><Relationship Id="rId34" Type="http://schemas.openxmlformats.org/officeDocument/2006/relationships/hyperlink" Target="https://www.oecd.org/publications/quantifying-the-effect-of-policies-to-promote-educational-performance-on-macroeconomic-productivity-b00051cc-en.htm" TargetMode="External"/><Relationship Id="rId42" Type="http://schemas.openxmlformats.org/officeDocument/2006/relationships/hyperlink" Target="https://analyza.todarozum.sk/analyza-zisteni-o-stave-skolstva-na-slovensku.pdf" TargetMode="External"/><Relationship Id="rId47" Type="http://schemas.openxmlformats.org/officeDocument/2006/relationships/hyperlink" Target="https://www.nku.gov.sk/dokumenty" TargetMode="External"/><Relationship Id="rId7" Type="http://schemas.openxmlformats.org/officeDocument/2006/relationships/hyperlink" Target="https://slovak.statistics.sk/wps/portal/ext/products/informationmessages/inf_sprava_detail/354e92f8-33c2-44e1-8870-0c7a183fe60f/!ut/p/z1/tVLNUsMgGHwWDzkSvgRSqDfa0f7YOtpa23Jx0kia2CbEBBPr00scL85oqwe5AMPussuCJV5hmYd1ug1NqvNwb_dr2Xm4ZSPe63kCoDchMBpfza-H_Ut_sAjw8iuAX88uYHQnbgazMfWABlge599jiWWUm8IkeK03VZigaofSPEbhzjhgF7rMrJs6V6gqyrA-OFBXyuzsTAKqun7MESGRjyhVHuKcAYKIhR4nsepA3MoXUfqI179CL0_lbePAD0OA5csPSH8ghpRNAPhkEMBIDBez7i0hIMgn4IjG2npgP3rwGF7WqWrwIm9fZo_nf4w4BDw-1YqtPX16fpbCdqNzo14NXv1HOfYev5z2p1ubIDRJK63x6ldUmyHdZG4TZS64zB4Txjj1abcTENIKi3xDuBUuVaxKVbovpf3OiTFFde6AA03TuFutt3vlRjpz4DtKoisb_CsSF9ki4-SAdvH0glC5OZC3iVqKs3cpcJbA/dz/d5/L2dBISEvZ0FBIS9nQSEh/" TargetMode="External"/><Relationship Id="rId2" Type="http://schemas.openxmlformats.org/officeDocument/2006/relationships/hyperlink" Target="https://slovak.statistics.sk/wps/portal/ext/products/informationmessages/inf_sprava_detail/124a58f7-c979-4d3c-8232-e1e530c1462c/!ut/p/z1/rZPLcpswFIZfJVl4qdFB4uYl9iQYF3sKNo6tTUeRwVBsIEYl8dtXxNNpO1Mui7IRzLnoP__5wAzvMSt4k524zMqCn9X3gZnfAsuzZzPNAZj5FLzll816MX8mbmTgl78T7HX4BN7W-eqGS10D3cBMhZ0gCDb-bgfujjyDRzUX1lGkupl4hxlmopCVTPGhfK15iuocZUWCeC4noF7K60WpaYoY1dWVN7cJNHUsc3VqROeGnVhITK0p0o9UIJtQgmItNigITTeJaNtXIjviw6js-zg9etkYO-aus9AtH8D2XQM8ZxGF04BScOiQHfd66HgcGFffI5D1t39p_RqYYKgH6xW5NfFBibQ6E0LlYpPF7zgq2tWf8eb3Do3E0CjRASXH2ES6LgiaEm4jy0heBQGNUmHgBeDlkE-K6-z72xtzFHxlIeMPife_6JtALRVxAn1GCkVhdS2PP3J56-Ax55Kfy9PDH8GbSB8-w-1N5Lqar05qBi7TFu0S73tL7v50LVGzuv0ZxfhyCOI-c_7nr_lva0aVVpfoYtNblmUoD-33bZKeGz9ZPVFDnc7j408dWqZt/dz/d5/L2dBISEvZ0FBIS9nQSEh/" TargetMode="External"/><Relationship Id="rId16" Type="http://schemas.openxmlformats.org/officeDocument/2006/relationships/hyperlink" Target="https://www.udzs-sk.sk/blog/2023/11/10/vsetky-tri-zdravotne-poistovne-maju-k-30-9-2023-dostatocnu-likviditu-urad-vzhladom-na-absenciu-financneho-dohladu-apeluje-na-zmeny/" TargetMode="External"/><Relationship Id="rId29" Type="http://schemas.openxmlformats.org/officeDocument/2006/relationships/hyperlink" Target="https://eur-lex.europa.eu/legal-content/SK/TXT/?uri=CELEX%3A32011L0007" TargetMode="External"/><Relationship Id="rId11" Type="http://schemas.openxmlformats.org/officeDocument/2006/relationships/hyperlink" Target="https://www.ardal.sk/_img/Documents/O%20n%C3%A1s/Medialne%20spravy/Slovak%20Republic%20-%20Press%20Release%20February%202024%20Slovak_Final_clear.pdf" TargetMode="External"/><Relationship Id="rId24" Type="http://schemas.openxmlformats.org/officeDocument/2006/relationships/hyperlink" Target="https://www.nku.gov.sk/documents/33855/590548/96864-0-145.pdf/3b9f4e3f-d187-df3f-8244-d4344fcad458?t=1699828908600" TargetMode="External"/><Relationship Id="rId32" Type="http://schemas.openxmlformats.org/officeDocument/2006/relationships/hyperlink" Target="https://www.mfsr.sk/files/archiv/33/Revizia-vydavkov-kompetencii-a-personalnych-kapacit-vo-vyskume-vyvoji-a-inovaciach.pdf" TargetMode="External"/><Relationship Id="rId37" Type="http://schemas.openxmlformats.org/officeDocument/2006/relationships/hyperlink" Target="https://www.nku.gov.sk/documents/10157/164819/Stanovisko+NK%C3%9A+k+n%C3%A1vrhu+%C5%A0Z%C3%9A+za+rok+2022" TargetMode="External"/><Relationship Id="rId40" Type="http://schemas.openxmlformats.org/officeDocument/2006/relationships/hyperlink" Target="https://www.minedu.sk/d-butora-po-zamerani-sa-na-zvysovanie-kapacit-materskych-skol-v-najurgentnejsich-okresoch-moze-odteraz-ziadat-o-prostriedky-z-planu-obnovy-cele-slovensko/" TargetMode="External"/><Relationship Id="rId45" Type="http://schemas.openxmlformats.org/officeDocument/2006/relationships/hyperlink" Target="https://zenodo.org/records/7184268" TargetMode="External"/><Relationship Id="rId5" Type="http://schemas.openxmlformats.org/officeDocument/2006/relationships/hyperlink" Target="https://www.slov-lex.sk/pravne-predpisy/SK/ZZ/2022/526/20230101" TargetMode="External"/><Relationship Id="rId15" Type="http://schemas.openxmlformats.org/officeDocument/2006/relationships/hyperlink" Target="https://www.mfsr.sk/files/sk/financie/hodnota-za-peniaze/analyzy-uhp/fiktivni_zivnostnici_komentar-uhp_maj2024.pdf" TargetMode="External"/><Relationship Id="rId23" Type="http://schemas.openxmlformats.org/officeDocument/2006/relationships/hyperlink" Target="https://www.nku.gov.sk/documents/33855/189570/96871-0-145.pdf/f5c91580-9285-16ea-c1e8-018d553ec715?t=1698021078870" TargetMode="External"/><Relationship Id="rId28" Type="http://schemas.openxmlformats.org/officeDocument/2006/relationships/hyperlink" Target="https://eur-lex.europa.eu/legal-content/sk/TXT/?uri=CELEX%3A62023CN0412" TargetMode="External"/><Relationship Id="rId36" Type="http://schemas.openxmlformats.org/officeDocument/2006/relationships/hyperlink" Target="https://www.nrsr.sk/web/Dynamic/DocumentPreview.aspx?DocID=494677" TargetMode="External"/><Relationship Id="rId49" Type="http://schemas.openxmlformats.org/officeDocument/2006/relationships/hyperlink" Target="https://eur-lex.europa.eu/legal-content/SK/TXT/PDF/?uri=CELEX%3A52023SC0625&amp;amp%3Bqid=1686127911343" TargetMode="External"/><Relationship Id="rId10" Type="http://schemas.openxmlformats.org/officeDocument/2006/relationships/hyperlink" Target="https://economy-finance.ec.europa.eu/publications/debt-sustainability-monitor-2023_en" TargetMode="External"/><Relationship Id="rId19" Type="http://schemas.openxmlformats.org/officeDocument/2006/relationships/hyperlink" Target="https://rokovania.gov.sk/RVL/Material/28733/1" TargetMode="External"/><Relationship Id="rId31" Type="http://schemas.openxmlformats.org/officeDocument/2006/relationships/hyperlink" Target="https://crz.gov.sk/zmluva/8032241/" TargetMode="External"/><Relationship Id="rId44" Type="http://schemas.openxmlformats.org/officeDocument/2006/relationships/hyperlink" Target="https://open.ieee.org/for-authors/article-processing-charges/" TargetMode="External"/><Relationship Id="rId4" Type="http://schemas.openxmlformats.org/officeDocument/2006/relationships/hyperlink" Target="https://www.imf.org/en/Publications/CR/Issues/2023/11/03/Slovak-Republic-Technical-Assistance-Report-Implementing-Public-Expenditure-Limits-541102" TargetMode="External"/><Relationship Id="rId9" Type="http://schemas.openxmlformats.org/officeDocument/2006/relationships/hyperlink" Target="https://www.rrz.sk/dlhovabrzda/" TargetMode="External"/><Relationship Id="rId14" Type="http://schemas.openxmlformats.org/officeDocument/2006/relationships/hyperlink" Target="https://www.nku.gov.sk/documents/33855/34228/%28Ne%29samostatne%20z%C3%A1robkovo%20%C4%8Dinn%C3%A9%20osoby.pdf/283c5cc7-80fc-c823-30e4-7b5cea9507a2" TargetMode="External"/><Relationship Id="rId22" Type="http://schemas.openxmlformats.org/officeDocument/2006/relationships/hyperlink" Target="https://www.mfsr.sk/sk/media/tlacove-spravy/cerpanie-sf-kf-k-31-12-2023.html" TargetMode="External"/><Relationship Id="rId27" Type="http://schemas.openxmlformats.org/officeDocument/2006/relationships/hyperlink" Target="https://rokovania.gov.sk/RVL/Material/29477/1" TargetMode="External"/><Relationship Id="rId30" Type="http://schemas.openxmlformats.org/officeDocument/2006/relationships/hyperlink" Target="https://www.registeruz.sk/cruz-public/domain/financialreport/show/9060848" TargetMode="External"/><Relationship Id="rId35" Type="http://schemas.openxmlformats.org/officeDocument/2006/relationships/hyperlink" Target="https://www.nrsr.sk/web/Dynamic/DocumentPreview.aspx?DocID=535376" TargetMode="External"/><Relationship Id="rId43" Type="http://schemas.openxmlformats.org/officeDocument/2006/relationships/hyperlink" Target="https://www.minedu.sk/data/att/802/26389.2933f5.xlsx" TargetMode="External"/><Relationship Id="rId48" Type="http://schemas.openxmlformats.org/officeDocument/2006/relationships/hyperlink" Target="https://www.nku.gov.sk/aktuality/-/asset_publisher/OkVQsC5cs53F/content//narodni-kontrolori-ponukli-vlade-pohlad-na-rizika-spojene-s-udrzatelnym-smerovanim-spolocnosti" TargetMode="External"/><Relationship Id="rId8" Type="http://schemas.openxmlformats.org/officeDocument/2006/relationships/hyperlink" Target="https://www.slov-lex.sk/pravne-predpisy/SK/ZZ/2011/493/20150101" TargetMode="External"/><Relationship Id="rId3" Type="http://schemas.openxmlformats.org/officeDocument/2006/relationships/hyperlink" Target="https://www.mfsr.sk/sk/financie/verejne-financie/sprava-ocakavanej-skutocnosti/" TargetMode="External"/><Relationship Id="rId12" Type="http://schemas.openxmlformats.org/officeDocument/2006/relationships/hyperlink" Target="https://www.ardal.sk/_img/Documents/O%20n%C3%A1s/Medialne%20spravy/Slovak%20Republic%20-%20Press%20Release%20CHF%20Issuance%20SK.pdf" TargetMode="External"/><Relationship Id="rId17" Type="http://schemas.openxmlformats.org/officeDocument/2006/relationships/hyperlink" Target="https://www.slov-lex.sk/pravne-predpisy/SK/ZZ/2004/580/20240101.html" TargetMode="External"/><Relationship Id="rId25" Type="http://schemas.openxmlformats.org/officeDocument/2006/relationships/hyperlink" Target="https://www.nku.gov.sk/documents/33855/590548/feacdcee-92b2-4b20-9da1-1df68695dae7.pdf/ad6a1afd-f0d7-2fc6-38d5-0d0f4384f2c6?t=1699828838334" TargetMode="External"/><Relationship Id="rId33" Type="http://schemas.openxmlformats.org/officeDocument/2006/relationships/hyperlink" Target="https://vaia.gov.sk/sk/narodna-strategia-vyskumu-vyvoja-a-inovacii-2/" TargetMode="External"/><Relationship Id="rId38" Type="http://schemas.openxmlformats.org/officeDocument/2006/relationships/hyperlink" Target="https://www.nku.gov.sk/documents/33855/34216/Stanovisko_NK%C3%9A%20SR_k_n%C3%A1vrhu_%C5%A0R_na_rok_2024.pdf/ddc57946-088d-9f8f-07b4-284516341640" TargetMode="External"/><Relationship Id="rId46" Type="http://schemas.openxmlformats.org/officeDocument/2006/relationships/hyperlink" Target="http://mumap.nkusr.sk/" TargetMode="External"/><Relationship Id="rId20" Type="http://schemas.openxmlformats.org/officeDocument/2006/relationships/hyperlink" Target="https://www.mfsr.sk/files/sk/media/tlacove-spravy/cerpanie-sf-kf-k-31-12-2015/Cerpanie_SF_a_KF_tlacova_sprava_31-12-2015.pdf" TargetMode="External"/><Relationship Id="rId41" Type="http://schemas.openxmlformats.org/officeDocument/2006/relationships/hyperlink" Target="https://www.minedu.sk/index-dostupnosti-materskych-skol/" TargetMode="External"/><Relationship Id="rId1" Type="http://schemas.openxmlformats.org/officeDocument/2006/relationships/hyperlink" Target="https://www.nrsr.sk/web/Dynamic/DocumentPreview.aspx?DocID=530187" TargetMode="External"/><Relationship Id="rId6" Type="http://schemas.openxmlformats.org/officeDocument/2006/relationships/hyperlink" Target="https://www.slov-lex.sk/pravne-predpisy/SK/ZZ/2004/523/2024010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Stanovisk&#225;\Stanovisko%20k%20n&#225;vrhu%20&#352;R%202021\Stanovisko%20OSA.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SYST&#201;MOV&#201;%20PRIE&#268;INKY\Downloads\STANOVISKO\Stanovisko%20k%20&#352;Z&#218;%202023\Stanovisko_&#352;Z&#218;_2023.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H_rok_programu_Microsoft_Excel1.xlsx"/></Relationships>
</file>

<file path=word/charts/_rels/chart11.xml.rels><?xml version="1.0" encoding="UTF-8" standalone="yes"?>
<Relationships xmlns="http://schemas.openxmlformats.org/package/2006/relationships"><Relationship Id="rId3" Type="http://schemas.openxmlformats.org/officeDocument/2006/relationships/oleObject" Target="file:///D:\SYST&#201;MOV&#201;%20PRIE&#268;INKY\Do&#269;asn&#233;%20internetov&#233;%20s&#250;bory\Content.Outlook\GFV62XGL\RO%20sumy.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H_rok_programu_Microsoft_Excel2.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H_rok_programu_Microsoft_Excel3.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D:\SYST&#201;MOV&#201;%20PRIE&#268;INKY\Desktop\NK&#218;\Zdravotn&#237;ctvo\Zavazky%20ZZ_11_2023+platbyzapoistencastatu.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16.xml"/><Relationship Id="rId1" Type="http://schemas.microsoft.com/office/2011/relationships/chartStyle" Target="style16.xml"/></Relationships>
</file>

<file path=word/charts/_rels/chart16.xml.rels><?xml version="1.0" encoding="UTF-8" standalone="yes"?>
<Relationships xmlns="http://schemas.openxmlformats.org/package/2006/relationships"><Relationship Id="rId3" Type="http://schemas.openxmlformats.org/officeDocument/2006/relationships/package" Target="../embeddings/H_rok_programu_Microsoft_Excel4.xlsx"/><Relationship Id="rId2" Type="http://schemas.microsoft.com/office/2011/relationships/chartColorStyle" Target="colors17.xml"/><Relationship Id="rId1" Type="http://schemas.microsoft.com/office/2011/relationships/chartStyle" Target="style17.xml"/></Relationships>
</file>

<file path=word/charts/_rels/chart17.xml.rels><?xml version="1.0" encoding="UTF-8" standalone="yes"?>
<Relationships xmlns="http://schemas.openxmlformats.org/package/2006/relationships"><Relationship Id="rId3" Type="http://schemas.openxmlformats.org/officeDocument/2006/relationships/package" Target="../embeddings/H_rok_programu_Microsoft_Excel5.xlsx"/><Relationship Id="rId2" Type="http://schemas.microsoft.com/office/2011/relationships/chartColorStyle" Target="colors18.xml"/><Relationship Id="rId1" Type="http://schemas.microsoft.com/office/2011/relationships/chartStyle" Target="style18.xm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package" Target="../embeddings/H_rok_programu_Microsoft_Excel6.xlsx"/></Relationships>
</file>

<file path=word/charts/_rels/chart19.xml.rels><?xml version="1.0" encoding="UTF-8" standalone="yes"?>
<Relationships xmlns="http://schemas.openxmlformats.org/package/2006/relationships"><Relationship Id="rId3" Type="http://schemas.openxmlformats.org/officeDocument/2006/relationships/oleObject" Target="file:///D:\SYST&#201;MOV&#201;%20PRIE&#268;INKY\Desktop\Stanovisk&#225;\&#352;Z&#218;%202023\progr%20&#353;%20zdravotn&#237;ctvo%20top%20level.xlsx" TargetMode="External"/><Relationship Id="rId2" Type="http://schemas.microsoft.com/office/2011/relationships/chartColorStyle" Target="colors20.xml"/><Relationship Id="rId1" Type="http://schemas.microsoft.com/office/2011/relationships/chartStyle" Target="style20.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D:\SYST&#201;MOV&#201;%20PRIE&#268;INKY\Downloads\STANOVISKO\Stanovisko%20k%20&#352;Z&#218;%202023\Stanovisko_&#352;Z&#218;_2023.xlsx" TargetMode="External"/></Relationships>
</file>

<file path=word/charts/_rels/chart20.xml.rels><?xml version="1.0" encoding="UTF-8" standalone="yes"?>
<Relationships xmlns="http://schemas.openxmlformats.org/package/2006/relationships"><Relationship Id="rId3" Type="http://schemas.openxmlformats.org/officeDocument/2006/relationships/oleObject" Target="file:///D:\SYST&#201;MOV&#201;%20PRIE&#268;INKY\Desktop\Zdravotn&#237;ctvo\zdravotn&#237;ctvo%20-%20ukazovatele.xlsx" TargetMode="External"/><Relationship Id="rId2" Type="http://schemas.microsoft.com/office/2011/relationships/chartColorStyle" Target="colors21.xml"/><Relationship Id="rId1" Type="http://schemas.microsoft.com/office/2011/relationships/chartStyle" Target="style21.xml"/></Relationships>
</file>

<file path=word/charts/_rels/chart21.xml.rels><?xml version="1.0" encoding="UTF-8" standalone="yes"?>
<Relationships xmlns="http://schemas.openxmlformats.org/package/2006/relationships"><Relationship Id="rId3" Type="http://schemas.openxmlformats.org/officeDocument/2006/relationships/oleObject" Target="file:///D:\SYST&#201;MOV&#201;%20PRIE&#268;INKY\Desktop\Zdravotn&#237;ctvo\zdravotn&#237;ctvo%20-%20ukazovatele.xlsx" TargetMode="External"/><Relationship Id="rId2" Type="http://schemas.microsoft.com/office/2011/relationships/chartColorStyle" Target="colors22.xml"/><Relationship Id="rId1" Type="http://schemas.microsoft.com/office/2011/relationships/chartStyle" Target="style22.xml"/></Relationships>
</file>

<file path=word/charts/_rels/chart22.xml.rels><?xml version="1.0" encoding="UTF-8" standalone="yes"?>
<Relationships xmlns="http://schemas.openxmlformats.org/package/2006/relationships"><Relationship Id="rId3" Type="http://schemas.openxmlformats.org/officeDocument/2006/relationships/oleObject" Target="file:///D:\SYST&#201;MOV&#201;%20PRIE&#268;INKY\Desktop\Zdravotn&#237;ctvo\zdravotn&#237;ctvo%20-%20ukazovatele.xlsx" TargetMode="External"/><Relationship Id="rId2" Type="http://schemas.microsoft.com/office/2011/relationships/chartColorStyle" Target="colors23.xml"/><Relationship Id="rId1" Type="http://schemas.microsoft.com/office/2011/relationships/chartStyle" Target="style23.xml"/></Relationships>
</file>

<file path=word/charts/_rels/chart23.xml.rels><?xml version="1.0" encoding="UTF-8" standalone="yes"?>
<Relationships xmlns="http://schemas.openxmlformats.org/package/2006/relationships"><Relationship Id="rId3" Type="http://schemas.openxmlformats.org/officeDocument/2006/relationships/oleObject" Target="file:///D:\SYST&#201;MOV&#201;%20PRIE&#268;INKY\Desktop\Zdravotn&#237;ctvo\zdravotn&#237;ctvo%20-%20ukazovatele.xlsx" TargetMode="External"/><Relationship Id="rId2" Type="http://schemas.microsoft.com/office/2011/relationships/chartColorStyle" Target="colors24.xml"/><Relationship Id="rId1" Type="http://schemas.microsoft.com/office/2011/relationships/chartStyle" Target="style24.xml"/></Relationships>
</file>

<file path=word/charts/_rels/chart24.xml.rels><?xml version="1.0" encoding="UTF-8" standalone="yes"?>
<Relationships xmlns="http://schemas.openxmlformats.org/package/2006/relationships"><Relationship Id="rId3" Type="http://schemas.openxmlformats.org/officeDocument/2006/relationships/oleObject" Target="file:///D:\SYST&#201;MOV&#201;%20PRIE&#268;INKY\Desktop\Stanovisk&#225;\&#352;Z&#218;%202023\&#352;trukt&#250;ra%20v&#253;davkov%20na%20zdravotn&#250;%20starostlivos&#357;.xlsx" TargetMode="External"/><Relationship Id="rId2" Type="http://schemas.microsoft.com/office/2011/relationships/chartColorStyle" Target="colors25.xml"/><Relationship Id="rId1" Type="http://schemas.microsoft.com/office/2011/relationships/chartStyle" Target="style25.xml"/></Relationships>
</file>

<file path=word/charts/_rels/chart25.xml.rels><?xml version="1.0" encoding="UTF-8" standalone="yes"?>
<Relationships xmlns="http://schemas.openxmlformats.org/package/2006/relationships"><Relationship Id="rId3" Type="http://schemas.openxmlformats.org/officeDocument/2006/relationships/oleObject" Target="file:///\\analytickyodbor\analyticky%20odbor\Stanovisko%20k%20n&#225;vrhu%20&#352;Z&#218;%202023\Stanovisko_&#352;Z&#218;_2023.xlsx" TargetMode="External"/><Relationship Id="rId2" Type="http://schemas.microsoft.com/office/2011/relationships/chartColorStyle" Target="colors26.xml"/><Relationship Id="rId1" Type="http://schemas.microsoft.com/office/2011/relationships/chartStyle" Target="style26.xml"/></Relationships>
</file>

<file path=word/charts/_rels/chart26.xml.rels><?xml version="1.0" encoding="UTF-8" standalone="yes"?>
<Relationships xmlns="http://schemas.openxmlformats.org/package/2006/relationships"><Relationship Id="rId3" Type="http://schemas.openxmlformats.org/officeDocument/2006/relationships/oleObject" Target="file:///D:\SYST&#201;MOV&#201;%20PRIE&#268;INKY\Desktop\NK&#218;\Zdravotn&#237;ctvo\Oddl&#382;ovanie%20ZZ\Z&#225;v&#228;zky%20FUN-UN-13_graf_stanovisko.xlsx" TargetMode="External"/><Relationship Id="rId2" Type="http://schemas.microsoft.com/office/2011/relationships/chartColorStyle" Target="colors27.xml"/><Relationship Id="rId1" Type="http://schemas.microsoft.com/office/2011/relationships/chartStyle" Target="style27.xml"/></Relationships>
</file>

<file path=word/charts/_rels/chart27.xml.rels><?xml version="1.0" encoding="UTF-8" standalone="yes"?>
<Relationships xmlns="http://schemas.openxmlformats.org/package/2006/relationships"><Relationship Id="rId3" Type="http://schemas.openxmlformats.org/officeDocument/2006/relationships/oleObject" Target="file:///D:\SYST&#201;MOV&#201;%20PRIE&#268;INKY\Desktop\NK&#218;\Zdravotn&#237;ctvo\Oddl&#382;ovanie%20ZZ\NTS\NTS_graf_zavazky_pohladavky_2023.xlsx" TargetMode="External"/><Relationship Id="rId2" Type="http://schemas.microsoft.com/office/2011/relationships/chartColorStyle" Target="colors28.xml"/><Relationship Id="rId1" Type="http://schemas.microsoft.com/office/2011/relationships/chartStyle" Target="style28.xml"/></Relationships>
</file>

<file path=word/charts/_rels/chart28.xml.rels><?xml version="1.0" encoding="UTF-8" standalone="yes"?>
<Relationships xmlns="http://schemas.openxmlformats.org/package/2006/relationships"><Relationship Id="rId3" Type="http://schemas.openxmlformats.org/officeDocument/2006/relationships/oleObject" Target="file:///\\analytickyodbor\analyticky%20odbor\Stanovisko%20k%20n&#225;vrhu%20&#352;Z&#218;%202023\Stanovisko_&#352;Z&#218;_2023.xlsx" TargetMode="External"/><Relationship Id="rId2" Type="http://schemas.microsoft.com/office/2011/relationships/chartColorStyle" Target="colors29.xml"/><Relationship Id="rId1" Type="http://schemas.microsoft.com/office/2011/relationships/chartStyle" Target="style29.xml"/></Relationships>
</file>

<file path=word/charts/_rels/chart29.xml.rels><?xml version="1.0" encoding="UTF-8" standalone="yes"?>
<Relationships xmlns="http://schemas.openxmlformats.org/package/2006/relationships"><Relationship Id="rId3" Type="http://schemas.openxmlformats.org/officeDocument/2006/relationships/oleObject" Target="file:///\\analytickyodbor\analyticky%20odbor\Stanovisko%20k%20n&#225;vrhu%20&#352;Z&#218;%202023\Stanovisko_&#352;Z&#218;_2023.xlsx" TargetMode="External"/><Relationship Id="rId2" Type="http://schemas.microsoft.com/office/2011/relationships/chartColorStyle" Target="colors30.xml"/><Relationship Id="rId1" Type="http://schemas.microsoft.com/office/2011/relationships/chartStyle" Target="style30.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D:\SYST&#201;MOV&#201;%20PRIE&#268;INKY\Downloads\STANOVISKO\Stanovisko%20k%20&#352;Z&#218;%202023\Stanovisko_&#352;Z&#218;_2023.xlsx" TargetMode="External"/></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31.xml"/><Relationship Id="rId1" Type="http://schemas.microsoft.com/office/2011/relationships/chartStyle" Target="style31.xml"/><Relationship Id="rId4" Type="http://schemas.openxmlformats.org/officeDocument/2006/relationships/package" Target="../embeddings/H_rok_programu_Microsoft_Excel7.xlsx"/></Relationships>
</file>

<file path=word/charts/_rels/chart31.xml.rels><?xml version="1.0" encoding="UTF-8" standalone="yes"?>
<Relationships xmlns="http://schemas.openxmlformats.org/package/2006/relationships"><Relationship Id="rId3" Type="http://schemas.openxmlformats.org/officeDocument/2006/relationships/package" Target="../embeddings/H_rok_programu_Microsoft_Excel8.xlsx"/><Relationship Id="rId2" Type="http://schemas.microsoft.com/office/2011/relationships/chartColorStyle" Target="colors32.xml"/><Relationship Id="rId1" Type="http://schemas.microsoft.com/office/2011/relationships/chartStyle" Target="style32.xml"/></Relationships>
</file>

<file path=word/charts/_rels/chart32.xml.rels><?xml version="1.0" encoding="UTF-8" standalone="yes"?>
<Relationships xmlns="http://schemas.openxmlformats.org/package/2006/relationships"><Relationship Id="rId3" Type="http://schemas.openxmlformats.org/officeDocument/2006/relationships/package" Target="../embeddings/H_rok_programu_Microsoft_Excel9.xlsx"/><Relationship Id="rId2" Type="http://schemas.microsoft.com/office/2011/relationships/chartColorStyle" Target="colors33.xml"/><Relationship Id="rId1" Type="http://schemas.microsoft.com/office/2011/relationships/chartStyle" Target="style33.xml"/></Relationships>
</file>

<file path=word/charts/_rels/chart33.xml.rels><?xml version="1.0" encoding="UTF-8" standalone="yes"?>
<Relationships xmlns="http://schemas.openxmlformats.org/package/2006/relationships"><Relationship Id="rId3" Type="http://schemas.openxmlformats.org/officeDocument/2006/relationships/package" Target="../embeddings/H_rok_programu_Microsoft_Excel10.xlsx"/><Relationship Id="rId2" Type="http://schemas.microsoft.com/office/2011/relationships/chartColorStyle" Target="colors34.xml"/><Relationship Id="rId1" Type="http://schemas.microsoft.com/office/2011/relationships/chartStyle" Target="style34.xml"/></Relationships>
</file>

<file path=word/charts/_rels/chart34.xml.rels><?xml version="1.0" encoding="UTF-8" standalone="yes"?>
<Relationships xmlns="http://schemas.openxmlformats.org/package/2006/relationships"><Relationship Id="rId3" Type="http://schemas.openxmlformats.org/officeDocument/2006/relationships/package" Target="../embeddings/H_rok_programu_Microsoft_Excel11.xlsx"/><Relationship Id="rId2" Type="http://schemas.microsoft.com/office/2011/relationships/chartColorStyle" Target="colors35.xml"/><Relationship Id="rId1" Type="http://schemas.microsoft.com/office/2011/relationships/chartStyle" Target="style35.xml"/></Relationships>
</file>

<file path=word/charts/_rels/chart35.xml.rels><?xml version="1.0" encoding="UTF-8" standalone="yes"?>
<Relationships xmlns="http://schemas.openxmlformats.org/package/2006/relationships"><Relationship Id="rId3" Type="http://schemas.openxmlformats.org/officeDocument/2006/relationships/oleObject" Target="file:///\\analytickyodbor\analyticky%20odbor\Stanovisko%20k%20n&#225;vrhu%20&#352;Z&#218;%202023\Stanovisko_&#352;Z&#218;_2023.xlsx" TargetMode="External"/><Relationship Id="rId2" Type="http://schemas.microsoft.com/office/2011/relationships/chartColorStyle" Target="colors36.xml"/><Relationship Id="rId1" Type="http://schemas.microsoft.com/office/2011/relationships/chartStyle" Target="style36.xml"/></Relationships>
</file>

<file path=word/charts/_rels/chart36.xml.rels><?xml version="1.0" encoding="UTF-8" standalone="yes"?>
<Relationships xmlns="http://schemas.openxmlformats.org/package/2006/relationships"><Relationship Id="rId3" Type="http://schemas.openxmlformats.org/officeDocument/2006/relationships/oleObject" Target="file:///D:\SYST&#201;MOV&#201;%20PRIE&#268;INKY\Do&#269;asn&#233;%20internetov&#233;%20s&#250;bory\Content.Outlook\GFV62XGL\Energopomoc%202023.xlsx" TargetMode="External"/><Relationship Id="rId2" Type="http://schemas.microsoft.com/office/2011/relationships/chartColorStyle" Target="colors37.xml"/><Relationship Id="rId1" Type="http://schemas.microsoft.com/office/2011/relationships/chartStyle" Target="style37.xml"/></Relationships>
</file>

<file path=word/charts/_rels/chart37.xml.rels><?xml version="1.0" encoding="UTF-8" standalone="yes"?>
<Relationships xmlns="http://schemas.openxmlformats.org/package/2006/relationships"><Relationship Id="rId3" Type="http://schemas.openxmlformats.org/officeDocument/2006/relationships/oleObject" Target="file:///D:\MOJE%20DOKUMENTY\STANOVISK&#193;\Stanovisko%20k%20&#352;Z&#218;%20na%20rok%202023\D&#225;tov&#225;%20pr&#237;loha.xlsx" TargetMode="External"/><Relationship Id="rId2" Type="http://schemas.microsoft.com/office/2011/relationships/chartColorStyle" Target="colors38.xml"/><Relationship Id="rId1" Type="http://schemas.microsoft.com/office/2011/relationships/chartStyle" Target="style38.xml"/></Relationships>
</file>

<file path=word/charts/_rels/chart38.xml.rels><?xml version="1.0" encoding="UTF-8" standalone="yes"?>
<Relationships xmlns="http://schemas.openxmlformats.org/package/2006/relationships"><Relationship Id="rId3" Type="http://schemas.openxmlformats.org/officeDocument/2006/relationships/oleObject" Target="file:///\\analytickyodbor\analyticky%20odbor\Stanovisko%20k%20n&#225;vrhu%20&#352;Z&#218;%202023\D&#225;tov&#225;%20pr&#237;loha_&#353;kolstvo.xlsx" TargetMode="External"/><Relationship Id="rId2" Type="http://schemas.microsoft.com/office/2011/relationships/chartColorStyle" Target="colors39.xml"/><Relationship Id="rId1" Type="http://schemas.microsoft.com/office/2011/relationships/chartStyle" Target="style39.xml"/></Relationships>
</file>

<file path=word/charts/_rels/chart39.xml.rels><?xml version="1.0" encoding="UTF-8" standalone="yes"?>
<Relationships xmlns="http://schemas.openxmlformats.org/package/2006/relationships"><Relationship Id="rId3" Type="http://schemas.openxmlformats.org/officeDocument/2006/relationships/oleObject" Target="file:///D:\MOJE%20DOKUMENTY\STANOVISK&#193;\Stanovisko%20k%20&#352;Z&#218;%20na%20rok%202023\D&#225;tov&#225;%20pr&#237;loha.xlsx" TargetMode="External"/><Relationship Id="rId2" Type="http://schemas.microsoft.com/office/2011/relationships/chartColorStyle" Target="colors40.xml"/><Relationship Id="rId1" Type="http://schemas.microsoft.com/office/2011/relationships/chartStyle" Target="style40.xml"/></Relationships>
</file>

<file path=word/charts/_rels/chart4.xml.rels><?xml version="1.0" encoding="UTF-8" standalone="yes"?>
<Relationships xmlns="http://schemas.openxmlformats.org/package/2006/relationships"><Relationship Id="rId3" Type="http://schemas.openxmlformats.org/officeDocument/2006/relationships/oleObject" Target="file:///D:\SYST&#201;MOV&#201;%20PRIE&#268;INKY\Downloads\STANOVISKO\Stanovisko%20k%20&#352;Z&#218;%202023\Stanovisko_&#352;Z&#218;_2023.xlsx" TargetMode="External"/><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oleObject" Target="file:///D:\MOJE%20DOKUMENTY\STANOVISK&#193;\Stanovisko%20k%20&#352;Z&#218;%20na%20rok%202023\D&#225;tov&#225;%20pr&#237;loha.xlsx" TargetMode="External"/><Relationship Id="rId2" Type="http://schemas.microsoft.com/office/2011/relationships/chartColorStyle" Target="colors41.xml"/><Relationship Id="rId1" Type="http://schemas.microsoft.com/office/2011/relationships/chartStyle" Target="style41.xml"/></Relationships>
</file>

<file path=word/charts/_rels/chart41.xml.rels><?xml version="1.0" encoding="UTF-8" standalone="yes"?>
<Relationships xmlns="http://schemas.openxmlformats.org/package/2006/relationships"><Relationship Id="rId3" Type="http://schemas.openxmlformats.org/officeDocument/2006/relationships/oleObject" Target="file:///D:\MOJE%20DOKUMENTY\STANOVISK&#193;\Stanovisko%20k%20&#352;Z&#218;%20na%20rok%202023\D&#225;tov&#225;%20pr&#237;loha.xlsx" TargetMode="External"/><Relationship Id="rId2" Type="http://schemas.microsoft.com/office/2011/relationships/chartColorStyle" Target="colors42.xml"/><Relationship Id="rId1" Type="http://schemas.microsoft.com/office/2011/relationships/chartStyle" Target="style42.xml"/></Relationships>
</file>

<file path=word/charts/_rels/chart42.xml.rels><?xml version="1.0" encoding="UTF-8" standalone="yes"?>
<Relationships xmlns="http://schemas.openxmlformats.org/package/2006/relationships"><Relationship Id="rId3" Type="http://schemas.openxmlformats.org/officeDocument/2006/relationships/oleObject" Target="file:///D:\MOJE%20DOKUMENTY\STANOVISK&#193;\Stanovisko%20k%20&#352;Z&#218;%20na%20rok%202023\D&#225;tov&#225;%20pr&#237;loha.xlsx" TargetMode="External"/><Relationship Id="rId2" Type="http://schemas.microsoft.com/office/2011/relationships/chartColorStyle" Target="colors43.xml"/><Relationship Id="rId1" Type="http://schemas.microsoft.com/office/2011/relationships/chartStyle" Target="style43.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D:\SYST&#201;MOV&#201;%20PRIE&#268;INKY\Downloads\STANOVISKO\Stanovisko%20k%20&#352;Z&#218;%202023\Stanovisko_&#352;Z&#218;_2023.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D:\SYST&#201;MOV&#201;%20PRIE&#268;INKY\Downloads\STANOVISKO\Stanovisko%20k%20&#352;Z&#218;%202023\Stanovisko_&#352;Z&#218;_2023.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D:\SYST&#201;MOV&#201;%20PRIE&#268;INKY\Desktop\2024_Stanovisko_&#352;Z&#218;\Stanovisko%20NK&#218;%20SR%20k%20n&#225;vrhu%20&#352;Z&#218;%20za%202023.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embeddings/oleObject1.bin"/></Relationships>
</file>

<file path=word/charts/_rels/chart9.xml.rels><?xml version="1.0" encoding="UTF-8" standalone="yes"?>
<Relationships xmlns="http://schemas.openxmlformats.org/package/2006/relationships"><Relationship Id="rId3" Type="http://schemas.openxmlformats.org/officeDocument/2006/relationships/package" Target="../embeddings/H_rok_programu_Microsoft_Excel.xlsx"/><Relationship Id="rId2" Type="http://schemas.microsoft.com/office/2011/relationships/chartColorStyle" Target="colors9.xml"/><Relationship Id="rId1" Type="http://schemas.microsoft.com/office/2011/relationships/chartStyle" Target="style9.xml"/></Relationships>
</file>

<file path=word/charts/_rels/chartEx1.xml.rels><?xml version="1.0" encoding="UTF-8" standalone="yes"?>
<Relationships xmlns="http://schemas.openxmlformats.org/package/2006/relationships"><Relationship Id="rId3" Type="http://schemas.microsoft.com/office/2011/relationships/chartColorStyle" Target="colors15.xml"/><Relationship Id="rId2" Type="http://schemas.microsoft.com/office/2011/relationships/chartStyle" Target="style15.xml"/><Relationship Id="rId1" Type="http://schemas.openxmlformats.org/officeDocument/2006/relationships/oleObject" Target="file:///D:\MOJE%20DOKUMENTY\_1026-2024\StanoviskoSZU_2023\tmp\Prehlad_DPFO_do_vlady%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'Graf 1'!$C$2</c:f>
              <c:strCache>
                <c:ptCount val="1"/>
                <c:pt idx="0">
                  <c:v>RVS 2023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 1'!$B$3:$B$9</c:f>
              <c:strCache>
                <c:ptCount val="7"/>
                <c:pt idx="0">
                  <c:v>HDP, s.c. (YoY zmena)</c:v>
                </c:pt>
                <c:pt idx="1">
                  <c:v>Súkromná spotreba, s.c.</c:v>
                </c:pt>
                <c:pt idx="2">
                  <c:v>Vládna spotreba, s.c.</c:v>
                </c:pt>
                <c:pt idx="3">
                  <c:v>Fixné investície, s.c.</c:v>
                </c:pt>
                <c:pt idx="4">
                  <c:v>Export tovarov a služieb, s.c.</c:v>
                </c:pt>
                <c:pt idx="5">
                  <c:v>Import tovarov a služieb, s.c.</c:v>
                </c:pt>
                <c:pt idx="6">
                  <c:v>Index spotrebiteľských cien (CPI)</c:v>
                </c:pt>
              </c:strCache>
            </c:strRef>
          </c:cat>
          <c:val>
            <c:numRef>
              <c:f>'Graf 1'!$C$3:$C$9</c:f>
              <c:numCache>
                <c:formatCode>0.0</c:formatCode>
                <c:ptCount val="7"/>
                <c:pt idx="0">
                  <c:v>0.6</c:v>
                </c:pt>
                <c:pt idx="1">
                  <c:v>-3.7</c:v>
                </c:pt>
                <c:pt idx="2">
                  <c:v>-0.7</c:v>
                </c:pt>
                <c:pt idx="3">
                  <c:v>16.3</c:v>
                </c:pt>
                <c:pt idx="4">
                  <c:v>1.7</c:v>
                </c:pt>
                <c:pt idx="5">
                  <c:v>2.4</c:v>
                </c:pt>
                <c:pt idx="6">
                  <c:v>13.5</c:v>
                </c:pt>
              </c:numCache>
            </c:numRef>
          </c:val>
          <c:extLst>
            <c:ext xmlns:c16="http://schemas.microsoft.com/office/drawing/2014/chart" uri="{C3380CC4-5D6E-409C-BE32-E72D297353CC}">
              <c16:uniqueId val="{00000000-1474-4D9E-8922-A78F26E38A61}"/>
            </c:ext>
          </c:extLst>
        </c:ser>
        <c:ser>
          <c:idx val="1"/>
          <c:order val="1"/>
          <c:tx>
            <c:strRef>
              <c:f>'Graf 1'!$D$2</c:f>
              <c:strCache>
                <c:ptCount val="1"/>
                <c:pt idx="0">
                  <c:v>Skutočnosť</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2"/>
                    </a:solidFill>
                    <a:latin typeface="Segoe UI" panose="020B0502040204020203" pitchFamily="34" charset="0"/>
                    <a:ea typeface="+mn-ea"/>
                    <a:cs typeface="Segoe UI" panose="020B0502040204020203"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 1'!$B$3:$B$9</c:f>
              <c:strCache>
                <c:ptCount val="7"/>
                <c:pt idx="0">
                  <c:v>HDP, s.c. (YoY zmena)</c:v>
                </c:pt>
                <c:pt idx="1">
                  <c:v>Súkromná spotreba, s.c.</c:v>
                </c:pt>
                <c:pt idx="2">
                  <c:v>Vládna spotreba, s.c.</c:v>
                </c:pt>
                <c:pt idx="3">
                  <c:v>Fixné investície, s.c.</c:v>
                </c:pt>
                <c:pt idx="4">
                  <c:v>Export tovarov a služieb, s.c.</c:v>
                </c:pt>
                <c:pt idx="5">
                  <c:v>Import tovarov a služieb, s.c.</c:v>
                </c:pt>
                <c:pt idx="6">
                  <c:v>Index spotrebiteľských cien (CPI)</c:v>
                </c:pt>
              </c:strCache>
            </c:strRef>
          </c:cat>
          <c:val>
            <c:numRef>
              <c:f>'Graf 1'!$D$3:$D$9</c:f>
              <c:numCache>
                <c:formatCode>0.0</c:formatCode>
                <c:ptCount val="7"/>
                <c:pt idx="0">
                  <c:v>1.6</c:v>
                </c:pt>
                <c:pt idx="1">
                  <c:v>-3.1</c:v>
                </c:pt>
                <c:pt idx="2">
                  <c:v>-0.6</c:v>
                </c:pt>
                <c:pt idx="3">
                  <c:v>10.6</c:v>
                </c:pt>
                <c:pt idx="4">
                  <c:v>-1.4</c:v>
                </c:pt>
                <c:pt idx="5">
                  <c:v>-7.6</c:v>
                </c:pt>
                <c:pt idx="6">
                  <c:v>10.5</c:v>
                </c:pt>
              </c:numCache>
            </c:numRef>
          </c:val>
          <c:extLst>
            <c:ext xmlns:c16="http://schemas.microsoft.com/office/drawing/2014/chart" uri="{C3380CC4-5D6E-409C-BE32-E72D297353CC}">
              <c16:uniqueId val="{00000001-1474-4D9E-8922-A78F26E38A61}"/>
            </c:ext>
          </c:extLst>
        </c:ser>
        <c:dLbls>
          <c:showLegendKey val="0"/>
          <c:showVal val="0"/>
          <c:showCatName val="0"/>
          <c:showSerName val="0"/>
          <c:showPercent val="0"/>
          <c:showBubbleSize val="0"/>
        </c:dLbls>
        <c:gapWidth val="100"/>
        <c:axId val="93986047"/>
        <c:axId val="93968991"/>
      </c:barChart>
      <c:catAx>
        <c:axId val="93986047"/>
        <c:scaling>
          <c:orientation val="maxMin"/>
        </c:scaling>
        <c:delete val="0"/>
        <c:axPos val="l"/>
        <c:majorGridlines>
          <c:spPr>
            <a:ln w="9525" cap="flat" cmpd="sng" algn="ct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tx2"/>
                  </a:gs>
                </a:gsLst>
                <a:lin ang="10800000" scaled="0"/>
              </a:gradFill>
              <a:round/>
            </a:ln>
            <a:effectLst/>
          </c:spPr>
        </c:majorGridlines>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93968991"/>
        <c:crosses val="autoZero"/>
        <c:auto val="1"/>
        <c:lblAlgn val="ctr"/>
        <c:lblOffset val="100"/>
        <c:noMultiLvlLbl val="0"/>
      </c:catAx>
      <c:valAx>
        <c:axId val="93968991"/>
        <c:scaling>
          <c:orientation val="minMax"/>
        </c:scaling>
        <c:delete val="0"/>
        <c:axPos val="t"/>
        <c:numFmt formatCode="0.0" sourceLinked="1"/>
        <c:majorTickMark val="none"/>
        <c:minorTickMark val="none"/>
        <c:tickLblPos val="high"/>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939860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legend>
    <c:plotVisOnly val="1"/>
    <c:dispBlanksAs val="gap"/>
    <c:showDLblsOverMax val="0"/>
  </c:chart>
  <c:spPr>
    <a:solidFill>
      <a:schemeClr val="bg1"/>
    </a:solidFill>
    <a:ln w="9525" cap="flat" cmpd="sng" algn="ctr">
      <a:noFill/>
      <a:round/>
    </a:ln>
    <a:effectLst/>
  </c:spPr>
  <c:txPr>
    <a:bodyPr/>
    <a:lstStyle/>
    <a:p>
      <a:pPr>
        <a:defRPr sz="800">
          <a:solidFill>
            <a:schemeClr val="tx2"/>
          </a:solidFill>
          <a:latin typeface="Segoe UI" panose="020B0502040204020203" pitchFamily="34" charset="0"/>
          <a:cs typeface="Segoe UI" panose="020B0502040204020203" pitchFamily="34" charset="0"/>
        </a:defRPr>
      </a:pPr>
      <a:endParaRPr lang="sk-SK"/>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0"/>
          <c:tx>
            <c:strRef>
              <c:f>'Graf DLH_3'!$B$4</c:f>
              <c:strCache>
                <c:ptCount val="1"/>
                <c:pt idx="0">
                  <c:v>Výdavky spojené so správou štátneho dlhu</c:v>
                </c:pt>
              </c:strCache>
            </c:strRef>
          </c:tx>
          <c:spPr>
            <a:solidFill>
              <a:srgbClr val="31436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'Graf DLH_3'!$C$2:$P$2</c:f>
              <c:numCache>
                <c:formatCode>General</c:formatCode>
                <c:ptCount val="14"/>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numCache>
            </c:numRef>
          </c:cat>
          <c:val>
            <c:numRef>
              <c:f>'Graf DLH_3'!$C$4:$P$4</c:f>
              <c:numCache>
                <c:formatCode>#,##0</c:formatCode>
                <c:ptCount val="14"/>
                <c:pt idx="0">
                  <c:v>864</c:v>
                </c:pt>
                <c:pt idx="1">
                  <c:v>1007</c:v>
                </c:pt>
                <c:pt idx="2">
                  <c:v>1249</c:v>
                </c:pt>
                <c:pt idx="3">
                  <c:v>1166</c:v>
                </c:pt>
                <c:pt idx="4">
                  <c:v>1281</c:v>
                </c:pt>
                <c:pt idx="5">
                  <c:v>1160</c:v>
                </c:pt>
                <c:pt idx="6">
                  <c:v>1175</c:v>
                </c:pt>
                <c:pt idx="7">
                  <c:v>1167</c:v>
                </c:pt>
                <c:pt idx="8">
                  <c:v>1135</c:v>
                </c:pt>
                <c:pt idx="9">
                  <c:v>1037.1780000000001</c:v>
                </c:pt>
                <c:pt idx="10">
                  <c:v>796.97299999999996</c:v>
                </c:pt>
                <c:pt idx="11">
                  <c:v>657.48800000000006</c:v>
                </c:pt>
                <c:pt idx="12">
                  <c:v>1059.3309999999999</c:v>
                </c:pt>
                <c:pt idx="13">
                  <c:v>1073.1890000000001</c:v>
                </c:pt>
              </c:numCache>
            </c:numRef>
          </c:val>
          <c:extLst xmlns:c15="http://schemas.microsoft.com/office/drawing/2012/chart">
            <c:ext xmlns:c16="http://schemas.microsoft.com/office/drawing/2014/chart" uri="{C3380CC4-5D6E-409C-BE32-E72D297353CC}">
              <c16:uniqueId val="{00000000-E811-45E4-98B5-E24192516053}"/>
            </c:ext>
          </c:extLst>
        </c:ser>
        <c:dLbls>
          <c:dLblPos val="outEnd"/>
          <c:showLegendKey val="0"/>
          <c:showVal val="1"/>
          <c:showCatName val="0"/>
          <c:showSerName val="0"/>
          <c:showPercent val="0"/>
          <c:showBubbleSize val="0"/>
        </c:dLbls>
        <c:gapWidth val="100"/>
        <c:axId val="1821113199"/>
        <c:axId val="1821115279"/>
        <c:extLst/>
      </c:barChart>
      <c:catAx>
        <c:axId val="1821113199"/>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1821115279"/>
        <c:crosses val="autoZero"/>
        <c:auto val="1"/>
        <c:lblAlgn val="ctr"/>
        <c:lblOffset val="100"/>
        <c:noMultiLvlLbl val="0"/>
      </c:catAx>
      <c:valAx>
        <c:axId val="182111527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1821113199"/>
        <c:crosses val="autoZero"/>
        <c:crossBetween val="between"/>
      </c:valAx>
      <c:spPr>
        <a:noFill/>
        <a:ln>
          <a:noFill/>
        </a:ln>
        <a:effectLst/>
      </c:spPr>
    </c:plotArea>
    <c:plotVisOnly val="1"/>
    <c:dispBlanksAs val="zero"/>
    <c:showDLblsOverMax val="0"/>
  </c:chart>
  <c:spPr>
    <a:noFill/>
    <a:ln w="9525" cap="flat" cmpd="sng" algn="ctr">
      <a:noFill/>
      <a:round/>
    </a:ln>
    <a:effectLst/>
  </c:spPr>
  <c:txPr>
    <a:bodyPr/>
    <a:lstStyle/>
    <a:p>
      <a:pPr>
        <a:defRPr sz="800">
          <a:solidFill>
            <a:schemeClr val="tx2"/>
          </a:solidFill>
          <a:latin typeface="Segoe UI" panose="020B0502040204020203" pitchFamily="34" charset="0"/>
          <a:cs typeface="Segoe UI" panose="020B0502040204020203" pitchFamily="34" charset="0"/>
        </a:defRPr>
      </a:pPr>
      <a:endParaRPr lang="sk-SK"/>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25592721527229"/>
          <c:y val="6.9287538618489117E-2"/>
          <c:w val="0.82664368993567094"/>
          <c:h val="0.60168222419778172"/>
        </c:manualLayout>
      </c:layout>
      <c:barChart>
        <c:barDir val="col"/>
        <c:grouping val="clustered"/>
        <c:varyColors val="0"/>
        <c:ser>
          <c:idx val="0"/>
          <c:order val="0"/>
          <c:tx>
            <c:strRef>
              <c:f>RO!$E$2</c:f>
              <c:strCache>
                <c:ptCount val="1"/>
                <c:pt idx="0">
                  <c:v>Objem výdavkov na rozpočtové opatrenia v mil. eur (ľavá os)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1"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RO!$F$1:$Q$1</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RO!$F$2:$Q$2</c:f>
              <c:numCache>
                <c:formatCode>#,##0</c:formatCode>
                <c:ptCount val="12"/>
                <c:pt idx="0">
                  <c:v>1038</c:v>
                </c:pt>
                <c:pt idx="1">
                  <c:v>2088</c:v>
                </c:pt>
                <c:pt idx="2">
                  <c:v>3124</c:v>
                </c:pt>
                <c:pt idx="3">
                  <c:v>5810</c:v>
                </c:pt>
                <c:pt idx="4">
                  <c:v>4776</c:v>
                </c:pt>
                <c:pt idx="5">
                  <c:v>4660</c:v>
                </c:pt>
                <c:pt idx="6">
                  <c:v>6797</c:v>
                </c:pt>
                <c:pt idx="7">
                  <c:v>6691</c:v>
                </c:pt>
                <c:pt idx="8">
                  <c:v>10433</c:v>
                </c:pt>
                <c:pt idx="9">
                  <c:v>10572</c:v>
                </c:pt>
                <c:pt idx="10">
                  <c:v>10630</c:v>
                </c:pt>
                <c:pt idx="11">
                  <c:v>14220</c:v>
                </c:pt>
              </c:numCache>
            </c:numRef>
          </c:val>
          <c:extLst>
            <c:ext xmlns:c16="http://schemas.microsoft.com/office/drawing/2014/chart" uri="{C3380CC4-5D6E-409C-BE32-E72D297353CC}">
              <c16:uniqueId val="{00000000-1232-4AF2-B5D3-AC0FB3F1B6EC}"/>
            </c:ext>
          </c:extLst>
        </c:ser>
        <c:dLbls>
          <c:showLegendKey val="0"/>
          <c:showVal val="0"/>
          <c:showCatName val="0"/>
          <c:showSerName val="0"/>
          <c:showPercent val="0"/>
          <c:showBubbleSize val="0"/>
        </c:dLbls>
        <c:gapWidth val="100"/>
        <c:axId val="432185839"/>
        <c:axId val="432178767"/>
      </c:barChart>
      <c:lineChart>
        <c:grouping val="standard"/>
        <c:varyColors val="0"/>
        <c:ser>
          <c:idx val="1"/>
          <c:order val="1"/>
          <c:tx>
            <c:strRef>
              <c:f>RO!$E$3</c:f>
              <c:strCache>
                <c:ptCount val="1"/>
                <c:pt idx="0">
                  <c:v>Počet rozpočtových opatrení (pravá os) </c:v>
                </c:pt>
              </c:strCache>
            </c:strRef>
          </c:tx>
          <c:spPr>
            <a:ln w="28575" cap="rnd">
              <a:solidFill>
                <a:schemeClr val="accent2"/>
              </a:solidFill>
              <a:round/>
            </a:ln>
            <a:effectLst/>
          </c:spPr>
          <c:marker>
            <c:symbol val="none"/>
          </c:marker>
          <c:cat>
            <c:numRef>
              <c:f>RO!$F$1:$Q$1</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RO!$F$3:$Q$3</c:f>
              <c:numCache>
                <c:formatCode>#,##0</c:formatCode>
                <c:ptCount val="12"/>
                <c:pt idx="0">
                  <c:v>1672</c:v>
                </c:pt>
                <c:pt idx="1">
                  <c:v>2303</c:v>
                </c:pt>
                <c:pt idx="2">
                  <c:v>2447</c:v>
                </c:pt>
                <c:pt idx="3">
                  <c:v>3442</c:v>
                </c:pt>
                <c:pt idx="4">
                  <c:v>2024</c:v>
                </c:pt>
                <c:pt idx="5">
                  <c:v>1787</c:v>
                </c:pt>
                <c:pt idx="6">
                  <c:v>2754</c:v>
                </c:pt>
                <c:pt idx="7">
                  <c:v>3022</c:v>
                </c:pt>
                <c:pt idx="8">
                  <c:v>3410</c:v>
                </c:pt>
                <c:pt idx="9">
                  <c:v>3676</c:v>
                </c:pt>
                <c:pt idx="10">
                  <c:v>3935</c:v>
                </c:pt>
                <c:pt idx="11">
                  <c:v>3844</c:v>
                </c:pt>
              </c:numCache>
            </c:numRef>
          </c:val>
          <c:smooth val="0"/>
          <c:extLst>
            <c:ext xmlns:c16="http://schemas.microsoft.com/office/drawing/2014/chart" uri="{C3380CC4-5D6E-409C-BE32-E72D297353CC}">
              <c16:uniqueId val="{00000001-1232-4AF2-B5D3-AC0FB3F1B6EC}"/>
            </c:ext>
          </c:extLst>
        </c:ser>
        <c:dLbls>
          <c:showLegendKey val="0"/>
          <c:showVal val="0"/>
          <c:showCatName val="0"/>
          <c:showSerName val="0"/>
          <c:showPercent val="0"/>
          <c:showBubbleSize val="0"/>
        </c:dLbls>
        <c:marker val="1"/>
        <c:smooth val="0"/>
        <c:axId val="1040078032"/>
        <c:axId val="1040074704"/>
      </c:lineChart>
      <c:catAx>
        <c:axId val="4321858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432178767"/>
        <c:crosses val="autoZero"/>
        <c:auto val="1"/>
        <c:lblAlgn val="ctr"/>
        <c:lblOffset val="100"/>
        <c:noMultiLvlLbl val="0"/>
      </c:catAx>
      <c:valAx>
        <c:axId val="432178767"/>
        <c:scaling>
          <c:orientation val="minMax"/>
          <c:max val="1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r>
                  <a:rPr lang="sk-SK"/>
                  <a:t>mil. eur</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432185839"/>
        <c:crosses val="autoZero"/>
        <c:crossBetween val="between"/>
        <c:majorUnit val="3000"/>
      </c:valAx>
      <c:valAx>
        <c:axId val="1040074704"/>
        <c:scaling>
          <c:orientation val="minMax"/>
          <c:max val="5000"/>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1040078032"/>
        <c:crosses val="max"/>
        <c:crossBetween val="between"/>
        <c:majorUnit val="1000"/>
      </c:valAx>
      <c:catAx>
        <c:axId val="1040078032"/>
        <c:scaling>
          <c:orientation val="minMax"/>
        </c:scaling>
        <c:delete val="1"/>
        <c:axPos val="b"/>
        <c:numFmt formatCode="General" sourceLinked="1"/>
        <c:majorTickMark val="out"/>
        <c:minorTickMark val="none"/>
        <c:tickLblPos val="nextTo"/>
        <c:crossAx val="1040074704"/>
        <c:crosses val="autoZero"/>
        <c:auto val="1"/>
        <c:lblAlgn val="ctr"/>
        <c:lblOffset val="100"/>
        <c:noMultiLvlLbl val="0"/>
      </c:catAx>
      <c:spPr>
        <a:noFill/>
        <a:ln>
          <a:noFill/>
        </a:ln>
        <a:effectLst/>
      </c:spPr>
    </c:plotArea>
    <c:legend>
      <c:legendPos val="r"/>
      <c:layout>
        <c:manualLayout>
          <c:xMode val="edge"/>
          <c:yMode val="edge"/>
          <c:x val="7.2107600064326455E-2"/>
          <c:y val="0.80122078994157997"/>
          <c:w val="0.76923479523948746"/>
          <c:h val="0.16215180763694861"/>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legend>
    <c:plotVisOnly val="1"/>
    <c:dispBlanksAs val="gap"/>
    <c:showDLblsOverMax val="0"/>
  </c:chart>
  <c:spPr>
    <a:solidFill>
      <a:schemeClr val="bg1"/>
    </a:solidFill>
    <a:ln w="9525" cap="flat" cmpd="sng" algn="ctr">
      <a:noFill/>
      <a:round/>
    </a:ln>
    <a:effectLst/>
  </c:spPr>
  <c:txPr>
    <a:bodyPr/>
    <a:lstStyle/>
    <a:p>
      <a:pPr>
        <a:defRPr sz="800">
          <a:solidFill>
            <a:schemeClr val="tx2"/>
          </a:solidFill>
          <a:latin typeface="Segoe UI" panose="020B0502040204020203" pitchFamily="34" charset="0"/>
          <a:cs typeface="Segoe UI" panose="020B0502040204020203" pitchFamily="34" charset="0"/>
        </a:defRPr>
      </a:pPr>
      <a:endParaRPr lang="sk-SK"/>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4"/>
    </mc:Choice>
    <mc:Fallback>
      <c:style val="4"/>
    </mc:Fallback>
  </mc:AlternateContent>
  <c:chart>
    <c:title>
      <c:overlay val="0"/>
      <c:spPr>
        <a:noFill/>
        <a:ln>
          <a:noFill/>
        </a:ln>
        <a:effectLst/>
      </c:spPr>
      <c:txPr>
        <a:bodyPr rot="0" spcFirstLastPara="1" vertOverflow="ellipsis" vert="horz" wrap="square" anchor="ctr" anchorCtr="1"/>
        <a:lstStyle/>
        <a:p>
          <a:pPr>
            <a:defRPr sz="1000" b="1" i="0" u="none" strike="noStrike" kern="1200" spc="0" baseline="0">
              <a:solidFill>
                <a:schemeClr val="tx2"/>
              </a:solidFill>
              <a:latin typeface="Segoe UI" panose="020B0502040204020203" pitchFamily="34" charset="0"/>
              <a:ea typeface="+mn-ea"/>
              <a:cs typeface="Segoe UI" panose="020B0502040204020203" pitchFamily="34" charset="0"/>
            </a:defRPr>
          </a:pPr>
          <a:endParaRPr lang="sk-SK"/>
        </a:p>
      </c:txPr>
    </c:title>
    <c:autoTitleDeleted val="0"/>
    <c:plotArea>
      <c:layout/>
      <c:pieChart>
        <c:varyColors val="1"/>
        <c:ser>
          <c:idx val="0"/>
          <c:order val="0"/>
          <c:tx>
            <c:strRef>
              <c:f>'štruktúra príjmov SP'!$H$11</c:f>
              <c:strCache>
                <c:ptCount val="1"/>
                <c:pt idx="0">
                  <c:v>2022</c:v>
                </c:pt>
              </c:strCache>
            </c:strRef>
          </c:tx>
          <c:dPt>
            <c:idx val="0"/>
            <c:bubble3D val="0"/>
            <c:spPr>
              <a:solidFill>
                <a:schemeClr val="accent2">
                  <a:shade val="53000"/>
                </a:schemeClr>
              </a:solidFill>
              <a:ln w="19050">
                <a:solidFill>
                  <a:schemeClr val="lt1"/>
                </a:solidFill>
              </a:ln>
              <a:effectLst/>
            </c:spPr>
            <c:extLst>
              <c:ext xmlns:c16="http://schemas.microsoft.com/office/drawing/2014/chart" uri="{C3380CC4-5D6E-409C-BE32-E72D297353CC}">
                <c16:uniqueId val="{00000001-1FBB-4D35-8B68-7E37A160CAFC}"/>
              </c:ext>
            </c:extLst>
          </c:dPt>
          <c:dPt>
            <c:idx val="1"/>
            <c:bubble3D val="0"/>
            <c:spPr>
              <a:solidFill>
                <a:schemeClr val="accent2">
                  <a:shade val="76000"/>
                </a:schemeClr>
              </a:solidFill>
              <a:ln w="19050">
                <a:solidFill>
                  <a:schemeClr val="lt1"/>
                </a:solidFill>
              </a:ln>
              <a:effectLst/>
            </c:spPr>
            <c:extLst>
              <c:ext xmlns:c16="http://schemas.microsoft.com/office/drawing/2014/chart" uri="{C3380CC4-5D6E-409C-BE32-E72D297353CC}">
                <c16:uniqueId val="{00000003-1FBB-4D35-8B68-7E37A160CAFC}"/>
              </c:ext>
            </c:extLst>
          </c:dPt>
          <c:dPt>
            <c:idx val="2"/>
            <c:bubble3D val="0"/>
            <c:spPr>
              <a:solidFill>
                <a:schemeClr val="accent2"/>
              </a:solidFill>
              <a:ln w="19050">
                <a:solidFill>
                  <a:schemeClr val="lt1"/>
                </a:solidFill>
              </a:ln>
              <a:effectLst/>
            </c:spPr>
            <c:extLst>
              <c:ext xmlns:c16="http://schemas.microsoft.com/office/drawing/2014/chart" uri="{C3380CC4-5D6E-409C-BE32-E72D297353CC}">
                <c16:uniqueId val="{00000005-1FBB-4D35-8B68-7E37A160CAFC}"/>
              </c:ext>
            </c:extLst>
          </c:dPt>
          <c:dPt>
            <c:idx val="3"/>
            <c:bubble3D val="0"/>
            <c:spPr>
              <a:solidFill>
                <a:schemeClr val="accent2">
                  <a:tint val="77000"/>
                </a:schemeClr>
              </a:solidFill>
              <a:ln w="19050">
                <a:solidFill>
                  <a:schemeClr val="lt1"/>
                </a:solidFill>
              </a:ln>
              <a:effectLst/>
            </c:spPr>
            <c:extLst>
              <c:ext xmlns:c16="http://schemas.microsoft.com/office/drawing/2014/chart" uri="{C3380CC4-5D6E-409C-BE32-E72D297353CC}">
                <c16:uniqueId val="{00000007-1FBB-4D35-8B68-7E37A160CAFC}"/>
              </c:ext>
            </c:extLst>
          </c:dPt>
          <c:dPt>
            <c:idx val="4"/>
            <c:bubble3D val="0"/>
            <c:spPr>
              <a:solidFill>
                <a:schemeClr val="accent2">
                  <a:tint val="54000"/>
                </a:schemeClr>
              </a:solidFill>
              <a:ln w="19050">
                <a:solidFill>
                  <a:schemeClr val="lt1"/>
                </a:solidFill>
              </a:ln>
              <a:effectLst/>
            </c:spPr>
            <c:extLst>
              <c:ext xmlns:c16="http://schemas.microsoft.com/office/drawing/2014/chart" uri="{C3380CC4-5D6E-409C-BE32-E72D297353CC}">
                <c16:uniqueId val="{00000009-1FBB-4D35-8B68-7E37A160CAFC}"/>
              </c:ext>
            </c:extLst>
          </c:dPt>
          <c:dLbls>
            <c:dLbl>
              <c:idx val="0"/>
              <c:layout>
                <c:manualLayout>
                  <c:x val="8.2604202463306881E-2"/>
                  <c:y val="-1.1271010333762139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FBB-4D35-8B68-7E37A160CAFC}"/>
                </c:ext>
              </c:extLst>
            </c:dLbl>
            <c:dLbl>
              <c:idx val="2"/>
              <c:layout>
                <c:manualLayout>
                  <c:x val="-3.5847689342437511E-2"/>
                  <c:y val="1.7984421606186119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FBB-4D35-8B68-7E37A160CAFC}"/>
                </c:ext>
              </c:extLst>
            </c:dLbl>
            <c:dLbl>
              <c:idx val="4"/>
              <c:layout>
                <c:manualLayout>
                  <c:x val="-1.458498309153481E-2"/>
                  <c:y val="-9.494149856043578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FBB-4D35-8B68-7E37A160CAFC}"/>
                </c:ext>
              </c:extLst>
            </c:dLbl>
            <c:numFmt formatCode="0.0%" sourceLinked="0"/>
            <c:spPr>
              <a:noFill/>
              <a:ln>
                <a:noFill/>
              </a:ln>
              <a:effectLst/>
            </c:spPr>
            <c:txPr>
              <a:bodyPr rot="0" spcFirstLastPara="1" vertOverflow="clip" horzOverflow="clip" vert="horz" wrap="square" lIns="36576" tIns="18288" rIns="36576" bIns="18288" anchor="ctr" anchorCtr="1">
                <a:spAutoFit/>
              </a:bodyPr>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pPr xmlns:c15="http://schemas.microsoft.com/office/drawing/2012/chart">
                  <a:prstGeom prst="rect">
                    <a:avLst/>
                  </a:prstGeom>
                  <a:noFill/>
                  <a:ln>
                    <a:noFill/>
                  </a:ln>
                </c15:spPr>
              </c:ext>
            </c:extLst>
          </c:dLbls>
          <c:cat>
            <c:strRef>
              <c:f>'štruktúra príjmov SP'!$G$12:$G$16</c:f>
              <c:strCache>
                <c:ptCount val="5"/>
                <c:pt idx="0">
                  <c:v>Transfer zo ŠR</c:v>
                </c:pt>
                <c:pt idx="1">
                  <c:v>Bežné poistné od EAO</c:v>
                </c:pt>
                <c:pt idx="2">
                  <c:v>Dlžné poistné</c:v>
                </c:pt>
                <c:pt idx="3">
                  <c:v>Poistné od štátu</c:v>
                </c:pt>
                <c:pt idx="4">
                  <c:v>Ostatné príjmy</c:v>
                </c:pt>
              </c:strCache>
            </c:strRef>
          </c:cat>
          <c:val>
            <c:numRef>
              <c:f>'štruktúra príjmov SP'!$H$12:$H$16</c:f>
              <c:numCache>
                <c:formatCode>#,##0.00</c:formatCode>
                <c:ptCount val="5"/>
                <c:pt idx="0">
                  <c:v>1.0294743332236757E-2</c:v>
                </c:pt>
                <c:pt idx="1">
                  <c:v>0.90546837610391595</c:v>
                </c:pt>
                <c:pt idx="2">
                  <c:v>4.0059252869109593E-2</c:v>
                </c:pt>
                <c:pt idx="3">
                  <c:v>3.8103920125811375E-2</c:v>
                </c:pt>
                <c:pt idx="4">
                  <c:v>6.0737075689263247E-3</c:v>
                </c:pt>
              </c:numCache>
            </c:numRef>
          </c:val>
          <c:extLst>
            <c:ext xmlns:c16="http://schemas.microsoft.com/office/drawing/2014/chart" uri="{C3380CC4-5D6E-409C-BE32-E72D297353CC}">
              <c16:uniqueId val="{0000000A-1FBB-4D35-8B68-7E37A160CAFC}"/>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61264331777532333"/>
          <c:y val="0.14751387419856099"/>
          <c:w val="0.34663270032422416"/>
          <c:h val="0.7911952050769771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legend>
    <c:plotVisOnly val="1"/>
    <c:dispBlanksAs val="gap"/>
    <c:showDLblsOverMax val="0"/>
  </c:chart>
  <c:spPr>
    <a:solidFill>
      <a:schemeClr val="bg1"/>
    </a:solidFill>
    <a:ln w="9525" cap="flat" cmpd="sng" algn="ctr">
      <a:noFill/>
      <a:round/>
    </a:ln>
    <a:effectLst/>
  </c:spPr>
  <c:txPr>
    <a:bodyPr/>
    <a:lstStyle/>
    <a:p>
      <a:pPr>
        <a:defRPr sz="800">
          <a:solidFill>
            <a:schemeClr val="tx2"/>
          </a:solidFill>
          <a:latin typeface="Segoe UI" panose="020B0502040204020203" pitchFamily="34" charset="0"/>
          <a:cs typeface="Segoe UI" panose="020B0502040204020203" pitchFamily="34" charset="0"/>
        </a:defRPr>
      </a:pPr>
      <a:endParaRPr lang="sk-SK"/>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4"/>
    </mc:Choice>
    <mc:Fallback>
      <c:style val="4"/>
    </mc:Fallback>
  </mc:AlternateContent>
  <c:chart>
    <c:title>
      <c:overlay val="0"/>
      <c:spPr>
        <a:noFill/>
        <a:ln>
          <a:noFill/>
        </a:ln>
        <a:effectLst/>
      </c:spPr>
      <c:txPr>
        <a:bodyPr rot="0" spcFirstLastPara="1" vertOverflow="ellipsis" vert="horz" wrap="square" anchor="ctr" anchorCtr="1"/>
        <a:lstStyle/>
        <a:p>
          <a:pPr>
            <a:defRPr sz="1000" b="1" i="0" u="none" strike="noStrike" kern="1200" spc="0" baseline="0">
              <a:solidFill>
                <a:schemeClr val="tx2"/>
              </a:solidFill>
              <a:latin typeface="Segoe UI" panose="020B0502040204020203" pitchFamily="34" charset="0"/>
              <a:ea typeface="+mn-ea"/>
              <a:cs typeface="Segoe UI" panose="020B0502040204020203" pitchFamily="34" charset="0"/>
            </a:defRPr>
          </a:pPr>
          <a:endParaRPr lang="sk-SK"/>
        </a:p>
      </c:txPr>
    </c:title>
    <c:autoTitleDeleted val="0"/>
    <c:plotArea>
      <c:layout/>
      <c:pieChart>
        <c:varyColors val="1"/>
        <c:ser>
          <c:idx val="0"/>
          <c:order val="0"/>
          <c:tx>
            <c:strRef>
              <c:f>'štruktúra príjmov SP'!$H$2</c:f>
              <c:strCache>
                <c:ptCount val="1"/>
                <c:pt idx="0">
                  <c:v>2023</c:v>
                </c:pt>
              </c:strCache>
            </c:strRef>
          </c:tx>
          <c:dPt>
            <c:idx val="0"/>
            <c:bubble3D val="0"/>
            <c:spPr>
              <a:solidFill>
                <a:schemeClr val="accent2">
                  <a:shade val="53000"/>
                </a:schemeClr>
              </a:solidFill>
              <a:ln w="19050">
                <a:solidFill>
                  <a:schemeClr val="lt1"/>
                </a:solidFill>
              </a:ln>
              <a:effectLst/>
            </c:spPr>
            <c:extLst>
              <c:ext xmlns:c16="http://schemas.microsoft.com/office/drawing/2014/chart" uri="{C3380CC4-5D6E-409C-BE32-E72D297353CC}">
                <c16:uniqueId val="{00000001-2A66-426A-B5A6-E163D2D0C4E3}"/>
              </c:ext>
            </c:extLst>
          </c:dPt>
          <c:dPt>
            <c:idx val="1"/>
            <c:bubble3D val="0"/>
            <c:spPr>
              <a:solidFill>
                <a:schemeClr val="accent2">
                  <a:shade val="76000"/>
                </a:schemeClr>
              </a:solidFill>
              <a:ln w="19050">
                <a:solidFill>
                  <a:schemeClr val="lt1"/>
                </a:solidFill>
              </a:ln>
              <a:effectLst/>
            </c:spPr>
            <c:extLst>
              <c:ext xmlns:c16="http://schemas.microsoft.com/office/drawing/2014/chart" uri="{C3380CC4-5D6E-409C-BE32-E72D297353CC}">
                <c16:uniqueId val="{00000003-2A66-426A-B5A6-E163D2D0C4E3}"/>
              </c:ext>
            </c:extLst>
          </c:dPt>
          <c:dPt>
            <c:idx val="2"/>
            <c:bubble3D val="0"/>
            <c:spPr>
              <a:solidFill>
                <a:schemeClr val="accent2"/>
              </a:solidFill>
              <a:ln w="19050">
                <a:solidFill>
                  <a:schemeClr val="lt1"/>
                </a:solidFill>
              </a:ln>
              <a:effectLst/>
            </c:spPr>
            <c:extLst>
              <c:ext xmlns:c16="http://schemas.microsoft.com/office/drawing/2014/chart" uri="{C3380CC4-5D6E-409C-BE32-E72D297353CC}">
                <c16:uniqueId val="{00000005-2A66-426A-B5A6-E163D2D0C4E3}"/>
              </c:ext>
            </c:extLst>
          </c:dPt>
          <c:dPt>
            <c:idx val="3"/>
            <c:bubble3D val="0"/>
            <c:spPr>
              <a:solidFill>
                <a:schemeClr val="accent2">
                  <a:tint val="77000"/>
                </a:schemeClr>
              </a:solidFill>
              <a:ln w="19050">
                <a:solidFill>
                  <a:schemeClr val="lt1"/>
                </a:solidFill>
              </a:ln>
              <a:effectLst/>
            </c:spPr>
            <c:extLst>
              <c:ext xmlns:c16="http://schemas.microsoft.com/office/drawing/2014/chart" uri="{C3380CC4-5D6E-409C-BE32-E72D297353CC}">
                <c16:uniqueId val="{00000007-2A66-426A-B5A6-E163D2D0C4E3}"/>
              </c:ext>
            </c:extLst>
          </c:dPt>
          <c:dPt>
            <c:idx val="4"/>
            <c:bubble3D val="0"/>
            <c:spPr>
              <a:solidFill>
                <a:schemeClr val="accent2">
                  <a:tint val="54000"/>
                </a:schemeClr>
              </a:solidFill>
              <a:ln w="19050">
                <a:solidFill>
                  <a:schemeClr val="lt1"/>
                </a:solidFill>
              </a:ln>
              <a:effectLst/>
            </c:spPr>
            <c:extLst>
              <c:ext xmlns:c16="http://schemas.microsoft.com/office/drawing/2014/chart" uri="{C3380CC4-5D6E-409C-BE32-E72D297353CC}">
                <c16:uniqueId val="{00000009-2A66-426A-B5A6-E163D2D0C4E3}"/>
              </c:ext>
            </c:extLst>
          </c:dPt>
          <c:dLbls>
            <c:dLbl>
              <c:idx val="0"/>
              <c:layout>
                <c:manualLayout>
                  <c:x val="2.3538360195209974E-2"/>
                  <c:y val="1.274935569762640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A66-426A-B5A6-E163D2D0C4E3}"/>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'štruktúra príjmov SP'!$G$3:$G$7</c:f>
              <c:strCache>
                <c:ptCount val="5"/>
                <c:pt idx="0">
                  <c:v>Transfer zo ŠR</c:v>
                </c:pt>
                <c:pt idx="1">
                  <c:v>Bežné poistné od EAO</c:v>
                </c:pt>
                <c:pt idx="2">
                  <c:v>Dlžné poistné</c:v>
                </c:pt>
                <c:pt idx="3">
                  <c:v>Poistné od štátu</c:v>
                </c:pt>
                <c:pt idx="4">
                  <c:v>Ostatné príjmy</c:v>
                </c:pt>
              </c:strCache>
            </c:strRef>
          </c:cat>
          <c:val>
            <c:numRef>
              <c:f>'štruktúra príjmov SP'!$H$3:$H$7</c:f>
              <c:numCache>
                <c:formatCode>_(* #,##0.00_);_(* \(#,##0.00\);_(* "-"??_);_(@_)</c:formatCode>
                <c:ptCount val="5"/>
                <c:pt idx="0">
                  <c:v>9.8742127443399483E-2</c:v>
                </c:pt>
                <c:pt idx="1">
                  <c:v>0.84193964608778582</c:v>
                </c:pt>
                <c:pt idx="2">
                  <c:v>2.1134390418881131E-2</c:v>
                </c:pt>
                <c:pt idx="3">
                  <c:v>3.3810921764569485E-2</c:v>
                </c:pt>
                <c:pt idx="4">
                  <c:v>4.3729142853640678E-3</c:v>
                </c:pt>
              </c:numCache>
            </c:numRef>
          </c:val>
          <c:extLst>
            <c:ext xmlns:c16="http://schemas.microsoft.com/office/drawing/2014/chart" uri="{C3380CC4-5D6E-409C-BE32-E72D297353CC}">
              <c16:uniqueId val="{0000000A-2A66-426A-B5A6-E163D2D0C4E3}"/>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2957028353518596"/>
          <c:y val="0.14674922916188871"/>
          <c:w val="0.34352388686840152"/>
          <c:h val="0.8011604617383991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legend>
    <c:plotVisOnly val="1"/>
    <c:dispBlanksAs val="gap"/>
    <c:showDLblsOverMax val="0"/>
  </c:chart>
  <c:spPr>
    <a:solidFill>
      <a:schemeClr val="bg1"/>
    </a:solidFill>
    <a:ln w="9525" cap="flat" cmpd="sng" algn="ctr">
      <a:noFill/>
      <a:round/>
    </a:ln>
    <a:effectLst/>
  </c:spPr>
  <c:txPr>
    <a:bodyPr/>
    <a:lstStyle/>
    <a:p>
      <a:pPr>
        <a:defRPr sz="800">
          <a:solidFill>
            <a:schemeClr val="tx2"/>
          </a:solidFill>
          <a:latin typeface="Segoe UI" panose="020B0502040204020203" pitchFamily="34" charset="0"/>
          <a:cs typeface="Segoe UI" panose="020B0502040204020203" pitchFamily="34" charset="0"/>
        </a:defRPr>
      </a:pPr>
      <a:endParaRPr lang="sk-SK"/>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942719723669396E-2"/>
          <c:y val="4.362369403574639E-2"/>
          <c:w val="0.87887487207335158"/>
          <c:h val="0.89931631821884328"/>
        </c:manualLayout>
      </c:layout>
      <c:barChart>
        <c:barDir val="col"/>
        <c:grouping val="clustered"/>
        <c:varyColors val="0"/>
        <c:ser>
          <c:idx val="1"/>
          <c:order val="1"/>
          <c:tx>
            <c:strRef>
              <c:f>Hárok1!$D$6</c:f>
              <c:strCache>
                <c:ptCount val="1"/>
                <c:pt idx="0">
                  <c:v>Zaplatené ročné poistné za poistencov štátu (v mil. €) (ľavá os)</c:v>
                </c:pt>
              </c:strCache>
            </c:strRef>
          </c:tx>
          <c:spPr>
            <a:solidFill>
              <a:schemeClr val="accent2"/>
            </a:solidFill>
            <a:ln>
              <a:noFill/>
            </a:ln>
            <a:effectLst/>
          </c:spPr>
          <c:invertIfNegative val="0"/>
          <c:cat>
            <c:numRef>
              <c:f>Hárok1!$E$4:$O$4</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Hárok1!$E$6:$O$6</c:f>
              <c:numCache>
                <c:formatCode>General</c:formatCode>
                <c:ptCount val="11"/>
                <c:pt idx="0">
                  <c:v>1276.8</c:v>
                </c:pt>
                <c:pt idx="1">
                  <c:v>1211.5</c:v>
                </c:pt>
                <c:pt idx="2">
                  <c:v>1348.9</c:v>
                </c:pt>
                <c:pt idx="3">
                  <c:v>1392.1</c:v>
                </c:pt>
                <c:pt idx="4">
                  <c:v>1299.3</c:v>
                </c:pt>
                <c:pt idx="5">
                  <c:v>1189</c:v>
                </c:pt>
                <c:pt idx="6" formatCode="0">
                  <c:v>1202.8</c:v>
                </c:pt>
                <c:pt idx="7" formatCode="0">
                  <c:v>1167.03</c:v>
                </c:pt>
                <c:pt idx="8" formatCode="0">
                  <c:v>1292.0999999999999</c:v>
                </c:pt>
                <c:pt idx="9" formatCode="0">
                  <c:v>1289</c:v>
                </c:pt>
                <c:pt idx="10" formatCode="0.0">
                  <c:v>2081.277</c:v>
                </c:pt>
              </c:numCache>
            </c:numRef>
          </c:val>
          <c:extLst>
            <c:ext xmlns:c16="http://schemas.microsoft.com/office/drawing/2014/chart" uri="{C3380CC4-5D6E-409C-BE32-E72D297353CC}">
              <c16:uniqueId val="{00000000-789C-4B75-ADA6-99307285FD95}"/>
            </c:ext>
          </c:extLst>
        </c:ser>
        <c:ser>
          <c:idx val="3"/>
          <c:order val="3"/>
          <c:tx>
            <c:strRef>
              <c:f>Hárok1!$D$10</c:f>
              <c:strCache>
                <c:ptCount val="1"/>
                <c:pt idx="0">
                  <c:v>Zaplatené ročné poistné EAO (v mil. €) (ľavá os)</c:v>
                </c:pt>
              </c:strCache>
            </c:strRef>
          </c:tx>
          <c:spPr>
            <a:solidFill>
              <a:schemeClr val="tx2"/>
            </a:solidFill>
            <a:ln>
              <a:noFill/>
            </a:ln>
            <a:effectLst/>
          </c:spPr>
          <c:invertIfNegative val="0"/>
          <c:cat>
            <c:numRef>
              <c:f>Hárok1!$E$4:$O$4</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Hárok1!$E$10:$O$10</c:f>
              <c:numCache>
                <c:formatCode>General</c:formatCode>
                <c:ptCount val="11"/>
                <c:pt idx="0">
                  <c:v>2572.9699999999998</c:v>
                </c:pt>
                <c:pt idx="1">
                  <c:v>2769.95</c:v>
                </c:pt>
                <c:pt idx="2">
                  <c:v>2880.08</c:v>
                </c:pt>
                <c:pt idx="3">
                  <c:v>2952.66</c:v>
                </c:pt>
                <c:pt idx="4">
                  <c:v>3292.16</c:v>
                </c:pt>
                <c:pt idx="5">
                  <c:v>3629.92</c:v>
                </c:pt>
                <c:pt idx="6">
                  <c:v>3978.64</c:v>
                </c:pt>
                <c:pt idx="7">
                  <c:v>4024.78</c:v>
                </c:pt>
                <c:pt idx="8">
                  <c:v>4334.7</c:v>
                </c:pt>
                <c:pt idx="9">
                  <c:v>4688.7</c:v>
                </c:pt>
                <c:pt idx="10" formatCode="0.0">
                  <c:v>5163.2020000000002</c:v>
                </c:pt>
              </c:numCache>
            </c:numRef>
          </c:val>
          <c:extLst>
            <c:ext xmlns:c16="http://schemas.microsoft.com/office/drawing/2014/chart" uri="{C3380CC4-5D6E-409C-BE32-E72D297353CC}">
              <c16:uniqueId val="{00000001-789C-4B75-ADA6-99307285FD95}"/>
            </c:ext>
          </c:extLst>
        </c:ser>
        <c:dLbls>
          <c:showLegendKey val="0"/>
          <c:showVal val="0"/>
          <c:showCatName val="0"/>
          <c:showSerName val="0"/>
          <c:showPercent val="0"/>
          <c:showBubbleSize val="0"/>
        </c:dLbls>
        <c:gapWidth val="100"/>
        <c:axId val="1127412415"/>
        <c:axId val="1127413663"/>
      </c:barChart>
      <c:lineChart>
        <c:grouping val="standard"/>
        <c:varyColors val="0"/>
        <c:ser>
          <c:idx val="0"/>
          <c:order val="0"/>
          <c:tx>
            <c:strRef>
              <c:f>Hárok1!$D$5</c:f>
              <c:strCache>
                <c:ptCount val="1"/>
                <c:pt idx="0">
                  <c:v>Priemerné poistné za poist. štátu (v €) (pravá os)</c:v>
                </c:pt>
              </c:strCache>
            </c:strRef>
          </c:tx>
          <c:spPr>
            <a:ln w="25400" cap="rnd">
              <a:solidFill>
                <a:schemeClr val="accent6"/>
              </a:solidFill>
              <a:prstDash val="sysDash"/>
              <a:round/>
            </a:ln>
            <a:effectLst/>
          </c:spPr>
          <c:marker>
            <c:symbol val="none"/>
          </c:marker>
          <c:cat>
            <c:numRef>
              <c:f>Hárok1!$E$4:$N$4</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Hárok1!$E$5:$O$5</c:f>
              <c:numCache>
                <c:formatCode>0.0</c:formatCode>
                <c:ptCount val="11"/>
                <c:pt idx="0">
                  <c:v>33.4</c:v>
                </c:pt>
                <c:pt idx="1">
                  <c:v>32.200000000000003</c:v>
                </c:pt>
                <c:pt idx="2">
                  <c:v>36.5</c:v>
                </c:pt>
                <c:pt idx="3">
                  <c:v>37.840000000000003</c:v>
                </c:pt>
                <c:pt idx="4">
                  <c:v>36.159999999999997</c:v>
                </c:pt>
                <c:pt idx="5">
                  <c:v>33.840000000000003</c:v>
                </c:pt>
                <c:pt idx="6">
                  <c:v>34.340000000000003</c:v>
                </c:pt>
                <c:pt idx="7">
                  <c:v>32.42</c:v>
                </c:pt>
                <c:pt idx="8">
                  <c:v>36.74</c:v>
                </c:pt>
                <c:pt idx="9">
                  <c:v>37</c:v>
                </c:pt>
                <c:pt idx="10">
                  <c:v>60</c:v>
                </c:pt>
              </c:numCache>
            </c:numRef>
          </c:val>
          <c:smooth val="0"/>
          <c:extLst>
            <c:ext xmlns:c16="http://schemas.microsoft.com/office/drawing/2014/chart" uri="{C3380CC4-5D6E-409C-BE32-E72D297353CC}">
              <c16:uniqueId val="{00000002-789C-4B75-ADA6-99307285FD95}"/>
            </c:ext>
          </c:extLst>
        </c:ser>
        <c:ser>
          <c:idx val="2"/>
          <c:order val="2"/>
          <c:tx>
            <c:strRef>
              <c:f>Hárok1!$D$9</c:f>
              <c:strCache>
                <c:ptCount val="1"/>
                <c:pt idx="0">
                  <c:v>Priemerné poistné EAO (v €) (pravá os)</c:v>
                </c:pt>
              </c:strCache>
            </c:strRef>
          </c:tx>
          <c:spPr>
            <a:ln w="25400" cap="rnd">
              <a:solidFill>
                <a:schemeClr val="accent5"/>
              </a:solidFill>
              <a:prstDash val="sysDash"/>
              <a:round/>
            </a:ln>
            <a:effectLst/>
          </c:spPr>
          <c:marker>
            <c:symbol val="none"/>
          </c:marker>
          <c:cat>
            <c:numRef>
              <c:f>Hárok1!$E$4:$N$4</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Hárok1!$E$9:$O$9</c:f>
              <c:numCache>
                <c:formatCode>0.0</c:formatCode>
                <c:ptCount val="11"/>
                <c:pt idx="0">
                  <c:v>99.44</c:v>
                </c:pt>
                <c:pt idx="1">
                  <c:v>104.31</c:v>
                </c:pt>
                <c:pt idx="2">
                  <c:v>112.98</c:v>
                </c:pt>
                <c:pt idx="3">
                  <c:v>116.81</c:v>
                </c:pt>
                <c:pt idx="4">
                  <c:v>120.25</c:v>
                </c:pt>
                <c:pt idx="5">
                  <c:v>131.36000000000001</c:v>
                </c:pt>
                <c:pt idx="6">
                  <c:v>143.32</c:v>
                </c:pt>
                <c:pt idx="7">
                  <c:v>151.38</c:v>
                </c:pt>
                <c:pt idx="8">
                  <c:v>161.44999999999999</c:v>
                </c:pt>
                <c:pt idx="9">
                  <c:v>172</c:v>
                </c:pt>
                <c:pt idx="10" formatCode="General">
                  <c:v>188</c:v>
                </c:pt>
              </c:numCache>
            </c:numRef>
          </c:val>
          <c:smooth val="0"/>
          <c:extLst>
            <c:ext xmlns:c16="http://schemas.microsoft.com/office/drawing/2014/chart" uri="{C3380CC4-5D6E-409C-BE32-E72D297353CC}">
              <c16:uniqueId val="{00000003-789C-4B75-ADA6-99307285FD95}"/>
            </c:ext>
          </c:extLst>
        </c:ser>
        <c:dLbls>
          <c:showLegendKey val="0"/>
          <c:showVal val="0"/>
          <c:showCatName val="0"/>
          <c:showSerName val="0"/>
          <c:showPercent val="0"/>
          <c:showBubbleSize val="0"/>
        </c:dLbls>
        <c:marker val="1"/>
        <c:smooth val="0"/>
        <c:axId val="1127414495"/>
        <c:axId val="1127417407"/>
      </c:lineChart>
      <c:catAx>
        <c:axId val="11274124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1127413663"/>
        <c:crosses val="autoZero"/>
        <c:auto val="1"/>
        <c:lblAlgn val="ctr"/>
        <c:lblOffset val="100"/>
        <c:noMultiLvlLbl val="0"/>
      </c:catAx>
      <c:valAx>
        <c:axId val="1127413663"/>
        <c:scaling>
          <c:orientation val="minMax"/>
        </c:scaling>
        <c:delete val="0"/>
        <c:axPos val="l"/>
        <c:majorGridlines>
          <c:spPr>
            <a:ln w="9525" cap="flat" cmpd="sng" algn="ct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1127412415"/>
        <c:crosses val="autoZero"/>
        <c:crossBetween val="between"/>
      </c:valAx>
      <c:valAx>
        <c:axId val="1127417407"/>
        <c:scaling>
          <c:orientation val="minMax"/>
          <c:max val="300"/>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1127414495"/>
        <c:crosses val="max"/>
        <c:crossBetween val="between"/>
      </c:valAx>
      <c:catAx>
        <c:axId val="1127414495"/>
        <c:scaling>
          <c:orientation val="minMax"/>
        </c:scaling>
        <c:delete val="1"/>
        <c:axPos val="b"/>
        <c:numFmt formatCode="General" sourceLinked="1"/>
        <c:majorTickMark val="out"/>
        <c:minorTickMark val="none"/>
        <c:tickLblPos val="nextTo"/>
        <c:crossAx val="1127417407"/>
        <c:crosses val="autoZero"/>
        <c:auto val="1"/>
        <c:lblAlgn val="ctr"/>
        <c:lblOffset val="100"/>
        <c:noMultiLvlLbl val="0"/>
      </c:catAx>
      <c:spPr>
        <a:noFill/>
        <a:ln>
          <a:noFill/>
        </a:ln>
        <a:effectLst/>
      </c:spPr>
    </c:plotArea>
    <c:legend>
      <c:legendPos val="b"/>
      <c:layout>
        <c:manualLayout>
          <c:xMode val="edge"/>
          <c:yMode val="edge"/>
          <c:x val="4.965264055170561E-2"/>
          <c:y val="2.6723323377681275E-2"/>
          <c:w val="0.61321195095971093"/>
          <c:h val="0.27729137068875565"/>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legend>
    <c:plotVisOnly val="1"/>
    <c:dispBlanksAs val="gap"/>
    <c:showDLblsOverMax val="0"/>
  </c:chart>
  <c:spPr>
    <a:solidFill>
      <a:schemeClr val="bg1"/>
    </a:solidFill>
    <a:ln w="9525" cap="flat" cmpd="sng" algn="ctr">
      <a:noFill/>
      <a:round/>
    </a:ln>
    <a:effectLst/>
  </c:spPr>
  <c:txPr>
    <a:bodyPr/>
    <a:lstStyle/>
    <a:p>
      <a:pPr>
        <a:defRPr sz="800">
          <a:solidFill>
            <a:schemeClr val="tx2"/>
          </a:solidFill>
          <a:latin typeface="Segoe UI" panose="020B0502040204020203" pitchFamily="34" charset="0"/>
          <a:cs typeface="Segoe UI" panose="020B0502040204020203" pitchFamily="34" charset="0"/>
        </a:defRPr>
      </a:pPr>
      <a:endParaRPr lang="sk-SK"/>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'[Graf v programe Microsoft Word]1 GRAF'!$G$2</c:f>
              <c:strCache>
                <c:ptCount val="1"/>
                <c:pt idx="0">
                  <c:v>Celkové príjmy</c:v>
                </c:pt>
              </c:strCache>
            </c:strRef>
          </c:tx>
          <c:spPr>
            <a:solidFill>
              <a:schemeClr val="bg2"/>
            </a:solidFill>
            <a:ln>
              <a:noFill/>
            </a:ln>
            <a:effectLst/>
          </c:spPr>
          <c:invertIfNegative val="0"/>
          <c:dLbls>
            <c:dLbl>
              <c:idx val="11"/>
              <c:layout>
                <c:manualLayout>
                  <c:x val="0"/>
                  <c:y val="-0.26153846153846155"/>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2"/>
                      </a:solidFill>
                      <a:latin typeface="Segoe UI" panose="020B0502040204020203" pitchFamily="34" charset="0"/>
                      <a:ea typeface="+mn-ea"/>
                      <a:cs typeface="Segoe UI" panose="020B0502040204020203" pitchFamily="34" charset="0"/>
                    </a:defRPr>
                  </a:pPr>
                  <a:endParaRPr lang="sk-SK"/>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97E-4941-B8F1-2011B140EF00}"/>
                </c:ext>
              </c:extLst>
            </c:dLbl>
            <c:dLbl>
              <c:idx val="19"/>
              <c:layout>
                <c:manualLayout>
                  <c:x val="0"/>
                  <c:y val="-0.27692307692307694"/>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2"/>
                      </a:solidFill>
                      <a:latin typeface="Segoe UI" panose="020B0502040204020203" pitchFamily="34" charset="0"/>
                      <a:ea typeface="+mn-ea"/>
                      <a:cs typeface="Segoe UI" panose="020B0502040204020203" pitchFamily="34" charset="0"/>
                    </a:defRPr>
                  </a:pPr>
                  <a:endParaRPr lang="sk-SK"/>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97E-4941-B8F1-2011B140EF00}"/>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'[Graf v programe Microsoft Word]1 GRAF'!$F$3:$F$22</c:f>
              <c:numCache>
                <c:formatCode>General</c:formatCode>
                <c:ptCount val="20"/>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pt idx="19">
                  <c:v>2023</c:v>
                </c:pt>
              </c:numCache>
            </c:numRef>
          </c:cat>
          <c:val>
            <c:numRef>
              <c:f>'[Graf v programe Microsoft Word]1 GRAF'!$G$3:$G$22</c:f>
              <c:numCache>
                <c:formatCode>#,##0.00</c:formatCode>
                <c:ptCount val="20"/>
                <c:pt idx="0">
                  <c:v>0.30398999999999998</c:v>
                </c:pt>
                <c:pt idx="1">
                  <c:v>0.70499299999999998</c:v>
                </c:pt>
                <c:pt idx="2">
                  <c:v>0.89362299999999995</c:v>
                </c:pt>
                <c:pt idx="3">
                  <c:v>0.91083800000000004</c:v>
                </c:pt>
                <c:pt idx="4">
                  <c:v>0.89349699999999999</c:v>
                </c:pt>
                <c:pt idx="5">
                  <c:v>1.119659</c:v>
                </c:pt>
                <c:pt idx="6">
                  <c:v>1.6724829999999999</c:v>
                </c:pt>
                <c:pt idx="7">
                  <c:v>2.041093</c:v>
                </c:pt>
                <c:pt idx="8">
                  <c:v>2.1378490000000001</c:v>
                </c:pt>
                <c:pt idx="9">
                  <c:v>2.1853579999999999</c:v>
                </c:pt>
                <c:pt idx="10">
                  <c:v>1.265091</c:v>
                </c:pt>
                <c:pt idx="11">
                  <c:v>4.2888729999999997</c:v>
                </c:pt>
                <c:pt idx="12">
                  <c:v>1.947481</c:v>
                </c:pt>
                <c:pt idx="13">
                  <c:v>1.4255720000000001</c:v>
                </c:pt>
                <c:pt idx="14">
                  <c:v>2.1697320000000002</c:v>
                </c:pt>
                <c:pt idx="15">
                  <c:v>2.1269429999999998</c:v>
                </c:pt>
                <c:pt idx="16">
                  <c:v>2.5513599999999999</c:v>
                </c:pt>
                <c:pt idx="17">
                  <c:v>2.27399</c:v>
                </c:pt>
                <c:pt idx="18">
                  <c:v>2.1877019999999998</c:v>
                </c:pt>
                <c:pt idx="19">
                  <c:v>4.5092739999999996</c:v>
                </c:pt>
              </c:numCache>
            </c:numRef>
          </c:val>
          <c:extLst>
            <c:ext xmlns:c16="http://schemas.microsoft.com/office/drawing/2014/chart" uri="{C3380CC4-5D6E-409C-BE32-E72D297353CC}">
              <c16:uniqueId val="{00000002-A97E-4941-B8F1-2011B140EF00}"/>
            </c:ext>
          </c:extLst>
        </c:ser>
        <c:ser>
          <c:idx val="1"/>
          <c:order val="1"/>
          <c:tx>
            <c:strRef>
              <c:f>'[Graf v programe Microsoft Word]1 GRAF'!$H$2</c:f>
              <c:strCache>
                <c:ptCount val="1"/>
                <c:pt idx="0">
                  <c:v>Celkové odvody a príspevky</c:v>
                </c:pt>
              </c:strCache>
            </c:strRef>
          </c:tx>
          <c:spPr>
            <a:solidFill>
              <a:schemeClr val="tx2"/>
            </a:solidFill>
            <a:ln>
              <a:noFill/>
            </a:ln>
            <a:effectLst/>
          </c:spPr>
          <c:invertIfNegative val="0"/>
          <c:dLbls>
            <c:dLbl>
              <c:idx val="11"/>
              <c:layout>
                <c:manualLayout>
                  <c:x val="0"/>
                  <c:y val="-9.2307692307692313E-2"/>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97E-4941-B8F1-2011B140EF00}"/>
                </c:ext>
              </c:extLst>
            </c:dLbl>
            <c:dLbl>
              <c:idx val="19"/>
              <c:layout>
                <c:manualLayout>
                  <c:x val="0"/>
                  <c:y val="-8.7179487179487175E-2"/>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97E-4941-B8F1-2011B140EF00}"/>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'[Graf v programe Microsoft Word]1 GRAF'!$F$3:$F$22</c:f>
              <c:numCache>
                <c:formatCode>General</c:formatCode>
                <c:ptCount val="20"/>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pt idx="19">
                  <c:v>2023</c:v>
                </c:pt>
              </c:numCache>
            </c:numRef>
          </c:cat>
          <c:val>
            <c:numRef>
              <c:f>'[Graf v programe Microsoft Word]1 GRAF'!$H$3:$H$22</c:f>
              <c:numCache>
                <c:formatCode>#,##0.00</c:formatCode>
                <c:ptCount val="20"/>
                <c:pt idx="0">
                  <c:v>-0.29068899999999998</c:v>
                </c:pt>
                <c:pt idx="1">
                  <c:v>-0.48561399999999999</c:v>
                </c:pt>
                <c:pt idx="2">
                  <c:v>-0.52632599999999996</c:v>
                </c:pt>
                <c:pt idx="3">
                  <c:v>-0.58979999999999999</c:v>
                </c:pt>
                <c:pt idx="4">
                  <c:v>-0.643374</c:v>
                </c:pt>
                <c:pt idx="5">
                  <c:v>-0.69572599999999996</c:v>
                </c:pt>
                <c:pt idx="6">
                  <c:v>-0.627529</c:v>
                </c:pt>
                <c:pt idx="7">
                  <c:v>-0.70465599999999995</c:v>
                </c:pt>
                <c:pt idx="8">
                  <c:v>-0.722831</c:v>
                </c:pt>
                <c:pt idx="9">
                  <c:v>-0.825098</c:v>
                </c:pt>
                <c:pt idx="10">
                  <c:v>-0.78536600000000001</c:v>
                </c:pt>
                <c:pt idx="11">
                  <c:v>-0.69550800000000002</c:v>
                </c:pt>
                <c:pt idx="12">
                  <c:v>-0.73990299999999998</c:v>
                </c:pt>
                <c:pt idx="13">
                  <c:v>-0.73804499999999995</c:v>
                </c:pt>
                <c:pt idx="14">
                  <c:v>-0.84132099999999999</c:v>
                </c:pt>
                <c:pt idx="15">
                  <c:v>-0.85173299999999996</c:v>
                </c:pt>
                <c:pt idx="16">
                  <c:v>-0.97412600000000005</c:v>
                </c:pt>
                <c:pt idx="17">
                  <c:v>-1.3546469999999999</c:v>
                </c:pt>
                <c:pt idx="18">
                  <c:v>-1.070208</c:v>
                </c:pt>
                <c:pt idx="19">
                  <c:v>-1.064838</c:v>
                </c:pt>
              </c:numCache>
            </c:numRef>
          </c:val>
          <c:extLst>
            <c:ext xmlns:c16="http://schemas.microsoft.com/office/drawing/2014/chart" uri="{C3380CC4-5D6E-409C-BE32-E72D297353CC}">
              <c16:uniqueId val="{00000005-A97E-4941-B8F1-2011B140EF00}"/>
            </c:ext>
          </c:extLst>
        </c:ser>
        <c:dLbls>
          <c:showLegendKey val="0"/>
          <c:showVal val="0"/>
          <c:showCatName val="0"/>
          <c:showSerName val="0"/>
          <c:showPercent val="0"/>
          <c:showBubbleSize val="0"/>
        </c:dLbls>
        <c:gapWidth val="100"/>
        <c:overlap val="100"/>
        <c:axId val="1014956367"/>
        <c:axId val="1014945551"/>
      </c:barChart>
      <c:lineChart>
        <c:grouping val="standard"/>
        <c:varyColors val="0"/>
        <c:ser>
          <c:idx val="2"/>
          <c:order val="2"/>
          <c:tx>
            <c:strRef>
              <c:f>'[Graf v programe Microsoft Word]1 GRAF'!$I$2</c:f>
              <c:strCache>
                <c:ptCount val="1"/>
                <c:pt idx="0">
                  <c:v>Čistá finančná pozícia</c:v>
                </c:pt>
              </c:strCache>
            </c:strRef>
          </c:tx>
          <c:spPr>
            <a:ln w="25400" cap="rnd">
              <a:solidFill>
                <a:schemeClr val="accent6"/>
              </a:solidFill>
              <a:prstDash val="sysDash"/>
              <a:round/>
            </a:ln>
            <a:effectLst/>
          </c:spPr>
          <c:marker>
            <c:symbol val="none"/>
          </c:marker>
          <c:dLbls>
            <c:dLbl>
              <c:idx val="1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97E-4941-B8F1-2011B140EF00}"/>
                </c:ext>
              </c:extLst>
            </c:dLbl>
            <c:dLbl>
              <c:idx val="19"/>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97E-4941-B8F1-2011B140EF00}"/>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accent6"/>
                    </a:solidFill>
                    <a:latin typeface="Segoe UI" panose="020B0502040204020203" pitchFamily="34" charset="0"/>
                    <a:ea typeface="+mn-ea"/>
                    <a:cs typeface="Segoe UI" panose="020B0502040204020203" pitchFamily="34" charset="0"/>
                  </a:defRPr>
                </a:pPr>
                <a:endParaRPr lang="sk-SK"/>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'[Graf v programe Microsoft Word]1 GRAF'!$I$3:$I$22</c:f>
              <c:numCache>
                <c:formatCode>#,##0.00</c:formatCode>
                <c:ptCount val="20"/>
                <c:pt idx="0">
                  <c:v>1.3301E-2</c:v>
                </c:pt>
                <c:pt idx="1">
                  <c:v>0.21937899999999999</c:v>
                </c:pt>
                <c:pt idx="2">
                  <c:v>0.36729699999999998</c:v>
                </c:pt>
                <c:pt idx="3">
                  <c:v>0.32103799999999999</c:v>
                </c:pt>
                <c:pt idx="4">
                  <c:v>0.25012299999999998</c:v>
                </c:pt>
                <c:pt idx="5">
                  <c:v>0.423933</c:v>
                </c:pt>
                <c:pt idx="6">
                  <c:v>1.0449539999999999</c:v>
                </c:pt>
                <c:pt idx="7">
                  <c:v>1.3364370000000001</c:v>
                </c:pt>
                <c:pt idx="8">
                  <c:v>1.4150180000000001</c:v>
                </c:pt>
                <c:pt idx="9">
                  <c:v>1.36026</c:v>
                </c:pt>
                <c:pt idx="10">
                  <c:v>0.47972500000000001</c:v>
                </c:pt>
                <c:pt idx="11">
                  <c:v>3.5933649999999999</c:v>
                </c:pt>
                <c:pt idx="12">
                  <c:v>1.207578</c:v>
                </c:pt>
                <c:pt idx="13">
                  <c:v>0.687527</c:v>
                </c:pt>
                <c:pt idx="14">
                  <c:v>1.328411</c:v>
                </c:pt>
                <c:pt idx="15">
                  <c:v>1.27521</c:v>
                </c:pt>
                <c:pt idx="16">
                  <c:v>1.577234</c:v>
                </c:pt>
                <c:pt idx="17">
                  <c:v>0.91934300000000002</c:v>
                </c:pt>
                <c:pt idx="18">
                  <c:v>1.117494</c:v>
                </c:pt>
                <c:pt idx="19">
                  <c:v>3.4444360000000001</c:v>
                </c:pt>
              </c:numCache>
            </c:numRef>
          </c:val>
          <c:smooth val="0"/>
          <c:extLst>
            <c:ext xmlns:c16="http://schemas.microsoft.com/office/drawing/2014/chart" uri="{C3380CC4-5D6E-409C-BE32-E72D297353CC}">
              <c16:uniqueId val="{00000008-A97E-4941-B8F1-2011B140EF00}"/>
            </c:ext>
          </c:extLst>
        </c:ser>
        <c:dLbls>
          <c:showLegendKey val="0"/>
          <c:showVal val="0"/>
          <c:showCatName val="0"/>
          <c:showSerName val="0"/>
          <c:showPercent val="0"/>
          <c:showBubbleSize val="0"/>
        </c:dLbls>
        <c:marker val="1"/>
        <c:smooth val="0"/>
        <c:axId val="1014956367"/>
        <c:axId val="1014945551"/>
      </c:lineChart>
      <c:catAx>
        <c:axId val="1014956367"/>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1014945551"/>
        <c:crosses val="autoZero"/>
        <c:auto val="1"/>
        <c:lblAlgn val="ctr"/>
        <c:lblOffset val="100"/>
        <c:noMultiLvlLbl val="0"/>
      </c:catAx>
      <c:valAx>
        <c:axId val="101494555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1014956367"/>
        <c:crossesAt val="1"/>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legend>
    <c:plotVisOnly val="1"/>
    <c:dispBlanksAs val="gap"/>
    <c:showDLblsOverMax val="0"/>
  </c:chart>
  <c:spPr>
    <a:solidFill>
      <a:schemeClr val="bg1"/>
    </a:solidFill>
    <a:ln w="9525" cap="flat" cmpd="sng" algn="ctr">
      <a:noFill/>
      <a:round/>
    </a:ln>
    <a:effectLst/>
  </c:spPr>
  <c:txPr>
    <a:bodyPr/>
    <a:lstStyle/>
    <a:p>
      <a:pPr>
        <a:defRPr sz="800">
          <a:solidFill>
            <a:schemeClr val="tx2"/>
          </a:solidFill>
          <a:latin typeface="Segoe UI" panose="020B0502040204020203" pitchFamily="34" charset="0"/>
          <a:cs typeface="Segoe UI" panose="020B0502040204020203" pitchFamily="34" charset="0"/>
        </a:defRPr>
      </a:pPr>
      <a:endParaRPr lang="sk-SK"/>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w="19050">
              <a:noFill/>
            </a:ln>
            <a:effectLst/>
          </c:spPr>
          <c:invertIfNegative val="0"/>
          <c:dPt>
            <c:idx val="0"/>
            <c:invertIfNegative val="0"/>
            <c:bubble3D val="0"/>
            <c:spPr>
              <a:solidFill>
                <a:schemeClr val="accent1"/>
              </a:solidFill>
              <a:ln w="19050">
                <a:noFill/>
              </a:ln>
              <a:effectLst/>
            </c:spPr>
            <c:extLst>
              <c:ext xmlns:c16="http://schemas.microsoft.com/office/drawing/2014/chart" uri="{C3380CC4-5D6E-409C-BE32-E72D297353CC}">
                <c16:uniqueId val="{00000001-4A3C-4E7C-82E7-B4BE073EEF03}"/>
              </c:ext>
            </c:extLst>
          </c:dPt>
          <c:dPt>
            <c:idx val="1"/>
            <c:invertIfNegative val="0"/>
            <c:bubble3D val="0"/>
            <c:spPr>
              <a:solidFill>
                <a:schemeClr val="accent1"/>
              </a:solidFill>
              <a:ln w="19050">
                <a:noFill/>
              </a:ln>
              <a:effectLst/>
            </c:spPr>
            <c:extLst>
              <c:ext xmlns:c16="http://schemas.microsoft.com/office/drawing/2014/chart" uri="{C3380CC4-5D6E-409C-BE32-E72D297353CC}">
                <c16:uniqueId val="{00000003-4A3C-4E7C-82E7-B4BE073EEF03}"/>
              </c:ext>
            </c:extLst>
          </c:dPt>
          <c:dPt>
            <c:idx val="2"/>
            <c:invertIfNegative val="0"/>
            <c:bubble3D val="0"/>
            <c:spPr>
              <a:solidFill>
                <a:schemeClr val="accent1"/>
              </a:solidFill>
              <a:ln w="19050">
                <a:noFill/>
              </a:ln>
              <a:effectLst/>
            </c:spPr>
            <c:extLst>
              <c:ext xmlns:c16="http://schemas.microsoft.com/office/drawing/2014/chart" uri="{C3380CC4-5D6E-409C-BE32-E72D297353CC}">
                <c16:uniqueId val="{00000005-4A3C-4E7C-82E7-B4BE073EEF03}"/>
              </c:ext>
            </c:extLst>
          </c:dPt>
          <c:dPt>
            <c:idx val="3"/>
            <c:invertIfNegative val="0"/>
            <c:bubble3D val="0"/>
            <c:spPr>
              <a:solidFill>
                <a:schemeClr val="accent1"/>
              </a:solidFill>
              <a:ln w="19050">
                <a:noFill/>
              </a:ln>
              <a:effectLst/>
            </c:spPr>
            <c:extLst>
              <c:ext xmlns:c16="http://schemas.microsoft.com/office/drawing/2014/chart" uri="{C3380CC4-5D6E-409C-BE32-E72D297353CC}">
                <c16:uniqueId val="{00000007-4A3C-4E7C-82E7-B4BE073EEF03}"/>
              </c:ext>
            </c:extLst>
          </c:dPt>
          <c:dPt>
            <c:idx val="4"/>
            <c:invertIfNegative val="0"/>
            <c:bubble3D val="0"/>
            <c:spPr>
              <a:solidFill>
                <a:schemeClr val="accent1"/>
              </a:solidFill>
              <a:ln w="19050">
                <a:noFill/>
              </a:ln>
              <a:effectLst/>
            </c:spPr>
            <c:extLst>
              <c:ext xmlns:c16="http://schemas.microsoft.com/office/drawing/2014/chart" uri="{C3380CC4-5D6E-409C-BE32-E72D297353CC}">
                <c16:uniqueId val="{00000009-4A3C-4E7C-82E7-B4BE073EEF03}"/>
              </c:ext>
            </c:extLst>
          </c:dPt>
          <c:dPt>
            <c:idx val="5"/>
            <c:invertIfNegative val="0"/>
            <c:bubble3D val="0"/>
            <c:spPr>
              <a:solidFill>
                <a:schemeClr val="accent1"/>
              </a:solidFill>
              <a:ln w="19050">
                <a:noFill/>
              </a:ln>
              <a:effectLst/>
            </c:spPr>
            <c:extLst>
              <c:ext xmlns:c16="http://schemas.microsoft.com/office/drawing/2014/chart" uri="{C3380CC4-5D6E-409C-BE32-E72D297353CC}">
                <c16:uniqueId val="{0000000B-4A3C-4E7C-82E7-B4BE073EEF03}"/>
              </c:ext>
            </c:extLst>
          </c:dPt>
          <c:dPt>
            <c:idx val="6"/>
            <c:invertIfNegative val="0"/>
            <c:bubble3D val="0"/>
            <c:spPr>
              <a:solidFill>
                <a:schemeClr val="accent1"/>
              </a:solidFill>
              <a:ln w="19050">
                <a:noFill/>
              </a:ln>
              <a:effectLst/>
            </c:spPr>
            <c:extLst>
              <c:ext xmlns:c16="http://schemas.microsoft.com/office/drawing/2014/chart" uri="{C3380CC4-5D6E-409C-BE32-E72D297353CC}">
                <c16:uniqueId val="{0000000D-4A3C-4E7C-82E7-B4BE073EEF03}"/>
              </c:ext>
            </c:extLst>
          </c:dPt>
          <c:dPt>
            <c:idx val="7"/>
            <c:invertIfNegative val="0"/>
            <c:bubble3D val="0"/>
            <c:spPr>
              <a:solidFill>
                <a:schemeClr val="accent1"/>
              </a:solidFill>
              <a:ln w="19050">
                <a:noFill/>
              </a:ln>
              <a:effectLst/>
            </c:spPr>
            <c:extLst>
              <c:ext xmlns:c16="http://schemas.microsoft.com/office/drawing/2014/chart" uri="{C3380CC4-5D6E-409C-BE32-E72D297353CC}">
                <c16:uniqueId val="{0000000F-4A3C-4E7C-82E7-B4BE073EEF03}"/>
              </c:ext>
            </c:extLst>
          </c:dPt>
          <c:dPt>
            <c:idx val="8"/>
            <c:invertIfNegative val="0"/>
            <c:bubble3D val="0"/>
            <c:spPr>
              <a:solidFill>
                <a:schemeClr val="accent1"/>
              </a:solidFill>
              <a:ln w="19050">
                <a:noFill/>
              </a:ln>
              <a:effectLst/>
            </c:spPr>
            <c:extLst>
              <c:ext xmlns:c16="http://schemas.microsoft.com/office/drawing/2014/chart" uri="{C3380CC4-5D6E-409C-BE32-E72D297353CC}">
                <c16:uniqueId val="{00000011-4A3C-4E7C-82E7-B4BE073EEF03}"/>
              </c:ext>
            </c:extLst>
          </c:dPt>
          <c:dPt>
            <c:idx val="9"/>
            <c:invertIfNegative val="0"/>
            <c:bubble3D val="0"/>
            <c:spPr>
              <a:solidFill>
                <a:schemeClr val="accent1"/>
              </a:solidFill>
              <a:ln w="19050">
                <a:noFill/>
              </a:ln>
              <a:effectLst/>
            </c:spPr>
            <c:extLst>
              <c:ext xmlns:c16="http://schemas.microsoft.com/office/drawing/2014/chart" uri="{C3380CC4-5D6E-409C-BE32-E72D297353CC}">
                <c16:uniqueId val="{00000013-4A3C-4E7C-82E7-B4BE073EEF03}"/>
              </c:ext>
            </c:extLst>
          </c:dPt>
          <c:cat>
            <c:strRef>
              <c:f>'alokacia 21-27'!$C$2:$C$11</c:f>
              <c:strCache>
                <c:ptCount val="10"/>
                <c:pt idx="0">
                  <c:v>MD SR</c:v>
                </c:pt>
                <c:pt idx="1">
                  <c:v>MIRRI SR</c:v>
                </c:pt>
                <c:pt idx="2">
                  <c:v>MPSVaR SR</c:v>
                </c:pt>
                <c:pt idx="3">
                  <c:v>MŽP SR</c:v>
                </c:pt>
                <c:pt idx="4">
                  <c:v>MŠVVaM SR</c:v>
                </c:pt>
                <c:pt idx="5">
                  <c:v>SEaIA</c:v>
                </c:pt>
                <c:pt idx="6">
                  <c:v>MH SR</c:v>
                </c:pt>
                <c:pt idx="7">
                  <c:v>MZ SR</c:v>
                </c:pt>
                <c:pt idx="8">
                  <c:v>ÚV SR</c:v>
                </c:pt>
                <c:pt idx="9">
                  <c:v>MV SR</c:v>
                </c:pt>
              </c:strCache>
            </c:strRef>
          </c:cat>
          <c:val>
            <c:numRef>
              <c:f>'alokacia 21-27'!$D$2:$D$11</c:f>
              <c:numCache>
                <c:formatCode>#,##0.00</c:formatCode>
                <c:ptCount val="10"/>
                <c:pt idx="0">
                  <c:v>3000.2811700000002</c:v>
                </c:pt>
                <c:pt idx="1">
                  <c:v>2608.9942930000002</c:v>
                </c:pt>
                <c:pt idx="2">
                  <c:v>1762.219681</c:v>
                </c:pt>
                <c:pt idx="3">
                  <c:v>1723.914863</c:v>
                </c:pt>
                <c:pt idx="4">
                  <c:v>1074.6252400000001</c:v>
                </c:pt>
                <c:pt idx="5">
                  <c:v>902.22909100000004</c:v>
                </c:pt>
                <c:pt idx="6">
                  <c:v>626.92997400000002</c:v>
                </c:pt>
                <c:pt idx="7">
                  <c:v>387.64062100000001</c:v>
                </c:pt>
                <c:pt idx="8">
                  <c:v>399.5</c:v>
                </c:pt>
                <c:pt idx="9">
                  <c:v>107.4</c:v>
                </c:pt>
              </c:numCache>
            </c:numRef>
          </c:val>
          <c:extLst>
            <c:ext xmlns:c16="http://schemas.microsoft.com/office/drawing/2014/chart" uri="{C3380CC4-5D6E-409C-BE32-E72D297353CC}">
              <c16:uniqueId val="{00000014-4A3C-4E7C-82E7-B4BE073EEF03}"/>
            </c:ext>
          </c:extLst>
        </c:ser>
        <c:dLbls>
          <c:showLegendKey val="0"/>
          <c:showVal val="0"/>
          <c:showCatName val="0"/>
          <c:showSerName val="0"/>
          <c:showPercent val="0"/>
          <c:showBubbleSize val="0"/>
        </c:dLbls>
        <c:gapWidth val="100"/>
        <c:axId val="232419023"/>
        <c:axId val="232417775"/>
      </c:barChart>
      <c:catAx>
        <c:axId val="232419023"/>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232417775"/>
        <c:crosses val="autoZero"/>
        <c:auto val="1"/>
        <c:lblAlgn val="ctr"/>
        <c:lblOffset val="100"/>
        <c:noMultiLvlLbl val="0"/>
      </c:catAx>
      <c:valAx>
        <c:axId val="232417775"/>
        <c:scaling>
          <c:orientation val="minMax"/>
          <c:max val="3000"/>
        </c:scaling>
        <c:delete val="0"/>
        <c:axPos val="l"/>
        <c:majorGridlines>
          <c:spPr>
            <a:ln w="9525" cap="flat" cmpd="sng" algn="ctr">
              <a:solidFill>
                <a:schemeClr val="tx1">
                  <a:lumMod val="15000"/>
                  <a:lumOff val="85000"/>
                </a:schemeClr>
              </a:solidFill>
              <a:round/>
            </a:ln>
            <a:effectLst/>
          </c:spPr>
        </c:majorGridlines>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232419023"/>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chemeClr val="tx2"/>
          </a:solidFill>
          <a:latin typeface="Segoe UI" panose="020B0502040204020203" pitchFamily="34" charset="0"/>
          <a:cs typeface="Segoe UI" panose="020B0502040204020203" pitchFamily="34" charset="0"/>
        </a:defRPr>
      </a:pPr>
      <a:endParaRPr lang="sk-SK"/>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2335928414810608E-2"/>
          <c:y val="6.4139941690962099E-2"/>
          <c:w val="0.91511615726726381"/>
          <c:h val="0.5840664814857327"/>
        </c:manualLayout>
      </c:layout>
      <c:barChart>
        <c:barDir val="col"/>
        <c:grouping val="clustered"/>
        <c:varyColors val="0"/>
        <c:ser>
          <c:idx val="0"/>
          <c:order val="0"/>
          <c:tx>
            <c:strRef>
              <c:f>Hárok3!$B$22</c:f>
              <c:strCache>
                <c:ptCount val="1"/>
                <c:pt idx="0">
                  <c:v>Rozpočet 2023</c:v>
                </c:pt>
              </c:strCache>
            </c:strRef>
          </c:tx>
          <c:spPr>
            <a:solidFill>
              <a:schemeClr val="accent1"/>
            </a:solidFill>
            <a:ln>
              <a:noFill/>
            </a:ln>
            <a:effectLst/>
          </c:spPr>
          <c:invertIfNegative val="0"/>
          <c:cat>
            <c:strRef>
              <c:f>Hárok3!$A$23:$A$36</c:f>
              <c:strCache>
                <c:ptCount val="14"/>
                <c:pt idx="0">
                  <c:v>MŽP SR</c:v>
                </c:pt>
                <c:pt idx="1">
                  <c:v>MZ SR</c:v>
                </c:pt>
                <c:pt idx="2">
                  <c:v>MŠVVaM SR</c:v>
                </c:pt>
                <c:pt idx="3">
                  <c:v>MS SR</c:v>
                </c:pt>
                <c:pt idx="4">
                  <c:v>MD SR</c:v>
                </c:pt>
                <c:pt idx="5">
                  <c:v>MH SR</c:v>
                </c:pt>
                <c:pt idx="6">
                  <c:v>ÚV SR</c:v>
                </c:pt>
                <c:pt idx="7">
                  <c:v>MIRRI SR</c:v>
                </c:pt>
                <c:pt idx="8">
                  <c:v>MPSVaR SR</c:v>
                </c:pt>
                <c:pt idx="9">
                  <c:v>MV SR</c:v>
                </c:pt>
                <c:pt idx="10">
                  <c:v>MK SR</c:v>
                </c:pt>
                <c:pt idx="11">
                  <c:v>ÚVO</c:v>
                </c:pt>
                <c:pt idx="12">
                  <c:v>VPS</c:v>
                </c:pt>
                <c:pt idx="13">
                  <c:v>MO SR</c:v>
                </c:pt>
              </c:strCache>
            </c:strRef>
          </c:cat>
          <c:val>
            <c:numRef>
              <c:f>Hárok3!$B$23:$B$36</c:f>
              <c:numCache>
                <c:formatCode>General</c:formatCode>
                <c:ptCount val="14"/>
                <c:pt idx="0">
                  <c:v>334.03300000000002</c:v>
                </c:pt>
                <c:pt idx="1">
                  <c:v>358.45499999999998</c:v>
                </c:pt>
                <c:pt idx="2">
                  <c:v>267.07599999999996</c:v>
                </c:pt>
                <c:pt idx="3">
                  <c:v>134.06399999999999</c:v>
                </c:pt>
                <c:pt idx="4">
                  <c:v>146.25800000000001</c:v>
                </c:pt>
                <c:pt idx="5">
                  <c:v>130.81399999999999</c:v>
                </c:pt>
                <c:pt idx="6">
                  <c:v>100.488</c:v>
                </c:pt>
                <c:pt idx="7">
                  <c:v>104.35899999999999</c:v>
                </c:pt>
                <c:pt idx="8">
                  <c:v>51.371000000000002</c:v>
                </c:pt>
                <c:pt idx="9">
                  <c:v>9.394999999999996</c:v>
                </c:pt>
                <c:pt idx="10">
                  <c:v>0.58099999999999996</c:v>
                </c:pt>
                <c:pt idx="11">
                  <c:v>0.25</c:v>
                </c:pt>
                <c:pt idx="12">
                  <c:v>0</c:v>
                </c:pt>
                <c:pt idx="13">
                  <c:v>0</c:v>
                </c:pt>
              </c:numCache>
            </c:numRef>
          </c:val>
          <c:extLst>
            <c:ext xmlns:c16="http://schemas.microsoft.com/office/drawing/2014/chart" uri="{C3380CC4-5D6E-409C-BE32-E72D297353CC}">
              <c16:uniqueId val="{00000000-4A76-4121-8648-D261052ED7CF}"/>
            </c:ext>
          </c:extLst>
        </c:ser>
        <c:ser>
          <c:idx val="1"/>
          <c:order val="1"/>
          <c:tx>
            <c:strRef>
              <c:f>Hárok3!$C$22</c:f>
              <c:strCache>
                <c:ptCount val="1"/>
                <c:pt idx="0">
                  <c:v>Čerpanie 2023</c:v>
                </c:pt>
              </c:strCache>
            </c:strRef>
          </c:tx>
          <c:spPr>
            <a:solidFill>
              <a:schemeClr val="accent2"/>
            </a:solidFill>
            <a:ln>
              <a:noFill/>
            </a:ln>
            <a:effectLst/>
          </c:spPr>
          <c:invertIfNegative val="0"/>
          <c:cat>
            <c:strRef>
              <c:f>Hárok3!$A$23:$A$36</c:f>
              <c:strCache>
                <c:ptCount val="14"/>
                <c:pt idx="0">
                  <c:v>MŽP SR</c:v>
                </c:pt>
                <c:pt idx="1">
                  <c:v>MZ SR</c:v>
                </c:pt>
                <c:pt idx="2">
                  <c:v>MŠVVaM SR</c:v>
                </c:pt>
                <c:pt idx="3">
                  <c:v>MS SR</c:v>
                </c:pt>
                <c:pt idx="4">
                  <c:v>MD SR</c:v>
                </c:pt>
                <c:pt idx="5">
                  <c:v>MH SR</c:v>
                </c:pt>
                <c:pt idx="6">
                  <c:v>ÚV SR</c:v>
                </c:pt>
                <c:pt idx="7">
                  <c:v>MIRRI SR</c:v>
                </c:pt>
                <c:pt idx="8">
                  <c:v>MPSVaR SR</c:v>
                </c:pt>
                <c:pt idx="9">
                  <c:v>MV SR</c:v>
                </c:pt>
                <c:pt idx="10">
                  <c:v>MK SR</c:v>
                </c:pt>
                <c:pt idx="11">
                  <c:v>ÚVO</c:v>
                </c:pt>
                <c:pt idx="12">
                  <c:v>VPS</c:v>
                </c:pt>
                <c:pt idx="13">
                  <c:v>MO SR</c:v>
                </c:pt>
              </c:strCache>
            </c:strRef>
          </c:cat>
          <c:val>
            <c:numRef>
              <c:f>Hárok3!$C$23:$C$36</c:f>
              <c:numCache>
                <c:formatCode>General</c:formatCode>
                <c:ptCount val="14"/>
                <c:pt idx="0">
                  <c:v>193.71700000000001</c:v>
                </c:pt>
                <c:pt idx="1">
                  <c:v>18.975000000000001</c:v>
                </c:pt>
                <c:pt idx="2">
                  <c:v>40.134</c:v>
                </c:pt>
                <c:pt idx="3">
                  <c:v>23.635999999999999</c:v>
                </c:pt>
                <c:pt idx="4">
                  <c:v>0.33200000000000002</c:v>
                </c:pt>
                <c:pt idx="5">
                  <c:v>5.8760000000000003</c:v>
                </c:pt>
                <c:pt idx="6">
                  <c:v>26.411999999999999</c:v>
                </c:pt>
                <c:pt idx="7">
                  <c:v>15.281000000000001</c:v>
                </c:pt>
                <c:pt idx="8">
                  <c:v>5.6989999999999998</c:v>
                </c:pt>
                <c:pt idx="9">
                  <c:v>41.215000000000003</c:v>
                </c:pt>
                <c:pt idx="10">
                  <c:v>2.6190000000000002</c:v>
                </c:pt>
                <c:pt idx="11">
                  <c:v>0.2</c:v>
                </c:pt>
                <c:pt idx="12">
                  <c:v>6.7000000000000004E-2</c:v>
                </c:pt>
                <c:pt idx="13">
                  <c:v>0.01</c:v>
                </c:pt>
              </c:numCache>
            </c:numRef>
          </c:val>
          <c:extLst>
            <c:ext xmlns:c16="http://schemas.microsoft.com/office/drawing/2014/chart" uri="{C3380CC4-5D6E-409C-BE32-E72D297353CC}">
              <c16:uniqueId val="{00000001-4A76-4121-8648-D261052ED7CF}"/>
            </c:ext>
          </c:extLst>
        </c:ser>
        <c:dLbls>
          <c:showLegendKey val="0"/>
          <c:showVal val="0"/>
          <c:showCatName val="0"/>
          <c:showSerName val="0"/>
          <c:showPercent val="0"/>
          <c:showBubbleSize val="0"/>
        </c:dLbls>
        <c:gapWidth val="100"/>
        <c:axId val="505412607"/>
        <c:axId val="505419263"/>
      </c:barChart>
      <c:catAx>
        <c:axId val="5054126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505419263"/>
        <c:crosses val="autoZero"/>
        <c:auto val="1"/>
        <c:lblAlgn val="ctr"/>
        <c:lblOffset val="100"/>
        <c:noMultiLvlLbl val="0"/>
      </c:catAx>
      <c:valAx>
        <c:axId val="50541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505412607"/>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legendEntry>
      <c:legendEntry>
        <c:idx val="1"/>
        <c:txPr>
          <a:bodyPr rot="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legendEntry>
      <c:layout>
        <c:manualLayout>
          <c:xMode val="edge"/>
          <c:yMode val="edge"/>
          <c:x val="0.33880726859537147"/>
          <c:y val="0.88607286334106183"/>
          <c:w val="0.33140462853642733"/>
          <c:h val="9.643442528867565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legend>
    <c:plotVisOnly val="1"/>
    <c:dispBlanksAs val="gap"/>
    <c:showDLblsOverMax val="0"/>
  </c:chart>
  <c:spPr>
    <a:solidFill>
      <a:schemeClr val="bg1"/>
    </a:solidFill>
    <a:ln w="9525" cap="flat" cmpd="sng" algn="ctr">
      <a:noFill/>
      <a:round/>
    </a:ln>
    <a:effectLst/>
  </c:spPr>
  <c:txPr>
    <a:bodyPr/>
    <a:lstStyle/>
    <a:p>
      <a:pPr>
        <a:defRPr/>
      </a:pPr>
      <a:endParaRPr lang="sk-SK"/>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'Graf 3'!$K$54</c:f>
              <c:strCache>
                <c:ptCount val="1"/>
                <c:pt idx="0">
                  <c:v>Bežné výdavky</c:v>
                </c:pt>
              </c:strCache>
            </c:strRef>
          </c:tx>
          <c:spPr>
            <a:solidFill>
              <a:schemeClr val="accent1"/>
            </a:solidFill>
            <a:ln>
              <a:noFill/>
            </a:ln>
            <a:effectLst/>
          </c:spPr>
          <c:invertIfNegative val="0"/>
          <c:cat>
            <c:strRef>
              <c:f>'Graf 3'!$L$53:$S$53</c:f>
              <c:strCache>
                <c:ptCount val="8"/>
                <c:pt idx="0">
                  <c:v>Rozpočet 2022</c:v>
                </c:pt>
                <c:pt idx="1">
                  <c:v>Čerpanie 2022</c:v>
                </c:pt>
                <c:pt idx="3">
                  <c:v>Rozpočet 2023</c:v>
                </c:pt>
                <c:pt idx="4">
                  <c:v>Čerpanie 2023</c:v>
                </c:pt>
                <c:pt idx="6">
                  <c:v>Rozpočet 2024</c:v>
                </c:pt>
                <c:pt idx="7">
                  <c:v>Čerpanie 2024</c:v>
                </c:pt>
              </c:strCache>
            </c:strRef>
          </c:cat>
          <c:val>
            <c:numRef>
              <c:f>'Graf 3'!$L$54:$S$54</c:f>
              <c:numCache>
                <c:formatCode>General</c:formatCode>
                <c:ptCount val="8"/>
                <c:pt idx="0">
                  <c:v>347.35</c:v>
                </c:pt>
                <c:pt idx="1">
                  <c:v>46.66</c:v>
                </c:pt>
                <c:pt idx="3">
                  <c:v>369.27</c:v>
                </c:pt>
                <c:pt idx="4">
                  <c:v>113.67</c:v>
                </c:pt>
                <c:pt idx="6">
                  <c:v>352</c:v>
                </c:pt>
                <c:pt idx="7">
                  <c:v>22.54</c:v>
                </c:pt>
              </c:numCache>
            </c:numRef>
          </c:val>
          <c:extLst>
            <c:ext xmlns:c16="http://schemas.microsoft.com/office/drawing/2014/chart" uri="{C3380CC4-5D6E-409C-BE32-E72D297353CC}">
              <c16:uniqueId val="{00000000-DEF0-4498-A6DB-20E370D5F5D8}"/>
            </c:ext>
          </c:extLst>
        </c:ser>
        <c:ser>
          <c:idx val="1"/>
          <c:order val="1"/>
          <c:tx>
            <c:strRef>
              <c:f>'Graf 3'!$K$55</c:f>
              <c:strCache>
                <c:ptCount val="1"/>
                <c:pt idx="0">
                  <c:v>Kapitálové výdavky</c:v>
                </c:pt>
              </c:strCache>
            </c:strRef>
          </c:tx>
          <c:spPr>
            <a:solidFill>
              <a:schemeClr val="accent2"/>
            </a:solidFill>
            <a:ln>
              <a:noFill/>
            </a:ln>
            <a:effectLst/>
          </c:spPr>
          <c:invertIfNegative val="0"/>
          <c:cat>
            <c:strRef>
              <c:f>'Graf 3'!$L$53:$S$53</c:f>
              <c:strCache>
                <c:ptCount val="8"/>
                <c:pt idx="0">
                  <c:v>Rozpočet 2022</c:v>
                </c:pt>
                <c:pt idx="1">
                  <c:v>Čerpanie 2022</c:v>
                </c:pt>
                <c:pt idx="3">
                  <c:v>Rozpočet 2023</c:v>
                </c:pt>
                <c:pt idx="4">
                  <c:v>Čerpanie 2023</c:v>
                </c:pt>
                <c:pt idx="6">
                  <c:v>Rozpočet 2024</c:v>
                </c:pt>
                <c:pt idx="7">
                  <c:v>Čerpanie 2024</c:v>
                </c:pt>
              </c:strCache>
            </c:strRef>
          </c:cat>
          <c:val>
            <c:numRef>
              <c:f>'Graf 3'!$L$55:$S$55</c:f>
              <c:numCache>
                <c:formatCode>General</c:formatCode>
                <c:ptCount val="8"/>
                <c:pt idx="0">
                  <c:v>954.62</c:v>
                </c:pt>
                <c:pt idx="1">
                  <c:v>2.31</c:v>
                </c:pt>
                <c:pt idx="3" formatCode="#,##0.00">
                  <c:v>1641.99</c:v>
                </c:pt>
                <c:pt idx="4">
                  <c:v>260.5</c:v>
                </c:pt>
                <c:pt idx="6">
                  <c:v>863.4</c:v>
                </c:pt>
                <c:pt idx="7">
                  <c:v>21.6</c:v>
                </c:pt>
              </c:numCache>
            </c:numRef>
          </c:val>
          <c:extLst>
            <c:ext xmlns:c16="http://schemas.microsoft.com/office/drawing/2014/chart" uri="{C3380CC4-5D6E-409C-BE32-E72D297353CC}">
              <c16:uniqueId val="{00000001-DEF0-4498-A6DB-20E370D5F5D8}"/>
            </c:ext>
          </c:extLst>
        </c:ser>
        <c:dLbls>
          <c:showLegendKey val="0"/>
          <c:showVal val="0"/>
          <c:showCatName val="0"/>
          <c:showSerName val="0"/>
          <c:showPercent val="0"/>
          <c:showBubbleSize val="0"/>
        </c:dLbls>
        <c:gapWidth val="100"/>
        <c:overlap val="100"/>
        <c:axId val="1352428479"/>
        <c:axId val="1352430143"/>
      </c:barChart>
      <c:catAx>
        <c:axId val="13524284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1352430143"/>
        <c:crosses val="autoZero"/>
        <c:auto val="1"/>
        <c:lblAlgn val="ctr"/>
        <c:lblOffset val="100"/>
        <c:noMultiLvlLbl val="0"/>
      </c:catAx>
      <c:valAx>
        <c:axId val="1352430143"/>
        <c:scaling>
          <c:orientation val="minMax"/>
          <c:max val="2000"/>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1352428479"/>
        <c:crosses val="autoZero"/>
        <c:crossBetween val="between"/>
        <c:majorUnit val="250"/>
      </c:valAx>
      <c:spPr>
        <a:noFill/>
        <a:ln w="6350">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legend>
    <c:plotVisOnly val="1"/>
    <c:dispBlanksAs val="gap"/>
    <c:showDLblsOverMax val="0"/>
  </c:chart>
  <c:spPr>
    <a:solidFill>
      <a:schemeClr val="bg1"/>
    </a:solidFill>
    <a:ln w="9525" cap="flat" cmpd="sng" algn="ctr">
      <a:noFill/>
      <a:round/>
    </a:ln>
    <a:effectLst/>
  </c:spPr>
  <c:txPr>
    <a:bodyPr/>
    <a:lstStyle/>
    <a:p>
      <a:pPr>
        <a:defRPr sz="800">
          <a:solidFill>
            <a:schemeClr val="tx2"/>
          </a:solidFill>
          <a:latin typeface="Segoe UI" panose="020B0502040204020203" pitchFamily="34" charset="0"/>
          <a:cs typeface="Segoe UI" panose="020B0502040204020203" pitchFamily="34" charset="0"/>
        </a:defRPr>
      </a:pPr>
      <a:endParaRPr lang="sk-SK"/>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'top level'!$B$22</c:f>
              <c:strCache>
                <c:ptCount val="1"/>
                <c:pt idx="0">
                  <c:v>rozpočet</c:v>
                </c:pt>
              </c:strCache>
            </c:strRef>
          </c:tx>
          <c:spPr>
            <a:solidFill>
              <a:schemeClr val="accent1"/>
            </a:solidFill>
            <a:ln>
              <a:noFill/>
            </a:ln>
            <a:effectLst/>
          </c:spPr>
          <c:invertIfNegative val="0"/>
          <c:cat>
            <c:strRef>
              <c:f>'top level'!$A$23:$A$25</c:f>
              <c:strCache>
                <c:ptCount val="3"/>
                <c:pt idx="0">
                  <c:v>Zdravotná starostlivosť</c:v>
                </c:pt>
                <c:pt idx="1">
                  <c:v>Tvorba a implementácia politík</c:v>
                </c:pt>
                <c:pt idx="2">
                  <c:v>Prevencia a ochrana zdravia</c:v>
                </c:pt>
              </c:strCache>
            </c:strRef>
          </c:cat>
          <c:val>
            <c:numRef>
              <c:f>'top level'!$B$23:$B$25</c:f>
              <c:numCache>
                <c:formatCode>#\ ##0.0</c:formatCode>
                <c:ptCount val="3"/>
                <c:pt idx="0">
                  <c:v>2091.8895769999999</c:v>
                </c:pt>
                <c:pt idx="1">
                  <c:v>369.15144199999997</c:v>
                </c:pt>
                <c:pt idx="2">
                  <c:v>74.091111999999995</c:v>
                </c:pt>
              </c:numCache>
            </c:numRef>
          </c:val>
          <c:extLst>
            <c:ext xmlns:c16="http://schemas.microsoft.com/office/drawing/2014/chart" uri="{C3380CC4-5D6E-409C-BE32-E72D297353CC}">
              <c16:uniqueId val="{00000000-198B-41D6-8087-0E87D23D3C80}"/>
            </c:ext>
          </c:extLst>
        </c:ser>
        <c:ser>
          <c:idx val="1"/>
          <c:order val="1"/>
          <c:tx>
            <c:strRef>
              <c:f>'top level'!$C$22</c:f>
              <c:strCache>
                <c:ptCount val="1"/>
                <c:pt idx="0">
                  <c:v>skutočnosť</c:v>
                </c:pt>
              </c:strCache>
            </c:strRef>
          </c:tx>
          <c:spPr>
            <a:solidFill>
              <a:schemeClr val="accent2"/>
            </a:solidFill>
            <a:ln>
              <a:noFill/>
            </a:ln>
            <a:effectLst/>
          </c:spPr>
          <c:invertIfNegative val="0"/>
          <c:cat>
            <c:strRef>
              <c:f>'top level'!$A$23:$A$25</c:f>
              <c:strCache>
                <c:ptCount val="3"/>
                <c:pt idx="0">
                  <c:v>Zdravotná starostlivosť</c:v>
                </c:pt>
                <c:pt idx="1">
                  <c:v>Tvorba a implementácia politík</c:v>
                </c:pt>
                <c:pt idx="2">
                  <c:v>Prevencia a ochrana zdravia</c:v>
                </c:pt>
              </c:strCache>
            </c:strRef>
          </c:cat>
          <c:val>
            <c:numRef>
              <c:f>'top level'!$C$23:$C$25</c:f>
              <c:numCache>
                <c:formatCode>#\ ##0.0</c:formatCode>
                <c:ptCount val="3"/>
                <c:pt idx="0">
                  <c:v>2164.3798135900001</c:v>
                </c:pt>
                <c:pt idx="1">
                  <c:v>175.41443641999999</c:v>
                </c:pt>
                <c:pt idx="2">
                  <c:v>76.360606019999992</c:v>
                </c:pt>
              </c:numCache>
            </c:numRef>
          </c:val>
          <c:extLst>
            <c:ext xmlns:c16="http://schemas.microsoft.com/office/drawing/2014/chart" uri="{C3380CC4-5D6E-409C-BE32-E72D297353CC}">
              <c16:uniqueId val="{00000001-198B-41D6-8087-0E87D23D3C80}"/>
            </c:ext>
          </c:extLst>
        </c:ser>
        <c:dLbls>
          <c:showLegendKey val="0"/>
          <c:showVal val="0"/>
          <c:showCatName val="0"/>
          <c:showSerName val="0"/>
          <c:showPercent val="0"/>
          <c:showBubbleSize val="0"/>
        </c:dLbls>
        <c:gapWidth val="100"/>
        <c:axId val="1695076719"/>
        <c:axId val="1695080463"/>
      </c:barChart>
      <c:lineChart>
        <c:grouping val="standard"/>
        <c:varyColors val="0"/>
        <c:ser>
          <c:idx val="2"/>
          <c:order val="2"/>
          <c:tx>
            <c:strRef>
              <c:f>'top level'!$D$22</c:f>
              <c:strCache>
                <c:ptCount val="1"/>
                <c:pt idx="0">
                  <c:v>% čerpania (pravá os)</c:v>
                </c:pt>
              </c:strCache>
            </c:strRef>
          </c:tx>
          <c:spPr>
            <a:ln w="28575" cap="rnd">
              <a:noFill/>
              <a:round/>
            </a:ln>
            <a:effectLst/>
          </c:spPr>
          <c:marker>
            <c:symbol val="diamond"/>
            <c:size val="5"/>
            <c:spPr>
              <a:solidFill>
                <a:schemeClr val="accent6"/>
              </a:solidFill>
              <a:ln w="9525">
                <a:solidFill>
                  <a:schemeClr val="accent6"/>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accent6"/>
                    </a:solidFill>
                    <a:latin typeface="Segoe UI" panose="020B0502040204020203" pitchFamily="34" charset="0"/>
                    <a:ea typeface="+mn-ea"/>
                    <a:cs typeface="Segoe UI" panose="020B0502040204020203" pitchFamily="34" charset="0"/>
                  </a:defRPr>
                </a:pPr>
                <a:endParaRPr lang="sk-SK"/>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'top level'!$A$23:$A$25</c:f>
              <c:strCache>
                <c:ptCount val="3"/>
                <c:pt idx="0">
                  <c:v>Zdravotná starostlivosť</c:v>
                </c:pt>
                <c:pt idx="1">
                  <c:v>Tvorba a implementácia politík</c:v>
                </c:pt>
                <c:pt idx="2">
                  <c:v>Prevencia a ochrana zdravia</c:v>
                </c:pt>
              </c:strCache>
            </c:strRef>
          </c:cat>
          <c:val>
            <c:numRef>
              <c:f>'top level'!$D$23:$D$25</c:f>
              <c:numCache>
                <c:formatCode>#\ ##0.0</c:formatCode>
                <c:ptCount val="3"/>
                <c:pt idx="0">
                  <c:v>103.46529938229145</c:v>
                </c:pt>
                <c:pt idx="1">
                  <c:v>47.518285576682104</c:v>
                </c:pt>
                <c:pt idx="2">
                  <c:v>103.06311237439654</c:v>
                </c:pt>
              </c:numCache>
            </c:numRef>
          </c:val>
          <c:smooth val="0"/>
          <c:extLst>
            <c:ext xmlns:c16="http://schemas.microsoft.com/office/drawing/2014/chart" uri="{C3380CC4-5D6E-409C-BE32-E72D297353CC}">
              <c16:uniqueId val="{00000002-198B-41D6-8087-0E87D23D3C80}"/>
            </c:ext>
          </c:extLst>
        </c:ser>
        <c:dLbls>
          <c:showLegendKey val="0"/>
          <c:showVal val="0"/>
          <c:showCatName val="0"/>
          <c:showSerName val="0"/>
          <c:showPercent val="0"/>
          <c:showBubbleSize val="0"/>
        </c:dLbls>
        <c:marker val="1"/>
        <c:smooth val="0"/>
        <c:axId val="1690790447"/>
        <c:axId val="1690792527"/>
      </c:lineChart>
      <c:catAx>
        <c:axId val="16950767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1695080463"/>
        <c:crosses val="autoZero"/>
        <c:auto val="1"/>
        <c:lblAlgn val="ctr"/>
        <c:lblOffset val="100"/>
        <c:noMultiLvlLbl val="0"/>
      </c:catAx>
      <c:valAx>
        <c:axId val="169508046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1695076719"/>
        <c:crosses val="autoZero"/>
        <c:crossBetween val="between"/>
      </c:valAx>
      <c:valAx>
        <c:axId val="1690792527"/>
        <c:scaling>
          <c:orientation val="minMax"/>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1690790447"/>
        <c:crosses val="max"/>
        <c:crossBetween val="between"/>
      </c:valAx>
      <c:catAx>
        <c:axId val="1690790447"/>
        <c:scaling>
          <c:orientation val="minMax"/>
        </c:scaling>
        <c:delete val="1"/>
        <c:axPos val="b"/>
        <c:numFmt formatCode="General" sourceLinked="1"/>
        <c:majorTickMark val="out"/>
        <c:minorTickMark val="none"/>
        <c:tickLblPos val="nextTo"/>
        <c:crossAx val="1690792527"/>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legend>
    <c:plotVisOnly val="1"/>
    <c:dispBlanksAs val="gap"/>
    <c:showDLblsOverMax val="0"/>
  </c:chart>
  <c:spPr>
    <a:solidFill>
      <a:schemeClr val="bg1"/>
    </a:solidFill>
    <a:ln w="9525" cap="flat" cmpd="sng" algn="ctr">
      <a:noFill/>
      <a:round/>
    </a:ln>
    <a:effectLst/>
  </c:spPr>
  <c:txPr>
    <a:bodyPr/>
    <a:lstStyle/>
    <a:p>
      <a:pPr>
        <a:defRPr sz="800">
          <a:solidFill>
            <a:schemeClr val="tx2"/>
          </a:solidFill>
          <a:latin typeface="Segoe UI" panose="020B0502040204020203" pitchFamily="34" charset="0"/>
          <a:cs typeface="Segoe UI" panose="020B0502040204020203" pitchFamily="34" charset="0"/>
        </a:defRPr>
      </a:pPr>
      <a:endParaRPr lang="sk-SK"/>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9253556448698433E-2"/>
          <c:y val="5.0505050505050504E-2"/>
          <c:w val="0.89829396325459321"/>
          <c:h val="0.84434466352862914"/>
        </c:manualLayout>
      </c:layout>
      <c:barChart>
        <c:barDir val="col"/>
        <c:grouping val="clustered"/>
        <c:varyColors val="0"/>
        <c:ser>
          <c:idx val="0"/>
          <c:order val="0"/>
          <c:tx>
            <c:strRef>
              <c:f>'Graf 2'!$C$2</c:f>
              <c:strCache>
                <c:ptCount val="1"/>
                <c:pt idx="0">
                  <c:v>2023</c:v>
                </c:pt>
              </c:strCache>
            </c:strRef>
          </c:tx>
          <c:spPr>
            <a:solidFill>
              <a:srgbClr val="9CB9EC"/>
            </a:solidFill>
            <a:ln>
              <a:noFill/>
            </a:ln>
            <a:effectLst/>
          </c:spPr>
          <c:invertIfNegative val="0"/>
          <c:dPt>
            <c:idx val="6"/>
            <c:invertIfNegative val="0"/>
            <c:bubble3D val="0"/>
            <c:spPr>
              <a:solidFill>
                <a:srgbClr val="9CB9EC"/>
              </a:solidFill>
              <a:ln>
                <a:noFill/>
              </a:ln>
              <a:effectLst/>
            </c:spPr>
            <c:extLst>
              <c:ext xmlns:c16="http://schemas.microsoft.com/office/drawing/2014/chart" uri="{C3380CC4-5D6E-409C-BE32-E72D297353CC}">
                <c16:uniqueId val="{00000001-42CF-443E-9A7A-7662F5846376}"/>
              </c:ext>
            </c:extLst>
          </c:dPt>
          <c:dPt>
            <c:idx val="10"/>
            <c:invertIfNegative val="0"/>
            <c:bubble3D val="0"/>
            <c:spPr>
              <a:solidFill>
                <a:srgbClr val="F55647"/>
              </a:solidFill>
              <a:ln>
                <a:noFill/>
              </a:ln>
              <a:effectLst/>
            </c:spPr>
            <c:extLst>
              <c:ext xmlns:c16="http://schemas.microsoft.com/office/drawing/2014/chart" uri="{C3380CC4-5D6E-409C-BE32-E72D297353CC}">
                <c16:uniqueId val="{00000003-42CF-443E-9A7A-7662F5846376}"/>
              </c:ext>
            </c:extLst>
          </c:dPt>
          <c:dLbls>
            <c:dLbl>
              <c:idx val="10"/>
              <c:layout>
                <c:manualLayout>
                  <c:x val="0"/>
                  <c:y val="-0.1547624191793099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2CF-443E-9A7A-7662F5846376}"/>
                </c:ext>
              </c:extLst>
            </c:dLbl>
            <c:spPr>
              <a:noFill/>
              <a:ln>
                <a:solidFill>
                  <a:srgbClr val="F55647"/>
                </a:solid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FF0000"/>
                    </a:solidFill>
                    <a:latin typeface="Segoe UI" panose="020B0502040204020203" pitchFamily="34" charset="0"/>
                    <a:ea typeface="+mn-ea"/>
                    <a:cs typeface="Segoe UI" panose="020B0502040204020203" pitchFamily="34" charset="0"/>
                  </a:defRPr>
                </a:pPr>
                <a:endParaRPr lang="sk-SK"/>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rgbClr val="F55647"/>
                      </a:solidFill>
                      <a:round/>
                    </a:ln>
                    <a:effectLst/>
                  </c:spPr>
                </c15:leaderLines>
              </c:ext>
            </c:extLst>
          </c:dLbls>
          <c:cat>
            <c:strRef>
              <c:f>'Graf 2'!$B$3:$B$29</c:f>
              <c:strCache>
                <c:ptCount val="27"/>
                <c:pt idx="0">
                  <c:v>Malta</c:v>
                </c:pt>
                <c:pt idx="1">
                  <c:v>Chorvátsko</c:v>
                </c:pt>
                <c:pt idx="2">
                  <c:v>Cyprus</c:v>
                </c:pt>
                <c:pt idx="3">
                  <c:v>Španielsko</c:v>
                </c:pt>
                <c:pt idx="4">
                  <c:v>Portugalsko</c:v>
                </c:pt>
                <c:pt idx="5">
                  <c:v>Rumunsko</c:v>
                </c:pt>
                <c:pt idx="6">
                  <c:v>Bulharsko</c:v>
                </c:pt>
                <c:pt idx="7">
                  <c:v>Grécko</c:v>
                </c:pt>
                <c:pt idx="8">
                  <c:v>Dánsko</c:v>
                </c:pt>
                <c:pt idx="9">
                  <c:v>Slovinsko</c:v>
                </c:pt>
                <c:pt idx="10">
                  <c:v>Slovensko</c:v>
                </c:pt>
                <c:pt idx="11">
                  <c:v>Belgicko</c:v>
                </c:pt>
                <c:pt idx="12">
                  <c:v>Taliansko</c:v>
                </c:pt>
                <c:pt idx="13">
                  <c:v>Francúzsko</c:v>
                </c:pt>
                <c:pt idx="14">
                  <c:v>Holandsko</c:v>
                </c:pt>
                <c:pt idx="15">
                  <c:v>Poľsko</c:v>
                </c:pt>
                <c:pt idx="16">
                  <c:v>Lotyšsko</c:v>
                </c:pt>
                <c:pt idx="17">
                  <c:v>Nemecko</c:v>
                </c:pt>
                <c:pt idx="18">
                  <c:v>Švédsko</c:v>
                </c:pt>
                <c:pt idx="19">
                  <c:v>Česko</c:v>
                </c:pt>
                <c:pt idx="20">
                  <c:v>Litva</c:v>
                </c:pt>
                <c:pt idx="21">
                  <c:v>Maďarsko</c:v>
                </c:pt>
                <c:pt idx="22">
                  <c:v>Rakúsko</c:v>
                </c:pt>
                <c:pt idx="23">
                  <c:v>Fínsko</c:v>
                </c:pt>
                <c:pt idx="24">
                  <c:v>Luxembursko</c:v>
                </c:pt>
                <c:pt idx="25">
                  <c:v>Estónsko</c:v>
                </c:pt>
                <c:pt idx="26">
                  <c:v>Írsko</c:v>
                </c:pt>
              </c:strCache>
            </c:strRef>
          </c:cat>
          <c:val>
            <c:numRef>
              <c:f>'Graf 2'!$C$3:$C$29</c:f>
              <c:numCache>
                <c:formatCode>General</c:formatCode>
                <c:ptCount val="27"/>
                <c:pt idx="0">
                  <c:v>5.6</c:v>
                </c:pt>
                <c:pt idx="1">
                  <c:v>3.1</c:v>
                </c:pt>
                <c:pt idx="2">
                  <c:v>2.5</c:v>
                </c:pt>
                <c:pt idx="3">
                  <c:v>2.5</c:v>
                </c:pt>
                <c:pt idx="4">
                  <c:v>2.2999999999999998</c:v>
                </c:pt>
                <c:pt idx="5">
                  <c:v>2.1</c:v>
                </c:pt>
                <c:pt idx="6">
                  <c:v>2</c:v>
                </c:pt>
                <c:pt idx="7">
                  <c:v>2</c:v>
                </c:pt>
                <c:pt idx="8">
                  <c:v>1.9</c:v>
                </c:pt>
                <c:pt idx="9">
                  <c:v>1.9</c:v>
                </c:pt>
                <c:pt idx="10">
                  <c:v>1.6</c:v>
                </c:pt>
                <c:pt idx="11">
                  <c:v>1.4</c:v>
                </c:pt>
                <c:pt idx="12">
                  <c:v>1</c:v>
                </c:pt>
                <c:pt idx="13">
                  <c:v>0.9</c:v>
                </c:pt>
                <c:pt idx="14">
                  <c:v>0.2</c:v>
                </c:pt>
                <c:pt idx="15">
                  <c:v>0.1</c:v>
                </c:pt>
                <c:pt idx="16">
                  <c:v>0</c:v>
                </c:pt>
                <c:pt idx="17">
                  <c:v>0</c:v>
                </c:pt>
                <c:pt idx="18">
                  <c:v>0</c:v>
                </c:pt>
                <c:pt idx="19">
                  <c:v>-0.2</c:v>
                </c:pt>
                <c:pt idx="20">
                  <c:v>-0.3</c:v>
                </c:pt>
                <c:pt idx="21">
                  <c:v>-0.7</c:v>
                </c:pt>
                <c:pt idx="22">
                  <c:v>-0.7</c:v>
                </c:pt>
                <c:pt idx="23">
                  <c:v>-1</c:v>
                </c:pt>
                <c:pt idx="24">
                  <c:v>-1.1000000000000001</c:v>
                </c:pt>
                <c:pt idx="25">
                  <c:v>-3.1</c:v>
                </c:pt>
                <c:pt idx="26">
                  <c:v>-3.2</c:v>
                </c:pt>
              </c:numCache>
            </c:numRef>
          </c:val>
          <c:extLst>
            <c:ext xmlns:c16="http://schemas.microsoft.com/office/drawing/2014/chart" uri="{C3380CC4-5D6E-409C-BE32-E72D297353CC}">
              <c16:uniqueId val="{00000004-42CF-443E-9A7A-7662F5846376}"/>
            </c:ext>
          </c:extLst>
        </c:ser>
        <c:dLbls>
          <c:showLegendKey val="0"/>
          <c:showVal val="0"/>
          <c:showCatName val="0"/>
          <c:showSerName val="0"/>
          <c:showPercent val="0"/>
          <c:showBubbleSize val="0"/>
        </c:dLbls>
        <c:gapWidth val="100"/>
        <c:axId val="611564432"/>
        <c:axId val="611571920"/>
      </c:barChart>
      <c:lineChart>
        <c:grouping val="standard"/>
        <c:varyColors val="0"/>
        <c:ser>
          <c:idx val="1"/>
          <c:order val="1"/>
          <c:tx>
            <c:strRef>
              <c:f>'Graf 2'!$E$2</c:f>
              <c:strCache>
                <c:ptCount val="1"/>
                <c:pt idx="0">
                  <c:v>Priemer EÚ</c:v>
                </c:pt>
              </c:strCache>
            </c:strRef>
          </c:tx>
          <c:spPr>
            <a:ln w="22225" cap="rnd">
              <a:solidFill>
                <a:srgbClr val="314364"/>
              </a:solidFill>
              <a:prstDash val="sysDash"/>
              <a:round/>
            </a:ln>
            <a:effectLst/>
          </c:spPr>
          <c:marker>
            <c:symbol val="none"/>
          </c:marker>
          <c:dLbls>
            <c:dLbl>
              <c:idx val="23"/>
              <c:layout>
                <c:manualLayout>
                  <c:x val="-7.7516054269538379E-2"/>
                  <c:y val="-0.13883394148902123"/>
                </c:manualLayout>
              </c:layout>
              <c:tx>
                <c:rich>
                  <a:bodyPr rot="0" spcFirstLastPara="1" vertOverflow="ellipsis" vert="horz" wrap="square" lIns="38100" tIns="19050" rIns="38100" bIns="19050" anchor="ctr" anchorCtr="1">
                    <a:spAutoFit/>
                  </a:bodyPr>
                  <a:lstStyle/>
                  <a:p>
                    <a:pPr>
                      <a:defRPr sz="800" b="1" i="0" u="none" strike="noStrike" kern="1200" baseline="0">
                        <a:solidFill>
                          <a:schemeClr val="tx2"/>
                        </a:solidFill>
                        <a:latin typeface="Segoe UI" panose="020B0502040204020203" pitchFamily="34" charset="0"/>
                        <a:ea typeface="+mn-ea"/>
                        <a:cs typeface="Segoe UI" panose="020B0502040204020203" pitchFamily="34" charset="0"/>
                      </a:defRPr>
                    </a:pPr>
                    <a:fld id="{3B925E75-D08D-4834-90E4-5B24F9677114}" type="SERIESNAME">
                      <a:rPr lang="en-US" b="1"/>
                      <a:pPr>
                        <a:defRPr b="1"/>
                      </a:pPr>
                      <a:t>[NÁZOV RADU]</a:t>
                    </a:fld>
                    <a:r>
                      <a:rPr lang="en-US" b="1" baseline="0"/>
                      <a:t> </a:t>
                    </a:r>
                    <a:fld id="{D8AB2348-6B3E-470F-8F4F-B35095360456}" type="VALUE">
                      <a:rPr lang="en-US" b="1" baseline="0"/>
                      <a:pPr>
                        <a:defRPr b="1"/>
                      </a:pPr>
                      <a:t>[HODNOTA]</a:t>
                    </a:fld>
                    <a:endParaRPr lang="en-US" b="1" baseline="0"/>
                  </a:p>
                </c:rich>
              </c:tx>
              <c:spPr>
                <a:noFill/>
                <a:ln>
                  <a:solidFill>
                    <a:srgbClr val="314364"/>
                  </a:solidFill>
                  <a:prstDash val="sysDash"/>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dLblPos val="r"/>
              <c:showLegendKey val="0"/>
              <c:showVal val="1"/>
              <c:showCatName val="0"/>
              <c:showSerName val="1"/>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42CF-443E-9A7A-7662F5846376}"/>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rgbClr val="314364"/>
                      </a:solidFill>
                      <a:round/>
                    </a:ln>
                    <a:effectLst/>
                  </c:spPr>
                </c15:leaderLines>
              </c:ext>
            </c:extLst>
          </c:dLbls>
          <c:cat>
            <c:strRef>
              <c:f>'Graf 2'!$B$3:$B$29</c:f>
              <c:strCache>
                <c:ptCount val="27"/>
                <c:pt idx="0">
                  <c:v>Malta</c:v>
                </c:pt>
                <c:pt idx="1">
                  <c:v>Chorvátsko</c:v>
                </c:pt>
                <c:pt idx="2">
                  <c:v>Cyprus</c:v>
                </c:pt>
                <c:pt idx="3">
                  <c:v>Španielsko</c:v>
                </c:pt>
                <c:pt idx="4">
                  <c:v>Portugalsko</c:v>
                </c:pt>
                <c:pt idx="5">
                  <c:v>Rumunsko</c:v>
                </c:pt>
                <c:pt idx="6">
                  <c:v>Bulharsko</c:v>
                </c:pt>
                <c:pt idx="7">
                  <c:v>Grécko</c:v>
                </c:pt>
                <c:pt idx="8">
                  <c:v>Dánsko</c:v>
                </c:pt>
                <c:pt idx="9">
                  <c:v>Slovinsko</c:v>
                </c:pt>
                <c:pt idx="10">
                  <c:v>Slovensko</c:v>
                </c:pt>
                <c:pt idx="11">
                  <c:v>Belgicko</c:v>
                </c:pt>
                <c:pt idx="12">
                  <c:v>Taliansko</c:v>
                </c:pt>
                <c:pt idx="13">
                  <c:v>Francúzsko</c:v>
                </c:pt>
                <c:pt idx="14">
                  <c:v>Holandsko</c:v>
                </c:pt>
                <c:pt idx="15">
                  <c:v>Poľsko</c:v>
                </c:pt>
                <c:pt idx="16">
                  <c:v>Lotyšsko</c:v>
                </c:pt>
                <c:pt idx="17">
                  <c:v>Nemecko</c:v>
                </c:pt>
                <c:pt idx="18">
                  <c:v>Švédsko</c:v>
                </c:pt>
                <c:pt idx="19">
                  <c:v>Česko</c:v>
                </c:pt>
                <c:pt idx="20">
                  <c:v>Litva</c:v>
                </c:pt>
                <c:pt idx="21">
                  <c:v>Maďarsko</c:v>
                </c:pt>
                <c:pt idx="22">
                  <c:v>Rakúsko</c:v>
                </c:pt>
                <c:pt idx="23">
                  <c:v>Fínsko</c:v>
                </c:pt>
                <c:pt idx="24">
                  <c:v>Luxembursko</c:v>
                </c:pt>
                <c:pt idx="25">
                  <c:v>Estónsko</c:v>
                </c:pt>
                <c:pt idx="26">
                  <c:v>Írsko</c:v>
                </c:pt>
              </c:strCache>
            </c:strRef>
          </c:cat>
          <c:val>
            <c:numRef>
              <c:f>'Graf 2'!$E$3:$E$29</c:f>
              <c:numCache>
                <c:formatCode>#\ ##0.0_ ;\-#\ ##0.0\ </c:formatCode>
                <c:ptCount val="27"/>
                <c:pt idx="0">
                  <c:v>0.5</c:v>
                </c:pt>
                <c:pt idx="1">
                  <c:v>0.5</c:v>
                </c:pt>
                <c:pt idx="2">
                  <c:v>0.5</c:v>
                </c:pt>
                <c:pt idx="3">
                  <c:v>0.5</c:v>
                </c:pt>
                <c:pt idx="4">
                  <c:v>0.5</c:v>
                </c:pt>
                <c:pt idx="5">
                  <c:v>0.5</c:v>
                </c:pt>
                <c:pt idx="6">
                  <c:v>0.5</c:v>
                </c:pt>
                <c:pt idx="7">
                  <c:v>0.5</c:v>
                </c:pt>
                <c:pt idx="8">
                  <c:v>0.5</c:v>
                </c:pt>
                <c:pt idx="9">
                  <c:v>0.5</c:v>
                </c:pt>
                <c:pt idx="10">
                  <c:v>0.5</c:v>
                </c:pt>
                <c:pt idx="11">
                  <c:v>0.5</c:v>
                </c:pt>
                <c:pt idx="12">
                  <c:v>0.5</c:v>
                </c:pt>
                <c:pt idx="13">
                  <c:v>0.5</c:v>
                </c:pt>
                <c:pt idx="14">
                  <c:v>0.5</c:v>
                </c:pt>
                <c:pt idx="15">
                  <c:v>0.5</c:v>
                </c:pt>
                <c:pt idx="16">
                  <c:v>0.5</c:v>
                </c:pt>
                <c:pt idx="17">
                  <c:v>0.5</c:v>
                </c:pt>
                <c:pt idx="18">
                  <c:v>0.5</c:v>
                </c:pt>
                <c:pt idx="19">
                  <c:v>0.5</c:v>
                </c:pt>
                <c:pt idx="20">
                  <c:v>0.5</c:v>
                </c:pt>
                <c:pt idx="21">
                  <c:v>0.5</c:v>
                </c:pt>
                <c:pt idx="22">
                  <c:v>0.5</c:v>
                </c:pt>
                <c:pt idx="23">
                  <c:v>0.5</c:v>
                </c:pt>
                <c:pt idx="24">
                  <c:v>0.5</c:v>
                </c:pt>
                <c:pt idx="25">
                  <c:v>0.5</c:v>
                </c:pt>
                <c:pt idx="26">
                  <c:v>0.5</c:v>
                </c:pt>
              </c:numCache>
            </c:numRef>
          </c:val>
          <c:smooth val="0"/>
          <c:extLst>
            <c:ext xmlns:c16="http://schemas.microsoft.com/office/drawing/2014/chart" uri="{C3380CC4-5D6E-409C-BE32-E72D297353CC}">
              <c16:uniqueId val="{00000006-42CF-443E-9A7A-7662F5846376}"/>
            </c:ext>
          </c:extLst>
        </c:ser>
        <c:dLbls>
          <c:showLegendKey val="0"/>
          <c:showVal val="0"/>
          <c:showCatName val="0"/>
          <c:showSerName val="0"/>
          <c:showPercent val="0"/>
          <c:showBubbleSize val="0"/>
        </c:dLbls>
        <c:marker val="1"/>
        <c:smooth val="0"/>
        <c:axId val="611564432"/>
        <c:axId val="611571920"/>
      </c:lineChart>
      <c:catAx>
        <c:axId val="61156443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611571920"/>
        <c:crosses val="autoZero"/>
        <c:auto val="1"/>
        <c:lblAlgn val="ctr"/>
        <c:lblOffset val="100"/>
        <c:noMultiLvlLbl val="0"/>
      </c:catAx>
      <c:valAx>
        <c:axId val="611571920"/>
        <c:scaling>
          <c:orientation val="minMax"/>
          <c:max val="6"/>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61156443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chemeClr val="tx2"/>
          </a:solidFill>
          <a:latin typeface="Segoe UI" panose="020B0502040204020203" pitchFamily="34" charset="0"/>
          <a:cs typeface="Segoe UI" panose="020B0502040204020203" pitchFamily="34" charset="0"/>
        </a:defRPr>
      </a:pPr>
      <a:endParaRPr lang="sk-SK"/>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743093132315807"/>
          <c:y val="7.8014184397163122E-2"/>
          <c:w val="0.76410145414287667"/>
          <c:h val="0.71264645110850511"/>
        </c:manualLayout>
      </c:layout>
      <c:lineChart>
        <c:grouping val="standard"/>
        <c:varyColors val="0"/>
        <c:ser>
          <c:idx val="0"/>
          <c:order val="0"/>
          <c:tx>
            <c:strRef>
              <c:f>'vnímanie zdr.st'!$A$44</c:f>
              <c:strCache>
                <c:ptCount val="1"/>
                <c:pt idx="0">
                  <c:v>Slovensko</c:v>
                </c:pt>
              </c:strCache>
            </c:strRef>
          </c:tx>
          <c:spPr>
            <a:ln w="25400" cap="rnd">
              <a:solidFill>
                <a:schemeClr val="accent1"/>
              </a:solidFill>
              <a:round/>
            </a:ln>
            <a:effectLst/>
          </c:spPr>
          <c:marker>
            <c:symbol val="none"/>
          </c:marker>
          <c:dLbls>
            <c:dLbl>
              <c:idx val="9"/>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9B9-4C5A-B60D-8851AF255A18}"/>
                </c:ext>
              </c:extLst>
            </c:dLbl>
            <c:spPr>
              <a:noFill/>
              <a:ln>
                <a:noFill/>
              </a:ln>
              <a:effectLst/>
            </c:spPr>
            <c:txPr>
              <a:bodyPr rot="0" spcFirstLastPara="1" vertOverflow="ellipsis" vert="horz" wrap="square" anchor="ctr" anchorCtr="1"/>
              <a:lstStyle/>
              <a:p>
                <a:pPr>
                  <a:defRPr sz="800" b="1"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'vnímanie zdr.st'!$D$43:$M$43</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'vnímanie zdr.st'!$D$44:$M$44</c:f>
              <c:numCache>
                <c:formatCode>#\ ##0.0</c:formatCode>
                <c:ptCount val="10"/>
                <c:pt idx="0">
                  <c:v>64.7</c:v>
                </c:pt>
                <c:pt idx="1">
                  <c:v>65.900000000000006</c:v>
                </c:pt>
                <c:pt idx="2">
                  <c:v>66.3</c:v>
                </c:pt>
                <c:pt idx="3">
                  <c:v>67</c:v>
                </c:pt>
                <c:pt idx="4">
                  <c:v>66.599999999999994</c:v>
                </c:pt>
                <c:pt idx="5">
                  <c:v>65.099999999999994</c:v>
                </c:pt>
                <c:pt idx="6">
                  <c:v>65.099999999999994</c:v>
                </c:pt>
                <c:pt idx="7">
                  <c:v>65.099999999999994</c:v>
                </c:pt>
                <c:pt idx="8">
                  <c:v>66.099999999999994</c:v>
                </c:pt>
                <c:pt idx="9">
                  <c:v>67.8</c:v>
                </c:pt>
              </c:numCache>
            </c:numRef>
          </c:val>
          <c:smooth val="0"/>
          <c:extLst>
            <c:ext xmlns:c16="http://schemas.microsoft.com/office/drawing/2014/chart" uri="{C3380CC4-5D6E-409C-BE32-E72D297353CC}">
              <c16:uniqueId val="{00000001-E9B9-4C5A-B60D-8851AF255A18}"/>
            </c:ext>
          </c:extLst>
        </c:ser>
        <c:ser>
          <c:idx val="2"/>
          <c:order val="1"/>
          <c:tx>
            <c:strRef>
              <c:f>'vnímanie zdr.st'!$A$45</c:f>
              <c:strCache>
                <c:ptCount val="1"/>
                <c:pt idx="0">
                  <c:v>Rakúsko</c:v>
                </c:pt>
              </c:strCache>
            </c:strRef>
          </c:tx>
          <c:spPr>
            <a:ln w="25400" cap="rnd">
              <a:solidFill>
                <a:schemeClr val="accent3"/>
              </a:solidFill>
              <a:round/>
            </a:ln>
            <a:effectLst/>
          </c:spPr>
          <c:marker>
            <c:symbol val="none"/>
          </c:marker>
          <c:dLbls>
            <c:dLbl>
              <c:idx val="9"/>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9B9-4C5A-B60D-8851AF255A18}"/>
                </c:ext>
              </c:extLst>
            </c:dLbl>
            <c:spPr>
              <a:noFill/>
              <a:ln>
                <a:noFill/>
              </a:ln>
              <a:effectLst/>
            </c:spPr>
            <c:txPr>
              <a:bodyPr rot="0" spcFirstLastPara="1" vertOverflow="ellipsis" vert="horz" wrap="square" anchor="ctr" anchorCtr="1"/>
              <a:lstStyle/>
              <a:p>
                <a:pPr>
                  <a:defRPr sz="800" b="1" i="0" u="none" strike="noStrike" kern="1200" baseline="0">
                    <a:solidFill>
                      <a:schemeClr val="accent3"/>
                    </a:solidFill>
                    <a:latin typeface="Segoe UI" panose="020B0502040204020203" pitchFamily="34" charset="0"/>
                    <a:ea typeface="+mn-ea"/>
                    <a:cs typeface="Segoe UI" panose="020B0502040204020203" pitchFamily="34" charset="0"/>
                  </a:defRPr>
                </a:pPr>
                <a:endParaRPr lang="sk-SK"/>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'vnímanie zdr.st'!$D$43:$M$43</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'vnímanie zdr.st'!$D$45:$M$45</c:f>
              <c:numCache>
                <c:formatCode>#\ ##0.0</c:formatCode>
                <c:ptCount val="10"/>
                <c:pt idx="0">
                  <c:v>69.5</c:v>
                </c:pt>
                <c:pt idx="1">
                  <c:v>69.8</c:v>
                </c:pt>
                <c:pt idx="2">
                  <c:v>70.2</c:v>
                </c:pt>
                <c:pt idx="3">
                  <c:v>70.3</c:v>
                </c:pt>
                <c:pt idx="4">
                  <c:v>71.7</c:v>
                </c:pt>
                <c:pt idx="5">
                  <c:v>71.2</c:v>
                </c:pt>
                <c:pt idx="6">
                  <c:v>74</c:v>
                </c:pt>
                <c:pt idx="7">
                  <c:v>72.2</c:v>
                </c:pt>
                <c:pt idx="8">
                  <c:v>70.099999999999994</c:v>
                </c:pt>
                <c:pt idx="9">
                  <c:v>69.2</c:v>
                </c:pt>
              </c:numCache>
            </c:numRef>
          </c:val>
          <c:smooth val="0"/>
          <c:extLst>
            <c:ext xmlns:c16="http://schemas.microsoft.com/office/drawing/2014/chart" uri="{C3380CC4-5D6E-409C-BE32-E72D297353CC}">
              <c16:uniqueId val="{00000003-E9B9-4C5A-B60D-8851AF255A18}"/>
            </c:ext>
          </c:extLst>
        </c:ser>
        <c:ser>
          <c:idx val="3"/>
          <c:order val="2"/>
          <c:tx>
            <c:strRef>
              <c:f>'vnímanie zdr.st'!$A$46</c:f>
              <c:strCache>
                <c:ptCount val="1"/>
                <c:pt idx="0">
                  <c:v>Nemecko</c:v>
                </c:pt>
              </c:strCache>
            </c:strRef>
          </c:tx>
          <c:spPr>
            <a:ln w="25400" cap="rnd">
              <a:solidFill>
                <a:schemeClr val="accent4"/>
              </a:solidFill>
              <a:round/>
            </a:ln>
            <a:effectLst/>
          </c:spPr>
          <c:marker>
            <c:symbol val="none"/>
          </c:marker>
          <c:dLbls>
            <c:dLbl>
              <c:idx val="9"/>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9B9-4C5A-B60D-8851AF255A18}"/>
                </c:ext>
              </c:extLst>
            </c:dLbl>
            <c:spPr>
              <a:noFill/>
              <a:ln>
                <a:noFill/>
              </a:ln>
              <a:effectLst/>
            </c:spPr>
            <c:txPr>
              <a:bodyPr rot="0" spcFirstLastPara="1" vertOverflow="ellipsis" vert="horz" wrap="square" anchor="ctr" anchorCtr="1"/>
              <a:lstStyle/>
              <a:p>
                <a:pPr>
                  <a:defRPr sz="800" b="1" i="0" u="none" strike="noStrike" kern="1200" baseline="0">
                    <a:solidFill>
                      <a:schemeClr val="accent4"/>
                    </a:solidFill>
                    <a:latin typeface="Segoe UI" panose="020B0502040204020203" pitchFamily="34" charset="0"/>
                    <a:ea typeface="+mn-ea"/>
                    <a:cs typeface="Segoe UI" panose="020B0502040204020203" pitchFamily="34" charset="0"/>
                  </a:defRPr>
                </a:pPr>
                <a:endParaRPr lang="sk-SK"/>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'vnímanie zdr.st'!$D$43:$M$43</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'vnímanie zdr.st'!$D$46:$M$46</c:f>
              <c:numCache>
                <c:formatCode>#\ ##0.0</c:formatCode>
                <c:ptCount val="10"/>
                <c:pt idx="0">
                  <c:v>65.2</c:v>
                </c:pt>
                <c:pt idx="1">
                  <c:v>64.5</c:v>
                </c:pt>
                <c:pt idx="2">
                  <c:v>65.2</c:v>
                </c:pt>
                <c:pt idx="3">
                  <c:v>65.400000000000006</c:v>
                </c:pt>
                <c:pt idx="4">
                  <c:v>65.5</c:v>
                </c:pt>
                <c:pt idx="5">
                  <c:v>65.5</c:v>
                </c:pt>
                <c:pt idx="6">
                  <c:v>63.8</c:v>
                </c:pt>
                <c:pt idx="7">
                  <c:v>63</c:v>
                </c:pt>
                <c:pt idx="8">
                  <c:v>64.099999999999994</c:v>
                </c:pt>
                <c:pt idx="9">
                  <c:v>65.7</c:v>
                </c:pt>
              </c:numCache>
            </c:numRef>
          </c:val>
          <c:smooth val="0"/>
          <c:extLst>
            <c:ext xmlns:c16="http://schemas.microsoft.com/office/drawing/2014/chart" uri="{C3380CC4-5D6E-409C-BE32-E72D297353CC}">
              <c16:uniqueId val="{00000005-E9B9-4C5A-B60D-8851AF255A18}"/>
            </c:ext>
          </c:extLst>
        </c:ser>
        <c:dLbls>
          <c:showLegendKey val="0"/>
          <c:showVal val="0"/>
          <c:showCatName val="0"/>
          <c:showSerName val="0"/>
          <c:showPercent val="0"/>
          <c:showBubbleSize val="0"/>
        </c:dLbls>
        <c:smooth val="0"/>
        <c:axId val="432820607"/>
        <c:axId val="432820191"/>
      </c:lineChart>
      <c:catAx>
        <c:axId val="4328206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432820191"/>
        <c:crosses val="autoZero"/>
        <c:auto val="1"/>
        <c:lblAlgn val="ctr"/>
        <c:lblOffset val="100"/>
        <c:noMultiLvlLbl val="0"/>
      </c:catAx>
      <c:valAx>
        <c:axId val="432820191"/>
        <c:scaling>
          <c:orientation val="minMax"/>
          <c:min val="6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432820607"/>
        <c:crosses val="autoZero"/>
        <c:crossBetween val="between"/>
      </c:valAx>
      <c:spPr>
        <a:noFill/>
        <a:ln>
          <a:noFill/>
        </a:ln>
        <a:effectLst/>
      </c:spPr>
    </c:plotArea>
    <c:legend>
      <c:legendPos val="t"/>
      <c:layout>
        <c:manualLayout>
          <c:xMode val="edge"/>
          <c:yMode val="edge"/>
          <c:x val="0.12413777661678546"/>
          <c:y val="6.3829787234042548E-2"/>
          <c:w val="0.81491510243683984"/>
          <c:h val="0.16721282180153013"/>
        </c:manualLayout>
      </c:layout>
      <c:overlay val="1"/>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legend>
    <c:plotVisOnly val="1"/>
    <c:dispBlanksAs val="gap"/>
    <c:showDLblsOverMax val="0"/>
  </c:chart>
  <c:spPr>
    <a:solidFill>
      <a:schemeClr val="bg1"/>
    </a:solidFill>
    <a:ln w="9525" cap="flat" cmpd="sng" algn="ctr">
      <a:noFill/>
      <a:round/>
    </a:ln>
    <a:effectLst/>
  </c:spPr>
  <c:txPr>
    <a:bodyPr/>
    <a:lstStyle/>
    <a:p>
      <a:pPr>
        <a:defRPr sz="800">
          <a:solidFill>
            <a:schemeClr val="tx2"/>
          </a:solidFill>
          <a:latin typeface="Segoe UI" panose="020B0502040204020203" pitchFamily="34" charset="0"/>
          <a:cs typeface="Segoe UI" panose="020B0502040204020203" pitchFamily="34" charset="0"/>
        </a:defRPr>
      </a:pPr>
      <a:endParaRPr lang="sk-SK"/>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'vnímanie zdr.st'!$C$82</c:f>
              <c:strCache>
                <c:ptCount val="1"/>
                <c:pt idx="0">
                  <c:v>2023</c:v>
                </c:pt>
              </c:strCache>
            </c:strRef>
          </c:tx>
          <c:spPr>
            <a:solidFill>
              <a:schemeClr val="bg2"/>
            </a:solidFill>
            <a:ln>
              <a:noFill/>
            </a:ln>
            <a:effectLst/>
          </c:spPr>
          <c:invertIfNegative val="0"/>
          <c:dPt>
            <c:idx val="5"/>
            <c:invertIfNegative val="0"/>
            <c:bubble3D val="0"/>
            <c:spPr>
              <a:solidFill>
                <a:schemeClr val="accent6"/>
              </a:solidFill>
              <a:ln>
                <a:noFill/>
              </a:ln>
              <a:effectLst/>
            </c:spPr>
            <c:extLst>
              <c:ext xmlns:c16="http://schemas.microsoft.com/office/drawing/2014/chart" uri="{C3380CC4-5D6E-409C-BE32-E72D297353CC}">
                <c16:uniqueId val="{00000001-9EF8-4BAD-85FD-BF591A358947}"/>
              </c:ext>
            </c:extLst>
          </c:dPt>
          <c:cat>
            <c:strRef>
              <c:f>'vnímanie zdr.st'!$B$83:$B$99</c:f>
              <c:strCache>
                <c:ptCount val="17"/>
                <c:pt idx="0">
                  <c:v>Grécko</c:v>
                </c:pt>
                <c:pt idx="1">
                  <c:v>Belgicko</c:v>
                </c:pt>
                <c:pt idx="2">
                  <c:v>Rumunsko</c:v>
                </c:pt>
                <c:pt idx="3">
                  <c:v>Španielsko</c:v>
                </c:pt>
                <c:pt idx="4">
                  <c:v>Rakúsko</c:v>
                </c:pt>
                <c:pt idx="5">
                  <c:v>Slovensko</c:v>
                </c:pt>
                <c:pt idx="6">
                  <c:v>Švédsko</c:v>
                </c:pt>
                <c:pt idx="7">
                  <c:v>Česko</c:v>
                </c:pt>
                <c:pt idx="8">
                  <c:v>Fínsko</c:v>
                </c:pt>
                <c:pt idx="9">
                  <c:v>Nemecko</c:v>
                </c:pt>
                <c:pt idx="10">
                  <c:v>Slovinsko</c:v>
                </c:pt>
                <c:pt idx="11">
                  <c:v>Maďarsko</c:v>
                </c:pt>
                <c:pt idx="12">
                  <c:v>Bulharsko</c:v>
                </c:pt>
                <c:pt idx="13">
                  <c:v>Chorvátsko</c:v>
                </c:pt>
                <c:pt idx="14">
                  <c:v>Dánsko</c:v>
                </c:pt>
                <c:pt idx="15">
                  <c:v>Estónsko</c:v>
                </c:pt>
                <c:pt idx="16">
                  <c:v>Lotyšsko</c:v>
                </c:pt>
              </c:strCache>
            </c:strRef>
          </c:cat>
          <c:val>
            <c:numRef>
              <c:f>'vnímanie zdr.st'!$C$83:$C$99</c:f>
              <c:numCache>
                <c:formatCode>General</c:formatCode>
                <c:ptCount val="17"/>
                <c:pt idx="0">
                  <c:v>78.2</c:v>
                </c:pt>
                <c:pt idx="1">
                  <c:v>75.400000000000006</c:v>
                </c:pt>
                <c:pt idx="2">
                  <c:v>72</c:v>
                </c:pt>
                <c:pt idx="3">
                  <c:v>70.099999999999994</c:v>
                </c:pt>
                <c:pt idx="4">
                  <c:v>69.2</c:v>
                </c:pt>
                <c:pt idx="5">
                  <c:v>67.8</c:v>
                </c:pt>
                <c:pt idx="6">
                  <c:v>67.099999999999994</c:v>
                </c:pt>
                <c:pt idx="7">
                  <c:v>66.400000000000006</c:v>
                </c:pt>
                <c:pt idx="8">
                  <c:v>66.099999999999994</c:v>
                </c:pt>
                <c:pt idx="9">
                  <c:v>65.7</c:v>
                </c:pt>
                <c:pt idx="10">
                  <c:v>65.599999999999994</c:v>
                </c:pt>
                <c:pt idx="11">
                  <c:v>65.2</c:v>
                </c:pt>
                <c:pt idx="12">
                  <c:v>65.099999999999994</c:v>
                </c:pt>
                <c:pt idx="13">
                  <c:v>64.900000000000006</c:v>
                </c:pt>
                <c:pt idx="14">
                  <c:v>64.400000000000006</c:v>
                </c:pt>
                <c:pt idx="15">
                  <c:v>56.2</c:v>
                </c:pt>
                <c:pt idx="16">
                  <c:v>47.6</c:v>
                </c:pt>
              </c:numCache>
            </c:numRef>
          </c:val>
          <c:extLst>
            <c:ext xmlns:c16="http://schemas.microsoft.com/office/drawing/2014/chart" uri="{C3380CC4-5D6E-409C-BE32-E72D297353CC}">
              <c16:uniqueId val="{00000002-9EF8-4BAD-85FD-BF591A358947}"/>
            </c:ext>
          </c:extLst>
        </c:ser>
        <c:dLbls>
          <c:showLegendKey val="0"/>
          <c:showVal val="0"/>
          <c:showCatName val="0"/>
          <c:showSerName val="0"/>
          <c:showPercent val="0"/>
          <c:showBubbleSize val="0"/>
        </c:dLbls>
        <c:gapWidth val="100"/>
        <c:axId val="327272288"/>
        <c:axId val="327280608"/>
      </c:barChart>
      <c:lineChart>
        <c:grouping val="standard"/>
        <c:varyColors val="0"/>
        <c:ser>
          <c:idx val="1"/>
          <c:order val="1"/>
          <c:tx>
            <c:strRef>
              <c:f>'vnímanie zdr.st'!$D$82</c:f>
              <c:strCache>
                <c:ptCount val="1"/>
                <c:pt idx="0">
                  <c:v>zmena 2023 oproti 2022 (pravá os)</c:v>
                </c:pt>
              </c:strCache>
            </c:strRef>
          </c:tx>
          <c:spPr>
            <a:ln w="28575" cap="rnd">
              <a:noFill/>
              <a:round/>
            </a:ln>
            <a:effectLst/>
          </c:spPr>
          <c:marker>
            <c:symbol val="triangle"/>
            <c:size val="5"/>
            <c:spPr>
              <a:solidFill>
                <a:schemeClr val="tx2"/>
              </a:solidFill>
              <a:ln w="9525">
                <a:solidFill>
                  <a:schemeClr val="tx2"/>
                </a:solidFill>
              </a:ln>
              <a:effectLst/>
            </c:spPr>
          </c:marker>
          <c:cat>
            <c:strRef>
              <c:f>'vnímanie zdr.st'!$B$83:$B$99</c:f>
              <c:strCache>
                <c:ptCount val="17"/>
                <c:pt idx="0">
                  <c:v>Grécko</c:v>
                </c:pt>
                <c:pt idx="1">
                  <c:v>Belgicko</c:v>
                </c:pt>
                <c:pt idx="2">
                  <c:v>Rumunsko</c:v>
                </c:pt>
                <c:pt idx="3">
                  <c:v>Španielsko</c:v>
                </c:pt>
                <c:pt idx="4">
                  <c:v>Rakúsko</c:v>
                </c:pt>
                <c:pt idx="5">
                  <c:v>Slovensko</c:v>
                </c:pt>
                <c:pt idx="6">
                  <c:v>Švédsko</c:v>
                </c:pt>
                <c:pt idx="7">
                  <c:v>Česko</c:v>
                </c:pt>
                <c:pt idx="8">
                  <c:v>Fínsko</c:v>
                </c:pt>
                <c:pt idx="9">
                  <c:v>Nemecko</c:v>
                </c:pt>
                <c:pt idx="10">
                  <c:v>Slovinsko</c:v>
                </c:pt>
                <c:pt idx="11">
                  <c:v>Maďarsko</c:v>
                </c:pt>
                <c:pt idx="12">
                  <c:v>Bulharsko</c:v>
                </c:pt>
                <c:pt idx="13">
                  <c:v>Chorvátsko</c:v>
                </c:pt>
                <c:pt idx="14">
                  <c:v>Dánsko</c:v>
                </c:pt>
                <c:pt idx="15">
                  <c:v>Estónsko</c:v>
                </c:pt>
                <c:pt idx="16">
                  <c:v>Lotyšsko</c:v>
                </c:pt>
              </c:strCache>
            </c:strRef>
          </c:cat>
          <c:val>
            <c:numRef>
              <c:f>'vnímanie zdr.st'!$D$83:$D$99</c:f>
              <c:numCache>
                <c:formatCode>General</c:formatCode>
                <c:ptCount val="17"/>
                <c:pt idx="0">
                  <c:v>1.1000000000000085</c:v>
                </c:pt>
                <c:pt idx="1">
                  <c:v>0.10000000000000853</c:v>
                </c:pt>
                <c:pt idx="2">
                  <c:v>-1.2000000000000028</c:v>
                </c:pt>
                <c:pt idx="3">
                  <c:v>0</c:v>
                </c:pt>
                <c:pt idx="4">
                  <c:v>-0.89999999999999147</c:v>
                </c:pt>
                <c:pt idx="5">
                  <c:v>1.7000000000000028</c:v>
                </c:pt>
                <c:pt idx="6">
                  <c:v>0.29999999999999716</c:v>
                </c:pt>
                <c:pt idx="7">
                  <c:v>-1.5</c:v>
                </c:pt>
                <c:pt idx="8">
                  <c:v>1.7999999999999972</c:v>
                </c:pt>
                <c:pt idx="9">
                  <c:v>1.6000000000000085</c:v>
                </c:pt>
                <c:pt idx="10">
                  <c:v>-2.1000000000000085</c:v>
                </c:pt>
                <c:pt idx="11">
                  <c:v>2.2000000000000028</c:v>
                </c:pt>
                <c:pt idx="12">
                  <c:v>-3</c:v>
                </c:pt>
                <c:pt idx="13">
                  <c:v>1.8000000000000043</c:v>
                </c:pt>
                <c:pt idx="14">
                  <c:v>-0.39999999999999147</c:v>
                </c:pt>
                <c:pt idx="15">
                  <c:v>-1.5</c:v>
                </c:pt>
                <c:pt idx="16">
                  <c:v>-2.6000000000000014</c:v>
                </c:pt>
              </c:numCache>
            </c:numRef>
          </c:val>
          <c:smooth val="0"/>
          <c:extLst>
            <c:ext xmlns:c16="http://schemas.microsoft.com/office/drawing/2014/chart" uri="{C3380CC4-5D6E-409C-BE32-E72D297353CC}">
              <c16:uniqueId val="{00000003-9EF8-4BAD-85FD-BF591A358947}"/>
            </c:ext>
          </c:extLst>
        </c:ser>
        <c:dLbls>
          <c:showLegendKey val="0"/>
          <c:showVal val="0"/>
          <c:showCatName val="0"/>
          <c:showSerName val="0"/>
          <c:showPercent val="0"/>
          <c:showBubbleSize val="0"/>
        </c:dLbls>
        <c:marker val="1"/>
        <c:smooth val="0"/>
        <c:axId val="329616224"/>
        <c:axId val="327282272"/>
      </c:lineChart>
      <c:catAx>
        <c:axId val="327272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327280608"/>
        <c:crosses val="autoZero"/>
        <c:auto val="1"/>
        <c:lblAlgn val="ctr"/>
        <c:lblOffset val="100"/>
        <c:noMultiLvlLbl val="0"/>
      </c:catAx>
      <c:valAx>
        <c:axId val="3272806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327272288"/>
        <c:crosses val="autoZero"/>
        <c:crossBetween val="between"/>
      </c:valAx>
      <c:valAx>
        <c:axId val="327282272"/>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lgn="l">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329616224"/>
        <c:crosses val="max"/>
        <c:crossBetween val="between"/>
      </c:valAx>
      <c:catAx>
        <c:axId val="329616224"/>
        <c:scaling>
          <c:orientation val="minMax"/>
        </c:scaling>
        <c:delete val="1"/>
        <c:axPos val="b"/>
        <c:numFmt formatCode="General" sourceLinked="1"/>
        <c:majorTickMark val="out"/>
        <c:minorTickMark val="none"/>
        <c:tickLblPos val="nextTo"/>
        <c:crossAx val="327282272"/>
        <c:crosses val="autoZero"/>
        <c:auto val="1"/>
        <c:lblAlgn val="ctr"/>
        <c:lblOffset val="100"/>
        <c:noMultiLvlLbl val="0"/>
      </c:catAx>
      <c:spPr>
        <a:noFill/>
        <a:ln>
          <a:noFill/>
        </a:ln>
        <a:effectLst/>
      </c:spPr>
    </c:plotArea>
    <c:legend>
      <c:legendPos val="t"/>
      <c:layout>
        <c:manualLayout>
          <c:xMode val="edge"/>
          <c:yMode val="edge"/>
          <c:x val="0.11399640508071296"/>
          <c:y val="0"/>
          <c:w val="0.67077527237558277"/>
          <c:h val="0.11997951020431015"/>
        </c:manualLayout>
      </c:layout>
      <c:overlay val="1"/>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legend>
    <c:plotVisOnly val="1"/>
    <c:dispBlanksAs val="gap"/>
    <c:showDLblsOverMax val="0"/>
  </c:chart>
  <c:spPr>
    <a:solidFill>
      <a:schemeClr val="bg1"/>
    </a:solidFill>
    <a:ln w="9525" cap="flat" cmpd="sng" algn="ctr">
      <a:noFill/>
      <a:round/>
    </a:ln>
    <a:effectLst/>
  </c:spPr>
  <c:txPr>
    <a:bodyPr/>
    <a:lstStyle/>
    <a:p>
      <a:pPr>
        <a:defRPr sz="800">
          <a:solidFill>
            <a:schemeClr val="tx2"/>
          </a:solidFill>
          <a:latin typeface="Segoe UI" panose="020B0502040204020203" pitchFamily="34" charset="0"/>
          <a:cs typeface="Segoe UI" panose="020B0502040204020203" pitchFamily="34" charset="0"/>
        </a:defRPr>
      </a:pPr>
      <a:endParaRPr lang="sk-SK"/>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372592899571764"/>
          <c:y val="7.1895424836601302E-2"/>
          <c:w val="0.7520635446884929"/>
          <c:h val="0.44031135813905609"/>
        </c:manualLayout>
      </c:layout>
      <c:lineChart>
        <c:grouping val="standard"/>
        <c:varyColors val="0"/>
        <c:ser>
          <c:idx val="0"/>
          <c:order val="0"/>
          <c:tx>
            <c:strRef>
              <c:f>'life expect'!$A$44</c:f>
              <c:strCache>
                <c:ptCount val="1"/>
                <c:pt idx="0">
                  <c:v>Slovensko</c:v>
                </c:pt>
              </c:strCache>
            </c:strRef>
          </c:tx>
          <c:spPr>
            <a:ln w="25400" cap="rnd">
              <a:solidFill>
                <a:schemeClr val="accent1"/>
              </a:solidFill>
              <a:round/>
            </a:ln>
            <a:effectLst/>
          </c:spPr>
          <c:marker>
            <c:symbol val="none"/>
          </c:marker>
          <c:dLbls>
            <c:dLbl>
              <c:idx val="9"/>
              <c:layout>
                <c:manualLayout>
                  <c:x val="-1.2169347193859136E-16"/>
                  <c:y val="1.93470374848851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CDF-4DB1-B020-13BAFE1D0CAF}"/>
                </c:ext>
              </c:extLst>
            </c:dLbl>
            <c:spPr>
              <a:noFill/>
              <a:ln>
                <a:noFill/>
              </a:ln>
              <a:effectLst/>
            </c:spPr>
            <c:txPr>
              <a:bodyPr rot="0" spcFirstLastPara="1" vertOverflow="ellipsis" vert="horz" wrap="square" anchor="ctr" anchorCtr="1"/>
              <a:lstStyle/>
              <a:p>
                <a:pPr>
                  <a:defRPr sz="800" b="1"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'life expect'!$D$43:$M$43</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'life expect'!$D$44:$M$44</c:f>
              <c:numCache>
                <c:formatCode>#\ ##0.0</c:formatCode>
                <c:ptCount val="10"/>
                <c:pt idx="0">
                  <c:v>77</c:v>
                </c:pt>
                <c:pt idx="1">
                  <c:v>76.7</c:v>
                </c:pt>
                <c:pt idx="2">
                  <c:v>77.3</c:v>
                </c:pt>
                <c:pt idx="3">
                  <c:v>77.3</c:v>
                </c:pt>
                <c:pt idx="4">
                  <c:v>77.400000000000006</c:v>
                </c:pt>
                <c:pt idx="5">
                  <c:v>77.8</c:v>
                </c:pt>
                <c:pt idx="6">
                  <c:v>77</c:v>
                </c:pt>
                <c:pt idx="7">
                  <c:v>74.599999999999994</c:v>
                </c:pt>
                <c:pt idx="8">
                  <c:v>77</c:v>
                </c:pt>
                <c:pt idx="9">
                  <c:v>78.099999999999994</c:v>
                </c:pt>
              </c:numCache>
            </c:numRef>
          </c:val>
          <c:smooth val="0"/>
          <c:extLst>
            <c:ext xmlns:c16="http://schemas.microsoft.com/office/drawing/2014/chart" uri="{C3380CC4-5D6E-409C-BE32-E72D297353CC}">
              <c16:uniqueId val="{00000001-9CDF-4DB1-B020-13BAFE1D0CAF}"/>
            </c:ext>
          </c:extLst>
        </c:ser>
        <c:ser>
          <c:idx val="2"/>
          <c:order val="1"/>
          <c:tx>
            <c:strRef>
              <c:f>'life expect'!$A$45</c:f>
              <c:strCache>
                <c:ptCount val="1"/>
                <c:pt idx="0">
                  <c:v>EÚ 27</c:v>
                </c:pt>
              </c:strCache>
            </c:strRef>
          </c:tx>
          <c:spPr>
            <a:ln w="25400" cap="rnd">
              <a:solidFill>
                <a:schemeClr val="accent3"/>
              </a:solidFill>
              <a:round/>
            </a:ln>
            <a:effectLst/>
          </c:spPr>
          <c:marker>
            <c:symbol val="none"/>
          </c:marker>
          <c:dLbls>
            <c:dLbl>
              <c:idx val="9"/>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CDF-4DB1-B020-13BAFE1D0CAF}"/>
                </c:ext>
              </c:extLst>
            </c:dLbl>
            <c:spPr>
              <a:noFill/>
              <a:ln>
                <a:noFill/>
              </a:ln>
              <a:effectLst/>
            </c:spPr>
            <c:txPr>
              <a:bodyPr rot="0" spcFirstLastPara="1" vertOverflow="ellipsis" vert="horz" wrap="square" anchor="ctr" anchorCtr="1"/>
              <a:lstStyle/>
              <a:p>
                <a:pPr>
                  <a:defRPr sz="800" b="1" i="0" u="none" strike="noStrike" kern="1200" baseline="0">
                    <a:solidFill>
                      <a:schemeClr val="accent3"/>
                    </a:solidFill>
                    <a:latin typeface="Segoe UI" panose="020B0502040204020203" pitchFamily="34" charset="0"/>
                    <a:ea typeface="+mn-ea"/>
                    <a:cs typeface="Segoe UI" panose="020B0502040204020203" pitchFamily="34" charset="0"/>
                  </a:defRPr>
                </a:pPr>
                <a:endParaRPr lang="sk-SK"/>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'life expect'!$D$43:$M$43</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'life expect'!$D$45:$M$45</c:f>
              <c:numCache>
                <c:formatCode>#\ ##0.0</c:formatCode>
                <c:ptCount val="10"/>
                <c:pt idx="0">
                  <c:v>80.8</c:v>
                </c:pt>
                <c:pt idx="1">
                  <c:v>80.5</c:v>
                </c:pt>
                <c:pt idx="2">
                  <c:v>80.900000000000006</c:v>
                </c:pt>
                <c:pt idx="3">
                  <c:v>80.900000000000006</c:v>
                </c:pt>
                <c:pt idx="4">
                  <c:v>81</c:v>
                </c:pt>
                <c:pt idx="5">
                  <c:v>81.3</c:v>
                </c:pt>
                <c:pt idx="6">
                  <c:v>80.400000000000006</c:v>
                </c:pt>
                <c:pt idx="7">
                  <c:v>80.099999999999994</c:v>
                </c:pt>
                <c:pt idx="8">
                  <c:v>80.599999999999994</c:v>
                </c:pt>
                <c:pt idx="9">
                  <c:v>81.5</c:v>
                </c:pt>
              </c:numCache>
            </c:numRef>
          </c:val>
          <c:smooth val="0"/>
          <c:extLst>
            <c:ext xmlns:c16="http://schemas.microsoft.com/office/drawing/2014/chart" uri="{C3380CC4-5D6E-409C-BE32-E72D297353CC}">
              <c16:uniqueId val="{00000003-9CDF-4DB1-B020-13BAFE1D0CAF}"/>
            </c:ext>
          </c:extLst>
        </c:ser>
        <c:ser>
          <c:idx val="3"/>
          <c:order val="2"/>
          <c:tx>
            <c:strRef>
              <c:f>'life expect'!$A$46</c:f>
              <c:strCache>
                <c:ptCount val="1"/>
                <c:pt idx="0">
                  <c:v>priemer krajín V3</c:v>
                </c:pt>
              </c:strCache>
            </c:strRef>
          </c:tx>
          <c:spPr>
            <a:ln w="25400" cap="rnd">
              <a:solidFill>
                <a:schemeClr val="accent4"/>
              </a:solidFill>
              <a:round/>
            </a:ln>
            <a:effectLst/>
          </c:spPr>
          <c:marker>
            <c:symbol val="none"/>
          </c:marker>
          <c:dLbls>
            <c:dLbl>
              <c:idx val="9"/>
              <c:layout>
                <c:manualLayout>
                  <c:x val="-1.2169347193859136E-16"/>
                  <c:y val="-1.45102781136638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CDF-4DB1-B020-13BAFE1D0CAF}"/>
                </c:ext>
              </c:extLst>
            </c:dLbl>
            <c:spPr>
              <a:noFill/>
              <a:ln>
                <a:noFill/>
              </a:ln>
              <a:effectLst/>
            </c:spPr>
            <c:txPr>
              <a:bodyPr rot="0" spcFirstLastPara="1" vertOverflow="ellipsis" vert="horz" wrap="square" anchor="ctr" anchorCtr="1"/>
              <a:lstStyle/>
              <a:p>
                <a:pPr>
                  <a:defRPr sz="800" b="1" i="0" u="none" strike="noStrike" kern="1200" baseline="0">
                    <a:solidFill>
                      <a:schemeClr val="accent4"/>
                    </a:solidFill>
                    <a:latin typeface="Segoe UI" panose="020B0502040204020203" pitchFamily="34" charset="0"/>
                    <a:ea typeface="+mn-ea"/>
                    <a:cs typeface="Segoe UI" panose="020B0502040204020203" pitchFamily="34" charset="0"/>
                  </a:defRPr>
                </a:pPr>
                <a:endParaRPr lang="sk-SK"/>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'life expect'!$D$43:$M$43</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'life expect'!$D$46:$M$46</c:f>
              <c:numCache>
                <c:formatCode>#\ ##0.0</c:formatCode>
                <c:ptCount val="10"/>
                <c:pt idx="0">
                  <c:v>77.566666666666663</c:v>
                </c:pt>
                <c:pt idx="1">
                  <c:v>77.3</c:v>
                </c:pt>
                <c:pt idx="2">
                  <c:v>77.766666666666666</c:v>
                </c:pt>
                <c:pt idx="3">
                  <c:v>77.633333333333326</c:v>
                </c:pt>
                <c:pt idx="4">
                  <c:v>77.666666666666671</c:v>
                </c:pt>
                <c:pt idx="5">
                  <c:v>77.933333333333337</c:v>
                </c:pt>
                <c:pt idx="6">
                  <c:v>76.8</c:v>
                </c:pt>
                <c:pt idx="7">
                  <c:v>75.666666666666671</c:v>
                </c:pt>
                <c:pt idx="8">
                  <c:v>77.399999999999991</c:v>
                </c:pt>
                <c:pt idx="9">
                  <c:v>78.5</c:v>
                </c:pt>
              </c:numCache>
            </c:numRef>
          </c:val>
          <c:smooth val="0"/>
          <c:extLst>
            <c:ext xmlns:c16="http://schemas.microsoft.com/office/drawing/2014/chart" uri="{C3380CC4-5D6E-409C-BE32-E72D297353CC}">
              <c16:uniqueId val="{00000005-9CDF-4DB1-B020-13BAFE1D0CAF}"/>
            </c:ext>
          </c:extLst>
        </c:ser>
        <c:dLbls>
          <c:showLegendKey val="0"/>
          <c:showVal val="0"/>
          <c:showCatName val="0"/>
          <c:showSerName val="0"/>
          <c:showPercent val="0"/>
          <c:showBubbleSize val="0"/>
        </c:dLbls>
        <c:smooth val="0"/>
        <c:axId val="432820607"/>
        <c:axId val="432820191"/>
      </c:lineChart>
      <c:catAx>
        <c:axId val="4328206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432820191"/>
        <c:crosses val="autoZero"/>
        <c:auto val="1"/>
        <c:lblAlgn val="ctr"/>
        <c:lblOffset val="100"/>
        <c:noMultiLvlLbl val="0"/>
      </c:catAx>
      <c:valAx>
        <c:axId val="432820191"/>
        <c:scaling>
          <c:orientation val="minMax"/>
          <c:min val="74"/>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432820607"/>
        <c:crosses val="autoZero"/>
        <c:crossBetween val="between"/>
      </c:valAx>
      <c:spPr>
        <a:noFill/>
        <a:ln>
          <a:noFill/>
        </a:ln>
        <a:effectLst/>
      </c:spPr>
    </c:plotArea>
    <c:legend>
      <c:legendPos val="b"/>
      <c:layout>
        <c:manualLayout>
          <c:xMode val="edge"/>
          <c:yMode val="edge"/>
          <c:x val="6.3522500101995005E-2"/>
          <c:y val="0.69859142607174107"/>
          <c:w val="0.9005888512640583"/>
          <c:h val="0.26219288765374915"/>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legend>
    <c:plotVisOnly val="1"/>
    <c:dispBlanksAs val="gap"/>
    <c:showDLblsOverMax val="0"/>
  </c:chart>
  <c:spPr>
    <a:solidFill>
      <a:schemeClr val="bg1"/>
    </a:solidFill>
    <a:ln w="9525" cap="flat" cmpd="sng" algn="ctr">
      <a:noFill/>
      <a:round/>
    </a:ln>
    <a:effectLst/>
  </c:spPr>
  <c:txPr>
    <a:bodyPr/>
    <a:lstStyle/>
    <a:p>
      <a:pPr>
        <a:defRPr sz="800">
          <a:solidFill>
            <a:schemeClr val="tx2"/>
          </a:solidFill>
          <a:latin typeface="Segoe UI" panose="020B0502040204020203" pitchFamily="34" charset="0"/>
          <a:cs typeface="Segoe UI" panose="020B0502040204020203" pitchFamily="34" charset="0"/>
        </a:defRPr>
      </a:pPr>
      <a:endParaRPr lang="sk-SK"/>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'life expect'!$D$51</c:f>
              <c:strCache>
                <c:ptCount val="1"/>
                <c:pt idx="0">
                  <c:v>2023</c:v>
                </c:pt>
              </c:strCache>
            </c:strRef>
          </c:tx>
          <c:spPr>
            <a:solidFill>
              <a:schemeClr val="bg2"/>
            </a:solidFill>
            <a:ln>
              <a:noFill/>
            </a:ln>
            <a:effectLst/>
          </c:spPr>
          <c:invertIfNegative val="0"/>
          <c:dPt>
            <c:idx val="20"/>
            <c:invertIfNegative val="0"/>
            <c:bubble3D val="0"/>
            <c:spPr>
              <a:solidFill>
                <a:schemeClr val="accent6"/>
              </a:solidFill>
              <a:ln>
                <a:noFill/>
              </a:ln>
              <a:effectLst/>
            </c:spPr>
            <c:extLst>
              <c:ext xmlns:c16="http://schemas.microsoft.com/office/drawing/2014/chart" uri="{C3380CC4-5D6E-409C-BE32-E72D297353CC}">
                <c16:uniqueId val="{00000001-541F-4F8C-9486-47E15FB05B14}"/>
              </c:ext>
            </c:extLst>
          </c:dPt>
          <c:cat>
            <c:strRef>
              <c:f>'life expect'!$B$53:$B$78</c:f>
              <c:strCache>
                <c:ptCount val="26"/>
                <c:pt idx="0">
                  <c:v>Španielsko</c:v>
                </c:pt>
                <c:pt idx="1">
                  <c:v>Taliansko</c:v>
                </c:pt>
                <c:pt idx="2">
                  <c:v>Malta</c:v>
                </c:pt>
                <c:pt idx="3">
                  <c:v>Luxembursko</c:v>
                </c:pt>
                <c:pt idx="4">
                  <c:v>Švédsko</c:v>
                </c:pt>
                <c:pt idx="5">
                  <c:v>Francúzsko</c:v>
                </c:pt>
                <c:pt idx="6">
                  <c:v>Cyprus</c:v>
                </c:pt>
                <c:pt idx="7">
                  <c:v>Belgicko</c:v>
                </c:pt>
                <c:pt idx="8">
                  <c:v>Portugalsko</c:v>
                </c:pt>
                <c:pt idx="9">
                  <c:v>Slovinsko</c:v>
                </c:pt>
                <c:pt idx="10">
                  <c:v>Holandsko</c:v>
                </c:pt>
                <c:pt idx="11">
                  <c:v>Dánsko</c:v>
                </c:pt>
                <c:pt idx="12">
                  <c:v>Fínsko</c:v>
                </c:pt>
                <c:pt idx="13">
                  <c:v>Grécko</c:v>
                </c:pt>
                <c:pt idx="14">
                  <c:v>Rakúsko</c:v>
                </c:pt>
                <c:pt idx="15">
                  <c:v>Nemecko</c:v>
                </c:pt>
                <c:pt idx="16">
                  <c:v>Česko</c:v>
                </c:pt>
                <c:pt idx="17">
                  <c:v>Estónsko</c:v>
                </c:pt>
                <c:pt idx="18">
                  <c:v>Poľsko</c:v>
                </c:pt>
                <c:pt idx="19">
                  <c:v>Chorvátsko</c:v>
                </c:pt>
                <c:pt idx="20">
                  <c:v>Slovensko</c:v>
                </c:pt>
                <c:pt idx="21">
                  <c:v>Litva</c:v>
                </c:pt>
                <c:pt idx="22">
                  <c:v>Maďarsko</c:v>
                </c:pt>
                <c:pt idx="23">
                  <c:v>Rumunsko</c:v>
                </c:pt>
                <c:pt idx="24">
                  <c:v>Lotyšsko</c:v>
                </c:pt>
                <c:pt idx="25">
                  <c:v>Bulharsko</c:v>
                </c:pt>
              </c:strCache>
            </c:strRef>
          </c:cat>
          <c:val>
            <c:numRef>
              <c:f>'life expect'!$D$53:$D$78</c:f>
              <c:numCache>
                <c:formatCode>0.0</c:formatCode>
                <c:ptCount val="26"/>
                <c:pt idx="0">
                  <c:v>84</c:v>
                </c:pt>
                <c:pt idx="1">
                  <c:v>83.8</c:v>
                </c:pt>
                <c:pt idx="2">
                  <c:v>83.6</c:v>
                </c:pt>
                <c:pt idx="3">
                  <c:v>83.4</c:v>
                </c:pt>
                <c:pt idx="4">
                  <c:v>83.4</c:v>
                </c:pt>
                <c:pt idx="5">
                  <c:v>83.1</c:v>
                </c:pt>
                <c:pt idx="6">
                  <c:v>82.5</c:v>
                </c:pt>
                <c:pt idx="7">
                  <c:v>82.5</c:v>
                </c:pt>
                <c:pt idx="8">
                  <c:v>82.4</c:v>
                </c:pt>
                <c:pt idx="9">
                  <c:v>82</c:v>
                </c:pt>
                <c:pt idx="10">
                  <c:v>82</c:v>
                </c:pt>
                <c:pt idx="11">
                  <c:v>81.900000000000006</c:v>
                </c:pt>
                <c:pt idx="12">
                  <c:v>81.7</c:v>
                </c:pt>
                <c:pt idx="13">
                  <c:v>81.599999999999994</c:v>
                </c:pt>
                <c:pt idx="14">
                  <c:v>81.599999999999994</c:v>
                </c:pt>
                <c:pt idx="15">
                  <c:v>81.2</c:v>
                </c:pt>
                <c:pt idx="16">
                  <c:v>80</c:v>
                </c:pt>
                <c:pt idx="17">
                  <c:v>78.8</c:v>
                </c:pt>
                <c:pt idx="18">
                  <c:v>78.599999999999994</c:v>
                </c:pt>
                <c:pt idx="19">
                  <c:v>78.599999999999994</c:v>
                </c:pt>
                <c:pt idx="20">
                  <c:v>78.099999999999994</c:v>
                </c:pt>
                <c:pt idx="21">
                  <c:v>77.3</c:v>
                </c:pt>
                <c:pt idx="22">
                  <c:v>76.900000000000006</c:v>
                </c:pt>
                <c:pt idx="23">
                  <c:v>76.599999999999994</c:v>
                </c:pt>
                <c:pt idx="24">
                  <c:v>75.900000000000006</c:v>
                </c:pt>
                <c:pt idx="25">
                  <c:v>75.8</c:v>
                </c:pt>
              </c:numCache>
            </c:numRef>
          </c:val>
          <c:extLst>
            <c:ext xmlns:c16="http://schemas.microsoft.com/office/drawing/2014/chart" uri="{C3380CC4-5D6E-409C-BE32-E72D297353CC}">
              <c16:uniqueId val="{00000002-541F-4F8C-9486-47E15FB05B14}"/>
            </c:ext>
          </c:extLst>
        </c:ser>
        <c:dLbls>
          <c:showLegendKey val="0"/>
          <c:showVal val="0"/>
          <c:showCatName val="0"/>
          <c:showSerName val="0"/>
          <c:showPercent val="0"/>
          <c:showBubbleSize val="0"/>
        </c:dLbls>
        <c:gapWidth val="100"/>
        <c:axId val="319095856"/>
        <c:axId val="319096688"/>
      </c:barChart>
      <c:lineChart>
        <c:grouping val="standard"/>
        <c:varyColors val="0"/>
        <c:ser>
          <c:idx val="1"/>
          <c:order val="1"/>
          <c:tx>
            <c:strRef>
              <c:f>'life expect'!$F$51</c:f>
              <c:strCache>
                <c:ptCount val="1"/>
                <c:pt idx="0">
                  <c:v>zmena 2023 oproti 2022 (pravá os)</c:v>
                </c:pt>
              </c:strCache>
            </c:strRef>
          </c:tx>
          <c:spPr>
            <a:ln w="28575" cap="rnd">
              <a:noFill/>
              <a:round/>
            </a:ln>
            <a:effectLst/>
          </c:spPr>
          <c:marker>
            <c:symbol val="triangle"/>
            <c:size val="5"/>
            <c:spPr>
              <a:solidFill>
                <a:schemeClr val="tx2"/>
              </a:solidFill>
              <a:ln w="9525">
                <a:solidFill>
                  <a:schemeClr val="tx2"/>
                </a:solidFill>
              </a:ln>
              <a:effectLst/>
            </c:spPr>
          </c:marker>
          <c:cat>
            <c:strRef>
              <c:f>'life expect'!$B$52:$B$78</c:f>
              <c:strCache>
                <c:ptCount val="27"/>
                <c:pt idx="0">
                  <c:v>Írsko</c:v>
                </c:pt>
                <c:pt idx="1">
                  <c:v>Španielsko</c:v>
                </c:pt>
                <c:pt idx="2">
                  <c:v>Taliansko</c:v>
                </c:pt>
                <c:pt idx="3">
                  <c:v>Malta</c:v>
                </c:pt>
                <c:pt idx="4">
                  <c:v>Luxembursko</c:v>
                </c:pt>
                <c:pt idx="5">
                  <c:v>Švédsko</c:v>
                </c:pt>
                <c:pt idx="6">
                  <c:v>Francúzsko</c:v>
                </c:pt>
                <c:pt idx="7">
                  <c:v>Cyprus</c:v>
                </c:pt>
                <c:pt idx="8">
                  <c:v>Belgicko</c:v>
                </c:pt>
                <c:pt idx="9">
                  <c:v>Portugalsko</c:v>
                </c:pt>
                <c:pt idx="10">
                  <c:v>Slovinsko</c:v>
                </c:pt>
                <c:pt idx="11">
                  <c:v>Holandsko</c:v>
                </c:pt>
                <c:pt idx="12">
                  <c:v>Dánsko</c:v>
                </c:pt>
                <c:pt idx="13">
                  <c:v>Fínsko</c:v>
                </c:pt>
                <c:pt idx="14">
                  <c:v>Grécko</c:v>
                </c:pt>
                <c:pt idx="15">
                  <c:v>Rakúsko</c:v>
                </c:pt>
                <c:pt idx="16">
                  <c:v>Nemecko</c:v>
                </c:pt>
                <c:pt idx="17">
                  <c:v>Česko</c:v>
                </c:pt>
                <c:pt idx="18">
                  <c:v>Estónsko</c:v>
                </c:pt>
                <c:pt idx="19">
                  <c:v>Poľsko</c:v>
                </c:pt>
                <c:pt idx="20">
                  <c:v>Chorvátsko</c:v>
                </c:pt>
                <c:pt idx="21">
                  <c:v>Slovensko</c:v>
                </c:pt>
                <c:pt idx="22">
                  <c:v>Litva</c:v>
                </c:pt>
                <c:pt idx="23">
                  <c:v>Maďarsko</c:v>
                </c:pt>
                <c:pt idx="24">
                  <c:v>Rumunsko</c:v>
                </c:pt>
                <c:pt idx="25">
                  <c:v>Lotyšsko</c:v>
                </c:pt>
                <c:pt idx="26">
                  <c:v>Bulharsko</c:v>
                </c:pt>
              </c:strCache>
            </c:strRef>
          </c:cat>
          <c:val>
            <c:numRef>
              <c:f>'life expect'!$F$53:$F$78</c:f>
              <c:numCache>
                <c:formatCode>0.0</c:formatCode>
                <c:ptCount val="26"/>
                <c:pt idx="0">
                  <c:v>0.79999999999999716</c:v>
                </c:pt>
                <c:pt idx="1">
                  <c:v>1</c:v>
                </c:pt>
                <c:pt idx="2">
                  <c:v>1.1999999999999886</c:v>
                </c:pt>
                <c:pt idx="3">
                  <c:v>0.40000000000000568</c:v>
                </c:pt>
                <c:pt idx="4">
                  <c:v>0.30000000000001137</c:v>
                </c:pt>
                <c:pt idx="5">
                  <c:v>0.79999999999999716</c:v>
                </c:pt>
                <c:pt idx="6">
                  <c:v>0.90000000000000568</c:v>
                </c:pt>
                <c:pt idx="7">
                  <c:v>0.70000000000000284</c:v>
                </c:pt>
                <c:pt idx="8">
                  <c:v>0.60000000000000853</c:v>
                </c:pt>
                <c:pt idx="9">
                  <c:v>0.70000000000000284</c:v>
                </c:pt>
                <c:pt idx="10">
                  <c:v>0.29999999999999716</c:v>
                </c:pt>
                <c:pt idx="11">
                  <c:v>0.60000000000000853</c:v>
                </c:pt>
                <c:pt idx="12">
                  <c:v>0.5</c:v>
                </c:pt>
                <c:pt idx="13">
                  <c:v>0.79999999999999716</c:v>
                </c:pt>
                <c:pt idx="14">
                  <c:v>0.19999999999998863</c:v>
                </c:pt>
                <c:pt idx="15">
                  <c:v>0.5</c:v>
                </c:pt>
                <c:pt idx="16">
                  <c:v>1</c:v>
                </c:pt>
                <c:pt idx="17">
                  <c:v>0.70000000000000284</c:v>
                </c:pt>
                <c:pt idx="18">
                  <c:v>1.3999999999999915</c:v>
                </c:pt>
                <c:pt idx="19">
                  <c:v>0.89999999999999147</c:v>
                </c:pt>
                <c:pt idx="20">
                  <c:v>1.0999999999999943</c:v>
                </c:pt>
                <c:pt idx="21">
                  <c:v>1.5</c:v>
                </c:pt>
                <c:pt idx="22">
                  <c:v>0.90000000000000568</c:v>
                </c:pt>
                <c:pt idx="23">
                  <c:v>1.5</c:v>
                </c:pt>
                <c:pt idx="24">
                  <c:v>1.4000000000000057</c:v>
                </c:pt>
                <c:pt idx="25">
                  <c:v>1.5999999999999943</c:v>
                </c:pt>
              </c:numCache>
            </c:numRef>
          </c:val>
          <c:smooth val="0"/>
          <c:extLst>
            <c:ext xmlns:c16="http://schemas.microsoft.com/office/drawing/2014/chart" uri="{C3380CC4-5D6E-409C-BE32-E72D297353CC}">
              <c16:uniqueId val="{00000003-541F-4F8C-9486-47E15FB05B14}"/>
            </c:ext>
          </c:extLst>
        </c:ser>
        <c:dLbls>
          <c:showLegendKey val="0"/>
          <c:showVal val="0"/>
          <c:showCatName val="0"/>
          <c:showSerName val="0"/>
          <c:showPercent val="0"/>
          <c:showBubbleSize val="0"/>
        </c:dLbls>
        <c:marker val="1"/>
        <c:smooth val="0"/>
        <c:axId val="536571280"/>
        <c:axId val="536569616"/>
      </c:lineChart>
      <c:catAx>
        <c:axId val="319095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319096688"/>
        <c:crosses val="autoZero"/>
        <c:auto val="1"/>
        <c:lblAlgn val="ctr"/>
        <c:lblOffset val="100"/>
        <c:noMultiLvlLbl val="0"/>
      </c:catAx>
      <c:valAx>
        <c:axId val="3190966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319095856"/>
        <c:crosses val="autoZero"/>
        <c:crossBetween val="between"/>
      </c:valAx>
      <c:valAx>
        <c:axId val="536569616"/>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536571280"/>
        <c:crosses val="max"/>
        <c:crossBetween val="between"/>
      </c:valAx>
      <c:catAx>
        <c:axId val="536571280"/>
        <c:scaling>
          <c:orientation val="minMax"/>
        </c:scaling>
        <c:delete val="1"/>
        <c:axPos val="b"/>
        <c:numFmt formatCode="General" sourceLinked="1"/>
        <c:majorTickMark val="out"/>
        <c:minorTickMark val="none"/>
        <c:tickLblPos val="nextTo"/>
        <c:crossAx val="536569616"/>
        <c:crosses val="autoZero"/>
        <c:auto val="1"/>
        <c:lblAlgn val="ctr"/>
        <c:lblOffset val="100"/>
        <c:noMultiLvlLbl val="0"/>
      </c:catAx>
      <c:spPr>
        <a:noFill/>
        <a:ln>
          <a:noFill/>
        </a:ln>
        <a:effectLst/>
      </c:spPr>
    </c:plotArea>
    <c:legend>
      <c:legendPos val="t"/>
      <c:overlay val="1"/>
      <c:spPr>
        <a:noFill/>
        <a:ln>
          <a:noFill/>
        </a:ln>
        <a:effectLst/>
      </c:spPr>
      <c:txPr>
        <a:bodyPr rot="0" spcFirstLastPara="1" vertOverflow="ellipsis" vert="horz" wrap="square" anchor="ctr" anchorCtr="1"/>
        <a:lstStyle/>
        <a:p>
          <a:pPr>
            <a:defRPr sz="7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legend>
    <c:plotVisOnly val="1"/>
    <c:dispBlanksAs val="gap"/>
    <c:showDLblsOverMax val="0"/>
  </c:chart>
  <c:spPr>
    <a:solidFill>
      <a:schemeClr val="bg1"/>
    </a:solidFill>
    <a:ln w="9525" cap="flat" cmpd="sng" algn="ctr">
      <a:noFill/>
      <a:round/>
    </a:ln>
    <a:effectLst/>
  </c:spPr>
  <c:txPr>
    <a:bodyPr/>
    <a:lstStyle/>
    <a:p>
      <a:pPr>
        <a:defRPr sz="700">
          <a:solidFill>
            <a:schemeClr val="tx2"/>
          </a:solidFill>
          <a:latin typeface="Segoe UI" panose="020B0502040204020203" pitchFamily="34" charset="0"/>
          <a:cs typeface="Segoe UI" panose="020B0502040204020203" pitchFamily="34" charset="0"/>
        </a:defRPr>
      </a:pPr>
      <a:endParaRPr lang="sk-SK"/>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stacked"/>
        <c:varyColors val="0"/>
        <c:ser>
          <c:idx val="0"/>
          <c:order val="0"/>
          <c:tx>
            <c:strRef>
              <c:f>spracovanie!$B$33</c:f>
              <c:strCache>
                <c:ptCount val="1"/>
                <c:pt idx="0">
                  <c:v>Ústavná zdravotná starostlivosť</c:v>
                </c:pt>
              </c:strCache>
            </c:strRef>
          </c:tx>
          <c:spPr>
            <a:solidFill>
              <a:schemeClr val="accent2">
                <a:shade val="44000"/>
              </a:schemeClr>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spracovanie!$C$32:$K$32</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spracovanie!$C$33:$K$33</c:f>
              <c:numCache>
                <c:formatCode>#\ ##0.0</c:formatCode>
                <c:ptCount val="9"/>
                <c:pt idx="0">
                  <c:v>26.766953199617955</c:v>
                </c:pt>
                <c:pt idx="1">
                  <c:v>26.536124240378122</c:v>
                </c:pt>
                <c:pt idx="2">
                  <c:v>28.104721414186617</c:v>
                </c:pt>
                <c:pt idx="3">
                  <c:v>27.661357921207042</c:v>
                </c:pt>
                <c:pt idx="4">
                  <c:v>28.08378588052754</c:v>
                </c:pt>
                <c:pt idx="5">
                  <c:v>28.134755712178961</c:v>
                </c:pt>
                <c:pt idx="6">
                  <c:v>31.127382647273556</c:v>
                </c:pt>
                <c:pt idx="7">
                  <c:v>31.275254566025541</c:v>
                </c:pt>
                <c:pt idx="8">
                  <c:v>34.580221927559492</c:v>
                </c:pt>
              </c:numCache>
            </c:numRef>
          </c:val>
          <c:extLst>
            <c:ext xmlns:c16="http://schemas.microsoft.com/office/drawing/2014/chart" uri="{C3380CC4-5D6E-409C-BE32-E72D297353CC}">
              <c16:uniqueId val="{00000000-EA7D-4A4F-82A8-AFFE69DAA7B4}"/>
            </c:ext>
          </c:extLst>
        </c:ser>
        <c:ser>
          <c:idx val="1"/>
          <c:order val="1"/>
          <c:tx>
            <c:strRef>
              <c:f>spracovanie!$B$34</c:f>
              <c:strCache>
                <c:ptCount val="1"/>
                <c:pt idx="0">
                  <c:v>Lieky a dietetické potraviny</c:v>
                </c:pt>
              </c:strCache>
            </c:strRef>
          </c:tx>
          <c:spPr>
            <a:solidFill>
              <a:schemeClr val="accent2">
                <a:shade val="58000"/>
              </a:schemeClr>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spracovanie!$C$32:$K$32</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spracovanie!$C$34:$K$34</c:f>
              <c:numCache>
                <c:formatCode>#\ ##0.0</c:formatCode>
                <c:ptCount val="9"/>
                <c:pt idx="0">
                  <c:v>24.54632282712512</c:v>
                </c:pt>
                <c:pt idx="1">
                  <c:v>23.857753769975243</c:v>
                </c:pt>
                <c:pt idx="2">
                  <c:v>23.562318191989259</c:v>
                </c:pt>
                <c:pt idx="3">
                  <c:v>22.296730930427493</c:v>
                </c:pt>
                <c:pt idx="4">
                  <c:v>21.159813809154382</c:v>
                </c:pt>
                <c:pt idx="5">
                  <c:v>23.519046980637004</c:v>
                </c:pt>
                <c:pt idx="6">
                  <c:v>21.954579148703196</c:v>
                </c:pt>
                <c:pt idx="7">
                  <c:v>22.272506869241958</c:v>
                </c:pt>
                <c:pt idx="8">
                  <c:v>21.235257170772559</c:v>
                </c:pt>
              </c:numCache>
            </c:numRef>
          </c:val>
          <c:extLst>
            <c:ext xmlns:c16="http://schemas.microsoft.com/office/drawing/2014/chart" uri="{C3380CC4-5D6E-409C-BE32-E72D297353CC}">
              <c16:uniqueId val="{00000001-EA7D-4A4F-82A8-AFFE69DAA7B4}"/>
            </c:ext>
          </c:extLst>
        </c:ser>
        <c:ser>
          <c:idx val="2"/>
          <c:order val="2"/>
          <c:tx>
            <c:strRef>
              <c:f>spracovanie!$B$35</c:f>
              <c:strCache>
                <c:ptCount val="1"/>
                <c:pt idx="0">
                  <c:v>Špecializovaná ambulantná starostlivosť</c:v>
                </c:pt>
              </c:strCache>
            </c:strRef>
          </c:tx>
          <c:spPr>
            <a:solidFill>
              <a:schemeClr val="accent2">
                <a:shade val="72000"/>
              </a:schemeClr>
            </a:solidFill>
            <a:ln>
              <a:noFill/>
            </a:ln>
            <a:effectLst/>
          </c:spPr>
          <c:invertIfNegative val="0"/>
          <c:cat>
            <c:numRef>
              <c:f>spracovanie!$C$32:$K$32</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spracovanie!$C$35:$K$35</c:f>
              <c:numCache>
                <c:formatCode>#\ ##0.0</c:formatCode>
                <c:ptCount val="9"/>
                <c:pt idx="0">
                  <c:v>16.786055396370582</c:v>
                </c:pt>
                <c:pt idx="1">
                  <c:v>17.375647085302724</c:v>
                </c:pt>
                <c:pt idx="2">
                  <c:v>17.811590959946297</c:v>
                </c:pt>
                <c:pt idx="3">
                  <c:v>18.545683151718357</c:v>
                </c:pt>
                <c:pt idx="4">
                  <c:v>19.3366951124903</c:v>
                </c:pt>
                <c:pt idx="5">
                  <c:v>16.375232221860454</c:v>
                </c:pt>
                <c:pt idx="6">
                  <c:v>17.575827397500007</c:v>
                </c:pt>
                <c:pt idx="7">
                  <c:v>17.165023436237274</c:v>
                </c:pt>
                <c:pt idx="8">
                  <c:v>17.483425221578614</c:v>
                </c:pt>
              </c:numCache>
            </c:numRef>
          </c:val>
          <c:extLst>
            <c:ext xmlns:c16="http://schemas.microsoft.com/office/drawing/2014/chart" uri="{C3380CC4-5D6E-409C-BE32-E72D297353CC}">
              <c16:uniqueId val="{00000002-EA7D-4A4F-82A8-AFFE69DAA7B4}"/>
            </c:ext>
          </c:extLst>
        </c:ser>
        <c:ser>
          <c:idx val="3"/>
          <c:order val="3"/>
          <c:tx>
            <c:strRef>
              <c:f>spracovanie!$B$36</c:f>
              <c:strCache>
                <c:ptCount val="1"/>
                <c:pt idx="0">
                  <c:v>Spoločné vyšetrovacie a liečebné zložky</c:v>
                </c:pt>
              </c:strCache>
            </c:strRef>
          </c:tx>
          <c:spPr>
            <a:solidFill>
              <a:schemeClr val="accent2">
                <a:shade val="86000"/>
              </a:schemeClr>
            </a:solidFill>
            <a:ln>
              <a:noFill/>
            </a:ln>
            <a:effectLst/>
          </c:spPr>
          <c:invertIfNegative val="0"/>
          <c:cat>
            <c:numRef>
              <c:f>spracovanie!$C$32:$K$32</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spracovanie!$C$36:$K$36</c:f>
              <c:numCache>
                <c:formatCode>#\ ##0.0</c:formatCode>
                <c:ptCount val="9"/>
                <c:pt idx="0">
                  <c:v>12.870105062082141</c:v>
                </c:pt>
                <c:pt idx="1">
                  <c:v>12.67161827593968</c:v>
                </c:pt>
                <c:pt idx="2">
                  <c:v>10.897292459163124</c:v>
                </c:pt>
                <c:pt idx="3">
                  <c:v>11.588432523051132</c:v>
                </c:pt>
                <c:pt idx="4">
                  <c:v>11.249030256012412</c:v>
                </c:pt>
                <c:pt idx="5">
                  <c:v>12.334093041962729</c:v>
                </c:pt>
                <c:pt idx="6">
                  <c:v>9.7562793824789118</c:v>
                </c:pt>
                <c:pt idx="7">
                  <c:v>9.7300791983190553</c:v>
                </c:pt>
                <c:pt idx="8">
                  <c:v>7.6683648544908918</c:v>
                </c:pt>
              </c:numCache>
            </c:numRef>
          </c:val>
          <c:extLst>
            <c:ext xmlns:c16="http://schemas.microsoft.com/office/drawing/2014/chart" uri="{C3380CC4-5D6E-409C-BE32-E72D297353CC}">
              <c16:uniqueId val="{00000003-EA7D-4A4F-82A8-AFFE69DAA7B4}"/>
            </c:ext>
          </c:extLst>
        </c:ser>
        <c:ser>
          <c:idx val="4"/>
          <c:order val="4"/>
          <c:tx>
            <c:strRef>
              <c:f>spracovanie!$B$37</c:f>
              <c:strCache>
                <c:ptCount val="1"/>
                <c:pt idx="0">
                  <c:v>Všeobecná ambulantná starostlivosť</c:v>
                </c:pt>
              </c:strCache>
            </c:strRef>
          </c:tx>
          <c:spPr>
            <a:solidFill>
              <a:schemeClr val="accent2"/>
            </a:solidFill>
            <a:ln>
              <a:noFill/>
            </a:ln>
            <a:effectLst/>
          </c:spPr>
          <c:invertIfNegative val="0"/>
          <c:cat>
            <c:numRef>
              <c:f>spracovanie!$C$32:$K$32</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spracovanie!$C$37:$K$37</c:f>
              <c:numCache>
                <c:formatCode>#\ ##0.0</c:formatCode>
                <c:ptCount val="9"/>
                <c:pt idx="0">
                  <c:v>4.8471824259789873</c:v>
                </c:pt>
                <c:pt idx="1">
                  <c:v>5.019131217645735</c:v>
                </c:pt>
                <c:pt idx="2">
                  <c:v>5.1689415976728572</c:v>
                </c:pt>
                <c:pt idx="3">
                  <c:v>5.3646269907795476</c:v>
                </c:pt>
                <c:pt idx="4">
                  <c:v>5.6245151280062062</c:v>
                </c:pt>
                <c:pt idx="5">
                  <c:v>5.6307816061134197</c:v>
                </c:pt>
                <c:pt idx="6">
                  <c:v>6.0917287487050729</c:v>
                </c:pt>
                <c:pt idx="7">
                  <c:v>6.1580733796670435</c:v>
                </c:pt>
                <c:pt idx="8">
                  <c:v>6.1106846255844784</c:v>
                </c:pt>
              </c:numCache>
            </c:numRef>
          </c:val>
          <c:extLst>
            <c:ext xmlns:c16="http://schemas.microsoft.com/office/drawing/2014/chart" uri="{C3380CC4-5D6E-409C-BE32-E72D297353CC}">
              <c16:uniqueId val="{00000004-EA7D-4A4F-82A8-AFFE69DAA7B4}"/>
            </c:ext>
          </c:extLst>
        </c:ser>
        <c:ser>
          <c:idx val="5"/>
          <c:order val="5"/>
          <c:tx>
            <c:strRef>
              <c:f>spracovanie!$B$38</c:f>
              <c:strCache>
                <c:ptCount val="1"/>
                <c:pt idx="0">
                  <c:v>Zdravotnícke pomôcky</c:v>
                </c:pt>
              </c:strCache>
            </c:strRef>
          </c:tx>
          <c:spPr>
            <a:solidFill>
              <a:schemeClr val="accent2">
                <a:tint val="86000"/>
              </a:schemeClr>
            </a:solidFill>
            <a:ln>
              <a:noFill/>
            </a:ln>
            <a:effectLst/>
          </c:spPr>
          <c:invertIfNegative val="0"/>
          <c:cat>
            <c:numRef>
              <c:f>spracovanie!$C$32:$K$32</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spracovanie!$C$38:$K$38</c:f>
              <c:numCache>
                <c:formatCode>#\ ##0.0</c:formatCode>
                <c:ptCount val="9"/>
                <c:pt idx="0">
                  <c:v>4.2502387774594075</c:v>
                </c:pt>
                <c:pt idx="1">
                  <c:v>4.343911771325681</c:v>
                </c:pt>
                <c:pt idx="2">
                  <c:v>4.1396285522488254</c:v>
                </c:pt>
                <c:pt idx="3">
                  <c:v>3.6672254819782064</c:v>
                </c:pt>
                <c:pt idx="4">
                  <c:v>3.4716834755624517</c:v>
                </c:pt>
                <c:pt idx="5">
                  <c:v>3.4282649914772181</c:v>
                </c:pt>
                <c:pt idx="6">
                  <c:v>3.2253766165262912</c:v>
                </c:pt>
                <c:pt idx="7">
                  <c:v>3.1032810732180378</c:v>
                </c:pt>
                <c:pt idx="8">
                  <c:v>3.1879405401633045</c:v>
                </c:pt>
              </c:numCache>
            </c:numRef>
          </c:val>
          <c:extLst>
            <c:ext xmlns:c16="http://schemas.microsoft.com/office/drawing/2014/chart" uri="{C3380CC4-5D6E-409C-BE32-E72D297353CC}">
              <c16:uniqueId val="{00000005-EA7D-4A4F-82A8-AFFE69DAA7B4}"/>
            </c:ext>
          </c:extLst>
        </c:ser>
        <c:ser>
          <c:idx val="6"/>
          <c:order val="6"/>
          <c:tx>
            <c:strRef>
              <c:f>spracovanie!$B$39</c:f>
              <c:strCache>
                <c:ptCount val="1"/>
                <c:pt idx="0">
                  <c:v>Ostatné výdavky na ZS</c:v>
                </c:pt>
              </c:strCache>
            </c:strRef>
          </c:tx>
          <c:spPr>
            <a:solidFill>
              <a:schemeClr val="accent2">
                <a:tint val="72000"/>
              </a:schemeClr>
            </a:solidFill>
            <a:ln>
              <a:noFill/>
            </a:ln>
            <a:effectLst/>
          </c:spPr>
          <c:invertIfNegative val="0"/>
          <c:cat>
            <c:numRef>
              <c:f>spracovanie!$C$32:$K$32</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spracovanie!$C$39:$K$39</c:f>
              <c:numCache>
                <c:formatCode>#\ ##0.0</c:formatCode>
                <c:ptCount val="9"/>
                <c:pt idx="0">
                  <c:v>5.7545367717287483</c:v>
                </c:pt>
                <c:pt idx="1">
                  <c:v>5.8744091829844702</c:v>
                </c:pt>
                <c:pt idx="2">
                  <c:v>5.8626090848064445</c:v>
                </c:pt>
                <c:pt idx="3">
                  <c:v>6.0561609388097235</c:v>
                </c:pt>
                <c:pt idx="4">
                  <c:v>6.3033359193173002</c:v>
                </c:pt>
                <c:pt idx="5">
                  <c:v>6.4409246739317831</c:v>
                </c:pt>
                <c:pt idx="6">
                  <c:v>5.777732605578918</c:v>
                </c:pt>
                <c:pt idx="7">
                  <c:v>6.1419104574106997</c:v>
                </c:pt>
                <c:pt idx="8">
                  <c:v>6.6634098680996772</c:v>
                </c:pt>
              </c:numCache>
            </c:numRef>
          </c:val>
          <c:extLst>
            <c:ext xmlns:c16="http://schemas.microsoft.com/office/drawing/2014/chart" uri="{C3380CC4-5D6E-409C-BE32-E72D297353CC}">
              <c16:uniqueId val="{00000006-EA7D-4A4F-82A8-AFFE69DAA7B4}"/>
            </c:ext>
          </c:extLst>
        </c:ser>
        <c:ser>
          <c:idx val="7"/>
          <c:order val="7"/>
          <c:tx>
            <c:strRef>
              <c:f>spracovanie!$B$40</c:f>
              <c:strCache>
                <c:ptCount val="1"/>
                <c:pt idx="0">
                  <c:v>Iné výdavky VZP</c:v>
                </c:pt>
              </c:strCache>
            </c:strRef>
          </c:tx>
          <c:spPr>
            <a:solidFill>
              <a:schemeClr val="accent2">
                <a:tint val="58000"/>
              </a:schemeClr>
            </a:solidFill>
            <a:ln>
              <a:noFill/>
            </a:ln>
            <a:effectLst/>
          </c:spPr>
          <c:invertIfNegative val="0"/>
          <c:cat>
            <c:numRef>
              <c:f>spracovanie!$C$32:$K$32</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spracovanie!$C$40:$K$40</c:f>
              <c:numCache>
                <c:formatCode>#\ ##0.0</c:formatCode>
                <c:ptCount val="9"/>
                <c:pt idx="0">
                  <c:v>4.1786055396370587</c:v>
                </c:pt>
                <c:pt idx="1">
                  <c:v>4.321404456448346</c:v>
                </c:pt>
                <c:pt idx="2">
                  <c:v>4.4528977399865743</c:v>
                </c:pt>
                <c:pt idx="3">
                  <c:v>4.8197820620284997</c:v>
                </c:pt>
                <c:pt idx="4">
                  <c:v>4.7711404189294022</c:v>
                </c:pt>
                <c:pt idx="5">
                  <c:v>4.1369007718384312</c:v>
                </c:pt>
                <c:pt idx="6">
                  <c:v>4.4910934532340461</c:v>
                </c:pt>
                <c:pt idx="7">
                  <c:v>4.1538710198803948</c:v>
                </c:pt>
                <c:pt idx="8">
                  <c:v>3.0706957917509938</c:v>
                </c:pt>
              </c:numCache>
            </c:numRef>
          </c:val>
          <c:extLst>
            <c:ext xmlns:c16="http://schemas.microsoft.com/office/drawing/2014/chart" uri="{C3380CC4-5D6E-409C-BE32-E72D297353CC}">
              <c16:uniqueId val="{00000007-EA7D-4A4F-82A8-AFFE69DAA7B4}"/>
            </c:ext>
          </c:extLst>
        </c:ser>
        <c:dLbls>
          <c:showLegendKey val="0"/>
          <c:showVal val="0"/>
          <c:showCatName val="0"/>
          <c:showSerName val="0"/>
          <c:showPercent val="0"/>
          <c:showBubbleSize val="0"/>
        </c:dLbls>
        <c:gapWidth val="43"/>
        <c:overlap val="100"/>
        <c:axId val="789895471"/>
        <c:axId val="789900047"/>
      </c:barChart>
      <c:lineChart>
        <c:grouping val="standard"/>
        <c:varyColors val="0"/>
        <c:ser>
          <c:idx val="8"/>
          <c:order val="8"/>
          <c:tx>
            <c:strRef>
              <c:f>spracovanie!$B$41</c:f>
              <c:strCache>
                <c:ptCount val="1"/>
                <c:pt idx="0">
                  <c:v>VZP spolu (mld. eur; pravá os)</c:v>
                </c:pt>
              </c:strCache>
            </c:strRef>
          </c:tx>
          <c:spPr>
            <a:ln w="25400" cap="rnd">
              <a:solidFill>
                <a:schemeClr val="accent6"/>
              </a:solidFill>
              <a:prstDash val="sysDash"/>
              <a:round/>
            </a:ln>
            <a:effectLst/>
          </c:spPr>
          <c:marker>
            <c:symbol val="none"/>
          </c:marker>
          <c:dLbls>
            <c:spPr>
              <a:noFill/>
              <a:ln>
                <a:noFill/>
              </a:ln>
              <a:effectLst/>
            </c:spPr>
            <c:txPr>
              <a:bodyPr rot="0" spcFirstLastPara="1" vertOverflow="ellipsis" vert="horz" wrap="square" anchor="ctr" anchorCtr="1"/>
              <a:lstStyle/>
              <a:p>
                <a:pPr>
                  <a:defRPr sz="800" b="1" i="0" u="none" strike="noStrike" kern="1200" baseline="0">
                    <a:solidFill>
                      <a:schemeClr val="accent6"/>
                    </a:solidFill>
                    <a:latin typeface="Segoe UI" panose="020B0502040204020203" pitchFamily="34" charset="0"/>
                    <a:ea typeface="+mn-ea"/>
                    <a:cs typeface="Segoe UI" panose="020B0502040204020203" pitchFamily="34" charset="0"/>
                  </a:defRPr>
                </a:pPr>
                <a:endParaRPr lang="sk-SK"/>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spracovanie!$C$32:$K$32</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spracovanie!$C$41:$K$41</c:f>
              <c:numCache>
                <c:formatCode>#\ ##0.0</c:formatCode>
                <c:ptCount val="9"/>
                <c:pt idx="0">
                  <c:v>4.1879999999999997</c:v>
                </c:pt>
                <c:pt idx="1">
                  <c:v>4.4429999999999996</c:v>
                </c:pt>
                <c:pt idx="2">
                  <c:v>4.4690000000000003</c:v>
                </c:pt>
                <c:pt idx="3">
                  <c:v>4.7720000000000002</c:v>
                </c:pt>
                <c:pt idx="4">
                  <c:v>5.1559999999999997</c:v>
                </c:pt>
                <c:pt idx="5">
                  <c:v>5.2213000000000003</c:v>
                </c:pt>
                <c:pt idx="6">
                  <c:v>5.7149556711000002</c:v>
                </c:pt>
                <c:pt idx="7">
                  <c:v>6.1870000000000003</c:v>
                </c:pt>
                <c:pt idx="8">
                  <c:v>7.1645000000000012</c:v>
                </c:pt>
              </c:numCache>
            </c:numRef>
          </c:val>
          <c:smooth val="0"/>
          <c:extLst>
            <c:ext xmlns:c16="http://schemas.microsoft.com/office/drawing/2014/chart" uri="{C3380CC4-5D6E-409C-BE32-E72D297353CC}">
              <c16:uniqueId val="{00000008-EA7D-4A4F-82A8-AFFE69DAA7B4}"/>
            </c:ext>
          </c:extLst>
        </c:ser>
        <c:dLbls>
          <c:showLegendKey val="0"/>
          <c:showVal val="0"/>
          <c:showCatName val="0"/>
          <c:showSerName val="0"/>
          <c:showPercent val="0"/>
          <c:showBubbleSize val="0"/>
        </c:dLbls>
        <c:marker val="1"/>
        <c:smooth val="0"/>
        <c:axId val="789857199"/>
        <c:axId val="789865103"/>
      </c:lineChart>
      <c:catAx>
        <c:axId val="7898954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789900047"/>
        <c:crosses val="autoZero"/>
        <c:auto val="1"/>
        <c:lblAlgn val="ctr"/>
        <c:lblOffset val="100"/>
        <c:noMultiLvlLbl val="0"/>
      </c:catAx>
      <c:valAx>
        <c:axId val="789900047"/>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789895471"/>
        <c:crosses val="autoZero"/>
        <c:crossBetween val="between"/>
      </c:valAx>
      <c:valAx>
        <c:axId val="789865103"/>
        <c:scaling>
          <c:orientation val="minMax"/>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789857199"/>
        <c:crosses val="max"/>
        <c:crossBetween val="between"/>
      </c:valAx>
      <c:catAx>
        <c:axId val="789857199"/>
        <c:scaling>
          <c:orientation val="minMax"/>
        </c:scaling>
        <c:delete val="1"/>
        <c:axPos val="b"/>
        <c:numFmt formatCode="General" sourceLinked="1"/>
        <c:majorTickMark val="out"/>
        <c:minorTickMark val="none"/>
        <c:tickLblPos val="nextTo"/>
        <c:crossAx val="789865103"/>
        <c:crosses val="autoZero"/>
        <c:auto val="1"/>
        <c:lblAlgn val="ctr"/>
        <c:lblOffset val="100"/>
        <c:noMultiLvlLbl val="0"/>
      </c:catAx>
      <c:spPr>
        <a:noFill/>
        <a:ln>
          <a:noFill/>
        </a:ln>
        <a:effectLst/>
      </c:spPr>
    </c:plotArea>
    <c:legend>
      <c:legendPos val="r"/>
      <c:layout>
        <c:manualLayout>
          <c:xMode val="edge"/>
          <c:yMode val="edge"/>
          <c:x val="0.66383526204759136"/>
          <c:y val="2.5276299921969215E-2"/>
          <c:w val="0.32293430796343403"/>
          <c:h val="0.9747237000780306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legend>
    <c:plotVisOnly val="1"/>
    <c:dispBlanksAs val="gap"/>
    <c:showDLblsOverMax val="0"/>
  </c:chart>
  <c:spPr>
    <a:solidFill>
      <a:schemeClr val="bg1"/>
    </a:solidFill>
    <a:ln w="9525" cap="flat" cmpd="sng" algn="ctr">
      <a:noFill/>
      <a:round/>
    </a:ln>
    <a:effectLst/>
  </c:spPr>
  <c:txPr>
    <a:bodyPr/>
    <a:lstStyle/>
    <a:p>
      <a:pPr>
        <a:defRPr sz="800">
          <a:solidFill>
            <a:schemeClr val="tx2"/>
          </a:solidFill>
          <a:latin typeface="Segoe UI" panose="020B0502040204020203" pitchFamily="34" charset="0"/>
          <a:cs typeface="Segoe UI" panose="020B0502040204020203" pitchFamily="34" charset="0"/>
        </a:defRPr>
      </a:pPr>
      <a:endParaRPr lang="sk-SK"/>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stacked"/>
        <c:varyColors val="0"/>
        <c:ser>
          <c:idx val="0"/>
          <c:order val="0"/>
          <c:tx>
            <c:strRef>
              <c:f>'štruktura zaväzkov zdravo'!$A$3</c:f>
              <c:strCache>
                <c:ptCount val="1"/>
                <c:pt idx="0">
                  <c:v>Príspev. org. v pôsobnosti MZ SR (vrátane UN a FN)</c:v>
                </c:pt>
              </c:strCache>
            </c:strRef>
          </c:tx>
          <c:spPr>
            <a:solidFill>
              <a:schemeClr val="accent2">
                <a:shade val="53000"/>
              </a:schemeClr>
            </a:solidFill>
            <a:ln>
              <a:noFill/>
            </a:ln>
            <a:effectLst/>
          </c:spPr>
          <c:invertIfNegative val="0"/>
          <c:cat>
            <c:numRef>
              <c:f>'štruktura zaväzkov zdravo'!$B$2:$G$2</c:f>
              <c:numCache>
                <c:formatCode>General</c:formatCode>
                <c:ptCount val="6"/>
                <c:pt idx="0">
                  <c:v>2018</c:v>
                </c:pt>
                <c:pt idx="1">
                  <c:v>2019</c:v>
                </c:pt>
                <c:pt idx="2">
                  <c:v>2020</c:v>
                </c:pt>
                <c:pt idx="3">
                  <c:v>2021</c:v>
                </c:pt>
                <c:pt idx="4">
                  <c:v>2022</c:v>
                </c:pt>
                <c:pt idx="5">
                  <c:v>2023</c:v>
                </c:pt>
              </c:numCache>
            </c:numRef>
          </c:cat>
          <c:val>
            <c:numRef>
              <c:f>'štruktura zaväzkov zdravo'!$B$3:$G$3</c:f>
              <c:numCache>
                <c:formatCode>###0.00;###0.00</c:formatCode>
                <c:ptCount val="6"/>
                <c:pt idx="0">
                  <c:v>880.35</c:v>
                </c:pt>
                <c:pt idx="1">
                  <c:v>811.74</c:v>
                </c:pt>
                <c:pt idx="2" formatCode="General">
                  <c:v>911.19</c:v>
                </c:pt>
                <c:pt idx="3">
                  <c:v>1095.5899999999999</c:v>
                </c:pt>
                <c:pt idx="4" formatCode="General">
                  <c:v>1118.98</c:v>
                </c:pt>
                <c:pt idx="5" formatCode="General">
                  <c:v>1139.9000000000001</c:v>
                </c:pt>
              </c:numCache>
            </c:numRef>
          </c:val>
          <c:extLst>
            <c:ext xmlns:c16="http://schemas.microsoft.com/office/drawing/2014/chart" uri="{C3380CC4-5D6E-409C-BE32-E72D297353CC}">
              <c16:uniqueId val="{00000000-16EE-42E6-9DC0-54D1ED8D43ED}"/>
            </c:ext>
          </c:extLst>
        </c:ser>
        <c:ser>
          <c:idx val="1"/>
          <c:order val="1"/>
          <c:tx>
            <c:strRef>
              <c:f>'štruktura zaväzkov zdravo'!$A$4</c:f>
              <c:strCache>
                <c:ptCount val="1"/>
                <c:pt idx="0">
                  <c:v>Zdravotné poisťovne</c:v>
                </c:pt>
              </c:strCache>
            </c:strRef>
          </c:tx>
          <c:spPr>
            <a:solidFill>
              <a:schemeClr val="accent2">
                <a:shade val="76000"/>
              </a:schemeClr>
            </a:solidFill>
            <a:ln>
              <a:noFill/>
            </a:ln>
            <a:effectLst/>
          </c:spPr>
          <c:invertIfNegative val="0"/>
          <c:cat>
            <c:numRef>
              <c:f>'štruktura zaväzkov zdravo'!$B$2:$G$2</c:f>
              <c:numCache>
                <c:formatCode>General</c:formatCode>
                <c:ptCount val="6"/>
                <c:pt idx="0">
                  <c:v>2018</c:v>
                </c:pt>
                <c:pt idx="1">
                  <c:v>2019</c:v>
                </c:pt>
                <c:pt idx="2">
                  <c:v>2020</c:v>
                </c:pt>
                <c:pt idx="3">
                  <c:v>2021</c:v>
                </c:pt>
                <c:pt idx="4">
                  <c:v>2022</c:v>
                </c:pt>
                <c:pt idx="5">
                  <c:v>2023</c:v>
                </c:pt>
              </c:numCache>
            </c:numRef>
          </c:cat>
          <c:val>
            <c:numRef>
              <c:f>'štruktura zaväzkov zdravo'!$B$4:$G$4</c:f>
              <c:numCache>
                <c:formatCode>###0.00;###0.00</c:formatCode>
                <c:ptCount val="6"/>
                <c:pt idx="0">
                  <c:v>389</c:v>
                </c:pt>
                <c:pt idx="1">
                  <c:v>361.04</c:v>
                </c:pt>
                <c:pt idx="2">
                  <c:v>417.4</c:v>
                </c:pt>
                <c:pt idx="3">
                  <c:v>417.79</c:v>
                </c:pt>
                <c:pt idx="4">
                  <c:v>481.13</c:v>
                </c:pt>
                <c:pt idx="5">
                  <c:v>515.96</c:v>
                </c:pt>
              </c:numCache>
            </c:numRef>
          </c:val>
          <c:extLst>
            <c:ext xmlns:c16="http://schemas.microsoft.com/office/drawing/2014/chart" uri="{C3380CC4-5D6E-409C-BE32-E72D297353CC}">
              <c16:uniqueId val="{00000001-16EE-42E6-9DC0-54D1ED8D43ED}"/>
            </c:ext>
          </c:extLst>
        </c:ser>
        <c:ser>
          <c:idx val="2"/>
          <c:order val="2"/>
          <c:tx>
            <c:strRef>
              <c:f>'štruktura zaväzkov zdravo'!$A$5</c:f>
              <c:strCache>
                <c:ptCount val="1"/>
                <c:pt idx="0">
                  <c:v>ZZ delimitovane na obce, VÚC a transform. na n.o.</c:v>
                </c:pt>
              </c:strCache>
            </c:strRef>
          </c:tx>
          <c:spPr>
            <a:solidFill>
              <a:schemeClr val="accent2"/>
            </a:solidFill>
            <a:ln>
              <a:noFill/>
            </a:ln>
            <a:effectLst/>
          </c:spPr>
          <c:invertIfNegative val="0"/>
          <c:cat>
            <c:numRef>
              <c:f>'štruktura zaväzkov zdravo'!$B$2:$G$2</c:f>
              <c:numCache>
                <c:formatCode>General</c:formatCode>
                <c:ptCount val="6"/>
                <c:pt idx="0">
                  <c:v>2018</c:v>
                </c:pt>
                <c:pt idx="1">
                  <c:v>2019</c:v>
                </c:pt>
                <c:pt idx="2">
                  <c:v>2020</c:v>
                </c:pt>
                <c:pt idx="3">
                  <c:v>2021</c:v>
                </c:pt>
                <c:pt idx="4">
                  <c:v>2022</c:v>
                </c:pt>
                <c:pt idx="5">
                  <c:v>2023</c:v>
                </c:pt>
              </c:numCache>
            </c:numRef>
          </c:cat>
          <c:val>
            <c:numRef>
              <c:f>'štruktura zaväzkov zdravo'!$B$5:$G$5</c:f>
              <c:numCache>
                <c:formatCode>###0.00;###0.00</c:formatCode>
                <c:ptCount val="6"/>
                <c:pt idx="0">
                  <c:v>133.41999999999999</c:v>
                </c:pt>
                <c:pt idx="1">
                  <c:v>109.1</c:v>
                </c:pt>
                <c:pt idx="2">
                  <c:v>120.86</c:v>
                </c:pt>
                <c:pt idx="3">
                  <c:v>128.62</c:v>
                </c:pt>
                <c:pt idx="4">
                  <c:v>156.69999999999999</c:v>
                </c:pt>
                <c:pt idx="5">
                  <c:v>146.66999999999999</c:v>
                </c:pt>
              </c:numCache>
            </c:numRef>
          </c:val>
          <c:extLst>
            <c:ext xmlns:c16="http://schemas.microsoft.com/office/drawing/2014/chart" uri="{C3380CC4-5D6E-409C-BE32-E72D297353CC}">
              <c16:uniqueId val="{00000002-16EE-42E6-9DC0-54D1ED8D43ED}"/>
            </c:ext>
          </c:extLst>
        </c:ser>
        <c:ser>
          <c:idx val="3"/>
          <c:order val="3"/>
          <c:tx>
            <c:strRef>
              <c:f>'štruktura zaväzkov zdravo'!$A$6</c:f>
              <c:strCache>
                <c:ptCount val="1"/>
                <c:pt idx="0">
                  <c:v>ZZ transformovane na a.s.</c:v>
                </c:pt>
              </c:strCache>
            </c:strRef>
          </c:tx>
          <c:spPr>
            <a:solidFill>
              <a:schemeClr val="accent2">
                <a:tint val="77000"/>
              </a:schemeClr>
            </a:solidFill>
            <a:ln>
              <a:noFill/>
            </a:ln>
            <a:effectLst/>
          </c:spPr>
          <c:invertIfNegative val="0"/>
          <c:cat>
            <c:numRef>
              <c:f>'štruktura zaväzkov zdravo'!$B$2:$G$2</c:f>
              <c:numCache>
                <c:formatCode>General</c:formatCode>
                <c:ptCount val="6"/>
                <c:pt idx="0">
                  <c:v>2018</c:v>
                </c:pt>
                <c:pt idx="1">
                  <c:v>2019</c:v>
                </c:pt>
                <c:pt idx="2">
                  <c:v>2020</c:v>
                </c:pt>
                <c:pt idx="3">
                  <c:v>2021</c:v>
                </c:pt>
                <c:pt idx="4">
                  <c:v>2022</c:v>
                </c:pt>
                <c:pt idx="5">
                  <c:v>2023</c:v>
                </c:pt>
              </c:numCache>
            </c:numRef>
          </c:cat>
          <c:val>
            <c:numRef>
              <c:f>'štruktura zaväzkov zdravo'!$B$6:$G$6</c:f>
              <c:numCache>
                <c:formatCode>###0.00;###0.00</c:formatCode>
                <c:ptCount val="6"/>
                <c:pt idx="0">
                  <c:v>69.349999999999994</c:v>
                </c:pt>
                <c:pt idx="1">
                  <c:v>72.56</c:v>
                </c:pt>
                <c:pt idx="2">
                  <c:v>70.22</c:v>
                </c:pt>
                <c:pt idx="3">
                  <c:v>77.44</c:v>
                </c:pt>
                <c:pt idx="4">
                  <c:v>98.64</c:v>
                </c:pt>
                <c:pt idx="5">
                  <c:v>102.4</c:v>
                </c:pt>
              </c:numCache>
            </c:numRef>
          </c:val>
          <c:extLst>
            <c:ext xmlns:c16="http://schemas.microsoft.com/office/drawing/2014/chart" uri="{C3380CC4-5D6E-409C-BE32-E72D297353CC}">
              <c16:uniqueId val="{00000003-16EE-42E6-9DC0-54D1ED8D43ED}"/>
            </c:ext>
          </c:extLst>
        </c:ser>
        <c:ser>
          <c:idx val="4"/>
          <c:order val="4"/>
          <c:tx>
            <c:strRef>
              <c:f>'štruktura zaväzkov zdravo'!$A$7</c:f>
              <c:strCache>
                <c:ptCount val="1"/>
                <c:pt idx="0">
                  <c:v>ZZ v pôsobnosti MV SR a MO SR</c:v>
                </c:pt>
              </c:strCache>
            </c:strRef>
          </c:tx>
          <c:spPr>
            <a:solidFill>
              <a:schemeClr val="accent2">
                <a:tint val="54000"/>
              </a:schemeClr>
            </a:solidFill>
            <a:ln>
              <a:noFill/>
            </a:ln>
            <a:effectLst/>
          </c:spPr>
          <c:invertIfNegative val="0"/>
          <c:cat>
            <c:numRef>
              <c:f>'štruktura zaväzkov zdravo'!$B$2:$G$2</c:f>
              <c:numCache>
                <c:formatCode>General</c:formatCode>
                <c:ptCount val="6"/>
                <c:pt idx="0">
                  <c:v>2018</c:v>
                </c:pt>
                <c:pt idx="1">
                  <c:v>2019</c:v>
                </c:pt>
                <c:pt idx="2">
                  <c:v>2020</c:v>
                </c:pt>
                <c:pt idx="3">
                  <c:v>2021</c:v>
                </c:pt>
                <c:pt idx="4">
                  <c:v>2022</c:v>
                </c:pt>
                <c:pt idx="5">
                  <c:v>2023</c:v>
                </c:pt>
              </c:numCache>
            </c:numRef>
          </c:cat>
          <c:val>
            <c:numRef>
              <c:f>'štruktura zaväzkov zdravo'!$B$7:$G$7</c:f>
              <c:numCache>
                <c:formatCode>###0.00;###0.00</c:formatCode>
                <c:ptCount val="6"/>
                <c:pt idx="0">
                  <c:v>42.6</c:v>
                </c:pt>
                <c:pt idx="1">
                  <c:v>37.53</c:v>
                </c:pt>
                <c:pt idx="2">
                  <c:v>45.58</c:v>
                </c:pt>
                <c:pt idx="3">
                  <c:v>55.09</c:v>
                </c:pt>
                <c:pt idx="4">
                  <c:v>58.55</c:v>
                </c:pt>
                <c:pt idx="5">
                  <c:v>59.3</c:v>
                </c:pt>
              </c:numCache>
            </c:numRef>
          </c:val>
          <c:extLst>
            <c:ext xmlns:c16="http://schemas.microsoft.com/office/drawing/2014/chart" uri="{C3380CC4-5D6E-409C-BE32-E72D297353CC}">
              <c16:uniqueId val="{00000004-16EE-42E6-9DC0-54D1ED8D43ED}"/>
            </c:ext>
          </c:extLst>
        </c:ser>
        <c:dLbls>
          <c:showLegendKey val="0"/>
          <c:showVal val="0"/>
          <c:showCatName val="0"/>
          <c:showSerName val="0"/>
          <c:showPercent val="0"/>
          <c:showBubbleSize val="0"/>
        </c:dLbls>
        <c:gapWidth val="150"/>
        <c:overlap val="100"/>
        <c:axId val="1728348016"/>
        <c:axId val="1728335536"/>
      </c:barChart>
      <c:catAx>
        <c:axId val="1728348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1728335536"/>
        <c:crosses val="autoZero"/>
        <c:auto val="1"/>
        <c:lblAlgn val="ctr"/>
        <c:lblOffset val="100"/>
        <c:noMultiLvlLbl val="0"/>
      </c:catAx>
      <c:valAx>
        <c:axId val="1728335536"/>
        <c:scaling>
          <c:orientation val="minMax"/>
          <c:max val="20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1728348016"/>
        <c:crosses val="autoZero"/>
        <c:crossBetween val="between"/>
      </c:valAx>
      <c:spPr>
        <a:noFill/>
        <a:ln>
          <a:noFill/>
        </a:ln>
        <a:effectLst/>
      </c:spPr>
    </c:plotArea>
    <c:legend>
      <c:legendPos val="r"/>
      <c:layout>
        <c:manualLayout>
          <c:xMode val="edge"/>
          <c:yMode val="edge"/>
          <c:x val="0.65175773603186138"/>
          <c:y val="3.8059461665502323E-2"/>
          <c:w val="0.33613938953546085"/>
          <c:h val="0.8654564644631803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legend>
    <c:plotVisOnly val="1"/>
    <c:dispBlanksAs val="gap"/>
    <c:showDLblsOverMax val="0"/>
  </c:chart>
  <c:spPr>
    <a:solidFill>
      <a:schemeClr val="bg1"/>
    </a:solidFill>
    <a:ln w="9525" cap="flat" cmpd="sng" algn="ctr">
      <a:noFill/>
      <a:round/>
    </a:ln>
    <a:effectLst/>
  </c:spPr>
  <c:txPr>
    <a:bodyPr/>
    <a:lstStyle/>
    <a:p>
      <a:pPr>
        <a:defRPr sz="800">
          <a:solidFill>
            <a:schemeClr val="tx2"/>
          </a:solidFill>
          <a:latin typeface="Segoe UI" panose="020B0502040204020203" pitchFamily="34" charset="0"/>
          <a:cs typeface="Segoe UI" panose="020B0502040204020203" pitchFamily="34" charset="0"/>
        </a:defRPr>
      </a:pPr>
      <a:endParaRPr lang="sk-SK"/>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Hárok1!$A$3</c:f>
              <c:strCache>
                <c:ptCount val="1"/>
                <c:pt idx="0">
                  <c:v>Záväzky v lehote splatnosti</c:v>
                </c:pt>
              </c:strCache>
            </c:strRef>
          </c:tx>
          <c:spPr>
            <a:solidFill>
              <a:schemeClr val="tx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Segoe UI" panose="020B0502040204020203" pitchFamily="34" charset="0"/>
                    <a:ea typeface="+mn-ea"/>
                    <a:cs typeface="Segoe UI" panose="020B0502040204020203" pitchFamily="34" charset="0"/>
                  </a:defRPr>
                </a:pPr>
                <a:endParaRPr lang="sk-SK"/>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Hárok1!$B$2:$L$2</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Hárok1!$B$3:$L$3</c:f>
              <c:numCache>
                <c:formatCode>#\ ##0.0</c:formatCode>
                <c:ptCount val="11"/>
                <c:pt idx="0">
                  <c:v>128.98500000000001</c:v>
                </c:pt>
                <c:pt idx="1">
                  <c:v>118.191</c:v>
                </c:pt>
                <c:pt idx="2">
                  <c:v>120.205</c:v>
                </c:pt>
                <c:pt idx="3">
                  <c:v>123.32899999999999</c:v>
                </c:pt>
                <c:pt idx="4">
                  <c:v>127.621</c:v>
                </c:pt>
                <c:pt idx="5">
                  <c:v>156.16800000000001</c:v>
                </c:pt>
                <c:pt idx="6">
                  <c:v>206.20400000000001</c:v>
                </c:pt>
                <c:pt idx="7">
                  <c:v>241.7</c:v>
                </c:pt>
                <c:pt idx="8">
                  <c:v>306.10000000000002</c:v>
                </c:pt>
                <c:pt idx="9">
                  <c:v>317.60000000000002</c:v>
                </c:pt>
                <c:pt idx="10">
                  <c:v>321.8</c:v>
                </c:pt>
              </c:numCache>
            </c:numRef>
          </c:val>
          <c:extLst>
            <c:ext xmlns:c16="http://schemas.microsoft.com/office/drawing/2014/chart" uri="{C3380CC4-5D6E-409C-BE32-E72D297353CC}">
              <c16:uniqueId val="{00000000-BC74-47A4-9808-B8FA1592469B}"/>
            </c:ext>
          </c:extLst>
        </c:ser>
        <c:ser>
          <c:idx val="1"/>
          <c:order val="1"/>
          <c:tx>
            <c:strRef>
              <c:f>Hárok1!$A$4</c:f>
              <c:strCache>
                <c:ptCount val="1"/>
                <c:pt idx="0">
                  <c:v>Záväzky po lehote splatnosti</c:v>
                </c:pt>
              </c:strCache>
            </c:strRef>
          </c:tx>
          <c:spPr>
            <a:solidFill>
              <a:schemeClr val="bg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Hárok1!$B$2:$L$2</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Hárok1!$B$4:$L$4</c:f>
              <c:numCache>
                <c:formatCode>#\ ##0.0</c:formatCode>
                <c:ptCount val="11"/>
                <c:pt idx="0">
                  <c:v>236.82499999999999</c:v>
                </c:pt>
                <c:pt idx="1">
                  <c:v>317.85599999999999</c:v>
                </c:pt>
                <c:pt idx="2">
                  <c:v>426.923</c:v>
                </c:pt>
                <c:pt idx="3">
                  <c:v>527.16499999999996</c:v>
                </c:pt>
                <c:pt idx="4">
                  <c:v>646.38900000000001</c:v>
                </c:pt>
                <c:pt idx="5">
                  <c:v>656.34799999999996</c:v>
                </c:pt>
                <c:pt idx="6">
                  <c:v>529.77</c:v>
                </c:pt>
                <c:pt idx="7">
                  <c:v>593.20000000000005</c:v>
                </c:pt>
                <c:pt idx="8">
                  <c:v>694.6</c:v>
                </c:pt>
                <c:pt idx="9">
                  <c:v>690.3</c:v>
                </c:pt>
                <c:pt idx="10">
                  <c:v>699.9</c:v>
                </c:pt>
              </c:numCache>
            </c:numRef>
          </c:val>
          <c:extLst>
            <c:ext xmlns:c16="http://schemas.microsoft.com/office/drawing/2014/chart" uri="{C3380CC4-5D6E-409C-BE32-E72D297353CC}">
              <c16:uniqueId val="{00000001-BC74-47A4-9808-B8FA1592469B}"/>
            </c:ext>
          </c:extLst>
        </c:ser>
        <c:dLbls>
          <c:showLegendKey val="0"/>
          <c:showVal val="0"/>
          <c:showCatName val="0"/>
          <c:showSerName val="0"/>
          <c:showPercent val="0"/>
          <c:showBubbleSize val="0"/>
        </c:dLbls>
        <c:gapWidth val="55"/>
        <c:overlap val="100"/>
        <c:axId val="1408876720"/>
        <c:axId val="1408877136"/>
      </c:barChart>
      <c:catAx>
        <c:axId val="1408876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1408877136"/>
        <c:crosses val="autoZero"/>
        <c:auto val="1"/>
        <c:lblAlgn val="ctr"/>
        <c:lblOffset val="100"/>
        <c:noMultiLvlLbl val="0"/>
      </c:catAx>
      <c:valAx>
        <c:axId val="1408877136"/>
        <c:scaling>
          <c:orientation val="minMax"/>
          <c:max val="1100"/>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1408876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legend>
    <c:plotVisOnly val="1"/>
    <c:dispBlanksAs val="gap"/>
    <c:showDLblsOverMax val="0"/>
  </c:chart>
  <c:spPr>
    <a:solidFill>
      <a:schemeClr val="bg1"/>
    </a:solidFill>
    <a:ln w="9525" cap="flat" cmpd="sng" algn="ctr">
      <a:noFill/>
      <a:round/>
    </a:ln>
    <a:effectLst/>
  </c:spPr>
  <c:txPr>
    <a:bodyPr/>
    <a:lstStyle/>
    <a:p>
      <a:pPr>
        <a:defRPr sz="800">
          <a:solidFill>
            <a:schemeClr val="tx2"/>
          </a:solidFill>
          <a:latin typeface="Segoe UI" panose="020B0502040204020203" pitchFamily="34" charset="0"/>
          <a:cs typeface="Segoe UI" panose="020B0502040204020203" pitchFamily="34" charset="0"/>
        </a:defRPr>
      </a:pPr>
      <a:endParaRPr lang="sk-SK"/>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6270702011305195E-2"/>
          <c:y val="0.28196977304956711"/>
          <c:w val="0.93810766908773835"/>
          <c:h val="0.59258010583295173"/>
        </c:manualLayout>
      </c:layout>
      <c:barChart>
        <c:barDir val="col"/>
        <c:grouping val="stacked"/>
        <c:varyColors val="0"/>
        <c:ser>
          <c:idx val="0"/>
          <c:order val="0"/>
          <c:tx>
            <c:strRef>
              <c:f>Hárok1!$B$3</c:f>
              <c:strCache>
                <c:ptCount val="1"/>
                <c:pt idx="0">
                  <c:v>Záväzky v lehote splatnosti (mil. eur)</c:v>
                </c:pt>
              </c:strCache>
            </c:strRef>
          </c:tx>
          <c:spPr>
            <a:solidFill>
              <a:schemeClr val="accent3"/>
            </a:solidFill>
            <a:ln>
              <a:noFill/>
            </a:ln>
            <a:effectLst/>
          </c:spPr>
          <c:invertIfNegative val="0"/>
          <c:cat>
            <c:numRef>
              <c:f>Hárok1!$C$2:$I$2</c:f>
              <c:numCache>
                <c:formatCode>General</c:formatCode>
                <c:ptCount val="7"/>
                <c:pt idx="0">
                  <c:v>2017</c:v>
                </c:pt>
                <c:pt idx="1">
                  <c:v>2018</c:v>
                </c:pt>
                <c:pt idx="2">
                  <c:v>2019</c:v>
                </c:pt>
                <c:pt idx="3">
                  <c:v>2020</c:v>
                </c:pt>
                <c:pt idx="4">
                  <c:v>2021</c:v>
                </c:pt>
                <c:pt idx="5">
                  <c:v>2022</c:v>
                </c:pt>
                <c:pt idx="6">
                  <c:v>2023</c:v>
                </c:pt>
              </c:numCache>
            </c:numRef>
          </c:cat>
          <c:val>
            <c:numRef>
              <c:f>Hárok1!$C$3:$I$3</c:f>
              <c:numCache>
                <c:formatCode>0.0</c:formatCode>
                <c:ptCount val="7"/>
                <c:pt idx="0">
                  <c:v>3.1835700800000017</c:v>
                </c:pt>
                <c:pt idx="1">
                  <c:v>2.5607331299999991</c:v>
                </c:pt>
                <c:pt idx="2">
                  <c:v>2.8779719999999998</c:v>
                </c:pt>
                <c:pt idx="3">
                  <c:v>2.4567669999999993</c:v>
                </c:pt>
                <c:pt idx="4">
                  <c:v>2.8850070000000017</c:v>
                </c:pt>
                <c:pt idx="5">
                  <c:v>2.639406000000001</c:v>
                </c:pt>
                <c:pt idx="6" formatCode="#\ ##0.0">
                  <c:v>3.2337889999999998</c:v>
                </c:pt>
              </c:numCache>
            </c:numRef>
          </c:val>
          <c:extLst>
            <c:ext xmlns:c16="http://schemas.microsoft.com/office/drawing/2014/chart" uri="{C3380CC4-5D6E-409C-BE32-E72D297353CC}">
              <c16:uniqueId val="{00000000-E9DB-4141-B3D3-382E4194C1A6}"/>
            </c:ext>
          </c:extLst>
        </c:ser>
        <c:ser>
          <c:idx val="1"/>
          <c:order val="1"/>
          <c:tx>
            <c:strRef>
              <c:f>Hárok1!$B$4</c:f>
              <c:strCache>
                <c:ptCount val="1"/>
                <c:pt idx="0">
                  <c:v>Súčasť záväzkov v lehote splatnosti - NFV z MZ SR (mil. eur)</c:v>
                </c:pt>
              </c:strCache>
            </c:strRef>
          </c:tx>
          <c:spPr>
            <a:solidFill>
              <a:schemeClr val="accent4"/>
            </a:solidFill>
            <a:ln>
              <a:noFill/>
            </a:ln>
            <a:effectLst/>
          </c:spPr>
          <c:invertIfNegative val="0"/>
          <c:cat>
            <c:numRef>
              <c:f>Hárok1!$C$2:$I$2</c:f>
              <c:numCache>
                <c:formatCode>General</c:formatCode>
                <c:ptCount val="7"/>
                <c:pt idx="0">
                  <c:v>2017</c:v>
                </c:pt>
                <c:pt idx="1">
                  <c:v>2018</c:v>
                </c:pt>
                <c:pt idx="2">
                  <c:v>2019</c:v>
                </c:pt>
                <c:pt idx="3">
                  <c:v>2020</c:v>
                </c:pt>
                <c:pt idx="4">
                  <c:v>2021</c:v>
                </c:pt>
                <c:pt idx="5">
                  <c:v>2022</c:v>
                </c:pt>
                <c:pt idx="6">
                  <c:v>2023</c:v>
                </c:pt>
              </c:numCache>
            </c:numRef>
          </c:cat>
          <c:val>
            <c:numRef>
              <c:f>Hárok1!$C$4:$I$4</c:f>
              <c:numCache>
                <c:formatCode>0</c:formatCode>
                <c:ptCount val="7"/>
                <c:pt idx="1">
                  <c:v>28</c:v>
                </c:pt>
                <c:pt idx="2">
                  <c:v>28</c:v>
                </c:pt>
                <c:pt idx="3">
                  <c:v>28</c:v>
                </c:pt>
                <c:pt idx="4">
                  <c:v>28</c:v>
                </c:pt>
                <c:pt idx="5">
                  <c:v>28</c:v>
                </c:pt>
                <c:pt idx="6" formatCode="#,##0">
                  <c:v>28</c:v>
                </c:pt>
              </c:numCache>
            </c:numRef>
          </c:val>
          <c:extLst>
            <c:ext xmlns:c16="http://schemas.microsoft.com/office/drawing/2014/chart" uri="{C3380CC4-5D6E-409C-BE32-E72D297353CC}">
              <c16:uniqueId val="{00000001-E9DB-4141-B3D3-382E4194C1A6}"/>
            </c:ext>
          </c:extLst>
        </c:ser>
        <c:ser>
          <c:idx val="2"/>
          <c:order val="2"/>
          <c:tx>
            <c:strRef>
              <c:f>Hárok1!$B$5</c:f>
              <c:strCache>
                <c:ptCount val="1"/>
                <c:pt idx="0">
                  <c:v>Záväzky po lehote splatnosti (mil. eur)</c:v>
                </c:pt>
              </c:strCache>
            </c:strRef>
          </c:tx>
          <c:spPr>
            <a:solidFill>
              <a:schemeClr val="tx2"/>
            </a:solidFill>
            <a:ln>
              <a:noFill/>
            </a:ln>
            <a:effectLst/>
          </c:spPr>
          <c:invertIfNegative val="0"/>
          <c:cat>
            <c:numRef>
              <c:f>Hárok1!$C$2:$I$2</c:f>
              <c:numCache>
                <c:formatCode>General</c:formatCode>
                <c:ptCount val="7"/>
                <c:pt idx="0">
                  <c:v>2017</c:v>
                </c:pt>
                <c:pt idx="1">
                  <c:v>2018</c:v>
                </c:pt>
                <c:pt idx="2">
                  <c:v>2019</c:v>
                </c:pt>
                <c:pt idx="3">
                  <c:v>2020</c:v>
                </c:pt>
                <c:pt idx="4">
                  <c:v>2021</c:v>
                </c:pt>
                <c:pt idx="5">
                  <c:v>2022</c:v>
                </c:pt>
                <c:pt idx="6">
                  <c:v>2023</c:v>
                </c:pt>
              </c:numCache>
            </c:numRef>
          </c:cat>
          <c:val>
            <c:numRef>
              <c:f>Hárok1!$C$5:$I$5</c:f>
              <c:numCache>
                <c:formatCode>0.0</c:formatCode>
                <c:ptCount val="7"/>
                <c:pt idx="0">
                  <c:v>33.444887909999998</c:v>
                </c:pt>
                <c:pt idx="1">
                  <c:v>17.102958910000002</c:v>
                </c:pt>
                <c:pt idx="2">
                  <c:v>14.116429999999999</c:v>
                </c:pt>
                <c:pt idx="3">
                  <c:v>14.457995</c:v>
                </c:pt>
                <c:pt idx="4">
                  <c:v>20.508602</c:v>
                </c:pt>
                <c:pt idx="5">
                  <c:v>26.540467</c:v>
                </c:pt>
                <c:pt idx="6" formatCode="#\ ##0.0">
                  <c:v>23.502116999999998</c:v>
                </c:pt>
              </c:numCache>
            </c:numRef>
          </c:val>
          <c:extLst>
            <c:ext xmlns:c16="http://schemas.microsoft.com/office/drawing/2014/chart" uri="{C3380CC4-5D6E-409C-BE32-E72D297353CC}">
              <c16:uniqueId val="{00000002-E9DB-4141-B3D3-382E4194C1A6}"/>
            </c:ext>
          </c:extLst>
        </c:ser>
        <c:dLbls>
          <c:showLegendKey val="0"/>
          <c:showVal val="0"/>
          <c:showCatName val="0"/>
          <c:showSerName val="0"/>
          <c:showPercent val="0"/>
          <c:showBubbleSize val="0"/>
        </c:dLbls>
        <c:gapWidth val="159"/>
        <c:overlap val="100"/>
        <c:axId val="1554745824"/>
        <c:axId val="1554750816"/>
      </c:barChart>
      <c:lineChart>
        <c:grouping val="stacked"/>
        <c:varyColors val="0"/>
        <c:ser>
          <c:idx val="3"/>
          <c:order val="3"/>
          <c:tx>
            <c:strRef>
              <c:f>Hárok1!$B$6</c:f>
              <c:strCache>
                <c:ptCount val="1"/>
                <c:pt idx="0">
                  <c:v>Pohľadávky celkové (mil. eur)</c:v>
                </c:pt>
              </c:strCache>
            </c:strRef>
          </c:tx>
          <c:spPr>
            <a:ln w="28575" cap="rnd">
              <a:noFill/>
              <a:round/>
            </a:ln>
            <a:effectLst/>
          </c:spPr>
          <c:marker>
            <c:symbol val="diamond"/>
            <c:size val="5"/>
            <c:spPr>
              <a:solidFill>
                <a:schemeClr val="accent6"/>
              </a:solidFill>
              <a:ln w="25400">
                <a:solidFill>
                  <a:schemeClr val="accent6"/>
                </a:solidFill>
              </a:ln>
              <a:effectLst/>
            </c:spPr>
          </c:marker>
          <c:dLbls>
            <c:spPr>
              <a:noFill/>
              <a:ln>
                <a:noFill/>
              </a:ln>
              <a:effectLst/>
            </c:spPr>
            <c:txPr>
              <a:bodyPr rot="0" spcFirstLastPara="1" vertOverflow="ellipsis" vert="horz" wrap="square" anchor="ctr" anchorCtr="1"/>
              <a:lstStyle/>
              <a:p>
                <a:pPr>
                  <a:defRPr sz="800" b="1" i="0" u="none" strike="noStrike" kern="1200" baseline="0">
                    <a:solidFill>
                      <a:schemeClr val="accent6"/>
                    </a:solidFill>
                    <a:latin typeface="Segoe UI" panose="020B0502040204020203" pitchFamily="34" charset="0"/>
                    <a:ea typeface="+mn-ea"/>
                    <a:cs typeface="Segoe UI" panose="020B0502040204020203" pitchFamily="34" charset="0"/>
                  </a:defRPr>
                </a:pPr>
                <a:endParaRPr lang="sk-SK"/>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Hárok1!$C$2:$H$2</c:f>
              <c:numCache>
                <c:formatCode>General</c:formatCode>
                <c:ptCount val="6"/>
                <c:pt idx="0">
                  <c:v>2017</c:v>
                </c:pt>
                <c:pt idx="1">
                  <c:v>2018</c:v>
                </c:pt>
                <c:pt idx="2">
                  <c:v>2019</c:v>
                </c:pt>
                <c:pt idx="3">
                  <c:v>2020</c:v>
                </c:pt>
                <c:pt idx="4">
                  <c:v>2021</c:v>
                </c:pt>
                <c:pt idx="5">
                  <c:v>2022</c:v>
                </c:pt>
              </c:numCache>
            </c:numRef>
          </c:cat>
          <c:val>
            <c:numRef>
              <c:f>Hárok1!$C$6:$I$6</c:f>
              <c:numCache>
                <c:formatCode>0.0</c:formatCode>
                <c:ptCount val="7"/>
                <c:pt idx="0">
                  <c:v>48.840080010000001</c:v>
                </c:pt>
                <c:pt idx="1">
                  <c:v>58.89471743</c:v>
                </c:pt>
                <c:pt idx="2">
                  <c:v>65.445874000000003</c:v>
                </c:pt>
                <c:pt idx="3">
                  <c:v>65.985363000000007</c:v>
                </c:pt>
                <c:pt idx="4">
                  <c:v>66.627035000000006</c:v>
                </c:pt>
                <c:pt idx="5">
                  <c:v>67.888323999999997</c:v>
                </c:pt>
                <c:pt idx="6" formatCode="#\ ##0.0">
                  <c:v>29.750340000000001</c:v>
                </c:pt>
              </c:numCache>
            </c:numRef>
          </c:val>
          <c:smooth val="0"/>
          <c:extLst>
            <c:ext xmlns:c16="http://schemas.microsoft.com/office/drawing/2014/chart" uri="{C3380CC4-5D6E-409C-BE32-E72D297353CC}">
              <c16:uniqueId val="{00000003-E9DB-4141-B3D3-382E4194C1A6}"/>
            </c:ext>
          </c:extLst>
        </c:ser>
        <c:dLbls>
          <c:showLegendKey val="0"/>
          <c:showVal val="0"/>
          <c:showCatName val="0"/>
          <c:showSerName val="0"/>
          <c:showPercent val="0"/>
          <c:showBubbleSize val="0"/>
        </c:dLbls>
        <c:marker val="1"/>
        <c:smooth val="0"/>
        <c:axId val="1554745824"/>
        <c:axId val="1554750816"/>
      </c:lineChart>
      <c:catAx>
        <c:axId val="1554745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1554750816"/>
        <c:crosses val="autoZero"/>
        <c:auto val="1"/>
        <c:lblAlgn val="ctr"/>
        <c:lblOffset val="100"/>
        <c:noMultiLvlLbl val="0"/>
      </c:catAx>
      <c:valAx>
        <c:axId val="15547508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1554745824"/>
        <c:crosses val="autoZero"/>
        <c:crossBetween val="between"/>
        <c:majorUnit val="20"/>
      </c:valAx>
      <c:spPr>
        <a:noFill/>
        <a:ln>
          <a:noFill/>
        </a:ln>
        <a:effectLst/>
      </c:spPr>
    </c:plotArea>
    <c:legend>
      <c:legendPos val="b"/>
      <c:layout>
        <c:manualLayout>
          <c:xMode val="edge"/>
          <c:yMode val="edge"/>
          <c:x val="0"/>
          <c:y val="2.4736129290777564E-2"/>
          <c:w val="1"/>
          <c:h val="0.18748323943739689"/>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legend>
    <c:plotVisOnly val="1"/>
    <c:dispBlanksAs val="gap"/>
    <c:showDLblsOverMax val="0"/>
  </c:chart>
  <c:spPr>
    <a:noFill/>
    <a:ln w="9525" cap="flat" cmpd="sng" algn="ctr">
      <a:noFill/>
      <a:round/>
    </a:ln>
    <a:effectLst/>
  </c:spPr>
  <c:txPr>
    <a:bodyPr/>
    <a:lstStyle/>
    <a:p>
      <a:pPr>
        <a:defRPr sz="800">
          <a:solidFill>
            <a:schemeClr val="tx2"/>
          </a:solidFill>
          <a:latin typeface="Segoe UI" panose="020B0502040204020203" pitchFamily="34" charset="0"/>
          <a:cs typeface="Segoe UI" panose="020B0502040204020203" pitchFamily="34" charset="0"/>
        </a:defRPr>
      </a:pPr>
      <a:endParaRPr lang="sk-SK"/>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000" b="1" i="0" u="none" strike="noStrike" kern="1200" spc="0" baseline="0">
                <a:solidFill>
                  <a:schemeClr val="tx2"/>
                </a:solidFill>
                <a:latin typeface="Segoe UI" panose="020B0502040204020203" pitchFamily="34" charset="0"/>
                <a:ea typeface="+mn-ea"/>
                <a:cs typeface="Segoe UI" panose="020B0502040204020203" pitchFamily="34" charset="0"/>
              </a:defRPr>
            </a:pPr>
            <a:r>
              <a:rPr lang="sk-SK" sz="1000" b="1"/>
              <a:t>2022</a:t>
            </a:r>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tx2"/>
              </a:solidFill>
              <a:latin typeface="Segoe UI" panose="020B0502040204020203" pitchFamily="34" charset="0"/>
              <a:ea typeface="+mn-ea"/>
              <a:cs typeface="Segoe UI" panose="020B0502040204020203" pitchFamily="34" charset="0"/>
            </a:defRPr>
          </a:pPr>
          <a:endParaRPr lang="sk-SK"/>
        </a:p>
      </c:txPr>
    </c:title>
    <c:autoTitleDeleted val="0"/>
    <c:plotArea>
      <c:layout/>
      <c:pieChart>
        <c:varyColors val="1"/>
        <c:ser>
          <c:idx val="1"/>
          <c:order val="0"/>
          <c:tx>
            <c:strRef>
              <c:f>'výdavky na rodinu'!$O$2</c:f>
              <c:strCache>
                <c:ptCount val="1"/>
                <c:pt idx="0">
                  <c:v>Podiel</c:v>
                </c:pt>
              </c:strCache>
            </c:strRef>
          </c:tx>
          <c:spPr>
            <a:ln>
              <a:noFill/>
            </a:ln>
          </c:spPr>
          <c:dPt>
            <c:idx val="0"/>
            <c:bubble3D val="0"/>
            <c:spPr>
              <a:solidFill>
                <a:schemeClr val="accent2">
                  <a:shade val="47000"/>
                </a:schemeClr>
              </a:solidFill>
              <a:ln w="19050">
                <a:noFill/>
              </a:ln>
              <a:effectLst/>
            </c:spPr>
            <c:extLst>
              <c:ext xmlns:c16="http://schemas.microsoft.com/office/drawing/2014/chart" uri="{C3380CC4-5D6E-409C-BE32-E72D297353CC}">
                <c16:uniqueId val="{00000001-A4C9-4118-BB1D-B29215C3A0D4}"/>
              </c:ext>
            </c:extLst>
          </c:dPt>
          <c:dPt>
            <c:idx val="1"/>
            <c:bubble3D val="0"/>
            <c:spPr>
              <a:solidFill>
                <a:schemeClr val="accent2">
                  <a:shade val="65000"/>
                </a:schemeClr>
              </a:solidFill>
              <a:ln w="19050">
                <a:noFill/>
              </a:ln>
              <a:effectLst/>
            </c:spPr>
            <c:extLst>
              <c:ext xmlns:c16="http://schemas.microsoft.com/office/drawing/2014/chart" uri="{C3380CC4-5D6E-409C-BE32-E72D297353CC}">
                <c16:uniqueId val="{00000003-A4C9-4118-BB1D-B29215C3A0D4}"/>
              </c:ext>
            </c:extLst>
          </c:dPt>
          <c:dPt>
            <c:idx val="2"/>
            <c:bubble3D val="0"/>
            <c:spPr>
              <a:solidFill>
                <a:schemeClr val="accent2">
                  <a:shade val="82000"/>
                </a:schemeClr>
              </a:solidFill>
              <a:ln w="19050">
                <a:noFill/>
              </a:ln>
              <a:effectLst/>
            </c:spPr>
            <c:extLst>
              <c:ext xmlns:c16="http://schemas.microsoft.com/office/drawing/2014/chart" uri="{C3380CC4-5D6E-409C-BE32-E72D297353CC}">
                <c16:uniqueId val="{00000005-A4C9-4118-BB1D-B29215C3A0D4}"/>
              </c:ext>
            </c:extLst>
          </c:dPt>
          <c:dPt>
            <c:idx val="3"/>
            <c:bubble3D val="0"/>
            <c:spPr>
              <a:solidFill>
                <a:schemeClr val="accent2"/>
              </a:solidFill>
              <a:ln w="19050">
                <a:noFill/>
              </a:ln>
              <a:effectLst/>
            </c:spPr>
            <c:extLst>
              <c:ext xmlns:c16="http://schemas.microsoft.com/office/drawing/2014/chart" uri="{C3380CC4-5D6E-409C-BE32-E72D297353CC}">
                <c16:uniqueId val="{00000007-A4C9-4118-BB1D-B29215C3A0D4}"/>
              </c:ext>
            </c:extLst>
          </c:dPt>
          <c:dPt>
            <c:idx val="4"/>
            <c:bubble3D val="0"/>
            <c:spPr>
              <a:solidFill>
                <a:schemeClr val="accent2">
                  <a:tint val="83000"/>
                </a:schemeClr>
              </a:solidFill>
              <a:ln w="19050">
                <a:noFill/>
              </a:ln>
              <a:effectLst/>
            </c:spPr>
            <c:extLst>
              <c:ext xmlns:c16="http://schemas.microsoft.com/office/drawing/2014/chart" uri="{C3380CC4-5D6E-409C-BE32-E72D297353CC}">
                <c16:uniqueId val="{00000009-A4C9-4118-BB1D-B29215C3A0D4}"/>
              </c:ext>
            </c:extLst>
          </c:dPt>
          <c:dPt>
            <c:idx val="5"/>
            <c:bubble3D val="0"/>
            <c:spPr>
              <a:solidFill>
                <a:schemeClr val="accent2">
                  <a:tint val="65000"/>
                </a:schemeClr>
              </a:solidFill>
              <a:ln w="19050">
                <a:noFill/>
              </a:ln>
              <a:effectLst/>
            </c:spPr>
            <c:extLst>
              <c:ext xmlns:c16="http://schemas.microsoft.com/office/drawing/2014/chart" uri="{C3380CC4-5D6E-409C-BE32-E72D297353CC}">
                <c16:uniqueId val="{0000000B-A4C9-4118-BB1D-B29215C3A0D4}"/>
              </c:ext>
            </c:extLst>
          </c:dPt>
          <c:dPt>
            <c:idx val="6"/>
            <c:bubble3D val="0"/>
            <c:spPr>
              <a:solidFill>
                <a:schemeClr val="accent2">
                  <a:tint val="48000"/>
                </a:schemeClr>
              </a:solidFill>
              <a:ln w="19050">
                <a:noFill/>
              </a:ln>
              <a:effectLst/>
            </c:spPr>
            <c:extLst>
              <c:ext xmlns:c16="http://schemas.microsoft.com/office/drawing/2014/chart" uri="{C3380CC4-5D6E-409C-BE32-E72D297353CC}">
                <c16:uniqueId val="{0000000D-A4C9-4118-BB1D-B29215C3A0D4}"/>
              </c:ext>
            </c:extLst>
          </c:dPt>
          <c:dLbls>
            <c:numFmt formatCode="0.00%" sourceLinked="0"/>
            <c:spPr>
              <a:noFill/>
              <a:ln>
                <a:noFill/>
              </a:ln>
              <a:effectLst/>
            </c:spPr>
            <c:txPr>
              <a:bodyPr rot="0" spcFirstLastPara="1" vertOverflow="ellipsis" vert="horz" wrap="square" anchor="ctr" anchorCtr="1"/>
              <a:lstStyle/>
              <a:p>
                <a:pPr>
                  <a:defRPr sz="7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'výdavky na rodinu'!$M$3:$M$9</c:f>
              <c:strCache>
                <c:ptCount val="7"/>
                <c:pt idx="0">
                  <c:v>Prídavok na dieťa</c:v>
                </c:pt>
                <c:pt idx="1">
                  <c:v>Rodičovský príspevok</c:v>
                </c:pt>
                <c:pt idx="2">
                  <c:v>Štátom platené poistné</c:v>
                </c:pt>
                <c:pt idx="3">
                  <c:v>Príspevok na starostlivosť o dieťa</c:v>
                </c:pt>
                <c:pt idx="4">
                  <c:v>Dotácia na podporu výchovy k stravovacím návykom</c:v>
                </c:pt>
                <c:pt idx="5">
                  <c:v>Príspevok pri narodení dieťaťa</c:v>
                </c:pt>
                <c:pt idx="6">
                  <c:v>Príspevok na pohreb</c:v>
                </c:pt>
              </c:strCache>
            </c:strRef>
          </c:cat>
          <c:val>
            <c:numRef>
              <c:f>'výdavky na rodinu'!$O$3:$O$9</c:f>
              <c:numCache>
                <c:formatCode>0.0000</c:formatCode>
                <c:ptCount val="7"/>
                <c:pt idx="0">
                  <c:v>0.3001252799952201</c:v>
                </c:pt>
                <c:pt idx="1">
                  <c:v>0.39101395653903753</c:v>
                </c:pt>
                <c:pt idx="2">
                  <c:v>0.27715718327809485</c:v>
                </c:pt>
                <c:pt idx="3">
                  <c:v>2.6666209728010669E-4</c:v>
                </c:pt>
                <c:pt idx="4">
                  <c:v>0</c:v>
                </c:pt>
                <c:pt idx="5">
                  <c:v>2.8459515317313656E-2</c:v>
                </c:pt>
                <c:pt idx="6">
                  <c:v>2.9774027730538172E-3</c:v>
                </c:pt>
              </c:numCache>
            </c:numRef>
          </c:val>
          <c:extLst>
            <c:ext xmlns:c16="http://schemas.microsoft.com/office/drawing/2014/chart" uri="{C3380CC4-5D6E-409C-BE32-E72D297353CC}">
              <c16:uniqueId val="{0000000E-A4C9-4118-BB1D-B29215C3A0D4}"/>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57460706939825845"/>
          <c:y val="4.1038155354547627E-2"/>
          <c:w val="0.39777497893315705"/>
          <c:h val="0.95098154053057415"/>
        </c:manualLayout>
      </c:layout>
      <c:overlay val="0"/>
      <c:spPr>
        <a:noFill/>
        <a:ln>
          <a:noFill/>
        </a:ln>
        <a:effectLst/>
      </c:spPr>
      <c:txPr>
        <a:bodyPr rot="0" spcFirstLastPara="1" vertOverflow="ellipsis" vert="horz" wrap="square" anchor="ctr" anchorCtr="1"/>
        <a:lstStyle/>
        <a:p>
          <a:pPr algn="l">
            <a:defRPr sz="7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legend>
    <c:plotVisOnly val="1"/>
    <c:dispBlanksAs val="gap"/>
    <c:showDLblsOverMax val="0"/>
  </c:chart>
  <c:spPr>
    <a:solidFill>
      <a:schemeClr val="bg1"/>
    </a:solidFill>
    <a:ln w="9525" cap="flat" cmpd="sng" algn="ctr">
      <a:noFill/>
      <a:round/>
    </a:ln>
    <a:effectLst/>
  </c:spPr>
  <c:txPr>
    <a:bodyPr/>
    <a:lstStyle/>
    <a:p>
      <a:pPr>
        <a:defRPr sz="700">
          <a:solidFill>
            <a:schemeClr val="tx2"/>
          </a:solidFill>
          <a:latin typeface="Segoe UI" panose="020B0502040204020203" pitchFamily="34" charset="0"/>
          <a:cs typeface="Segoe UI" panose="020B0502040204020203" pitchFamily="34" charset="0"/>
        </a:defRPr>
      </a:pPr>
      <a:endParaRPr lang="sk-SK"/>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000" b="1" i="0" u="none" strike="noStrike" kern="1200" spc="0" baseline="0">
                <a:solidFill>
                  <a:schemeClr val="tx2"/>
                </a:solidFill>
                <a:latin typeface="Segoe UI" panose="020B0502040204020203" pitchFamily="34" charset="0"/>
                <a:ea typeface="+mn-ea"/>
                <a:cs typeface="Segoe UI" panose="020B0502040204020203" pitchFamily="34" charset="0"/>
              </a:defRPr>
            </a:pPr>
            <a:r>
              <a:rPr lang="sk-SK" sz="1000" b="1"/>
              <a:t>2023</a:t>
            </a:r>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tx2"/>
              </a:solidFill>
              <a:latin typeface="Segoe UI" panose="020B0502040204020203" pitchFamily="34" charset="0"/>
              <a:ea typeface="+mn-ea"/>
              <a:cs typeface="Segoe UI" panose="020B0502040204020203" pitchFamily="34" charset="0"/>
            </a:defRPr>
          </a:pPr>
          <a:endParaRPr lang="sk-SK"/>
        </a:p>
      </c:txPr>
    </c:title>
    <c:autoTitleDeleted val="0"/>
    <c:plotArea>
      <c:layout/>
      <c:pieChart>
        <c:varyColors val="1"/>
        <c:ser>
          <c:idx val="0"/>
          <c:order val="0"/>
          <c:dPt>
            <c:idx val="0"/>
            <c:bubble3D val="0"/>
            <c:spPr>
              <a:solidFill>
                <a:schemeClr val="accent2">
                  <a:shade val="47000"/>
                </a:schemeClr>
              </a:solidFill>
              <a:ln>
                <a:noFill/>
              </a:ln>
              <a:effectLst/>
            </c:spPr>
            <c:extLst>
              <c:ext xmlns:c16="http://schemas.microsoft.com/office/drawing/2014/chart" uri="{C3380CC4-5D6E-409C-BE32-E72D297353CC}">
                <c16:uniqueId val="{00000001-34C9-498F-9FF2-8D40E41C6EC3}"/>
              </c:ext>
            </c:extLst>
          </c:dPt>
          <c:dPt>
            <c:idx val="1"/>
            <c:bubble3D val="0"/>
            <c:spPr>
              <a:solidFill>
                <a:schemeClr val="accent2">
                  <a:shade val="65000"/>
                </a:schemeClr>
              </a:solidFill>
              <a:ln>
                <a:noFill/>
              </a:ln>
              <a:effectLst/>
            </c:spPr>
            <c:extLst>
              <c:ext xmlns:c16="http://schemas.microsoft.com/office/drawing/2014/chart" uri="{C3380CC4-5D6E-409C-BE32-E72D297353CC}">
                <c16:uniqueId val="{00000003-34C9-498F-9FF2-8D40E41C6EC3}"/>
              </c:ext>
            </c:extLst>
          </c:dPt>
          <c:dPt>
            <c:idx val="2"/>
            <c:bubble3D val="0"/>
            <c:spPr>
              <a:solidFill>
                <a:schemeClr val="accent2">
                  <a:shade val="82000"/>
                </a:schemeClr>
              </a:solidFill>
              <a:ln>
                <a:noFill/>
              </a:ln>
              <a:effectLst/>
            </c:spPr>
            <c:extLst>
              <c:ext xmlns:c16="http://schemas.microsoft.com/office/drawing/2014/chart" uri="{C3380CC4-5D6E-409C-BE32-E72D297353CC}">
                <c16:uniqueId val="{00000005-34C9-498F-9FF2-8D40E41C6EC3}"/>
              </c:ext>
            </c:extLst>
          </c:dPt>
          <c:dPt>
            <c:idx val="3"/>
            <c:bubble3D val="0"/>
            <c:spPr>
              <a:solidFill>
                <a:schemeClr val="accent2"/>
              </a:solidFill>
              <a:ln>
                <a:noFill/>
              </a:ln>
              <a:effectLst/>
            </c:spPr>
            <c:extLst>
              <c:ext xmlns:c16="http://schemas.microsoft.com/office/drawing/2014/chart" uri="{C3380CC4-5D6E-409C-BE32-E72D297353CC}">
                <c16:uniqueId val="{00000007-34C9-498F-9FF2-8D40E41C6EC3}"/>
              </c:ext>
            </c:extLst>
          </c:dPt>
          <c:dPt>
            <c:idx val="4"/>
            <c:bubble3D val="0"/>
            <c:spPr>
              <a:solidFill>
                <a:schemeClr val="accent2">
                  <a:tint val="83000"/>
                </a:schemeClr>
              </a:solidFill>
              <a:ln>
                <a:noFill/>
              </a:ln>
              <a:effectLst/>
            </c:spPr>
            <c:extLst>
              <c:ext xmlns:c16="http://schemas.microsoft.com/office/drawing/2014/chart" uri="{C3380CC4-5D6E-409C-BE32-E72D297353CC}">
                <c16:uniqueId val="{00000009-34C9-498F-9FF2-8D40E41C6EC3}"/>
              </c:ext>
            </c:extLst>
          </c:dPt>
          <c:dPt>
            <c:idx val="5"/>
            <c:bubble3D val="0"/>
            <c:spPr>
              <a:solidFill>
                <a:schemeClr val="accent2">
                  <a:tint val="65000"/>
                </a:schemeClr>
              </a:solidFill>
              <a:ln>
                <a:noFill/>
              </a:ln>
              <a:effectLst/>
            </c:spPr>
            <c:extLst>
              <c:ext xmlns:c16="http://schemas.microsoft.com/office/drawing/2014/chart" uri="{C3380CC4-5D6E-409C-BE32-E72D297353CC}">
                <c16:uniqueId val="{0000000B-34C9-498F-9FF2-8D40E41C6EC3}"/>
              </c:ext>
            </c:extLst>
          </c:dPt>
          <c:dPt>
            <c:idx val="6"/>
            <c:bubble3D val="0"/>
            <c:spPr>
              <a:solidFill>
                <a:schemeClr val="accent2">
                  <a:tint val="48000"/>
                </a:schemeClr>
              </a:solidFill>
              <a:ln>
                <a:noFill/>
              </a:ln>
              <a:effectLst/>
            </c:spPr>
            <c:extLst>
              <c:ext xmlns:c16="http://schemas.microsoft.com/office/drawing/2014/chart" uri="{C3380CC4-5D6E-409C-BE32-E72D297353CC}">
                <c16:uniqueId val="{0000000D-34C9-498F-9FF2-8D40E41C6EC3}"/>
              </c:ext>
            </c:extLst>
          </c:dPt>
          <c:dLbls>
            <c:numFmt formatCode="0.00%" sourceLinked="0"/>
            <c:spPr>
              <a:noFill/>
              <a:ln>
                <a:noFill/>
              </a:ln>
              <a:effectLst/>
            </c:spPr>
            <c:txPr>
              <a:bodyPr rot="0" spcFirstLastPara="1" vertOverflow="ellipsis" vert="horz" wrap="square" anchor="ctr" anchorCtr="1"/>
              <a:lstStyle/>
              <a:p>
                <a:pPr>
                  <a:defRPr sz="7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'výdavky na rodinu'!$B$3:$B$9</c:f>
              <c:strCache>
                <c:ptCount val="7"/>
                <c:pt idx="0">
                  <c:v>Prídavok na dieťa</c:v>
                </c:pt>
                <c:pt idx="1">
                  <c:v>Rodičovský príspevok</c:v>
                </c:pt>
                <c:pt idx="2">
                  <c:v>Štátom platené poistné</c:v>
                </c:pt>
                <c:pt idx="3">
                  <c:v>Príspevok na starostlivosť o dieťa</c:v>
                </c:pt>
                <c:pt idx="4">
                  <c:v>Dotácia na podporu výchovy k stravovacím návykom</c:v>
                </c:pt>
                <c:pt idx="5">
                  <c:v>Príspevok pri narodení dieťaťa</c:v>
                </c:pt>
                <c:pt idx="6">
                  <c:v>Príspevok na pohreb</c:v>
                </c:pt>
              </c:strCache>
            </c:strRef>
          </c:cat>
          <c:val>
            <c:numRef>
              <c:f>'výdavky na rodinu'!$D$3:$D$9</c:f>
              <c:numCache>
                <c:formatCode>0.0000</c:formatCode>
                <c:ptCount val="7"/>
                <c:pt idx="0">
                  <c:v>0.38341159868162544</c:v>
                </c:pt>
                <c:pt idx="1">
                  <c:v>0.32126560750134714</c:v>
                </c:pt>
                <c:pt idx="2">
                  <c:v>0.22028595943645637</c:v>
                </c:pt>
                <c:pt idx="3">
                  <c:v>1.6630405610385841E-4</c:v>
                </c:pt>
                <c:pt idx="4">
                  <c:v>5.491201187945835E-2</c:v>
                </c:pt>
                <c:pt idx="5">
                  <c:v>1.8045401757022184E-2</c:v>
                </c:pt>
                <c:pt idx="6">
                  <c:v>1.913116687986674E-3</c:v>
                </c:pt>
              </c:numCache>
            </c:numRef>
          </c:val>
          <c:extLst>
            <c:ext xmlns:c16="http://schemas.microsoft.com/office/drawing/2014/chart" uri="{C3380CC4-5D6E-409C-BE32-E72D297353CC}">
              <c16:uniqueId val="{0000000E-34C9-498F-9FF2-8D40E41C6EC3}"/>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58126088543567811"/>
          <c:y val="3.0718898726870766E-2"/>
          <c:w val="0.39224904833915619"/>
          <c:h val="0.96719269012535236"/>
        </c:manualLayout>
      </c:layout>
      <c:overlay val="0"/>
      <c:spPr>
        <a:noFill/>
        <a:ln>
          <a:noFill/>
        </a:ln>
        <a:effectLst/>
      </c:spPr>
      <c:txPr>
        <a:bodyPr rot="0" spcFirstLastPara="1" vertOverflow="ellipsis" vert="horz" wrap="square" anchor="ctr" anchorCtr="1"/>
        <a:lstStyle/>
        <a:p>
          <a:pPr algn="l">
            <a:defRPr sz="7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legend>
    <c:plotVisOnly val="1"/>
    <c:dispBlanksAs val="gap"/>
    <c:showDLblsOverMax val="0"/>
  </c:chart>
  <c:spPr>
    <a:solidFill>
      <a:schemeClr val="bg1"/>
    </a:solidFill>
    <a:ln w="9525" cap="flat" cmpd="sng" algn="ctr">
      <a:noFill/>
      <a:round/>
    </a:ln>
    <a:effectLst/>
  </c:spPr>
  <c:txPr>
    <a:bodyPr/>
    <a:lstStyle/>
    <a:p>
      <a:pPr>
        <a:defRPr sz="700">
          <a:solidFill>
            <a:schemeClr val="tx2"/>
          </a:solidFill>
          <a:latin typeface="Segoe UI" panose="020B0502040204020203" pitchFamily="34" charset="0"/>
          <a:cs typeface="Segoe UI" panose="020B0502040204020203" pitchFamily="34" charset="0"/>
        </a:defRPr>
      </a:pPr>
      <a:endParaRPr lang="sk-SK"/>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9253556448698433E-2"/>
          <c:y val="5.0505050505050504E-2"/>
          <c:w val="0.89829396325459321"/>
          <c:h val="0.70072264588973621"/>
        </c:manualLayout>
      </c:layout>
      <c:barChart>
        <c:barDir val="col"/>
        <c:grouping val="clustered"/>
        <c:varyColors val="0"/>
        <c:ser>
          <c:idx val="1"/>
          <c:order val="1"/>
          <c:tx>
            <c:strRef>
              <c:f>'Graf 3'!$C$2</c:f>
              <c:strCache>
                <c:ptCount val="1"/>
                <c:pt idx="0">
                  <c:v>Saldo 2023</c:v>
                </c:pt>
              </c:strCache>
            </c:strRef>
          </c:tx>
          <c:spPr>
            <a:solidFill>
              <a:schemeClr val="accent2"/>
            </a:solidFill>
            <a:ln>
              <a:noFill/>
            </a:ln>
            <a:effectLst/>
          </c:spPr>
          <c:invertIfNegative val="0"/>
          <c:dPt>
            <c:idx val="21"/>
            <c:invertIfNegative val="0"/>
            <c:bubble3D val="0"/>
            <c:spPr>
              <a:solidFill>
                <a:srgbClr val="F55647"/>
              </a:solidFill>
              <a:ln>
                <a:noFill/>
              </a:ln>
              <a:effectLst/>
            </c:spPr>
            <c:extLst>
              <c:ext xmlns:c16="http://schemas.microsoft.com/office/drawing/2014/chart" uri="{C3380CC4-5D6E-409C-BE32-E72D297353CC}">
                <c16:uniqueId val="{00000001-084F-450B-B533-7CB651295304}"/>
              </c:ext>
            </c:extLst>
          </c:dPt>
          <c:dLbls>
            <c:dLbl>
              <c:idx val="21"/>
              <c:layout>
                <c:manualLayout>
                  <c:x val="-1.5335107944415549E-16"/>
                  <c:y val="-9.1324200913242004E-2"/>
                </c:manualLayout>
              </c:layout>
              <c:spPr>
                <a:noFill/>
                <a:ln>
                  <a:solidFill>
                    <a:srgbClr val="F55647"/>
                  </a:solid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accent6"/>
                      </a:solidFill>
                      <a:latin typeface="Segoe UI" panose="020B0502040204020203" pitchFamily="34" charset="0"/>
                      <a:ea typeface="+mn-ea"/>
                      <a:cs typeface="Segoe UI" panose="020B0502040204020203" pitchFamily="34" charset="0"/>
                    </a:defRPr>
                  </a:pPr>
                  <a:endParaRPr lang="sk-SK"/>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84F-450B-B533-7CB651295304}"/>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rgbClr val="F55647"/>
                      </a:solidFill>
                      <a:round/>
                    </a:ln>
                    <a:effectLst/>
                  </c:spPr>
                </c15:leaderLines>
              </c:ext>
            </c:extLst>
          </c:dLbls>
          <c:cat>
            <c:strRef>
              <c:f>'Graf 3'!$B$3:$B$29</c:f>
              <c:strCache>
                <c:ptCount val="27"/>
                <c:pt idx="0">
                  <c:v>Cyprus</c:v>
                </c:pt>
                <c:pt idx="1">
                  <c:v>Dánsko</c:v>
                </c:pt>
                <c:pt idx="2">
                  <c:v>Írsko</c:v>
                </c:pt>
                <c:pt idx="3">
                  <c:v>Portugalsko</c:v>
                </c:pt>
                <c:pt idx="4">
                  <c:v>Holandsko</c:v>
                </c:pt>
                <c:pt idx="5">
                  <c:v>Švédsko</c:v>
                </c:pt>
                <c:pt idx="6">
                  <c:v>Chorvátsko</c:v>
                </c:pt>
                <c:pt idx="7">
                  <c:v>Litva</c:v>
                </c:pt>
                <c:pt idx="8">
                  <c:v>Luxembursko</c:v>
                </c:pt>
                <c:pt idx="9">
                  <c:v>Grécko</c:v>
                </c:pt>
                <c:pt idx="10">
                  <c:v>Bulharsko</c:v>
                </c:pt>
                <c:pt idx="11">
                  <c:v>Lotyšsko</c:v>
                </c:pt>
                <c:pt idx="12">
                  <c:v>Nemecko</c:v>
                </c:pt>
                <c:pt idx="13">
                  <c:v>Slovinsko</c:v>
                </c:pt>
                <c:pt idx="14">
                  <c:v>Fínsko</c:v>
                </c:pt>
                <c:pt idx="15">
                  <c:v>Rakúsko</c:v>
                </c:pt>
                <c:pt idx="16">
                  <c:v>Estónsko</c:v>
                </c:pt>
                <c:pt idx="17">
                  <c:v>Španielsko</c:v>
                </c:pt>
                <c:pt idx="18">
                  <c:v>Česko</c:v>
                </c:pt>
                <c:pt idx="19">
                  <c:v>Belgicko</c:v>
                </c:pt>
                <c:pt idx="20">
                  <c:v>Malta</c:v>
                </c:pt>
                <c:pt idx="21">
                  <c:v>Slovensko</c:v>
                </c:pt>
                <c:pt idx="22">
                  <c:v>Poľsko</c:v>
                </c:pt>
                <c:pt idx="23">
                  <c:v>Francúzsko</c:v>
                </c:pt>
                <c:pt idx="24">
                  <c:v>Rumunsko</c:v>
                </c:pt>
                <c:pt idx="25">
                  <c:v>Maďarsko</c:v>
                </c:pt>
                <c:pt idx="26">
                  <c:v>Taliansko</c:v>
                </c:pt>
              </c:strCache>
            </c:strRef>
          </c:cat>
          <c:val>
            <c:numRef>
              <c:f>'Graf 3'!$C$3:$C$29</c:f>
              <c:numCache>
                <c:formatCode>General</c:formatCode>
                <c:ptCount val="27"/>
                <c:pt idx="0">
                  <c:v>3.1</c:v>
                </c:pt>
                <c:pt idx="1">
                  <c:v>3.1</c:v>
                </c:pt>
                <c:pt idx="2">
                  <c:v>1.7</c:v>
                </c:pt>
                <c:pt idx="3">
                  <c:v>1.2</c:v>
                </c:pt>
                <c:pt idx="4">
                  <c:v>-0.3</c:v>
                </c:pt>
                <c:pt idx="5">
                  <c:v>-0.6</c:v>
                </c:pt>
                <c:pt idx="6">
                  <c:v>-0.7</c:v>
                </c:pt>
                <c:pt idx="7">
                  <c:v>-0.8</c:v>
                </c:pt>
                <c:pt idx="8">
                  <c:v>-1.3</c:v>
                </c:pt>
                <c:pt idx="9">
                  <c:v>-1.6</c:v>
                </c:pt>
                <c:pt idx="10">
                  <c:v>-1.9</c:v>
                </c:pt>
                <c:pt idx="11">
                  <c:v>-2.2000000000000002</c:v>
                </c:pt>
                <c:pt idx="12">
                  <c:v>-2.5</c:v>
                </c:pt>
                <c:pt idx="13">
                  <c:v>-2.5</c:v>
                </c:pt>
                <c:pt idx="14">
                  <c:v>-2.7</c:v>
                </c:pt>
                <c:pt idx="15">
                  <c:v>-2.7</c:v>
                </c:pt>
                <c:pt idx="16">
                  <c:v>-3.4</c:v>
                </c:pt>
                <c:pt idx="17">
                  <c:v>-3.6</c:v>
                </c:pt>
                <c:pt idx="18">
                  <c:v>-3.7</c:v>
                </c:pt>
                <c:pt idx="19">
                  <c:v>-4.4000000000000004</c:v>
                </c:pt>
                <c:pt idx="20">
                  <c:v>-4.9000000000000004</c:v>
                </c:pt>
                <c:pt idx="21">
                  <c:v>-4.9000000000000004</c:v>
                </c:pt>
                <c:pt idx="22">
                  <c:v>-5.0999999999999996</c:v>
                </c:pt>
                <c:pt idx="23">
                  <c:v>-5.5</c:v>
                </c:pt>
                <c:pt idx="24">
                  <c:v>-6.6</c:v>
                </c:pt>
                <c:pt idx="25">
                  <c:v>-6.7</c:v>
                </c:pt>
                <c:pt idx="26">
                  <c:v>-7.4</c:v>
                </c:pt>
              </c:numCache>
            </c:numRef>
          </c:val>
          <c:extLst>
            <c:ext xmlns:c16="http://schemas.microsoft.com/office/drawing/2014/chart" uri="{C3380CC4-5D6E-409C-BE32-E72D297353CC}">
              <c16:uniqueId val="{00000002-084F-450B-B533-7CB651295304}"/>
            </c:ext>
          </c:extLst>
        </c:ser>
        <c:dLbls>
          <c:showLegendKey val="0"/>
          <c:showVal val="0"/>
          <c:showCatName val="0"/>
          <c:showSerName val="0"/>
          <c:showPercent val="0"/>
          <c:showBubbleSize val="0"/>
        </c:dLbls>
        <c:gapWidth val="100"/>
        <c:axId val="611564432"/>
        <c:axId val="611571920"/>
      </c:barChart>
      <c:lineChart>
        <c:grouping val="standard"/>
        <c:varyColors val="0"/>
        <c:ser>
          <c:idx val="0"/>
          <c:order val="0"/>
          <c:tx>
            <c:strRef>
              <c:f>'Graf 3'!$E$2</c:f>
              <c:strCache>
                <c:ptCount val="1"/>
                <c:pt idx="0">
                  <c:v>Priemer EÚ</c:v>
                </c:pt>
              </c:strCache>
            </c:strRef>
          </c:tx>
          <c:spPr>
            <a:ln w="22225" cap="rnd">
              <a:solidFill>
                <a:srgbClr val="314364"/>
              </a:solidFill>
              <a:prstDash val="sysDash"/>
              <a:round/>
            </a:ln>
            <a:effectLst/>
          </c:spPr>
          <c:marker>
            <c:symbol val="none"/>
          </c:marker>
          <c:dLbls>
            <c:dLbl>
              <c:idx val="2"/>
              <c:layout>
                <c:manualLayout>
                  <c:x val="-8.534849810440362E-2"/>
                  <c:y val="0.11106171463080379"/>
                </c:manualLayout>
              </c:layout>
              <c:spPr>
                <a:noFill/>
                <a:ln>
                  <a:solidFill>
                    <a:srgbClr val="314364"/>
                  </a:solidFill>
                  <a:prstDash val="sysDash"/>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dLblPos val="r"/>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3-084F-450B-B533-7CB651295304}"/>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rgbClr val="314364"/>
                      </a:solidFill>
                      <a:round/>
                    </a:ln>
                    <a:effectLst/>
                  </c:spPr>
                </c15:leaderLines>
              </c:ext>
            </c:extLst>
          </c:dLbls>
          <c:cat>
            <c:strRef>
              <c:f>'Graf 3'!$B$3:$B$29</c:f>
              <c:strCache>
                <c:ptCount val="27"/>
                <c:pt idx="0">
                  <c:v>Cyprus</c:v>
                </c:pt>
                <c:pt idx="1">
                  <c:v>Dánsko</c:v>
                </c:pt>
                <c:pt idx="2">
                  <c:v>Írsko</c:v>
                </c:pt>
                <c:pt idx="3">
                  <c:v>Portugalsko</c:v>
                </c:pt>
                <c:pt idx="4">
                  <c:v>Holandsko</c:v>
                </c:pt>
                <c:pt idx="5">
                  <c:v>Švédsko</c:v>
                </c:pt>
                <c:pt idx="6">
                  <c:v>Chorvátsko</c:v>
                </c:pt>
                <c:pt idx="7">
                  <c:v>Litva</c:v>
                </c:pt>
                <c:pt idx="8">
                  <c:v>Luxembursko</c:v>
                </c:pt>
                <c:pt idx="9">
                  <c:v>Grécko</c:v>
                </c:pt>
                <c:pt idx="10">
                  <c:v>Bulharsko</c:v>
                </c:pt>
                <c:pt idx="11">
                  <c:v>Lotyšsko</c:v>
                </c:pt>
                <c:pt idx="12">
                  <c:v>Nemecko</c:v>
                </c:pt>
                <c:pt idx="13">
                  <c:v>Slovinsko</c:v>
                </c:pt>
                <c:pt idx="14">
                  <c:v>Fínsko</c:v>
                </c:pt>
                <c:pt idx="15">
                  <c:v>Rakúsko</c:v>
                </c:pt>
                <c:pt idx="16">
                  <c:v>Estónsko</c:v>
                </c:pt>
                <c:pt idx="17">
                  <c:v>Španielsko</c:v>
                </c:pt>
                <c:pt idx="18">
                  <c:v>Česko</c:v>
                </c:pt>
                <c:pt idx="19">
                  <c:v>Belgicko</c:v>
                </c:pt>
                <c:pt idx="20">
                  <c:v>Malta</c:v>
                </c:pt>
                <c:pt idx="21">
                  <c:v>Slovensko</c:v>
                </c:pt>
                <c:pt idx="22">
                  <c:v>Poľsko</c:v>
                </c:pt>
                <c:pt idx="23">
                  <c:v>Francúzsko</c:v>
                </c:pt>
                <c:pt idx="24">
                  <c:v>Rumunsko</c:v>
                </c:pt>
                <c:pt idx="25">
                  <c:v>Maďarsko</c:v>
                </c:pt>
                <c:pt idx="26">
                  <c:v>Taliansko</c:v>
                </c:pt>
              </c:strCache>
            </c:strRef>
          </c:cat>
          <c:val>
            <c:numRef>
              <c:f>'Graf 3'!$E$3:$E$29</c:f>
              <c:numCache>
                <c:formatCode>0.0</c:formatCode>
                <c:ptCount val="27"/>
                <c:pt idx="0">
                  <c:v>-3.5</c:v>
                </c:pt>
                <c:pt idx="1">
                  <c:v>-3.5</c:v>
                </c:pt>
                <c:pt idx="2">
                  <c:v>-3.5</c:v>
                </c:pt>
                <c:pt idx="3">
                  <c:v>-3.5</c:v>
                </c:pt>
                <c:pt idx="4">
                  <c:v>-3.5</c:v>
                </c:pt>
                <c:pt idx="5">
                  <c:v>-3.5</c:v>
                </c:pt>
                <c:pt idx="6">
                  <c:v>-3.5</c:v>
                </c:pt>
                <c:pt idx="7">
                  <c:v>-3.5</c:v>
                </c:pt>
                <c:pt idx="8">
                  <c:v>-3.5</c:v>
                </c:pt>
                <c:pt idx="9">
                  <c:v>-3.5</c:v>
                </c:pt>
                <c:pt idx="10">
                  <c:v>-3.5</c:v>
                </c:pt>
                <c:pt idx="11">
                  <c:v>-3.5</c:v>
                </c:pt>
                <c:pt idx="12">
                  <c:v>-3.5</c:v>
                </c:pt>
                <c:pt idx="13">
                  <c:v>-3.5</c:v>
                </c:pt>
                <c:pt idx="14">
                  <c:v>-3.5</c:v>
                </c:pt>
                <c:pt idx="15">
                  <c:v>-3.5</c:v>
                </c:pt>
                <c:pt idx="16">
                  <c:v>-3.5</c:v>
                </c:pt>
                <c:pt idx="17">
                  <c:v>-3.5</c:v>
                </c:pt>
                <c:pt idx="18">
                  <c:v>-3.5</c:v>
                </c:pt>
                <c:pt idx="19">
                  <c:v>-3.5</c:v>
                </c:pt>
                <c:pt idx="20">
                  <c:v>-3.5</c:v>
                </c:pt>
                <c:pt idx="21">
                  <c:v>-3.5</c:v>
                </c:pt>
                <c:pt idx="22">
                  <c:v>-3.5</c:v>
                </c:pt>
                <c:pt idx="23">
                  <c:v>-3.5</c:v>
                </c:pt>
                <c:pt idx="24">
                  <c:v>-3.5</c:v>
                </c:pt>
                <c:pt idx="25">
                  <c:v>-3.5</c:v>
                </c:pt>
                <c:pt idx="26">
                  <c:v>-3.5</c:v>
                </c:pt>
              </c:numCache>
            </c:numRef>
          </c:val>
          <c:smooth val="0"/>
          <c:extLst>
            <c:ext xmlns:c16="http://schemas.microsoft.com/office/drawing/2014/chart" uri="{C3380CC4-5D6E-409C-BE32-E72D297353CC}">
              <c16:uniqueId val="{00000004-084F-450B-B533-7CB651295304}"/>
            </c:ext>
          </c:extLst>
        </c:ser>
        <c:dLbls>
          <c:showLegendKey val="0"/>
          <c:showVal val="0"/>
          <c:showCatName val="0"/>
          <c:showSerName val="0"/>
          <c:showPercent val="0"/>
          <c:showBubbleSize val="0"/>
        </c:dLbls>
        <c:marker val="1"/>
        <c:smooth val="0"/>
        <c:axId val="611564432"/>
        <c:axId val="611571920"/>
      </c:lineChart>
      <c:catAx>
        <c:axId val="61156443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611571920"/>
        <c:crosses val="autoZero"/>
        <c:auto val="1"/>
        <c:lblAlgn val="ctr"/>
        <c:lblOffset val="100"/>
        <c:noMultiLvlLbl val="0"/>
      </c:catAx>
      <c:valAx>
        <c:axId val="6115719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611564432"/>
        <c:crosses val="autoZero"/>
        <c:crossBetween val="between"/>
        <c:majorUnit val="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chemeClr val="tx2"/>
          </a:solidFill>
          <a:latin typeface="Segoe UI" panose="020B0502040204020203" pitchFamily="34" charset="0"/>
          <a:cs typeface="Segoe UI" panose="020B0502040204020203" pitchFamily="34" charset="0"/>
        </a:defRPr>
      </a:pPr>
      <a:endParaRPr lang="sk-SK"/>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Hárok2!$B$18</c:f>
              <c:strCache>
                <c:ptCount val="1"/>
                <c:pt idx="0">
                  <c:v>Podpora rodiny</c:v>
                </c:pt>
              </c:strCache>
            </c:strRef>
          </c:tx>
          <c:spPr>
            <a:ln w="25400" cap="rnd">
              <a:solidFill>
                <a:srgbClr val="314364"/>
              </a:solidFill>
              <a:round/>
            </a:ln>
            <a:effectLst/>
          </c:spPr>
          <c:marker>
            <c:symbol val="circle"/>
            <c:size val="5"/>
            <c:spPr>
              <a:solidFill>
                <a:srgbClr val="314364"/>
              </a:solidFill>
              <a:ln w="9525">
                <a:solidFill>
                  <a:sysClr val="window" lastClr="FFFFFF"/>
                </a:solidFill>
              </a:ln>
              <a:effectLst/>
            </c:spPr>
          </c:marker>
          <c:dLbls>
            <c:dLbl>
              <c:idx val="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F71-4448-BEE8-B1744B2D3F83}"/>
                </c:ext>
              </c:extLst>
            </c:dLbl>
            <c:dLbl>
              <c:idx val="9"/>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F71-4448-BEE8-B1744B2D3F83}"/>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Hárok2!$C$17:$L$17</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Hárok2!$C$18:$L$18</c:f>
              <c:numCache>
                <c:formatCode>#\ ##0.0</c:formatCode>
                <c:ptCount val="10"/>
                <c:pt idx="0">
                  <c:v>955.55733040999996</c:v>
                </c:pt>
                <c:pt idx="1">
                  <c:v>946.43085905999999</c:v>
                </c:pt>
                <c:pt idx="2">
                  <c:v>950.48773521999999</c:v>
                </c:pt>
                <c:pt idx="3">
                  <c:v>965.44563598000002</c:v>
                </c:pt>
                <c:pt idx="4">
                  <c:v>1032.8682337999999</c:v>
                </c:pt>
                <c:pt idx="5">
                  <c:v>1093.4546485999999</c:v>
                </c:pt>
                <c:pt idx="6">
                  <c:v>1367.7805492100001</c:v>
                </c:pt>
                <c:pt idx="7">
                  <c:v>1607.4355424100002</c:v>
                </c:pt>
                <c:pt idx="8">
                  <c:v>1549.10859901</c:v>
                </c:pt>
                <c:pt idx="9">
                  <c:v>2051.4713109999998</c:v>
                </c:pt>
              </c:numCache>
            </c:numRef>
          </c:val>
          <c:smooth val="0"/>
          <c:extLst>
            <c:ext xmlns:c16="http://schemas.microsoft.com/office/drawing/2014/chart" uri="{C3380CC4-5D6E-409C-BE32-E72D297353CC}">
              <c16:uniqueId val="{00000002-1F71-4448-BEE8-B1744B2D3F83}"/>
            </c:ext>
          </c:extLst>
        </c:ser>
        <c:dLbls>
          <c:dLblPos val="t"/>
          <c:showLegendKey val="0"/>
          <c:showVal val="1"/>
          <c:showCatName val="0"/>
          <c:showSerName val="0"/>
          <c:showPercent val="0"/>
          <c:showBubbleSize val="0"/>
        </c:dLbls>
        <c:marker val="1"/>
        <c:smooth val="0"/>
        <c:axId val="997451647"/>
        <c:axId val="997452895"/>
      </c:lineChart>
      <c:catAx>
        <c:axId val="9974516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997452895"/>
        <c:crosses val="autoZero"/>
        <c:auto val="1"/>
        <c:lblAlgn val="ctr"/>
        <c:lblOffset val="100"/>
        <c:noMultiLvlLbl val="0"/>
      </c:catAx>
      <c:valAx>
        <c:axId val="99745289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997451647"/>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chemeClr val="tx2"/>
          </a:solidFill>
          <a:latin typeface="Segoe UI" panose="020B0502040204020203" pitchFamily="34" charset="0"/>
          <a:cs typeface="Segoe UI" panose="020B0502040204020203" pitchFamily="34" charset="0"/>
        </a:defRPr>
      </a:pPr>
      <a:endParaRPr lang="sk-SK"/>
    </a:p>
  </c:txPr>
  <c:externalData r:id="rId4">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'výdavky na SD'!$B$3</c:f>
              <c:strCache>
                <c:ptCount val="1"/>
                <c:pt idx="0">
                  <c:v>Výdavky na starobné dôchodky</c:v>
                </c:pt>
              </c:strCache>
            </c:strRef>
          </c:tx>
          <c:spPr>
            <a:ln w="25400" cap="rnd">
              <a:solidFill>
                <a:schemeClr val="accent1"/>
              </a:solidFill>
              <a:round/>
            </a:ln>
            <a:effectLst/>
          </c:spPr>
          <c:marker>
            <c:symbol val="circle"/>
            <c:size val="5"/>
            <c:spPr>
              <a:solidFill>
                <a:schemeClr val="accent1"/>
              </a:solidFill>
              <a:ln w="9525">
                <a:solidFill>
                  <a:schemeClr val="bg1"/>
                </a:solidFill>
              </a:ln>
              <a:effectLst/>
            </c:spPr>
          </c:marker>
          <c:dLbls>
            <c:dLbl>
              <c:idx val="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910-4EB7-9C43-70D2D8EE0B33}"/>
                </c:ext>
              </c:extLst>
            </c:dLbl>
            <c:dLbl>
              <c:idx val="9"/>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910-4EB7-9C43-70D2D8EE0B33}"/>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'výdavky na SD'!$C$2:$L$2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'výdavky na SD'!$C$3:$L$3</c:f>
              <c:numCache>
                <c:formatCode>#\ ##0.0</c:formatCode>
                <c:ptCount val="10"/>
                <c:pt idx="0">
                  <c:v>4722.0990000000002</c:v>
                </c:pt>
                <c:pt idx="1">
                  <c:v>4884.527</c:v>
                </c:pt>
                <c:pt idx="2">
                  <c:v>4957.402</c:v>
                </c:pt>
                <c:pt idx="3">
                  <c:v>5192.47</c:v>
                </c:pt>
                <c:pt idx="4">
                  <c:v>5472.7420000000002</c:v>
                </c:pt>
                <c:pt idx="5">
                  <c:v>5751.3209999999999</c:v>
                </c:pt>
                <c:pt idx="6">
                  <c:v>6097.0619999999999</c:v>
                </c:pt>
                <c:pt idx="7">
                  <c:v>6358.2860000000001</c:v>
                </c:pt>
                <c:pt idx="8">
                  <c:v>6575.5219999999999</c:v>
                </c:pt>
                <c:pt idx="9">
                  <c:v>7976.0249999999996</c:v>
                </c:pt>
              </c:numCache>
            </c:numRef>
          </c:val>
          <c:smooth val="0"/>
          <c:extLst>
            <c:ext xmlns:c16="http://schemas.microsoft.com/office/drawing/2014/chart" uri="{C3380CC4-5D6E-409C-BE32-E72D297353CC}">
              <c16:uniqueId val="{00000002-2910-4EB7-9C43-70D2D8EE0B33}"/>
            </c:ext>
          </c:extLst>
        </c:ser>
        <c:dLbls>
          <c:showLegendKey val="0"/>
          <c:showVal val="0"/>
          <c:showCatName val="0"/>
          <c:showSerName val="0"/>
          <c:showPercent val="0"/>
          <c:showBubbleSize val="0"/>
        </c:dLbls>
        <c:marker val="1"/>
        <c:smooth val="0"/>
        <c:axId val="470949103"/>
        <c:axId val="470956175"/>
      </c:lineChart>
      <c:catAx>
        <c:axId val="4709491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470956175"/>
        <c:crosses val="autoZero"/>
        <c:auto val="1"/>
        <c:lblAlgn val="ctr"/>
        <c:lblOffset val="100"/>
        <c:noMultiLvlLbl val="0"/>
      </c:catAx>
      <c:valAx>
        <c:axId val="470956175"/>
        <c:scaling>
          <c:orientation val="minMax"/>
          <c:min val="40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470949103"/>
        <c:crosses val="autoZero"/>
        <c:crossBetween val="between"/>
        <c:majorUnit val="100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chemeClr val="tx2"/>
          </a:solidFill>
          <a:latin typeface="Segoe UI" panose="020B0502040204020203" pitchFamily="34" charset="0"/>
          <a:cs typeface="Segoe UI" panose="020B0502040204020203" pitchFamily="34" charset="0"/>
        </a:defRPr>
      </a:pPr>
      <a:endParaRPr lang="sk-SK"/>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'novopriznané PSD'!$A$3</c:f>
              <c:strCache>
                <c:ptCount val="1"/>
                <c:pt idx="0">
                  <c:v>Počet novopriznaných PSD</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1"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'novopriznané PSD'!$B$2:$F$2</c:f>
              <c:strCache>
                <c:ptCount val="5"/>
                <c:pt idx="0">
                  <c:v>2020</c:v>
                </c:pt>
                <c:pt idx="1">
                  <c:v>2021</c:v>
                </c:pt>
                <c:pt idx="2">
                  <c:v>2022</c:v>
                </c:pt>
                <c:pt idx="3">
                  <c:v>2023</c:v>
                </c:pt>
                <c:pt idx="4">
                  <c:v>I. štvrťok 2024</c:v>
                </c:pt>
              </c:strCache>
            </c:strRef>
          </c:cat>
          <c:val>
            <c:numRef>
              <c:f>'novopriznané PSD'!$B$3:$F$3</c:f>
              <c:numCache>
                <c:formatCode>#,##0</c:formatCode>
                <c:ptCount val="5"/>
                <c:pt idx="0">
                  <c:v>12238</c:v>
                </c:pt>
                <c:pt idx="1">
                  <c:v>12078</c:v>
                </c:pt>
                <c:pt idx="2">
                  <c:v>12585</c:v>
                </c:pt>
                <c:pt idx="3">
                  <c:v>17764</c:v>
                </c:pt>
                <c:pt idx="4">
                  <c:v>18775</c:v>
                </c:pt>
              </c:numCache>
            </c:numRef>
          </c:val>
          <c:extLst>
            <c:ext xmlns:c16="http://schemas.microsoft.com/office/drawing/2014/chart" uri="{C3380CC4-5D6E-409C-BE32-E72D297353CC}">
              <c16:uniqueId val="{00000000-3D55-4395-96B0-352C1EA47E76}"/>
            </c:ext>
          </c:extLst>
        </c:ser>
        <c:dLbls>
          <c:dLblPos val="outEnd"/>
          <c:showLegendKey val="0"/>
          <c:showVal val="1"/>
          <c:showCatName val="0"/>
          <c:showSerName val="0"/>
          <c:showPercent val="0"/>
          <c:showBubbleSize val="0"/>
        </c:dLbls>
        <c:gapWidth val="219"/>
        <c:overlap val="-27"/>
        <c:axId val="282799712"/>
        <c:axId val="282801376"/>
      </c:barChart>
      <c:catAx>
        <c:axId val="282799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282801376"/>
        <c:crosses val="autoZero"/>
        <c:auto val="1"/>
        <c:lblAlgn val="ctr"/>
        <c:lblOffset val="100"/>
        <c:noMultiLvlLbl val="0"/>
      </c:catAx>
      <c:valAx>
        <c:axId val="2828013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282799712"/>
        <c:crosses val="autoZero"/>
        <c:crossBetween val="between"/>
        <c:majorUnit val="300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chemeClr val="tx2"/>
          </a:solidFill>
          <a:latin typeface="Segoe UI" panose="020B0502040204020203" pitchFamily="34" charset="0"/>
          <a:cs typeface="Segoe UI" panose="020B0502040204020203" pitchFamily="34" charset="0"/>
        </a:defRPr>
      </a:pPr>
      <a:endParaRPr lang="sk-SK"/>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'počet vyplácaných PSD'!$A$4</c:f>
              <c:strCache>
                <c:ptCount val="1"/>
                <c:pt idx="0">
                  <c:v>Počet vyplácaných PSD</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1"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'počet vyplácaných PSD'!$B$3:$F$3</c:f>
              <c:strCache>
                <c:ptCount val="5"/>
                <c:pt idx="0">
                  <c:v>2020</c:v>
                </c:pt>
                <c:pt idx="1">
                  <c:v>2021</c:v>
                </c:pt>
                <c:pt idx="2">
                  <c:v>2022</c:v>
                </c:pt>
                <c:pt idx="3">
                  <c:v>2023</c:v>
                </c:pt>
                <c:pt idx="4">
                  <c:v>I. štvrťrok 2024</c:v>
                </c:pt>
              </c:strCache>
            </c:strRef>
          </c:cat>
          <c:val>
            <c:numRef>
              <c:f>'počet vyplácaných PSD'!$B$4:$F$4</c:f>
              <c:numCache>
                <c:formatCode>#,##0</c:formatCode>
                <c:ptCount val="5"/>
                <c:pt idx="0">
                  <c:v>12203</c:v>
                </c:pt>
                <c:pt idx="1">
                  <c:v>11992</c:v>
                </c:pt>
                <c:pt idx="2">
                  <c:v>12311</c:v>
                </c:pt>
                <c:pt idx="3">
                  <c:v>15427</c:v>
                </c:pt>
                <c:pt idx="4">
                  <c:v>29102</c:v>
                </c:pt>
              </c:numCache>
            </c:numRef>
          </c:val>
          <c:extLst>
            <c:ext xmlns:c16="http://schemas.microsoft.com/office/drawing/2014/chart" uri="{C3380CC4-5D6E-409C-BE32-E72D297353CC}">
              <c16:uniqueId val="{00000000-1740-446B-8D49-94F69BC4F6BA}"/>
            </c:ext>
          </c:extLst>
        </c:ser>
        <c:dLbls>
          <c:dLblPos val="outEnd"/>
          <c:showLegendKey val="0"/>
          <c:showVal val="1"/>
          <c:showCatName val="0"/>
          <c:showSerName val="0"/>
          <c:showPercent val="0"/>
          <c:showBubbleSize val="0"/>
        </c:dLbls>
        <c:gapWidth val="100"/>
        <c:axId val="296665216"/>
        <c:axId val="296655232"/>
      </c:barChart>
      <c:catAx>
        <c:axId val="296665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296655232"/>
        <c:crosses val="autoZero"/>
        <c:auto val="1"/>
        <c:lblAlgn val="ctr"/>
        <c:lblOffset val="100"/>
        <c:noMultiLvlLbl val="0"/>
      </c:catAx>
      <c:valAx>
        <c:axId val="2966552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29666521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chemeClr val="tx2"/>
          </a:solidFill>
          <a:latin typeface="Segoe UI" panose="020B0502040204020203" pitchFamily="34" charset="0"/>
          <a:cs typeface="Segoe UI" panose="020B0502040204020203" pitchFamily="34" charset="0"/>
        </a:defRPr>
      </a:pPr>
      <a:endParaRPr lang="sk-SK"/>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'[Štatistické údaje z oblasti dôchodkového pistenia_2020_2024.xlsx]tabuľky'!$B$47</c:f>
              <c:strCache>
                <c:ptCount val="1"/>
                <c:pt idx="0">
                  <c:v>Priemerná výška PSD</c:v>
                </c:pt>
              </c:strCache>
            </c:strRef>
          </c:tx>
          <c:spPr>
            <a:solidFill>
              <a:schemeClr val="tx2"/>
            </a:solidFill>
            <a:ln>
              <a:solidFill>
                <a:schemeClr val="bg1">
                  <a:lumMod val="50000"/>
                </a:schemeClr>
              </a:solidFill>
            </a:ln>
            <a:effectLst/>
          </c:spPr>
          <c:invertIfNegative val="0"/>
          <c:dLbls>
            <c:delete val="1"/>
          </c:dLbls>
          <c:cat>
            <c:strRef>
              <c:f>[1]tabuľky!$C$46:$G$46</c:f>
              <c:strCache>
                <c:ptCount val="5"/>
                <c:pt idx="0">
                  <c:v>2020</c:v>
                </c:pt>
                <c:pt idx="1">
                  <c:v>2021</c:v>
                </c:pt>
                <c:pt idx="2">
                  <c:v>2022</c:v>
                </c:pt>
                <c:pt idx="3">
                  <c:v>2023</c:v>
                </c:pt>
                <c:pt idx="4">
                  <c:v>I. štvrťok 2024</c:v>
                </c:pt>
              </c:strCache>
            </c:strRef>
          </c:cat>
          <c:val>
            <c:numRef>
              <c:f>[1]tabuľky!$C$47:$G$47</c:f>
              <c:numCache>
                <c:formatCode>General</c:formatCode>
                <c:ptCount val="5"/>
                <c:pt idx="0">
                  <c:v>455.3</c:v>
                </c:pt>
                <c:pt idx="1">
                  <c:v>495.9</c:v>
                </c:pt>
                <c:pt idx="2">
                  <c:v>506.7</c:v>
                </c:pt>
                <c:pt idx="3">
                  <c:v>635.5</c:v>
                </c:pt>
                <c:pt idx="4" formatCode="#\ ##0.0">
                  <c:v>746.85666666666668</c:v>
                </c:pt>
              </c:numCache>
            </c:numRef>
          </c:val>
          <c:extLst>
            <c:ext xmlns:c16="http://schemas.microsoft.com/office/drawing/2014/chart" uri="{C3380CC4-5D6E-409C-BE32-E72D297353CC}">
              <c16:uniqueId val="{00000000-6E50-4AFB-8D1B-43DA7E2B5B7F}"/>
            </c:ext>
          </c:extLst>
        </c:ser>
        <c:ser>
          <c:idx val="1"/>
          <c:order val="1"/>
          <c:tx>
            <c:strRef>
              <c:f>'[Štatistické údaje z oblasti dôchodkového pistenia_2020_2024.xlsx]tabuľky'!$B$48</c:f>
              <c:strCache>
                <c:ptCount val="1"/>
                <c:pt idx="0">
                  <c:v>Priemerná výška SD</c:v>
                </c:pt>
              </c:strCache>
            </c:strRef>
          </c:tx>
          <c:spPr>
            <a:solidFill>
              <a:schemeClr val="bg2"/>
            </a:solidFill>
            <a:ln>
              <a:solidFill>
                <a:schemeClr val="bg2"/>
              </a:solidFill>
            </a:ln>
            <a:effectLst/>
          </c:spPr>
          <c:invertIfNegative val="0"/>
          <c:dLbls>
            <c:delete val="1"/>
          </c:dLbls>
          <c:cat>
            <c:strRef>
              <c:f>[1]tabuľky!$C$46:$G$46</c:f>
              <c:strCache>
                <c:ptCount val="5"/>
                <c:pt idx="0">
                  <c:v>2020</c:v>
                </c:pt>
                <c:pt idx="1">
                  <c:v>2021</c:v>
                </c:pt>
                <c:pt idx="2">
                  <c:v>2022</c:v>
                </c:pt>
                <c:pt idx="3">
                  <c:v>2023</c:v>
                </c:pt>
                <c:pt idx="4">
                  <c:v>I. štvrťok 2024</c:v>
                </c:pt>
              </c:strCache>
            </c:strRef>
          </c:cat>
          <c:val>
            <c:numRef>
              <c:f>[1]tabuľky!$C$48:$G$48</c:f>
              <c:numCache>
                <c:formatCode>#\ ##0.0</c:formatCode>
                <c:ptCount val="5"/>
                <c:pt idx="0">
                  <c:v>484.51833333333326</c:v>
                </c:pt>
                <c:pt idx="1">
                  <c:v>502.39166666666665</c:v>
                </c:pt>
                <c:pt idx="2">
                  <c:v>515.64750000000015</c:v>
                </c:pt>
                <c:pt idx="3">
                  <c:v>606.21833333333336</c:v>
                </c:pt>
                <c:pt idx="4">
                  <c:v>672.19666666666672</c:v>
                </c:pt>
              </c:numCache>
            </c:numRef>
          </c:val>
          <c:extLst>
            <c:ext xmlns:c16="http://schemas.microsoft.com/office/drawing/2014/chart" uri="{C3380CC4-5D6E-409C-BE32-E72D297353CC}">
              <c16:uniqueId val="{00000001-6E50-4AFB-8D1B-43DA7E2B5B7F}"/>
            </c:ext>
          </c:extLst>
        </c:ser>
        <c:dLbls>
          <c:dLblPos val="outEnd"/>
          <c:showLegendKey val="0"/>
          <c:showVal val="1"/>
          <c:showCatName val="0"/>
          <c:showSerName val="0"/>
          <c:showPercent val="0"/>
          <c:showBubbleSize val="0"/>
        </c:dLbls>
        <c:gapWidth val="100"/>
        <c:axId val="166596240"/>
        <c:axId val="166597904"/>
      </c:barChart>
      <c:catAx>
        <c:axId val="166596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166597904"/>
        <c:crosses val="autoZero"/>
        <c:auto val="1"/>
        <c:lblAlgn val="ctr"/>
        <c:lblOffset val="100"/>
        <c:noMultiLvlLbl val="0"/>
      </c:catAx>
      <c:valAx>
        <c:axId val="1665979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166596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legend>
    <c:plotVisOnly val="1"/>
    <c:dispBlanksAs val="gap"/>
    <c:showDLblsOverMax val="0"/>
  </c:chart>
  <c:spPr>
    <a:solidFill>
      <a:schemeClr val="bg1"/>
    </a:solidFill>
    <a:ln w="9525" cap="flat" cmpd="sng" algn="ctr">
      <a:noFill/>
      <a:round/>
    </a:ln>
    <a:effectLst/>
  </c:spPr>
  <c:txPr>
    <a:bodyPr/>
    <a:lstStyle/>
    <a:p>
      <a:pPr>
        <a:defRPr sz="800">
          <a:solidFill>
            <a:schemeClr val="tx2"/>
          </a:solidFill>
          <a:latin typeface="Segoe UI" panose="020B0502040204020203" pitchFamily="34" charset="0"/>
          <a:cs typeface="Segoe UI" panose="020B0502040204020203" pitchFamily="34" charset="0"/>
        </a:defRPr>
      </a:pPr>
      <a:endParaRPr lang="sk-SK"/>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336449911632531"/>
          <c:y val="6.5476190476190479E-2"/>
          <c:w val="0.75788929998208054"/>
          <c:h val="0.52198022122234722"/>
        </c:manualLayout>
      </c:layout>
      <c:barChart>
        <c:barDir val="col"/>
        <c:grouping val="clustered"/>
        <c:varyColors val="0"/>
        <c:ser>
          <c:idx val="1"/>
          <c:order val="0"/>
          <c:tx>
            <c:strRef>
              <c:f>'D:\SYSTÉMOVÉ PRIEČINKY\Desktop\MOJE DOKUMENTY\sociálna poisťovňa\dôchodky\Predčasný dôchodok\Data\[Štatistické údaje z oblasti dôchodkového pistenia_2020_2024.xlsx]výdavky'!$B$92</c:f>
              <c:strCache>
                <c:ptCount val="1"/>
                <c:pt idx="0">
                  <c:v>Výdavky na PSD</c:v>
                </c:pt>
              </c:strCache>
            </c:strRef>
          </c:tx>
          <c:spPr>
            <a:solidFill>
              <a:schemeClr val="accent2"/>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800" b="1" i="0" u="none" strike="noStrike" kern="1200" baseline="0">
                    <a:solidFill>
                      <a:schemeClr val="bg2"/>
                    </a:solidFill>
                    <a:latin typeface="Segoe UI" panose="020B0502040204020203" pitchFamily="34" charset="0"/>
                    <a:ea typeface="+mn-ea"/>
                    <a:cs typeface="Segoe UI" panose="020B0502040204020203" pitchFamily="34" charset="0"/>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'D:\SYSTÉMOVÉ PRIEČINKY\Desktop\MOJE DOKUMENTY\sociálna poisťovňa\dôchodky\Predčasný dôchodok\Data\[Štatistické údaje z oblasti dôchodkového pistenia_2020_2024.xlsx]výdavky'!$C$90:$G$90</c:f>
              <c:strCache>
                <c:ptCount val="5"/>
                <c:pt idx="0">
                  <c:v>2020</c:v>
                </c:pt>
                <c:pt idx="1">
                  <c:v>2021</c:v>
                </c:pt>
                <c:pt idx="2">
                  <c:v>2022</c:v>
                </c:pt>
                <c:pt idx="3">
                  <c:v>2023</c:v>
                </c:pt>
                <c:pt idx="4">
                  <c:v>I. štvrťrok 2024</c:v>
                </c:pt>
              </c:strCache>
            </c:strRef>
          </c:cat>
          <c:val>
            <c:numRef>
              <c:f>'D:\SYSTÉMOVÉ PRIEČINKY\Desktop\MOJE DOKUMENTY\sociálna poisťovňa\dôchodky\Predčasný dôchodok\Data\[Štatistické údaje z oblasti dôchodkového pistenia_2020_2024.xlsx]výdavky'!$C$92:$G$92</c:f>
              <c:numCache>
                <c:formatCode>General</c:formatCode>
                <c:ptCount val="5"/>
                <c:pt idx="0">
                  <c:v>90.072999999999993</c:v>
                </c:pt>
                <c:pt idx="1">
                  <c:v>89.744</c:v>
                </c:pt>
                <c:pt idx="2">
                  <c:v>90.332999999999998</c:v>
                </c:pt>
                <c:pt idx="3">
                  <c:v>144.60300000000001</c:v>
                </c:pt>
                <c:pt idx="4">
                  <c:v>99.492999999999995</c:v>
                </c:pt>
              </c:numCache>
            </c:numRef>
          </c:val>
          <c:extLst>
            <c:ext xmlns:c16="http://schemas.microsoft.com/office/drawing/2014/chart" uri="{C3380CC4-5D6E-409C-BE32-E72D297353CC}">
              <c16:uniqueId val="{00000000-9DCE-4410-A1A4-D25D16406440}"/>
            </c:ext>
          </c:extLst>
        </c:ser>
        <c:dLbls>
          <c:showLegendKey val="0"/>
          <c:showVal val="1"/>
          <c:showCatName val="0"/>
          <c:showSerName val="0"/>
          <c:showPercent val="0"/>
          <c:showBubbleSize val="0"/>
        </c:dLbls>
        <c:gapWidth val="100"/>
        <c:axId val="170218576"/>
        <c:axId val="170219824"/>
      </c:barChart>
      <c:lineChart>
        <c:grouping val="standard"/>
        <c:varyColors val="0"/>
        <c:ser>
          <c:idx val="2"/>
          <c:order val="1"/>
          <c:tx>
            <c:strRef>
              <c:f>'D:\SYSTÉMOVÉ PRIEČINKY\Desktop\MOJE DOKUMENTY\sociálna poisťovňa\dôchodky\Predčasný dôchodok\Data\[Štatistické údaje z oblasti dôchodkového pistenia_2020_2024.xlsx]výdavky'!$B$93</c:f>
              <c:strCache>
                <c:ptCount val="1"/>
                <c:pt idx="0">
                  <c:v>% podiel výdavkov na PSD na výdavkoch na SD (pravá os)</c:v>
                </c:pt>
              </c:strCache>
            </c:strRef>
          </c:tx>
          <c:spPr>
            <a:ln w="28575" cap="rnd">
              <a:noFill/>
              <a:round/>
            </a:ln>
            <a:effectLst/>
          </c:spPr>
          <c:marker>
            <c:symbol val="triangle"/>
            <c:size val="5"/>
            <c:spPr>
              <a:solidFill>
                <a:schemeClr val="tx2"/>
              </a:solidFill>
              <a:ln w="9525">
                <a:solidFill>
                  <a:schemeClr val="accent1"/>
                </a:solidFill>
              </a:ln>
              <a:effectLst/>
            </c:spPr>
          </c:marker>
          <c:dLbls>
            <c:numFmt formatCode="0.0%" sourceLinked="0"/>
            <c:spPr>
              <a:noFill/>
              <a:ln>
                <a:noFill/>
              </a:ln>
              <a:effectLst/>
            </c:spPr>
            <c:txPr>
              <a:bodyPr rot="0" spcFirstLastPara="1" vertOverflow="ellipsis" vert="horz" wrap="square" anchor="ctr" anchorCtr="1"/>
              <a:lstStyle/>
              <a:p>
                <a:pPr>
                  <a:defRPr sz="800" b="1"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'D:\SYSTÉMOVÉ PRIEČINKY\Desktop\MOJE DOKUMENTY\sociálna poisťovňa\dôchodky\Predčasný dôchodok\Data\[Štatistické údaje z oblasti dôchodkového pistenia_2020_2024.xlsx]výdavky'!$C$90:$G$90</c:f>
              <c:strCache>
                <c:ptCount val="5"/>
                <c:pt idx="0">
                  <c:v>2020</c:v>
                </c:pt>
                <c:pt idx="1">
                  <c:v>2021</c:v>
                </c:pt>
                <c:pt idx="2">
                  <c:v>2022</c:v>
                </c:pt>
                <c:pt idx="3">
                  <c:v>2023</c:v>
                </c:pt>
                <c:pt idx="4">
                  <c:v>I. štvrťrok 2024</c:v>
                </c:pt>
              </c:strCache>
            </c:strRef>
          </c:cat>
          <c:val>
            <c:numRef>
              <c:f>'D:\SYSTÉMOVÉ PRIEČINKY\Desktop\MOJE DOKUMENTY\sociálna poisťovňa\dôchodky\Predčasný dôchodok\Data\[Štatistické údaje z oblasti dôchodkového pistenia_2020_2024.xlsx]výdavky'!$C$93:$G$93</c:f>
              <c:numCache>
                <c:formatCode>General</c:formatCode>
                <c:ptCount val="5"/>
                <c:pt idx="0">
                  <c:v>1.4773180918940958E-2</c:v>
                </c:pt>
                <c:pt idx="1">
                  <c:v>1.411449563608809E-2</c:v>
                </c:pt>
                <c:pt idx="2">
                  <c:v>1.3737768651675107E-2</c:v>
                </c:pt>
                <c:pt idx="3">
                  <c:v>1.8129707467065364E-2</c:v>
                </c:pt>
                <c:pt idx="4">
                  <c:v>4.5322110273035954E-2</c:v>
                </c:pt>
              </c:numCache>
            </c:numRef>
          </c:val>
          <c:smooth val="0"/>
          <c:extLst>
            <c:ext xmlns:c16="http://schemas.microsoft.com/office/drawing/2014/chart" uri="{C3380CC4-5D6E-409C-BE32-E72D297353CC}">
              <c16:uniqueId val="{00000001-9DCE-4410-A1A4-D25D16406440}"/>
            </c:ext>
          </c:extLst>
        </c:ser>
        <c:dLbls>
          <c:showLegendKey val="0"/>
          <c:showVal val="1"/>
          <c:showCatName val="0"/>
          <c:showSerName val="0"/>
          <c:showPercent val="0"/>
          <c:showBubbleSize val="0"/>
        </c:dLbls>
        <c:marker val="1"/>
        <c:smooth val="0"/>
        <c:axId val="1990736208"/>
        <c:axId val="1990735792"/>
      </c:lineChart>
      <c:catAx>
        <c:axId val="170218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170219824"/>
        <c:crosses val="autoZero"/>
        <c:auto val="1"/>
        <c:lblAlgn val="ctr"/>
        <c:lblOffset val="100"/>
        <c:noMultiLvlLbl val="0"/>
      </c:catAx>
      <c:valAx>
        <c:axId val="170219824"/>
        <c:scaling>
          <c:orientation val="minMax"/>
          <c:max val="2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170218576"/>
        <c:crosses val="autoZero"/>
        <c:crossBetween val="between"/>
        <c:majorUnit val="40"/>
      </c:valAx>
      <c:valAx>
        <c:axId val="1990735792"/>
        <c:scaling>
          <c:orientation val="minMax"/>
        </c:scaling>
        <c:delete val="0"/>
        <c:axPos val="r"/>
        <c:numFmt formatCode="0.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1990736208"/>
        <c:crosses val="max"/>
        <c:crossBetween val="between"/>
        <c:majorUnit val="1.0000000000000002E-2"/>
      </c:valAx>
      <c:catAx>
        <c:axId val="1990736208"/>
        <c:scaling>
          <c:orientation val="minMax"/>
        </c:scaling>
        <c:delete val="1"/>
        <c:axPos val="b"/>
        <c:numFmt formatCode="General" sourceLinked="1"/>
        <c:majorTickMark val="out"/>
        <c:minorTickMark val="none"/>
        <c:tickLblPos val="nextTo"/>
        <c:crossAx val="1990735792"/>
        <c:crosses val="autoZero"/>
        <c:auto val="1"/>
        <c:lblAlgn val="ctr"/>
        <c:lblOffset val="100"/>
        <c:noMultiLvlLbl val="0"/>
      </c:catAx>
      <c:spPr>
        <a:noFill/>
        <a:ln>
          <a:noFill/>
        </a:ln>
        <a:effectLst/>
      </c:spPr>
    </c:plotArea>
    <c:legend>
      <c:legendPos val="b"/>
      <c:layout>
        <c:manualLayout>
          <c:xMode val="edge"/>
          <c:yMode val="edge"/>
          <c:x val="1.838254153973725E-2"/>
          <c:y val="0.79693147731533553"/>
          <c:w val="0.96323491692052554"/>
          <c:h val="0.16735423697037874"/>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legend>
    <c:plotVisOnly val="1"/>
    <c:dispBlanksAs val="gap"/>
    <c:showDLblsOverMax val="0"/>
  </c:chart>
  <c:spPr>
    <a:solidFill>
      <a:schemeClr val="bg1"/>
    </a:solidFill>
    <a:ln w="9525" cap="flat" cmpd="sng" algn="ctr">
      <a:noFill/>
      <a:round/>
    </a:ln>
    <a:effectLst/>
  </c:spPr>
  <c:txPr>
    <a:bodyPr/>
    <a:lstStyle/>
    <a:p>
      <a:pPr>
        <a:defRPr sz="800">
          <a:solidFill>
            <a:schemeClr val="tx2"/>
          </a:solidFill>
          <a:latin typeface="Segoe UI" panose="020B0502040204020203" pitchFamily="34" charset="0"/>
          <a:cs typeface="Segoe UI" panose="020B0502040204020203" pitchFamily="34" charset="0"/>
        </a:defRPr>
      </a:pPr>
      <a:endParaRPr lang="sk-SK"/>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5411957410288619E-3"/>
          <c:y val="7.8930774077442672E-2"/>
          <c:w val="0.71383792229733234"/>
          <c:h val="0.89038506571720966"/>
        </c:manualLayout>
      </c:layout>
      <c:barChart>
        <c:barDir val="bar"/>
        <c:grouping val="clustered"/>
        <c:varyColors val="0"/>
        <c:ser>
          <c:idx val="0"/>
          <c:order val="0"/>
          <c:tx>
            <c:strRef>
              <c:f>'Rozdelenie pomoci 2023'!$D$16</c:f>
              <c:strCache>
                <c:ptCount val="1"/>
                <c:pt idx="0">
                  <c:v>Vyplatená suma</c:v>
                </c:pt>
              </c:strCache>
            </c:strRef>
          </c:tx>
          <c:spPr>
            <a:solidFill>
              <a:schemeClr val="accent1"/>
            </a:solidFill>
            <a:ln w="19050">
              <a:noFill/>
            </a:ln>
            <a:effectLst/>
          </c:spPr>
          <c:invertIfNegative val="0"/>
          <c:dPt>
            <c:idx val="0"/>
            <c:invertIfNegative val="0"/>
            <c:bubble3D val="0"/>
            <c:spPr>
              <a:solidFill>
                <a:schemeClr val="accent1"/>
              </a:solidFill>
              <a:ln w="19050">
                <a:noFill/>
              </a:ln>
              <a:effectLst/>
            </c:spPr>
            <c:extLst>
              <c:ext xmlns:c16="http://schemas.microsoft.com/office/drawing/2014/chart" uri="{C3380CC4-5D6E-409C-BE32-E72D297353CC}">
                <c16:uniqueId val="{00000001-98B9-436D-91F4-6A428EB866F3}"/>
              </c:ext>
            </c:extLst>
          </c:dPt>
          <c:dPt>
            <c:idx val="1"/>
            <c:invertIfNegative val="0"/>
            <c:bubble3D val="0"/>
            <c:spPr>
              <a:solidFill>
                <a:schemeClr val="accent1"/>
              </a:solidFill>
              <a:ln w="19050">
                <a:noFill/>
              </a:ln>
              <a:effectLst/>
            </c:spPr>
            <c:extLst>
              <c:ext xmlns:c16="http://schemas.microsoft.com/office/drawing/2014/chart" uri="{C3380CC4-5D6E-409C-BE32-E72D297353CC}">
                <c16:uniqueId val="{00000003-98B9-436D-91F4-6A428EB866F3}"/>
              </c:ext>
            </c:extLst>
          </c:dPt>
          <c:dPt>
            <c:idx val="2"/>
            <c:invertIfNegative val="0"/>
            <c:bubble3D val="0"/>
            <c:spPr>
              <a:solidFill>
                <a:schemeClr val="accent1"/>
              </a:solidFill>
              <a:ln w="19050">
                <a:noFill/>
              </a:ln>
              <a:effectLst/>
            </c:spPr>
            <c:extLst>
              <c:ext xmlns:c16="http://schemas.microsoft.com/office/drawing/2014/chart" uri="{C3380CC4-5D6E-409C-BE32-E72D297353CC}">
                <c16:uniqueId val="{00000005-98B9-436D-91F4-6A428EB866F3}"/>
              </c:ext>
            </c:extLst>
          </c:dPt>
          <c:dPt>
            <c:idx val="3"/>
            <c:invertIfNegative val="0"/>
            <c:bubble3D val="0"/>
            <c:spPr>
              <a:solidFill>
                <a:schemeClr val="accent1"/>
              </a:solidFill>
              <a:ln w="19050">
                <a:noFill/>
              </a:ln>
              <a:effectLst/>
            </c:spPr>
            <c:extLst>
              <c:ext xmlns:c16="http://schemas.microsoft.com/office/drawing/2014/chart" uri="{C3380CC4-5D6E-409C-BE32-E72D297353CC}">
                <c16:uniqueId val="{00000007-98B9-436D-91F4-6A428EB866F3}"/>
              </c:ext>
            </c:extLst>
          </c:dPt>
          <c:dPt>
            <c:idx val="4"/>
            <c:invertIfNegative val="0"/>
            <c:bubble3D val="0"/>
            <c:spPr>
              <a:solidFill>
                <a:schemeClr val="accent1"/>
              </a:solidFill>
              <a:ln w="19050">
                <a:noFill/>
              </a:ln>
              <a:effectLst/>
            </c:spPr>
            <c:extLst>
              <c:ext xmlns:c16="http://schemas.microsoft.com/office/drawing/2014/chart" uri="{C3380CC4-5D6E-409C-BE32-E72D297353CC}">
                <c16:uniqueId val="{00000009-98B9-436D-91F4-6A428EB866F3}"/>
              </c:ext>
            </c:extLst>
          </c:dPt>
          <c:dPt>
            <c:idx val="5"/>
            <c:invertIfNegative val="0"/>
            <c:bubble3D val="0"/>
            <c:spPr>
              <a:solidFill>
                <a:schemeClr val="accent1"/>
              </a:solidFill>
              <a:ln w="19050">
                <a:noFill/>
              </a:ln>
              <a:effectLst/>
            </c:spPr>
            <c:extLst>
              <c:ext xmlns:c16="http://schemas.microsoft.com/office/drawing/2014/chart" uri="{C3380CC4-5D6E-409C-BE32-E72D297353CC}">
                <c16:uniqueId val="{0000000B-98B9-436D-91F4-6A428EB866F3}"/>
              </c:ext>
            </c:extLst>
          </c:dPt>
          <c:dPt>
            <c:idx val="6"/>
            <c:invertIfNegative val="0"/>
            <c:bubble3D val="0"/>
            <c:spPr>
              <a:solidFill>
                <a:schemeClr val="accent1"/>
              </a:solidFill>
              <a:ln w="19050">
                <a:noFill/>
              </a:ln>
              <a:effectLst/>
            </c:spPr>
            <c:extLst>
              <c:ext xmlns:c16="http://schemas.microsoft.com/office/drawing/2014/chart" uri="{C3380CC4-5D6E-409C-BE32-E72D297353CC}">
                <c16:uniqueId val="{0000000D-98B9-436D-91F4-6A428EB866F3}"/>
              </c:ext>
            </c:extLst>
          </c:dPt>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'Rozdelenie pomoci 2023'!$C$17:$C$23</c:f>
              <c:strCache>
                <c:ptCount val="7"/>
                <c:pt idx="0">
                  <c:v>Výzva pre vybrané subjekty VS a cirkvi</c:v>
                </c:pt>
                <c:pt idx="1">
                  <c:v>Kompenzácia cien elektriny a plynu pre vybraných zraniteľných odberateľov</c:v>
                </c:pt>
                <c:pt idx="2">
                  <c:v>Kompenzácia cien elektriny a plynu pre malých odberateľov elektriny a plynu</c:v>
                </c:pt>
                <c:pt idx="3">
                  <c:v>Výzva MH SR č. 2.1 pre subjekty vykonávajúce hospodársku činnosť</c:v>
                </c:pt>
                <c:pt idx="4">
                  <c:v>Kompenzácia cien vybraných druhov taríf pre odberateľov elektriny v domácnosti</c:v>
                </c:pt>
                <c:pt idx="5">
                  <c:v>Kompenzácia cien vybraných druhov taríf pre ostatných koncových odberateľov elektriny</c:v>
                </c:pt>
                <c:pt idx="6">
                  <c:v>Kompenzácia cien plynu pre domácnosti</c:v>
                </c:pt>
              </c:strCache>
            </c:strRef>
          </c:cat>
          <c:val>
            <c:numRef>
              <c:f>'Rozdelenie pomoci 2023'!$D$17:$D$23</c:f>
              <c:numCache>
                <c:formatCode>#\ ##0.0</c:formatCode>
                <c:ptCount val="7"/>
                <c:pt idx="0">
                  <c:v>22.8</c:v>
                </c:pt>
                <c:pt idx="1">
                  <c:v>54.9</c:v>
                </c:pt>
                <c:pt idx="2">
                  <c:v>200.7</c:v>
                </c:pt>
                <c:pt idx="3">
                  <c:v>207.8</c:v>
                </c:pt>
                <c:pt idx="4">
                  <c:v>375.7</c:v>
                </c:pt>
                <c:pt idx="5">
                  <c:v>525.79999999999995</c:v>
                </c:pt>
                <c:pt idx="6">
                  <c:v>1236.7</c:v>
                </c:pt>
              </c:numCache>
            </c:numRef>
          </c:val>
          <c:extLst>
            <c:ext xmlns:c16="http://schemas.microsoft.com/office/drawing/2014/chart" uri="{C3380CC4-5D6E-409C-BE32-E72D297353CC}">
              <c16:uniqueId val="{0000000E-98B9-436D-91F4-6A428EB866F3}"/>
            </c:ext>
          </c:extLst>
        </c:ser>
        <c:dLbls>
          <c:showLegendKey val="0"/>
          <c:showVal val="0"/>
          <c:showCatName val="0"/>
          <c:showSerName val="0"/>
          <c:showPercent val="0"/>
          <c:showBubbleSize val="0"/>
        </c:dLbls>
        <c:gapWidth val="100"/>
        <c:axId val="2105854223"/>
        <c:axId val="2105856719"/>
      </c:barChart>
      <c:valAx>
        <c:axId val="2105856719"/>
        <c:scaling>
          <c:orientation val="minMax"/>
        </c:scaling>
        <c:delete val="0"/>
        <c:axPos val="b"/>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2105854223"/>
        <c:crosses val="autoZero"/>
        <c:crossBetween val="between"/>
      </c:valAx>
      <c:catAx>
        <c:axId val="2105854223"/>
        <c:scaling>
          <c:orientation val="minMax"/>
        </c:scaling>
        <c:delete val="0"/>
        <c:axPos val="l"/>
        <c:majorGridlines>
          <c:spPr>
            <a:ln w="9525" cap="flat" cmpd="sng" algn="ct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tx2"/>
                  </a:gs>
                </a:gsLst>
                <a:lin ang="10800000" scaled="0"/>
              </a:gradFill>
              <a:round/>
            </a:ln>
            <a:effectLst/>
          </c:spPr>
        </c:majorGridlines>
        <c:numFmt formatCode="@"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lgn="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2105856719"/>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chemeClr val="tx2"/>
          </a:solidFill>
          <a:latin typeface="Segoe UI" panose="020B0502040204020203" pitchFamily="34" charset="0"/>
          <a:cs typeface="Segoe UI" panose="020B0502040204020203" pitchFamily="34" charset="0"/>
        </a:defRPr>
      </a:pPr>
      <a:endParaRPr lang="sk-SK"/>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Hárok1!$C$2</c:f>
              <c:strCache>
                <c:ptCount val="1"/>
                <c:pt idx="0">
                  <c:v>Rozpočet</c:v>
                </c:pt>
              </c:strCache>
            </c:strRef>
          </c:tx>
          <c:spPr>
            <a:solidFill>
              <a:schemeClr val="accent1"/>
            </a:solidFill>
            <a:ln>
              <a:noFill/>
            </a:ln>
            <a:effectLst/>
          </c:spPr>
          <c:invertIfNegative val="0"/>
          <c:cat>
            <c:strRef>
              <c:f>Hárok1!$B$3:$B$9</c:f>
              <c:strCache>
                <c:ptCount val="7"/>
                <c:pt idx="0">
                  <c:v>OP Integrovaná infraštruktúra</c:v>
                </c:pt>
                <c:pt idx="1">
                  <c:v>Rozvoj a podpora športu</c:v>
                </c:pt>
                <c:pt idx="2">
                  <c:v>NP výchovy, vzdelávania a mládeže</c:v>
                </c:pt>
                <c:pt idx="3">
                  <c:v>NP rozvoja vedy a techniky</c:v>
                </c:pt>
                <c:pt idx="4">
                  <c:v>Tvorba a implementácia politík</c:v>
                </c:pt>
                <c:pt idx="5">
                  <c:v>VŠ vzdelávanie a veda, sociálna podpora študentov VŠ</c:v>
                </c:pt>
                <c:pt idx="6">
                  <c:v>Program Slovensko 2021 - 2027</c:v>
                </c:pt>
              </c:strCache>
            </c:strRef>
          </c:cat>
          <c:val>
            <c:numRef>
              <c:f>Hárok1!$C$3:$C$9</c:f>
              <c:numCache>
                <c:formatCode>#\ ##0.0</c:formatCode>
                <c:ptCount val="7"/>
                <c:pt idx="0">
                  <c:v>186.32811899999999</c:v>
                </c:pt>
                <c:pt idx="1">
                  <c:v>95.851204999999993</c:v>
                </c:pt>
                <c:pt idx="2">
                  <c:v>2766.248149</c:v>
                </c:pt>
                <c:pt idx="3">
                  <c:v>54.521250999999999</c:v>
                </c:pt>
                <c:pt idx="4">
                  <c:v>49.344445999999998</c:v>
                </c:pt>
                <c:pt idx="5">
                  <c:v>715.84952399999997</c:v>
                </c:pt>
                <c:pt idx="6">
                  <c:v>65.878609999999995</c:v>
                </c:pt>
              </c:numCache>
            </c:numRef>
          </c:val>
          <c:extLst>
            <c:ext xmlns:c16="http://schemas.microsoft.com/office/drawing/2014/chart" uri="{C3380CC4-5D6E-409C-BE32-E72D297353CC}">
              <c16:uniqueId val="{00000000-9094-44A7-944E-36881F173B50}"/>
            </c:ext>
          </c:extLst>
        </c:ser>
        <c:ser>
          <c:idx val="1"/>
          <c:order val="1"/>
          <c:tx>
            <c:strRef>
              <c:f>Hárok1!$D$2</c:f>
              <c:strCache>
                <c:ptCount val="1"/>
                <c:pt idx="0">
                  <c:v>Skutočnosť</c:v>
                </c:pt>
              </c:strCache>
            </c:strRef>
          </c:tx>
          <c:spPr>
            <a:solidFill>
              <a:schemeClr val="accent2"/>
            </a:solidFill>
            <a:ln>
              <a:noFill/>
            </a:ln>
            <a:effectLst/>
          </c:spPr>
          <c:invertIfNegative val="0"/>
          <c:cat>
            <c:strRef>
              <c:f>Hárok1!$B$3:$B$9</c:f>
              <c:strCache>
                <c:ptCount val="7"/>
                <c:pt idx="0">
                  <c:v>OP Integrovaná infraštruktúra</c:v>
                </c:pt>
                <c:pt idx="1">
                  <c:v>Rozvoj a podpora športu</c:v>
                </c:pt>
                <c:pt idx="2">
                  <c:v>NP výchovy, vzdelávania a mládeže</c:v>
                </c:pt>
                <c:pt idx="3">
                  <c:v>NP rozvoja vedy a techniky</c:v>
                </c:pt>
                <c:pt idx="4">
                  <c:v>Tvorba a implementácia politík</c:v>
                </c:pt>
                <c:pt idx="5">
                  <c:v>VŠ vzdelávanie a veda, sociálna podpora študentov VŠ</c:v>
                </c:pt>
                <c:pt idx="6">
                  <c:v>Program Slovensko 2021 - 2027</c:v>
                </c:pt>
              </c:strCache>
            </c:strRef>
          </c:cat>
          <c:val>
            <c:numRef>
              <c:f>Hárok1!$D$3:$D$9</c:f>
              <c:numCache>
                <c:formatCode>#\ ##0.0</c:formatCode>
                <c:ptCount val="7"/>
                <c:pt idx="0">
                  <c:v>231.62042869999999</c:v>
                </c:pt>
                <c:pt idx="1">
                  <c:v>107.95016765000001</c:v>
                </c:pt>
                <c:pt idx="2">
                  <c:v>2772.1759441500003</c:v>
                </c:pt>
                <c:pt idx="3">
                  <c:v>53.608654460000004</c:v>
                </c:pt>
                <c:pt idx="4">
                  <c:v>46.866182739999999</c:v>
                </c:pt>
                <c:pt idx="5">
                  <c:v>678.05314920000001</c:v>
                </c:pt>
                <c:pt idx="6">
                  <c:v>40.5</c:v>
                </c:pt>
              </c:numCache>
            </c:numRef>
          </c:val>
          <c:extLst>
            <c:ext xmlns:c16="http://schemas.microsoft.com/office/drawing/2014/chart" uri="{C3380CC4-5D6E-409C-BE32-E72D297353CC}">
              <c16:uniqueId val="{00000001-9094-44A7-944E-36881F173B50}"/>
            </c:ext>
          </c:extLst>
        </c:ser>
        <c:dLbls>
          <c:showLegendKey val="0"/>
          <c:showVal val="0"/>
          <c:showCatName val="0"/>
          <c:showSerName val="0"/>
          <c:showPercent val="0"/>
          <c:showBubbleSize val="0"/>
        </c:dLbls>
        <c:gapWidth val="100"/>
        <c:axId val="857171695"/>
        <c:axId val="857172111"/>
      </c:barChart>
      <c:scatterChart>
        <c:scatterStyle val="lineMarker"/>
        <c:varyColors val="0"/>
        <c:ser>
          <c:idx val="2"/>
          <c:order val="2"/>
          <c:tx>
            <c:strRef>
              <c:f>Hárok1!$E$2</c:f>
              <c:strCache>
                <c:ptCount val="1"/>
                <c:pt idx="0">
                  <c:v>% čerpania (pravá os)</c:v>
                </c:pt>
              </c:strCache>
            </c:strRef>
          </c:tx>
          <c:spPr>
            <a:ln w="25400" cap="rnd">
              <a:noFill/>
              <a:round/>
            </a:ln>
            <a:effectLst/>
          </c:spPr>
          <c:marker>
            <c:symbol val="diamond"/>
            <c:size val="5"/>
            <c:spPr>
              <a:solidFill>
                <a:schemeClr val="accent6"/>
              </a:solidFill>
              <a:ln w="9525">
                <a:solidFill>
                  <a:schemeClr val="accent6"/>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accent6"/>
                    </a:solidFill>
                    <a:latin typeface="Segoe UI" panose="020B0502040204020203" pitchFamily="34" charset="0"/>
                    <a:ea typeface="+mn-ea"/>
                    <a:cs typeface="Segoe UI" panose="020B0502040204020203" pitchFamily="34" charset="0"/>
                  </a:defRPr>
                </a:pPr>
                <a:endParaRPr lang="sk-SK"/>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Hárok1!$B$3:$B$9</c:f>
              <c:strCache>
                <c:ptCount val="7"/>
                <c:pt idx="0">
                  <c:v>OP Integrovaná infraštruktúra</c:v>
                </c:pt>
                <c:pt idx="1">
                  <c:v>Rozvoj a podpora športu</c:v>
                </c:pt>
                <c:pt idx="2">
                  <c:v>NP výchovy, vzdelávania a mládeže</c:v>
                </c:pt>
                <c:pt idx="3">
                  <c:v>NP rozvoja vedy a techniky</c:v>
                </c:pt>
                <c:pt idx="4">
                  <c:v>Tvorba a implementácia politík</c:v>
                </c:pt>
                <c:pt idx="5">
                  <c:v>VŠ vzdelávanie a veda, sociálna podpora študentov VŠ</c:v>
                </c:pt>
                <c:pt idx="6">
                  <c:v>Program Slovensko 2021 - 2027</c:v>
                </c:pt>
              </c:strCache>
            </c:strRef>
          </c:xVal>
          <c:yVal>
            <c:numRef>
              <c:f>Hárok1!$E$3:$E$9</c:f>
              <c:numCache>
                <c:formatCode>#\ ##0.0</c:formatCode>
                <c:ptCount val="7"/>
                <c:pt idx="0">
                  <c:v>124.30782317938818</c:v>
                </c:pt>
                <c:pt idx="1">
                  <c:v>112.62265054466451</c:v>
                </c:pt>
                <c:pt idx="2">
                  <c:v>100.21429007199312</c:v>
                </c:pt>
                <c:pt idx="3">
                  <c:v>98.326163609121892</c:v>
                </c:pt>
                <c:pt idx="4">
                  <c:v>94.977624715859619</c:v>
                </c:pt>
                <c:pt idx="5">
                  <c:v>94.720067062585628</c:v>
                </c:pt>
                <c:pt idx="6">
                  <c:v>61.476706931126813</c:v>
                </c:pt>
              </c:numCache>
            </c:numRef>
          </c:yVal>
          <c:smooth val="0"/>
          <c:extLst>
            <c:ext xmlns:c16="http://schemas.microsoft.com/office/drawing/2014/chart" uri="{C3380CC4-5D6E-409C-BE32-E72D297353CC}">
              <c16:uniqueId val="{00000002-9094-44A7-944E-36881F173B50}"/>
            </c:ext>
          </c:extLst>
        </c:ser>
        <c:dLbls>
          <c:showLegendKey val="0"/>
          <c:showVal val="0"/>
          <c:showCatName val="0"/>
          <c:showSerName val="0"/>
          <c:showPercent val="0"/>
          <c:showBubbleSize val="0"/>
        </c:dLbls>
        <c:axId val="849884511"/>
        <c:axId val="849898239"/>
      </c:scatterChart>
      <c:catAx>
        <c:axId val="8571716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857172111"/>
        <c:crosses val="autoZero"/>
        <c:auto val="1"/>
        <c:lblAlgn val="ctr"/>
        <c:lblOffset val="100"/>
        <c:noMultiLvlLbl val="0"/>
      </c:catAx>
      <c:valAx>
        <c:axId val="85717211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857171695"/>
        <c:crosses val="autoZero"/>
        <c:crossBetween val="between"/>
      </c:valAx>
      <c:valAx>
        <c:axId val="849898239"/>
        <c:scaling>
          <c:orientation val="minMax"/>
          <c:max val="150"/>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849884511"/>
        <c:crosses val="max"/>
        <c:crossBetween val="midCat"/>
        <c:majorUnit val="25"/>
      </c:valAx>
      <c:valAx>
        <c:axId val="849884511"/>
        <c:scaling>
          <c:orientation val="minMax"/>
        </c:scaling>
        <c:delete val="1"/>
        <c:axPos val="b"/>
        <c:numFmt formatCode="General" sourceLinked="1"/>
        <c:majorTickMark val="out"/>
        <c:minorTickMark val="none"/>
        <c:tickLblPos val="nextTo"/>
        <c:crossAx val="849898239"/>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legend>
    <c:plotVisOnly val="1"/>
    <c:dispBlanksAs val="gap"/>
    <c:showDLblsOverMax val="0"/>
  </c:chart>
  <c:spPr>
    <a:solidFill>
      <a:schemeClr val="bg1"/>
    </a:solidFill>
    <a:ln w="9525" cap="flat" cmpd="sng" algn="ctr">
      <a:noFill/>
      <a:round/>
    </a:ln>
    <a:effectLst/>
  </c:spPr>
  <c:txPr>
    <a:bodyPr/>
    <a:lstStyle/>
    <a:p>
      <a:pPr>
        <a:defRPr sz="800">
          <a:solidFill>
            <a:schemeClr val="tx2"/>
          </a:solidFill>
          <a:latin typeface="Segoe UI" panose="020B0502040204020203" pitchFamily="34" charset="0"/>
          <a:cs typeface="Segoe UI" panose="020B0502040204020203" pitchFamily="34" charset="0"/>
        </a:defRPr>
      </a:pPr>
      <a:endParaRPr lang="sk-SK"/>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'Školstvo 2'!$C$2</c:f>
              <c:strCache>
                <c:ptCount val="1"/>
                <c:pt idx="0">
                  <c:v>Účasť trojročných a starších detí na predprimárnom vzdelávaní v roku 2022</c:v>
                </c:pt>
              </c:strCache>
            </c:strRef>
          </c:tx>
          <c:spPr>
            <a:solidFill>
              <a:schemeClr val="accent1"/>
            </a:solidFill>
            <a:ln>
              <a:noFill/>
            </a:ln>
            <a:effectLst/>
          </c:spPr>
          <c:invertIfNegative val="0"/>
          <c:dPt>
            <c:idx val="24"/>
            <c:invertIfNegative val="0"/>
            <c:bubble3D val="0"/>
            <c:spPr>
              <a:solidFill>
                <a:schemeClr val="accent6"/>
              </a:solidFill>
              <a:ln>
                <a:noFill/>
              </a:ln>
              <a:effectLst/>
            </c:spPr>
            <c:extLst>
              <c:ext xmlns:c16="http://schemas.microsoft.com/office/drawing/2014/chart" uri="{C3380CC4-5D6E-409C-BE32-E72D297353CC}">
                <c16:uniqueId val="{00000001-73CC-4CD0-9190-7FC485B47B8E}"/>
              </c:ext>
            </c:extLst>
          </c:dPt>
          <c:dLbls>
            <c:dLbl>
              <c:idx val="24"/>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3CC-4CD0-9190-7FC485B47B8E}"/>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accent6"/>
                    </a:solidFill>
                    <a:latin typeface="Segoe UI" panose="020B0502040204020203" pitchFamily="34" charset="0"/>
                    <a:ea typeface="+mn-ea"/>
                    <a:cs typeface="Segoe UI" panose="020B0502040204020203" pitchFamily="34" charset="0"/>
                  </a:defRPr>
                </a:pPr>
                <a:endParaRPr lang="sk-SK"/>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'Školstvo 2'!$B$3:$B$28</c:f>
              <c:strCache>
                <c:ptCount val="26"/>
                <c:pt idx="0">
                  <c:v>Francúzsko</c:v>
                </c:pt>
                <c:pt idx="1">
                  <c:v>Belgicko</c:v>
                </c:pt>
                <c:pt idx="2">
                  <c:v>Dánsko</c:v>
                </c:pt>
                <c:pt idx="3">
                  <c:v>Španielsko</c:v>
                </c:pt>
                <c:pt idx="4">
                  <c:v>Litva</c:v>
                </c:pt>
                <c:pt idx="5">
                  <c:v>Portugalsko</c:v>
                </c:pt>
                <c:pt idx="6">
                  <c:v>Švédsko</c:v>
                </c:pt>
                <c:pt idx="7">
                  <c:v>Lotyšsko</c:v>
                </c:pt>
                <c:pt idx="8">
                  <c:v>Írsko</c:v>
                </c:pt>
                <c:pt idx="9">
                  <c:v>Nemecko</c:v>
                </c:pt>
                <c:pt idx="10">
                  <c:v>Taliansko</c:v>
                </c:pt>
                <c:pt idx="11">
                  <c:v>Slovinsko</c:v>
                </c:pt>
                <c:pt idx="12">
                  <c:v>Maďarsko</c:v>
                </c:pt>
                <c:pt idx="13">
                  <c:v>Poľsko</c:v>
                </c:pt>
                <c:pt idx="14">
                  <c:v>Holandsko</c:v>
                </c:pt>
                <c:pt idx="15">
                  <c:v>Estónsko</c:v>
                </c:pt>
                <c:pt idx="16">
                  <c:v>Rakúsko</c:v>
                </c:pt>
                <c:pt idx="17">
                  <c:v>Luxembursko</c:v>
                </c:pt>
                <c:pt idx="18">
                  <c:v>Fínsko</c:v>
                </c:pt>
                <c:pt idx="19">
                  <c:v>Malta</c:v>
                </c:pt>
                <c:pt idx="20">
                  <c:v>Česko</c:v>
                </c:pt>
                <c:pt idx="21">
                  <c:v>Cyprus</c:v>
                </c:pt>
                <c:pt idx="22">
                  <c:v>Chorvátsko</c:v>
                </c:pt>
                <c:pt idx="23">
                  <c:v>Bulharsko</c:v>
                </c:pt>
                <c:pt idx="24">
                  <c:v>Slovensko</c:v>
                </c:pt>
                <c:pt idx="25">
                  <c:v>Rumunsko</c:v>
                </c:pt>
              </c:strCache>
            </c:strRef>
          </c:cat>
          <c:val>
            <c:numRef>
              <c:f>'Školstvo 2'!$C$3:$C$28</c:f>
              <c:numCache>
                <c:formatCode>General</c:formatCode>
                <c:ptCount val="26"/>
                <c:pt idx="0">
                  <c:v>100</c:v>
                </c:pt>
                <c:pt idx="1">
                  <c:v>98.3</c:v>
                </c:pt>
                <c:pt idx="2">
                  <c:v>97.1</c:v>
                </c:pt>
                <c:pt idx="3">
                  <c:v>96.7</c:v>
                </c:pt>
                <c:pt idx="4">
                  <c:v>96.7</c:v>
                </c:pt>
                <c:pt idx="5">
                  <c:v>96.3</c:v>
                </c:pt>
                <c:pt idx="6">
                  <c:v>96.1</c:v>
                </c:pt>
                <c:pt idx="7">
                  <c:v>95.5</c:v>
                </c:pt>
                <c:pt idx="8">
                  <c:v>93.2</c:v>
                </c:pt>
                <c:pt idx="9">
                  <c:v>93.1</c:v>
                </c:pt>
                <c:pt idx="10">
                  <c:v>92.7</c:v>
                </c:pt>
                <c:pt idx="11">
                  <c:v>92.7</c:v>
                </c:pt>
                <c:pt idx="12">
                  <c:v>92.6</c:v>
                </c:pt>
                <c:pt idx="13">
                  <c:v>92.4</c:v>
                </c:pt>
                <c:pt idx="14">
                  <c:v>92</c:v>
                </c:pt>
                <c:pt idx="15">
                  <c:v>91.9</c:v>
                </c:pt>
                <c:pt idx="16">
                  <c:v>90.6</c:v>
                </c:pt>
                <c:pt idx="17">
                  <c:v>90.5</c:v>
                </c:pt>
                <c:pt idx="18">
                  <c:v>89</c:v>
                </c:pt>
                <c:pt idx="19">
                  <c:v>87.5</c:v>
                </c:pt>
                <c:pt idx="20">
                  <c:v>85.3</c:v>
                </c:pt>
                <c:pt idx="21">
                  <c:v>84.4</c:v>
                </c:pt>
                <c:pt idx="22">
                  <c:v>83.5</c:v>
                </c:pt>
                <c:pt idx="23">
                  <c:v>80.400000000000006</c:v>
                </c:pt>
                <c:pt idx="24">
                  <c:v>78.599999999999994</c:v>
                </c:pt>
                <c:pt idx="25">
                  <c:v>74.8</c:v>
                </c:pt>
              </c:numCache>
            </c:numRef>
          </c:val>
          <c:extLst>
            <c:ext xmlns:c16="http://schemas.microsoft.com/office/drawing/2014/chart" uri="{C3380CC4-5D6E-409C-BE32-E72D297353CC}">
              <c16:uniqueId val="{00000002-73CC-4CD0-9190-7FC485B47B8E}"/>
            </c:ext>
          </c:extLst>
        </c:ser>
        <c:dLbls>
          <c:showLegendKey val="0"/>
          <c:showVal val="0"/>
          <c:showCatName val="0"/>
          <c:showSerName val="0"/>
          <c:showPercent val="0"/>
          <c:showBubbleSize val="0"/>
        </c:dLbls>
        <c:gapWidth val="100"/>
        <c:axId val="588830496"/>
        <c:axId val="588821344"/>
      </c:barChart>
      <c:catAx>
        <c:axId val="588830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588821344"/>
        <c:crosses val="autoZero"/>
        <c:auto val="1"/>
        <c:lblAlgn val="ctr"/>
        <c:lblOffset val="100"/>
        <c:noMultiLvlLbl val="0"/>
      </c:catAx>
      <c:valAx>
        <c:axId val="588821344"/>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r>
                  <a:rPr lang="sk-SK"/>
                  <a:t>% populácie v príslušnom veku</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588830496"/>
        <c:crosses val="autoZero"/>
        <c:crossBetween val="between"/>
        <c:majorUnit val="2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chemeClr val="tx2"/>
          </a:solidFill>
          <a:latin typeface="Segoe UI" panose="020B0502040204020203" pitchFamily="34" charset="0"/>
          <a:cs typeface="Segoe UI" panose="020B0502040204020203" pitchFamily="34" charset="0"/>
        </a:defRPr>
      </a:pPr>
      <a:endParaRPr lang="sk-SK"/>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Hárok2!$C$2</c:f>
              <c:strCache>
                <c:ptCount val="1"/>
                <c:pt idx="0">
                  <c:v>Rozpočet schválených projektov</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Hárok2!$B$3:$B$12</c:f>
              <c:strCache>
                <c:ptCount val="10"/>
                <c:pt idx="0">
                  <c:v>[0 – 1]</c:v>
                </c:pt>
                <c:pt idx="1">
                  <c:v>(1 – 2]</c:v>
                </c:pt>
                <c:pt idx="2">
                  <c:v>(2 – 3]</c:v>
                </c:pt>
                <c:pt idx="3">
                  <c:v>(3 – 4]</c:v>
                </c:pt>
                <c:pt idx="4">
                  <c:v>(4 – 5]</c:v>
                </c:pt>
                <c:pt idx="5">
                  <c:v>(5 – 6]</c:v>
                </c:pt>
                <c:pt idx="6">
                  <c:v>(6 – 7]</c:v>
                </c:pt>
                <c:pt idx="7">
                  <c:v>(7 – 8]</c:v>
                </c:pt>
                <c:pt idx="8">
                  <c:v>(8 – 9]</c:v>
                </c:pt>
                <c:pt idx="9">
                  <c:v>(9 – 10]</c:v>
                </c:pt>
              </c:strCache>
            </c:strRef>
          </c:cat>
          <c:val>
            <c:numRef>
              <c:f>Hárok2!$C$3:$C$12</c:f>
              <c:numCache>
                <c:formatCode>0.0</c:formatCode>
                <c:ptCount val="10"/>
                <c:pt idx="0">
                  <c:v>1.1070671999999999</c:v>
                </c:pt>
                <c:pt idx="1">
                  <c:v>4.1562117999999995</c:v>
                </c:pt>
                <c:pt idx="2">
                  <c:v>6.2428920000000003</c:v>
                </c:pt>
                <c:pt idx="3">
                  <c:v>8.9382393000000011</c:v>
                </c:pt>
                <c:pt idx="4">
                  <c:v>3.5126189000000001</c:v>
                </c:pt>
                <c:pt idx="5">
                  <c:v>0.26259353999999996</c:v>
                </c:pt>
                <c:pt idx="6">
                  <c:v>2.4848112999999996</c:v>
                </c:pt>
                <c:pt idx="7">
                  <c:v>0.92811964000000002</c:v>
                </c:pt>
                <c:pt idx="8">
                  <c:v>1.125767</c:v>
                </c:pt>
                <c:pt idx="9">
                  <c:v>0.27360000000000001</c:v>
                </c:pt>
              </c:numCache>
            </c:numRef>
          </c:val>
          <c:extLst>
            <c:ext xmlns:c16="http://schemas.microsoft.com/office/drawing/2014/chart" uri="{C3380CC4-5D6E-409C-BE32-E72D297353CC}">
              <c16:uniqueId val="{00000000-BFDF-4589-A1DA-9865401CDDA4}"/>
            </c:ext>
          </c:extLst>
        </c:ser>
        <c:dLbls>
          <c:showLegendKey val="0"/>
          <c:showVal val="0"/>
          <c:showCatName val="0"/>
          <c:showSerName val="0"/>
          <c:showPercent val="0"/>
          <c:showBubbleSize val="0"/>
        </c:dLbls>
        <c:gapWidth val="100"/>
        <c:axId val="849270527"/>
        <c:axId val="849271359"/>
      </c:barChart>
      <c:catAx>
        <c:axId val="849270527"/>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r>
                  <a:rPr lang="sk-SK"/>
                  <a:t>Index dostupnosti MŠ</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849271359"/>
        <c:crosses val="autoZero"/>
        <c:auto val="1"/>
        <c:lblAlgn val="ctr"/>
        <c:lblOffset val="100"/>
        <c:noMultiLvlLbl val="0"/>
      </c:catAx>
      <c:valAx>
        <c:axId val="84927135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r>
                  <a:rPr lang="sk-SK"/>
                  <a:t>Mil. eur</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849270527"/>
        <c:crosses val="autoZero"/>
        <c:crossBetween val="between"/>
        <c:majorUnit val="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chemeClr val="tx2"/>
          </a:solidFill>
          <a:latin typeface="Segoe UI" panose="020B0502040204020203" pitchFamily="34" charset="0"/>
          <a:cs typeface="Segoe UI" panose="020B0502040204020203" pitchFamily="34" charset="0"/>
        </a:defRPr>
      </a:pPr>
      <a:endParaRPr lang="sk-SK"/>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1"/>
          <c:order val="0"/>
          <c:tx>
            <c:strRef>
              <c:f>'Graf 4'!$C$2</c:f>
              <c:strCache>
                <c:ptCount val="1"/>
                <c:pt idx="0">
                  <c:v>RVS 2023</c:v>
                </c:pt>
              </c:strCache>
            </c:strRef>
          </c:tx>
          <c:spPr>
            <a:solidFill>
              <a:schemeClr val="tx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 4'!$B$3:$B$8</c:f>
              <c:strCache>
                <c:ptCount val="6"/>
                <c:pt idx="0">
                  <c:v>DP FO</c:v>
                </c:pt>
                <c:pt idx="1">
                  <c:v>DP PO</c:v>
                </c:pt>
                <c:pt idx="2">
                  <c:v>DPH</c:v>
                </c:pt>
                <c:pt idx="3">
                  <c:v>Spotrebné dane</c:v>
                </c:pt>
                <c:pt idx="4">
                  <c:v>Sociálna poisťovňa</c:v>
                </c:pt>
                <c:pt idx="5">
                  <c:v>Zdravotné poisťovne</c:v>
                </c:pt>
              </c:strCache>
            </c:strRef>
          </c:cat>
          <c:val>
            <c:numRef>
              <c:f>'Graf 4'!$C$3:$C$8</c:f>
              <c:numCache>
                <c:formatCode>_-* #\ ##0.0_-;\-* #\ ##0.0_-;_-* "-"??_-;_-@_-</c:formatCode>
                <c:ptCount val="6"/>
                <c:pt idx="0">
                  <c:v>4837.5519999999997</c:v>
                </c:pt>
                <c:pt idx="1">
                  <c:v>3920.0410000000002</c:v>
                </c:pt>
                <c:pt idx="2">
                  <c:v>9883.6790000000001</c:v>
                </c:pt>
                <c:pt idx="3">
                  <c:v>2548.0500000000002</c:v>
                </c:pt>
                <c:pt idx="4">
                  <c:v>10366.641</c:v>
                </c:pt>
                <c:pt idx="5">
                  <c:v>5285.1769999999997</c:v>
                </c:pt>
              </c:numCache>
            </c:numRef>
          </c:val>
          <c:extLst>
            <c:ext xmlns:c16="http://schemas.microsoft.com/office/drawing/2014/chart" uri="{C3380CC4-5D6E-409C-BE32-E72D297353CC}">
              <c16:uniqueId val="{00000000-4F7D-4B75-87D0-A1BE295189CF}"/>
            </c:ext>
          </c:extLst>
        </c:ser>
        <c:ser>
          <c:idx val="0"/>
          <c:order val="1"/>
          <c:tx>
            <c:strRef>
              <c:f>'Graf 4'!$D$2</c:f>
              <c:strCache>
                <c:ptCount val="1"/>
                <c:pt idx="0">
                  <c:v>Skutočnosť</c:v>
                </c:pt>
              </c:strCache>
            </c:strRef>
          </c:tx>
          <c:spPr>
            <a:solidFill>
              <a:schemeClr val="bg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2"/>
                    </a:solidFill>
                    <a:latin typeface="Segoe UI" panose="020B0502040204020203" pitchFamily="34" charset="0"/>
                    <a:ea typeface="+mn-ea"/>
                    <a:cs typeface="Segoe UI" panose="020B0502040204020203"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 4'!$B$3:$B$8</c:f>
              <c:strCache>
                <c:ptCount val="6"/>
                <c:pt idx="0">
                  <c:v>DP FO</c:v>
                </c:pt>
                <c:pt idx="1">
                  <c:v>DP PO</c:v>
                </c:pt>
                <c:pt idx="2">
                  <c:v>DPH</c:v>
                </c:pt>
                <c:pt idx="3">
                  <c:v>Spotrebné dane</c:v>
                </c:pt>
                <c:pt idx="4">
                  <c:v>Sociálna poisťovňa</c:v>
                </c:pt>
                <c:pt idx="5">
                  <c:v>Zdravotné poisťovne</c:v>
                </c:pt>
              </c:strCache>
            </c:strRef>
          </c:cat>
          <c:val>
            <c:numRef>
              <c:f>'Graf 4'!$D$3:$D$8</c:f>
              <c:numCache>
                <c:formatCode>_-* #\ ##0.0_-;\-* #\ ##0.0_-;_-* "-"??_-;_-@_-</c:formatCode>
                <c:ptCount val="6"/>
                <c:pt idx="0">
                  <c:v>4624.2650000000003</c:v>
                </c:pt>
                <c:pt idx="1">
                  <c:v>4263.25</c:v>
                </c:pt>
                <c:pt idx="2">
                  <c:v>9799.7639999999992</c:v>
                </c:pt>
                <c:pt idx="3">
                  <c:v>2600.0479999999998</c:v>
                </c:pt>
                <c:pt idx="4">
                  <c:v>10135.746999999999</c:v>
                </c:pt>
                <c:pt idx="5">
                  <c:v>5204.3100000000004</c:v>
                </c:pt>
              </c:numCache>
            </c:numRef>
          </c:val>
          <c:extLst>
            <c:ext xmlns:c16="http://schemas.microsoft.com/office/drawing/2014/chart" uri="{C3380CC4-5D6E-409C-BE32-E72D297353CC}">
              <c16:uniqueId val="{00000001-4F7D-4B75-87D0-A1BE295189CF}"/>
            </c:ext>
          </c:extLst>
        </c:ser>
        <c:dLbls>
          <c:showLegendKey val="0"/>
          <c:showVal val="0"/>
          <c:showCatName val="0"/>
          <c:showSerName val="0"/>
          <c:showPercent val="0"/>
          <c:showBubbleSize val="0"/>
        </c:dLbls>
        <c:gapWidth val="100"/>
        <c:axId val="311234272"/>
        <c:axId val="311235104"/>
      </c:barChart>
      <c:catAx>
        <c:axId val="311234272"/>
        <c:scaling>
          <c:orientation val="maxMin"/>
        </c:scaling>
        <c:delete val="0"/>
        <c:axPos val="l"/>
        <c:majorGridlines>
          <c:spPr>
            <a:ln w="9525" cap="flat" cmpd="sng" algn="ct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tx2"/>
                  </a:gs>
                </a:gsLst>
                <a:lin ang="10800000" scaled="0"/>
              </a:gra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311235104"/>
        <c:crosses val="autoZero"/>
        <c:auto val="1"/>
        <c:lblAlgn val="ctr"/>
        <c:lblOffset val="100"/>
        <c:noMultiLvlLbl val="0"/>
      </c:catAx>
      <c:valAx>
        <c:axId val="311235104"/>
        <c:scaling>
          <c:orientation val="minMax"/>
          <c:max val="11000"/>
          <c:min val="0"/>
        </c:scaling>
        <c:delete val="0"/>
        <c:axPos val="t"/>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311234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legend>
    <c:plotVisOnly val="1"/>
    <c:dispBlanksAs val="gap"/>
    <c:showDLblsOverMax val="0"/>
  </c:chart>
  <c:spPr>
    <a:solidFill>
      <a:schemeClr val="bg1"/>
    </a:solidFill>
    <a:ln w="9525" cap="flat" cmpd="sng" algn="ctr">
      <a:noFill/>
      <a:round/>
    </a:ln>
    <a:effectLst/>
  </c:spPr>
  <c:txPr>
    <a:bodyPr/>
    <a:lstStyle/>
    <a:p>
      <a:pPr>
        <a:defRPr sz="800">
          <a:solidFill>
            <a:schemeClr val="tx2"/>
          </a:solidFill>
          <a:latin typeface="Segoe UI" panose="020B0502040204020203" pitchFamily="34" charset="0"/>
          <a:cs typeface="Segoe UI" panose="020B0502040204020203" pitchFamily="34" charset="0"/>
        </a:defRPr>
      </a:pPr>
      <a:endParaRPr lang="sk-SK"/>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Hárok3!$B$3</c:f>
              <c:strCache>
                <c:ptCount val="1"/>
                <c:pt idx="0">
                  <c:v>SpringerNature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Segoe UI" panose="020B0502040204020203" pitchFamily="34" charset="0"/>
                    <a:ea typeface="+mn-ea"/>
                    <a:cs typeface="Segoe UI" panose="020B0502040204020203" pitchFamily="34" charset="0"/>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Hárok3!$C$2:$F$2</c:f>
              <c:numCache>
                <c:formatCode>General</c:formatCode>
                <c:ptCount val="4"/>
                <c:pt idx="0">
                  <c:v>2023</c:v>
                </c:pt>
                <c:pt idx="1">
                  <c:v>2024</c:v>
                </c:pt>
                <c:pt idx="2">
                  <c:v>2025</c:v>
                </c:pt>
                <c:pt idx="3">
                  <c:v>2026</c:v>
                </c:pt>
              </c:numCache>
            </c:numRef>
          </c:cat>
          <c:val>
            <c:numRef>
              <c:f>Hárok3!$C$3:$F$3</c:f>
              <c:numCache>
                <c:formatCode>#,##0</c:formatCode>
                <c:ptCount val="4"/>
                <c:pt idx="0">
                  <c:v>612720</c:v>
                </c:pt>
                <c:pt idx="1">
                  <c:v>783520</c:v>
                </c:pt>
                <c:pt idx="2">
                  <c:v>815409</c:v>
                </c:pt>
                <c:pt idx="3">
                  <c:v>851004</c:v>
                </c:pt>
              </c:numCache>
            </c:numRef>
          </c:val>
          <c:extLst>
            <c:ext xmlns:c16="http://schemas.microsoft.com/office/drawing/2014/chart" uri="{C3380CC4-5D6E-409C-BE32-E72D297353CC}">
              <c16:uniqueId val="{00000000-5FFA-4283-9C2C-C6AC3BE335CD}"/>
            </c:ext>
          </c:extLst>
        </c:ser>
        <c:ser>
          <c:idx val="1"/>
          <c:order val="1"/>
          <c:tx>
            <c:strRef>
              <c:f>Hárok3!$B$4</c:f>
              <c:strCache>
                <c:ptCount val="1"/>
                <c:pt idx="0">
                  <c:v>Elsevier</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Hárok3!$C$2:$F$2</c:f>
              <c:numCache>
                <c:formatCode>General</c:formatCode>
                <c:ptCount val="4"/>
                <c:pt idx="0">
                  <c:v>2023</c:v>
                </c:pt>
                <c:pt idx="1">
                  <c:v>2024</c:v>
                </c:pt>
                <c:pt idx="2">
                  <c:v>2025</c:v>
                </c:pt>
                <c:pt idx="3">
                  <c:v>2026</c:v>
                </c:pt>
              </c:numCache>
            </c:numRef>
          </c:cat>
          <c:val>
            <c:numRef>
              <c:f>Hárok3!$C$4:$F$4</c:f>
              <c:numCache>
                <c:formatCode>#,##0</c:formatCode>
                <c:ptCount val="4"/>
                <c:pt idx="0">
                  <c:v>213927.63</c:v>
                </c:pt>
                <c:pt idx="1">
                  <c:v>213927.63</c:v>
                </c:pt>
                <c:pt idx="2">
                  <c:v>213927.63</c:v>
                </c:pt>
                <c:pt idx="3">
                  <c:v>213927.63</c:v>
                </c:pt>
              </c:numCache>
            </c:numRef>
          </c:val>
          <c:extLst>
            <c:ext xmlns:c16="http://schemas.microsoft.com/office/drawing/2014/chart" uri="{C3380CC4-5D6E-409C-BE32-E72D297353CC}">
              <c16:uniqueId val="{00000001-5FFA-4283-9C2C-C6AC3BE335CD}"/>
            </c:ext>
          </c:extLst>
        </c:ser>
        <c:ser>
          <c:idx val="2"/>
          <c:order val="2"/>
          <c:tx>
            <c:strRef>
              <c:f>Hárok3!$B$5</c:f>
              <c:strCache>
                <c:ptCount val="1"/>
                <c:pt idx="0">
                  <c:v>IEEE</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Hárok3!$C$2:$F$2</c:f>
              <c:numCache>
                <c:formatCode>General</c:formatCode>
                <c:ptCount val="4"/>
                <c:pt idx="0">
                  <c:v>2023</c:v>
                </c:pt>
                <c:pt idx="1">
                  <c:v>2024</c:v>
                </c:pt>
                <c:pt idx="2">
                  <c:v>2025</c:v>
                </c:pt>
                <c:pt idx="3">
                  <c:v>2026</c:v>
                </c:pt>
              </c:numCache>
            </c:numRef>
          </c:cat>
          <c:val>
            <c:numRef>
              <c:f>Hárok3!$C$5:$F$5</c:f>
              <c:numCache>
                <c:formatCode>#,##0</c:formatCode>
                <c:ptCount val="4"/>
                <c:pt idx="0">
                  <c:v>32970.530259480976</c:v>
                </c:pt>
                <c:pt idx="1">
                  <c:v>34948.762075049839</c:v>
                </c:pt>
                <c:pt idx="2">
                  <c:v>36347.119487457559</c:v>
                </c:pt>
                <c:pt idx="3">
                  <c:v>37437.505326894534</c:v>
                </c:pt>
              </c:numCache>
            </c:numRef>
          </c:val>
          <c:extLst>
            <c:ext xmlns:c16="http://schemas.microsoft.com/office/drawing/2014/chart" uri="{C3380CC4-5D6E-409C-BE32-E72D297353CC}">
              <c16:uniqueId val="{00000002-5FFA-4283-9C2C-C6AC3BE335CD}"/>
            </c:ext>
          </c:extLst>
        </c:ser>
        <c:dLbls>
          <c:showLegendKey val="0"/>
          <c:showVal val="0"/>
          <c:showCatName val="0"/>
          <c:showSerName val="0"/>
          <c:showPercent val="0"/>
          <c:showBubbleSize val="0"/>
        </c:dLbls>
        <c:gapWidth val="100"/>
        <c:overlap val="100"/>
        <c:axId val="866282847"/>
        <c:axId val="866264543"/>
      </c:barChart>
      <c:catAx>
        <c:axId val="866282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866264543"/>
        <c:crosses val="autoZero"/>
        <c:auto val="1"/>
        <c:lblAlgn val="ctr"/>
        <c:lblOffset val="100"/>
        <c:noMultiLvlLbl val="0"/>
      </c:catAx>
      <c:valAx>
        <c:axId val="86626454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8662828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legend>
    <c:plotVisOnly val="1"/>
    <c:dispBlanksAs val="gap"/>
    <c:showDLblsOverMax val="0"/>
  </c:chart>
  <c:spPr>
    <a:solidFill>
      <a:schemeClr val="bg1"/>
    </a:solidFill>
    <a:ln w="9525" cap="flat" cmpd="sng" algn="ctr">
      <a:noFill/>
      <a:round/>
    </a:ln>
    <a:effectLst/>
  </c:spPr>
  <c:txPr>
    <a:bodyPr/>
    <a:lstStyle/>
    <a:p>
      <a:pPr>
        <a:defRPr sz="800">
          <a:solidFill>
            <a:schemeClr val="tx2"/>
          </a:solidFill>
          <a:latin typeface="Segoe UI" panose="020B0502040204020203" pitchFamily="34" charset="0"/>
          <a:cs typeface="Segoe UI" panose="020B0502040204020203" pitchFamily="34" charset="0"/>
        </a:defRPr>
      </a:pPr>
      <a:endParaRPr lang="sk-SK"/>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Hárok4!$C$2</c:f>
              <c:strCache>
                <c:ptCount val="1"/>
                <c:pt idx="0">
                  <c:v>Počet čerpaných článkov</c:v>
                </c:pt>
              </c:strCache>
            </c:strRef>
          </c:tx>
          <c:spPr>
            <a:solidFill>
              <a:schemeClr val="accent1"/>
            </a:solidFill>
            <a:ln>
              <a:noFill/>
            </a:ln>
            <a:effectLst/>
          </c:spPr>
          <c:invertIfNegative val="0"/>
          <c:dLbls>
            <c:dLbl>
              <c:idx val="2"/>
              <c:layout>
                <c:manualLayout>
                  <c:x val="0.13230429988974643"/>
                  <c:y val="-5.8806233460746947E-2"/>
                </c:manualLayout>
              </c:layout>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858-4626-9FB5-26399AB8B9C0}"/>
                </c:ext>
              </c:extLst>
            </c:dLbl>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Segoe UI" panose="020B0502040204020203" pitchFamily="34" charset="0"/>
                    <a:ea typeface="+mn-ea"/>
                    <a:cs typeface="Segoe UI" panose="020B0502040204020203" pitchFamily="34" charset="0"/>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Hárok4!$B$3:$B$5</c:f>
              <c:strCache>
                <c:ptCount val="3"/>
                <c:pt idx="0">
                  <c:v>SpringerNature</c:v>
                </c:pt>
                <c:pt idx="1">
                  <c:v>Elsevier</c:v>
                </c:pt>
                <c:pt idx="2">
                  <c:v>IEEE</c:v>
                </c:pt>
              </c:strCache>
            </c:strRef>
          </c:cat>
          <c:val>
            <c:numRef>
              <c:f>Hárok4!$C$3:$C$5</c:f>
              <c:numCache>
                <c:formatCode>General</c:formatCode>
                <c:ptCount val="3"/>
                <c:pt idx="0">
                  <c:v>176</c:v>
                </c:pt>
                <c:pt idx="1">
                  <c:v>53</c:v>
                </c:pt>
                <c:pt idx="2">
                  <c:v>13</c:v>
                </c:pt>
              </c:numCache>
            </c:numRef>
          </c:val>
          <c:extLst>
            <c:ext xmlns:c16="http://schemas.microsoft.com/office/drawing/2014/chart" uri="{C3380CC4-5D6E-409C-BE32-E72D297353CC}">
              <c16:uniqueId val="{00000001-A858-4626-9FB5-26399AB8B9C0}"/>
            </c:ext>
          </c:extLst>
        </c:ser>
        <c:ser>
          <c:idx val="1"/>
          <c:order val="1"/>
          <c:tx>
            <c:strRef>
              <c:f>Hárok4!$D$2</c:f>
              <c:strCache>
                <c:ptCount val="1"/>
                <c:pt idx="0">
                  <c:v>Počet nečerpaných článkov</c:v>
                </c:pt>
              </c:strCache>
            </c:strRef>
          </c:tx>
          <c:spPr>
            <a:solidFill>
              <a:schemeClr val="accent2"/>
            </a:solidFill>
            <a:ln>
              <a:noFill/>
            </a:ln>
            <a:effectLst/>
          </c:spPr>
          <c:invertIfNegative val="0"/>
          <c:dLbls>
            <c:dLbl>
              <c:idx val="2"/>
              <c:layout>
                <c:manualLayout>
                  <c:x val="8.8202866593164279E-3"/>
                  <c:y val="-0.1176124669214936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858-4626-9FB5-26399AB8B9C0}"/>
                </c:ext>
              </c:extLst>
            </c:dLbl>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Hárok4!$B$3:$B$5</c:f>
              <c:strCache>
                <c:ptCount val="3"/>
                <c:pt idx="0">
                  <c:v>SpringerNature</c:v>
                </c:pt>
                <c:pt idx="1">
                  <c:v>Elsevier</c:v>
                </c:pt>
                <c:pt idx="2">
                  <c:v>IEEE</c:v>
                </c:pt>
              </c:strCache>
            </c:strRef>
          </c:cat>
          <c:val>
            <c:numRef>
              <c:f>Hárok4!$D$3:$D$5</c:f>
              <c:numCache>
                <c:formatCode>General</c:formatCode>
                <c:ptCount val="3"/>
                <c:pt idx="0">
                  <c:v>64</c:v>
                </c:pt>
                <c:pt idx="1">
                  <c:v>47</c:v>
                </c:pt>
                <c:pt idx="2">
                  <c:v>10</c:v>
                </c:pt>
              </c:numCache>
            </c:numRef>
          </c:val>
          <c:extLst>
            <c:ext xmlns:c16="http://schemas.microsoft.com/office/drawing/2014/chart" uri="{C3380CC4-5D6E-409C-BE32-E72D297353CC}">
              <c16:uniqueId val="{00000003-A858-4626-9FB5-26399AB8B9C0}"/>
            </c:ext>
          </c:extLst>
        </c:ser>
        <c:dLbls>
          <c:showLegendKey val="0"/>
          <c:showVal val="0"/>
          <c:showCatName val="0"/>
          <c:showSerName val="0"/>
          <c:showPercent val="0"/>
          <c:showBubbleSize val="0"/>
        </c:dLbls>
        <c:gapWidth val="100"/>
        <c:overlap val="100"/>
        <c:axId val="700569583"/>
        <c:axId val="700567503"/>
      </c:barChart>
      <c:catAx>
        <c:axId val="7005695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700567503"/>
        <c:crosses val="autoZero"/>
        <c:auto val="1"/>
        <c:lblAlgn val="ctr"/>
        <c:lblOffset val="100"/>
        <c:noMultiLvlLbl val="0"/>
      </c:catAx>
      <c:valAx>
        <c:axId val="700567503"/>
        <c:scaling>
          <c:orientation val="minMax"/>
          <c:max val="25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7005695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legend>
    <c:plotVisOnly val="1"/>
    <c:dispBlanksAs val="gap"/>
    <c:showDLblsOverMax val="0"/>
  </c:chart>
  <c:spPr>
    <a:solidFill>
      <a:schemeClr val="bg1"/>
    </a:solidFill>
    <a:ln w="9525" cap="flat" cmpd="sng" algn="ctr">
      <a:noFill/>
      <a:round/>
    </a:ln>
    <a:effectLst/>
  </c:spPr>
  <c:txPr>
    <a:bodyPr/>
    <a:lstStyle/>
    <a:p>
      <a:pPr>
        <a:defRPr sz="800">
          <a:solidFill>
            <a:schemeClr val="tx2"/>
          </a:solidFill>
          <a:latin typeface="Segoe UI" panose="020B0502040204020203" pitchFamily="34" charset="0"/>
          <a:cs typeface="Segoe UI" panose="020B0502040204020203" pitchFamily="34" charset="0"/>
        </a:defRPr>
      </a:pPr>
      <a:endParaRPr lang="sk-SK"/>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72483483665975"/>
          <c:y val="6.4686856806821527E-2"/>
          <c:w val="0.71424007500716213"/>
          <c:h val="0.6583904224556465"/>
        </c:manualLayout>
      </c:layout>
      <c:barChart>
        <c:barDir val="col"/>
        <c:grouping val="clustered"/>
        <c:varyColors val="0"/>
        <c:ser>
          <c:idx val="0"/>
          <c:order val="0"/>
          <c:tx>
            <c:strRef>
              <c:f>Hárok5!$C$2</c:f>
              <c:strCache>
                <c:ptCount val="1"/>
                <c:pt idx="0">
                  <c:v>Jednotková cena v zmluve</c:v>
                </c:pt>
              </c:strCache>
            </c:strRef>
          </c:tx>
          <c:spPr>
            <a:solidFill>
              <a:schemeClr val="accent1"/>
            </a:solidFill>
            <a:ln>
              <a:noFill/>
            </a:ln>
            <a:effectLst/>
          </c:spPr>
          <c:invertIfNegative val="0"/>
          <c:dLbls>
            <c:dLbl>
              <c:idx val="0"/>
              <c:spPr>
                <a:noFill/>
                <a:ln>
                  <a:noFill/>
                </a:ln>
                <a:effectLst/>
              </c:spPr>
              <c:txPr>
                <a:bodyPr rot="0" spcFirstLastPara="1" vertOverflow="ellipsis" vert="horz" wrap="square" anchor="ctr" anchorCtr="1"/>
                <a:lstStyle/>
                <a:p>
                  <a:pPr>
                    <a:defRPr sz="6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showLegendKey val="0"/>
              <c:showVal val="1"/>
              <c:showCatName val="0"/>
              <c:showSerName val="0"/>
              <c:showPercent val="0"/>
              <c:showBubbleSize val="0"/>
              <c:extLst>
                <c:ext xmlns:c16="http://schemas.microsoft.com/office/drawing/2014/chart" uri="{C3380CC4-5D6E-409C-BE32-E72D297353CC}">
                  <c16:uniqueId val="{00000000-1551-464F-938B-7612B141D719}"/>
                </c:ext>
              </c:extLst>
            </c:dLbl>
            <c:dLbl>
              <c:idx val="1"/>
              <c:spPr>
                <a:noFill/>
                <a:ln>
                  <a:noFill/>
                </a:ln>
                <a:effectLst/>
              </c:spPr>
              <c:txPr>
                <a:bodyPr rot="0" spcFirstLastPara="1" vertOverflow="ellipsis" vert="horz" wrap="square" anchor="ctr" anchorCtr="1"/>
                <a:lstStyle/>
                <a:p>
                  <a:pPr>
                    <a:defRPr sz="6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showLegendKey val="0"/>
              <c:showVal val="1"/>
              <c:showCatName val="0"/>
              <c:showSerName val="0"/>
              <c:showPercent val="0"/>
              <c:showBubbleSize val="0"/>
              <c:extLst>
                <c:ext xmlns:c16="http://schemas.microsoft.com/office/drawing/2014/chart" uri="{C3380CC4-5D6E-409C-BE32-E72D297353CC}">
                  <c16:uniqueId val="{00000001-1551-464F-938B-7612B141D719}"/>
                </c:ext>
              </c:extLst>
            </c:dLbl>
            <c:dLbl>
              <c:idx val="2"/>
              <c:spPr>
                <a:noFill/>
                <a:ln>
                  <a:noFill/>
                </a:ln>
                <a:effectLst/>
              </c:spPr>
              <c:txPr>
                <a:bodyPr rot="0" spcFirstLastPara="1" vertOverflow="ellipsis" vert="horz" wrap="square" anchor="ctr" anchorCtr="1"/>
                <a:lstStyle/>
                <a:p>
                  <a:pPr>
                    <a:defRPr sz="6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showLegendKey val="0"/>
              <c:showVal val="1"/>
              <c:showCatName val="0"/>
              <c:showSerName val="0"/>
              <c:showPercent val="0"/>
              <c:showBubbleSize val="0"/>
              <c:extLst>
                <c:ext xmlns:c16="http://schemas.microsoft.com/office/drawing/2014/chart" uri="{C3380CC4-5D6E-409C-BE32-E72D297353CC}">
                  <c16:uniqueId val="{00000002-1551-464F-938B-7612B141D719}"/>
                </c:ext>
              </c:extLst>
            </c:dLbl>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Hárok5!$B$3:$B$5</c:f>
              <c:strCache>
                <c:ptCount val="3"/>
                <c:pt idx="0">
                  <c:v>SpringerNature</c:v>
                </c:pt>
                <c:pt idx="1">
                  <c:v>Elsevier (Open access)</c:v>
                </c:pt>
                <c:pt idx="2">
                  <c:v>Elsevier (Hybrid)</c:v>
                </c:pt>
              </c:strCache>
            </c:strRef>
          </c:cat>
          <c:val>
            <c:numRef>
              <c:f>Hárok5!$C$3:$C$5</c:f>
              <c:numCache>
                <c:formatCode>#,##0</c:formatCode>
                <c:ptCount val="3"/>
                <c:pt idx="0">
                  <c:v>2604.5</c:v>
                </c:pt>
                <c:pt idx="1">
                  <c:v>1629.95</c:v>
                </c:pt>
                <c:pt idx="2">
                  <c:v>2648.6026000000002</c:v>
                </c:pt>
              </c:numCache>
            </c:numRef>
          </c:val>
          <c:extLst>
            <c:ext xmlns:c16="http://schemas.microsoft.com/office/drawing/2014/chart" uri="{C3380CC4-5D6E-409C-BE32-E72D297353CC}">
              <c16:uniqueId val="{00000003-1551-464F-938B-7612B141D719}"/>
            </c:ext>
          </c:extLst>
        </c:ser>
        <c:ser>
          <c:idx val="1"/>
          <c:order val="1"/>
          <c:tx>
            <c:strRef>
              <c:f>Hárok5!$D$2</c:f>
              <c:strCache>
                <c:ptCount val="1"/>
                <c:pt idx="0">
                  <c:v>Priemerná cena bez zmluvy</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Hárok5!$B$3:$B$5</c:f>
              <c:strCache>
                <c:ptCount val="3"/>
                <c:pt idx="0">
                  <c:v>SpringerNature</c:v>
                </c:pt>
                <c:pt idx="1">
                  <c:v>Elsevier (Open access)</c:v>
                </c:pt>
                <c:pt idx="2">
                  <c:v>Elsevier (Hybrid)</c:v>
                </c:pt>
              </c:strCache>
            </c:strRef>
          </c:cat>
          <c:val>
            <c:numRef>
              <c:f>Hárok5!$D$3:$D$5</c:f>
              <c:numCache>
                <c:formatCode>#,##0</c:formatCode>
                <c:ptCount val="3"/>
                <c:pt idx="0">
                  <c:v>2882.8397129186601</c:v>
                </c:pt>
                <c:pt idx="1">
                  <c:v>1869.1356968215159</c:v>
                </c:pt>
                <c:pt idx="2">
                  <c:v>3130.1506186121569</c:v>
                </c:pt>
              </c:numCache>
            </c:numRef>
          </c:val>
          <c:extLst>
            <c:ext xmlns:c16="http://schemas.microsoft.com/office/drawing/2014/chart" uri="{C3380CC4-5D6E-409C-BE32-E72D297353CC}">
              <c16:uniqueId val="{00000004-1551-464F-938B-7612B141D719}"/>
            </c:ext>
          </c:extLst>
        </c:ser>
        <c:ser>
          <c:idx val="2"/>
          <c:order val="2"/>
          <c:tx>
            <c:strRef>
              <c:f>Hárok5!$E$2</c:f>
              <c:strCache>
                <c:ptCount val="1"/>
                <c:pt idx="0">
                  <c:v>Mediánová cena bez zmluvy</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Hárok5!$B$3:$B$5</c:f>
              <c:strCache>
                <c:ptCount val="3"/>
                <c:pt idx="0">
                  <c:v>SpringerNature</c:v>
                </c:pt>
                <c:pt idx="1">
                  <c:v>Elsevier (Open access)</c:v>
                </c:pt>
                <c:pt idx="2">
                  <c:v>Elsevier (Hybrid)</c:v>
                </c:pt>
              </c:strCache>
            </c:strRef>
          </c:cat>
          <c:val>
            <c:numRef>
              <c:f>Hárok5!$E$3:$E$5</c:f>
              <c:numCache>
                <c:formatCode>#,##0</c:formatCode>
                <c:ptCount val="3"/>
                <c:pt idx="0">
                  <c:v>2590</c:v>
                </c:pt>
                <c:pt idx="1">
                  <c:v>1770</c:v>
                </c:pt>
                <c:pt idx="2">
                  <c:v>3040</c:v>
                </c:pt>
              </c:numCache>
            </c:numRef>
          </c:val>
          <c:extLst>
            <c:ext xmlns:c16="http://schemas.microsoft.com/office/drawing/2014/chart" uri="{C3380CC4-5D6E-409C-BE32-E72D297353CC}">
              <c16:uniqueId val="{00000005-1551-464F-938B-7612B141D719}"/>
            </c:ext>
          </c:extLst>
        </c:ser>
        <c:dLbls>
          <c:showLegendKey val="0"/>
          <c:showVal val="0"/>
          <c:showCatName val="0"/>
          <c:showSerName val="0"/>
          <c:showPercent val="0"/>
          <c:showBubbleSize val="0"/>
        </c:dLbls>
        <c:gapWidth val="100"/>
        <c:axId val="888261535"/>
        <c:axId val="888260703"/>
      </c:barChart>
      <c:catAx>
        <c:axId val="8882615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888260703"/>
        <c:crosses val="autoZero"/>
        <c:auto val="1"/>
        <c:lblAlgn val="ctr"/>
        <c:lblOffset val="100"/>
        <c:noMultiLvlLbl val="0"/>
      </c:catAx>
      <c:valAx>
        <c:axId val="88826070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r>
                  <a:rPr lang="sk-SK">
                    <a:solidFill>
                      <a:schemeClr val="tx2"/>
                    </a:solidFill>
                  </a:rPr>
                  <a:t>Eur</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888261535"/>
        <c:crosses val="autoZero"/>
        <c:crossBetween val="between"/>
      </c:valAx>
      <c:spPr>
        <a:noFill/>
        <a:ln>
          <a:noFill/>
        </a:ln>
        <a:effectLst/>
      </c:spPr>
    </c:plotArea>
    <c:legend>
      <c:legendPos val="b"/>
      <c:layout>
        <c:manualLayout>
          <c:xMode val="edge"/>
          <c:yMode val="edge"/>
          <c:x val="3.0871003307607496E-2"/>
          <c:y val="0.87689586434744748"/>
          <c:w val="0.94257611403866692"/>
          <c:h val="0.1231041356525524"/>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legend>
    <c:plotVisOnly val="1"/>
    <c:dispBlanksAs val="gap"/>
    <c:showDLblsOverMax val="0"/>
  </c:chart>
  <c:spPr>
    <a:solidFill>
      <a:schemeClr val="bg1"/>
    </a:solidFill>
    <a:ln w="9525" cap="flat" cmpd="sng" algn="ctr">
      <a:noFill/>
      <a:round/>
    </a:ln>
    <a:effectLst/>
  </c:spPr>
  <c:txPr>
    <a:bodyPr/>
    <a:lstStyle/>
    <a:p>
      <a:pPr>
        <a:defRPr sz="800">
          <a:latin typeface="Segoe UI" panose="020B0502040204020203" pitchFamily="34" charset="0"/>
          <a:cs typeface="Segoe UI" panose="020B0502040204020203" pitchFamily="34" charset="0"/>
        </a:defRPr>
      </a:pPr>
      <a:endParaRPr lang="sk-SK"/>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9253556448698433E-2"/>
          <c:y val="5.0505050505050504E-2"/>
          <c:w val="0.92054585466536309"/>
          <c:h val="0.65306664791901015"/>
        </c:manualLayout>
      </c:layout>
      <c:barChart>
        <c:barDir val="col"/>
        <c:grouping val="clustered"/>
        <c:varyColors val="0"/>
        <c:ser>
          <c:idx val="0"/>
          <c:order val="0"/>
          <c:spPr>
            <a:solidFill>
              <a:srgbClr val="9CB9EC"/>
            </a:solidFill>
            <a:ln>
              <a:noFill/>
            </a:ln>
            <a:effectLst/>
          </c:spPr>
          <c:invertIfNegative val="0"/>
          <c:dPt>
            <c:idx val="14"/>
            <c:invertIfNegative val="0"/>
            <c:bubble3D val="0"/>
            <c:spPr>
              <a:solidFill>
                <a:srgbClr val="F55647"/>
              </a:solidFill>
              <a:ln>
                <a:noFill/>
              </a:ln>
              <a:effectLst/>
            </c:spPr>
            <c:extLst>
              <c:ext xmlns:c16="http://schemas.microsoft.com/office/drawing/2014/chart" uri="{C3380CC4-5D6E-409C-BE32-E72D297353CC}">
                <c16:uniqueId val="{00000001-800F-4A3E-8AD7-F238E3AD898A}"/>
              </c:ext>
            </c:extLst>
          </c:dPt>
          <c:dLbls>
            <c:dLbl>
              <c:idx val="14"/>
              <c:layout>
                <c:manualLayout>
                  <c:x val="0"/>
                  <c:y val="-6.903074615673041E-2"/>
                </c:manualLayout>
              </c:layout>
              <c:spPr>
                <a:noFill/>
                <a:ln>
                  <a:solidFill>
                    <a:srgbClr val="F55647"/>
                  </a:solid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accent6"/>
                      </a:solidFill>
                      <a:latin typeface="Segoe UI" panose="020B0502040204020203" pitchFamily="34" charset="0"/>
                      <a:ea typeface="+mn-ea"/>
                      <a:cs typeface="Segoe UI" panose="020B0502040204020203" pitchFamily="34" charset="0"/>
                    </a:defRPr>
                  </a:pPr>
                  <a:endParaRPr lang="sk-SK"/>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00F-4A3E-8AD7-F238E3AD898A}"/>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rgbClr val="F55647"/>
                      </a:solidFill>
                      <a:round/>
                    </a:ln>
                    <a:effectLst/>
                  </c:spPr>
                </c15:leaderLines>
              </c:ext>
            </c:extLst>
          </c:dLbls>
          <c:cat>
            <c:strRef>
              <c:f>'Graf 5'!$B$3:$B$29</c:f>
              <c:strCache>
                <c:ptCount val="27"/>
                <c:pt idx="0">
                  <c:v>Fínsko</c:v>
                </c:pt>
                <c:pt idx="1">
                  <c:v>Francúzsko</c:v>
                </c:pt>
                <c:pt idx="2">
                  <c:v>Dánsko</c:v>
                </c:pt>
                <c:pt idx="3">
                  <c:v>Belgicko</c:v>
                </c:pt>
                <c:pt idx="4">
                  <c:v>Rakúsko</c:v>
                </c:pt>
                <c:pt idx="5">
                  <c:v>Grécko</c:v>
                </c:pt>
                <c:pt idx="6">
                  <c:v>Taliansko</c:v>
                </c:pt>
                <c:pt idx="7">
                  <c:v>Švédsko</c:v>
                </c:pt>
                <c:pt idx="8">
                  <c:v>Luxembursko</c:v>
                </c:pt>
                <c:pt idx="9">
                  <c:v>Chorvátsko</c:v>
                </c:pt>
                <c:pt idx="10">
                  <c:v>Nemecko</c:v>
                </c:pt>
                <c:pt idx="11">
                  <c:v>Slovinsko</c:v>
                </c:pt>
                <c:pt idx="12">
                  <c:v>Cyprus</c:v>
                </c:pt>
                <c:pt idx="13">
                  <c:v>Holandsko</c:v>
                </c:pt>
                <c:pt idx="14">
                  <c:v>Slovensko</c:v>
                </c:pt>
                <c:pt idx="15">
                  <c:v>Španielsko</c:v>
                </c:pt>
                <c:pt idx="16">
                  <c:v>Maďarsko</c:v>
                </c:pt>
                <c:pt idx="17">
                  <c:v>Portugalsko</c:v>
                </c:pt>
                <c:pt idx="18">
                  <c:v>Česko</c:v>
                </c:pt>
                <c:pt idx="19">
                  <c:v>Poľsko</c:v>
                </c:pt>
                <c:pt idx="20">
                  <c:v>Estónsko</c:v>
                </c:pt>
                <c:pt idx="21">
                  <c:v>Lotyšsko</c:v>
                </c:pt>
                <c:pt idx="22">
                  <c:v>Bulharsko</c:v>
                </c:pt>
                <c:pt idx="23">
                  <c:v>Litva</c:v>
                </c:pt>
                <c:pt idx="24">
                  <c:v>Rumunsko</c:v>
                </c:pt>
                <c:pt idx="25">
                  <c:v>Malta</c:v>
                </c:pt>
                <c:pt idx="26">
                  <c:v>Írsko</c:v>
                </c:pt>
              </c:strCache>
            </c:strRef>
          </c:cat>
          <c:val>
            <c:numRef>
              <c:f>'Graf 5'!$C$3:$C$29</c:f>
              <c:numCache>
                <c:formatCode>0.0</c:formatCode>
                <c:ptCount val="27"/>
                <c:pt idx="0">
                  <c:v>52.9</c:v>
                </c:pt>
                <c:pt idx="1">
                  <c:v>51.9</c:v>
                </c:pt>
                <c:pt idx="2">
                  <c:v>50.3</c:v>
                </c:pt>
                <c:pt idx="3">
                  <c:v>50.1</c:v>
                </c:pt>
                <c:pt idx="4">
                  <c:v>49.5</c:v>
                </c:pt>
                <c:pt idx="5">
                  <c:v>48.9</c:v>
                </c:pt>
                <c:pt idx="6">
                  <c:v>47.8</c:v>
                </c:pt>
                <c:pt idx="7">
                  <c:v>47.4</c:v>
                </c:pt>
                <c:pt idx="8">
                  <c:v>46.8</c:v>
                </c:pt>
                <c:pt idx="9">
                  <c:v>46.7</c:v>
                </c:pt>
                <c:pt idx="10">
                  <c:v>46.1</c:v>
                </c:pt>
                <c:pt idx="11">
                  <c:v>44.2</c:v>
                </c:pt>
                <c:pt idx="12">
                  <c:v>43.3</c:v>
                </c:pt>
                <c:pt idx="13">
                  <c:v>43.1</c:v>
                </c:pt>
                <c:pt idx="14">
                  <c:v>43</c:v>
                </c:pt>
                <c:pt idx="15">
                  <c:v>42.8</c:v>
                </c:pt>
                <c:pt idx="16">
                  <c:v>42.4</c:v>
                </c:pt>
                <c:pt idx="17">
                  <c:v>42.3</c:v>
                </c:pt>
                <c:pt idx="18">
                  <c:v>41.7</c:v>
                </c:pt>
                <c:pt idx="19">
                  <c:v>41.6</c:v>
                </c:pt>
                <c:pt idx="20">
                  <c:v>40.1</c:v>
                </c:pt>
                <c:pt idx="21">
                  <c:v>38.700000000000003</c:v>
                </c:pt>
                <c:pt idx="22">
                  <c:v>37.9</c:v>
                </c:pt>
                <c:pt idx="23">
                  <c:v>37.4</c:v>
                </c:pt>
                <c:pt idx="24">
                  <c:v>33.6</c:v>
                </c:pt>
                <c:pt idx="25">
                  <c:v>33.4</c:v>
                </c:pt>
                <c:pt idx="26">
                  <c:v>24.5</c:v>
                </c:pt>
              </c:numCache>
            </c:numRef>
          </c:val>
          <c:extLst>
            <c:ext xmlns:c16="http://schemas.microsoft.com/office/drawing/2014/chart" uri="{C3380CC4-5D6E-409C-BE32-E72D297353CC}">
              <c16:uniqueId val="{00000002-800F-4A3E-8AD7-F238E3AD898A}"/>
            </c:ext>
          </c:extLst>
        </c:ser>
        <c:dLbls>
          <c:showLegendKey val="0"/>
          <c:showVal val="0"/>
          <c:showCatName val="0"/>
          <c:showSerName val="0"/>
          <c:showPercent val="0"/>
          <c:showBubbleSize val="0"/>
        </c:dLbls>
        <c:gapWidth val="100"/>
        <c:axId val="611564432"/>
        <c:axId val="611571920"/>
      </c:barChart>
      <c:lineChart>
        <c:grouping val="standard"/>
        <c:varyColors val="0"/>
        <c:ser>
          <c:idx val="1"/>
          <c:order val="1"/>
          <c:spPr>
            <a:ln w="22225" cap="rnd">
              <a:solidFill>
                <a:srgbClr val="314364"/>
              </a:solidFill>
              <a:prstDash val="sysDash"/>
              <a:round/>
            </a:ln>
            <a:effectLst/>
          </c:spPr>
          <c:marker>
            <c:symbol val="none"/>
          </c:marker>
          <c:dLbls>
            <c:dLbl>
              <c:idx val="23"/>
              <c:layout>
                <c:manualLayout>
                  <c:x val="-5.9942039955286124E-2"/>
                  <c:y val="-7.7832447977495639E-2"/>
                </c:manualLayout>
              </c:layout>
              <c:tx>
                <c:rich>
                  <a:bodyPr rot="0" spcFirstLastPara="1" vertOverflow="ellipsis" vert="horz" wrap="square" lIns="38100" tIns="19050" rIns="38100" bIns="19050" anchor="ctr" anchorCtr="1">
                    <a:spAutoFit/>
                  </a:bodyPr>
                  <a:lstStyle/>
                  <a:p>
                    <a:pPr>
                      <a:defRPr sz="800" b="1" i="0" u="none" strike="noStrike" kern="1200" baseline="0">
                        <a:solidFill>
                          <a:schemeClr val="tx2"/>
                        </a:solidFill>
                        <a:latin typeface="Segoe UI" panose="020B0502040204020203" pitchFamily="34" charset="0"/>
                        <a:ea typeface="+mn-ea"/>
                        <a:cs typeface="Segoe UI" panose="020B0502040204020203" pitchFamily="34" charset="0"/>
                      </a:defRPr>
                    </a:pPr>
                    <a:r>
                      <a:rPr lang="en-US" b="1"/>
                      <a:t>Priemer</a:t>
                    </a:r>
                    <a:r>
                      <a:rPr lang="en-US" b="1" baseline="0"/>
                      <a:t> EÚ </a:t>
                    </a:r>
                    <a:fld id="{DF3F77AD-D45A-4789-8FEC-AE3BA0982C25}" type="VALUE">
                      <a:rPr lang="en-US" b="1" baseline="0"/>
                      <a:pPr>
                        <a:defRPr b="1"/>
                      </a:pPr>
                      <a:t>[HODNOTA]</a:t>
                    </a:fld>
                    <a:endParaRPr lang="en-US" b="1" baseline="0"/>
                  </a:p>
                </c:rich>
              </c:tx>
              <c:spPr>
                <a:noFill/>
                <a:ln>
                  <a:solidFill>
                    <a:srgbClr val="314364"/>
                  </a:solidFill>
                  <a:prstDash val="sysDash"/>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dLblPos val="r"/>
              <c:showLegendKey val="0"/>
              <c:showVal val="1"/>
              <c:showCatName val="0"/>
              <c:showSerName val="1"/>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800F-4A3E-8AD7-F238E3AD898A}"/>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rgbClr val="314364"/>
                      </a:solidFill>
                      <a:round/>
                    </a:ln>
                    <a:effectLst/>
                  </c:spPr>
                </c15:leaderLines>
              </c:ext>
            </c:extLst>
          </c:dLbls>
          <c:cat>
            <c:strRef>
              <c:f>'Graf 5'!$B$3:$B$29</c:f>
              <c:strCache>
                <c:ptCount val="27"/>
                <c:pt idx="0">
                  <c:v>Fínsko</c:v>
                </c:pt>
                <c:pt idx="1">
                  <c:v>Francúzsko</c:v>
                </c:pt>
                <c:pt idx="2">
                  <c:v>Dánsko</c:v>
                </c:pt>
                <c:pt idx="3">
                  <c:v>Belgicko</c:v>
                </c:pt>
                <c:pt idx="4">
                  <c:v>Rakúsko</c:v>
                </c:pt>
                <c:pt idx="5">
                  <c:v>Grécko</c:v>
                </c:pt>
                <c:pt idx="6">
                  <c:v>Taliansko</c:v>
                </c:pt>
                <c:pt idx="7">
                  <c:v>Švédsko</c:v>
                </c:pt>
                <c:pt idx="8">
                  <c:v>Luxembursko</c:v>
                </c:pt>
                <c:pt idx="9">
                  <c:v>Chorvátsko</c:v>
                </c:pt>
                <c:pt idx="10">
                  <c:v>Nemecko</c:v>
                </c:pt>
                <c:pt idx="11">
                  <c:v>Slovinsko</c:v>
                </c:pt>
                <c:pt idx="12">
                  <c:v>Cyprus</c:v>
                </c:pt>
                <c:pt idx="13">
                  <c:v>Holandsko</c:v>
                </c:pt>
                <c:pt idx="14">
                  <c:v>Slovensko</c:v>
                </c:pt>
                <c:pt idx="15">
                  <c:v>Španielsko</c:v>
                </c:pt>
                <c:pt idx="16">
                  <c:v>Maďarsko</c:v>
                </c:pt>
                <c:pt idx="17">
                  <c:v>Portugalsko</c:v>
                </c:pt>
                <c:pt idx="18">
                  <c:v>Česko</c:v>
                </c:pt>
                <c:pt idx="19">
                  <c:v>Poľsko</c:v>
                </c:pt>
                <c:pt idx="20">
                  <c:v>Estónsko</c:v>
                </c:pt>
                <c:pt idx="21">
                  <c:v>Lotyšsko</c:v>
                </c:pt>
                <c:pt idx="22">
                  <c:v>Bulharsko</c:v>
                </c:pt>
                <c:pt idx="23">
                  <c:v>Litva</c:v>
                </c:pt>
                <c:pt idx="24">
                  <c:v>Rumunsko</c:v>
                </c:pt>
                <c:pt idx="25">
                  <c:v>Malta</c:v>
                </c:pt>
                <c:pt idx="26">
                  <c:v>Írsko</c:v>
                </c:pt>
              </c:strCache>
            </c:strRef>
          </c:cat>
          <c:val>
            <c:numRef>
              <c:f>'Graf 5'!$E$3:$E$29</c:f>
              <c:numCache>
                <c:formatCode>0.0</c:formatCode>
                <c:ptCount val="27"/>
                <c:pt idx="0">
                  <c:v>45.9</c:v>
                </c:pt>
                <c:pt idx="1">
                  <c:v>45.9</c:v>
                </c:pt>
                <c:pt idx="2">
                  <c:v>45.9</c:v>
                </c:pt>
                <c:pt idx="3">
                  <c:v>45.9</c:v>
                </c:pt>
                <c:pt idx="4">
                  <c:v>45.9</c:v>
                </c:pt>
                <c:pt idx="5">
                  <c:v>45.9</c:v>
                </c:pt>
                <c:pt idx="6">
                  <c:v>45.9</c:v>
                </c:pt>
                <c:pt idx="7">
                  <c:v>45.9</c:v>
                </c:pt>
                <c:pt idx="8">
                  <c:v>45.9</c:v>
                </c:pt>
                <c:pt idx="9">
                  <c:v>45.9</c:v>
                </c:pt>
                <c:pt idx="10">
                  <c:v>45.9</c:v>
                </c:pt>
                <c:pt idx="11">
                  <c:v>45.9</c:v>
                </c:pt>
                <c:pt idx="12">
                  <c:v>45.9</c:v>
                </c:pt>
                <c:pt idx="13">
                  <c:v>45.9</c:v>
                </c:pt>
                <c:pt idx="14">
                  <c:v>45.9</c:v>
                </c:pt>
                <c:pt idx="15">
                  <c:v>45.9</c:v>
                </c:pt>
                <c:pt idx="16">
                  <c:v>45.9</c:v>
                </c:pt>
                <c:pt idx="17">
                  <c:v>45.9</c:v>
                </c:pt>
                <c:pt idx="18">
                  <c:v>45.9</c:v>
                </c:pt>
                <c:pt idx="19">
                  <c:v>45.9</c:v>
                </c:pt>
                <c:pt idx="20">
                  <c:v>45.9</c:v>
                </c:pt>
                <c:pt idx="21">
                  <c:v>45.9</c:v>
                </c:pt>
                <c:pt idx="22">
                  <c:v>45.9</c:v>
                </c:pt>
                <c:pt idx="23">
                  <c:v>45.9</c:v>
                </c:pt>
                <c:pt idx="24">
                  <c:v>45.9</c:v>
                </c:pt>
                <c:pt idx="25">
                  <c:v>45.9</c:v>
                </c:pt>
                <c:pt idx="26">
                  <c:v>45.9</c:v>
                </c:pt>
              </c:numCache>
            </c:numRef>
          </c:val>
          <c:smooth val="0"/>
          <c:extLst>
            <c:ext xmlns:c16="http://schemas.microsoft.com/office/drawing/2014/chart" uri="{C3380CC4-5D6E-409C-BE32-E72D297353CC}">
              <c16:uniqueId val="{00000004-800F-4A3E-8AD7-F238E3AD898A}"/>
            </c:ext>
          </c:extLst>
        </c:ser>
        <c:dLbls>
          <c:showLegendKey val="0"/>
          <c:showVal val="0"/>
          <c:showCatName val="0"/>
          <c:showSerName val="0"/>
          <c:showPercent val="0"/>
          <c:showBubbleSize val="0"/>
        </c:dLbls>
        <c:marker val="1"/>
        <c:smooth val="0"/>
        <c:axId val="611564432"/>
        <c:axId val="611571920"/>
      </c:lineChart>
      <c:catAx>
        <c:axId val="611564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611571920"/>
        <c:crosses val="autoZero"/>
        <c:auto val="1"/>
        <c:lblAlgn val="ctr"/>
        <c:lblOffset val="100"/>
        <c:noMultiLvlLbl val="0"/>
      </c:catAx>
      <c:valAx>
        <c:axId val="611571920"/>
        <c:scaling>
          <c:orientation val="minMax"/>
          <c:max val="55"/>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611564432"/>
        <c:crosses val="autoZero"/>
        <c:crossBetween val="between"/>
        <c:majorUnit val="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chemeClr val="tx2"/>
          </a:solidFill>
          <a:latin typeface="Segoe UI" panose="020B0502040204020203" pitchFamily="34" charset="0"/>
          <a:cs typeface="Segoe UI" panose="020B0502040204020203" pitchFamily="34" charset="0"/>
        </a:defRPr>
      </a:pPr>
      <a:endParaRPr lang="sk-SK"/>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9253556448698433E-2"/>
          <c:y val="5.0505050505050504E-2"/>
          <c:w val="0.89829396325459321"/>
          <c:h val="0.65936284631087783"/>
        </c:manualLayout>
      </c:layout>
      <c:barChart>
        <c:barDir val="col"/>
        <c:grouping val="clustered"/>
        <c:varyColors val="0"/>
        <c:ser>
          <c:idx val="0"/>
          <c:order val="0"/>
          <c:tx>
            <c:strRef>
              <c:f>'Graf 6'!$C$2</c:f>
              <c:strCache>
                <c:ptCount val="1"/>
                <c:pt idx="0">
                  <c:v>2023</c:v>
                </c:pt>
              </c:strCache>
            </c:strRef>
          </c:tx>
          <c:spPr>
            <a:solidFill>
              <a:srgbClr val="9CB9EC"/>
            </a:solidFill>
            <a:ln>
              <a:noFill/>
            </a:ln>
            <a:effectLst/>
          </c:spPr>
          <c:invertIfNegative val="0"/>
          <c:dPt>
            <c:idx val="10"/>
            <c:invertIfNegative val="0"/>
            <c:bubble3D val="0"/>
            <c:spPr>
              <a:solidFill>
                <a:srgbClr val="F55647"/>
              </a:solidFill>
              <a:ln>
                <a:noFill/>
              </a:ln>
              <a:effectLst/>
            </c:spPr>
            <c:extLst>
              <c:ext xmlns:c16="http://schemas.microsoft.com/office/drawing/2014/chart" uri="{C3380CC4-5D6E-409C-BE32-E72D297353CC}">
                <c16:uniqueId val="{00000001-47D0-4655-A884-1DE1B69003A2}"/>
              </c:ext>
            </c:extLst>
          </c:dPt>
          <c:dPt>
            <c:idx val="16"/>
            <c:invertIfNegative val="0"/>
            <c:bubble3D val="0"/>
            <c:spPr>
              <a:solidFill>
                <a:srgbClr val="9CB9EC"/>
              </a:solidFill>
              <a:ln>
                <a:noFill/>
              </a:ln>
              <a:effectLst/>
            </c:spPr>
            <c:extLst>
              <c:ext xmlns:c16="http://schemas.microsoft.com/office/drawing/2014/chart" uri="{C3380CC4-5D6E-409C-BE32-E72D297353CC}">
                <c16:uniqueId val="{00000003-47D0-4655-A884-1DE1B69003A2}"/>
              </c:ext>
            </c:extLst>
          </c:dPt>
          <c:dLbls>
            <c:dLbl>
              <c:idx val="10"/>
              <c:layout>
                <c:manualLayout>
                  <c:x val="-7.6579455085834541E-17"/>
                  <c:y val="-7.48129675810473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7D0-4655-A884-1DE1B69003A2}"/>
                </c:ext>
              </c:extLst>
            </c:dLbl>
            <c:spPr>
              <a:noFill/>
              <a:ln>
                <a:solidFill>
                  <a:srgbClr val="F55647"/>
                </a:solid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accent6"/>
                    </a:solidFill>
                    <a:latin typeface="Segoe UI" panose="020B0502040204020203" pitchFamily="34" charset="0"/>
                    <a:ea typeface="+mn-ea"/>
                    <a:cs typeface="Segoe UI" panose="020B0502040204020203" pitchFamily="34" charset="0"/>
                  </a:defRPr>
                </a:pPr>
                <a:endParaRPr lang="sk-SK"/>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rgbClr val="F55647"/>
                      </a:solidFill>
                      <a:round/>
                    </a:ln>
                    <a:effectLst/>
                  </c:spPr>
                </c15:leaderLines>
              </c:ext>
            </c:extLst>
          </c:dLbls>
          <c:cat>
            <c:strRef>
              <c:f>'Graf 6'!$B$3:$B$29</c:f>
              <c:strCache>
                <c:ptCount val="27"/>
                <c:pt idx="0">
                  <c:v>Francúzsko</c:v>
                </c:pt>
                <c:pt idx="1">
                  <c:v>Fínsko</c:v>
                </c:pt>
                <c:pt idx="2">
                  <c:v>Taliansko</c:v>
                </c:pt>
                <c:pt idx="3">
                  <c:v>Belgicko</c:v>
                </c:pt>
                <c:pt idx="4">
                  <c:v>Rakúsko</c:v>
                </c:pt>
                <c:pt idx="5">
                  <c:v>Grécko</c:v>
                </c:pt>
                <c:pt idx="6">
                  <c:v>Maďarsko</c:v>
                </c:pt>
                <c:pt idx="7">
                  <c:v>Nemecko</c:v>
                </c:pt>
                <c:pt idx="8">
                  <c:v>Luxembursko</c:v>
                </c:pt>
                <c:pt idx="9">
                  <c:v>Švédsko</c:v>
                </c:pt>
                <c:pt idx="10">
                  <c:v>Slovensko</c:v>
                </c:pt>
                <c:pt idx="11">
                  <c:v>Chorvátsko</c:v>
                </c:pt>
                <c:pt idx="12">
                  <c:v>Dánsko</c:v>
                </c:pt>
                <c:pt idx="13">
                  <c:v>Poľsko</c:v>
                </c:pt>
                <c:pt idx="14">
                  <c:v>Slovinsko</c:v>
                </c:pt>
                <c:pt idx="15">
                  <c:v>Španielsko</c:v>
                </c:pt>
                <c:pt idx="16">
                  <c:v>Česko</c:v>
                </c:pt>
                <c:pt idx="17">
                  <c:v>Portugalsko</c:v>
                </c:pt>
                <c:pt idx="18">
                  <c:v>Estónsko</c:v>
                </c:pt>
                <c:pt idx="19">
                  <c:v>Holandsko</c:v>
                </c:pt>
                <c:pt idx="20">
                  <c:v>Lotyšsko</c:v>
                </c:pt>
                <c:pt idx="21">
                  <c:v>Cyprus</c:v>
                </c:pt>
                <c:pt idx="22">
                  <c:v>Rumunsko</c:v>
                </c:pt>
                <c:pt idx="23">
                  <c:v>Bulharsko</c:v>
                </c:pt>
                <c:pt idx="24">
                  <c:v>Malta</c:v>
                </c:pt>
                <c:pt idx="25">
                  <c:v>Litva</c:v>
                </c:pt>
                <c:pt idx="26">
                  <c:v>Írsko</c:v>
                </c:pt>
              </c:strCache>
            </c:strRef>
          </c:cat>
          <c:val>
            <c:numRef>
              <c:f>'Graf 6'!$C$3:$C$29</c:f>
              <c:numCache>
                <c:formatCode>0.0</c:formatCode>
                <c:ptCount val="27"/>
                <c:pt idx="0">
                  <c:v>57.3</c:v>
                </c:pt>
                <c:pt idx="1">
                  <c:v>55.6</c:v>
                </c:pt>
                <c:pt idx="2">
                  <c:v>55.2</c:v>
                </c:pt>
                <c:pt idx="3">
                  <c:v>54.6</c:v>
                </c:pt>
                <c:pt idx="4">
                  <c:v>52.1</c:v>
                </c:pt>
                <c:pt idx="5">
                  <c:v>50.5</c:v>
                </c:pt>
                <c:pt idx="6">
                  <c:v>49.1</c:v>
                </c:pt>
                <c:pt idx="7">
                  <c:v>48.6</c:v>
                </c:pt>
                <c:pt idx="8">
                  <c:v>48.1</c:v>
                </c:pt>
                <c:pt idx="9">
                  <c:v>48</c:v>
                </c:pt>
                <c:pt idx="10">
                  <c:v>47.9</c:v>
                </c:pt>
                <c:pt idx="11">
                  <c:v>47.4</c:v>
                </c:pt>
                <c:pt idx="12">
                  <c:v>47.2</c:v>
                </c:pt>
                <c:pt idx="13">
                  <c:v>46.7</c:v>
                </c:pt>
                <c:pt idx="14">
                  <c:v>46.7</c:v>
                </c:pt>
                <c:pt idx="15">
                  <c:v>46.4</c:v>
                </c:pt>
                <c:pt idx="16">
                  <c:v>45.4</c:v>
                </c:pt>
                <c:pt idx="17">
                  <c:v>44.1</c:v>
                </c:pt>
                <c:pt idx="18">
                  <c:v>43.5</c:v>
                </c:pt>
                <c:pt idx="19">
                  <c:v>43.5</c:v>
                </c:pt>
                <c:pt idx="20">
                  <c:v>41</c:v>
                </c:pt>
                <c:pt idx="21">
                  <c:v>40.200000000000003</c:v>
                </c:pt>
                <c:pt idx="22">
                  <c:v>40.200000000000003</c:v>
                </c:pt>
                <c:pt idx="23">
                  <c:v>39.799999999999997</c:v>
                </c:pt>
                <c:pt idx="24">
                  <c:v>38.4</c:v>
                </c:pt>
                <c:pt idx="25">
                  <c:v>38.200000000000003</c:v>
                </c:pt>
                <c:pt idx="26">
                  <c:v>22.9</c:v>
                </c:pt>
              </c:numCache>
            </c:numRef>
          </c:val>
          <c:extLst>
            <c:ext xmlns:c16="http://schemas.microsoft.com/office/drawing/2014/chart" uri="{C3380CC4-5D6E-409C-BE32-E72D297353CC}">
              <c16:uniqueId val="{00000004-47D0-4655-A884-1DE1B69003A2}"/>
            </c:ext>
          </c:extLst>
        </c:ser>
        <c:dLbls>
          <c:showLegendKey val="0"/>
          <c:showVal val="0"/>
          <c:showCatName val="0"/>
          <c:showSerName val="0"/>
          <c:showPercent val="0"/>
          <c:showBubbleSize val="0"/>
        </c:dLbls>
        <c:gapWidth val="100"/>
        <c:axId val="611564432"/>
        <c:axId val="611571920"/>
      </c:barChart>
      <c:lineChart>
        <c:grouping val="standard"/>
        <c:varyColors val="0"/>
        <c:ser>
          <c:idx val="1"/>
          <c:order val="1"/>
          <c:tx>
            <c:strRef>
              <c:f>'Graf 6'!$E$2</c:f>
              <c:strCache>
                <c:ptCount val="1"/>
                <c:pt idx="0">
                  <c:v>Priemer EÚ</c:v>
                </c:pt>
              </c:strCache>
            </c:strRef>
          </c:tx>
          <c:spPr>
            <a:ln w="22225" cap="rnd">
              <a:solidFill>
                <a:srgbClr val="314364"/>
              </a:solidFill>
              <a:prstDash val="sysDash"/>
              <a:round/>
            </a:ln>
            <a:effectLst/>
          </c:spPr>
          <c:marker>
            <c:symbol val="none"/>
          </c:marker>
          <c:dLbls>
            <c:dLbl>
              <c:idx val="23"/>
              <c:layout>
                <c:manualLayout>
                  <c:x val="-7.559419535368013E-2"/>
                  <c:y val="-9.6934616506270055E-2"/>
                </c:manualLayout>
              </c:layout>
              <c:tx>
                <c:rich>
                  <a:bodyPr rot="0" spcFirstLastPara="1" vertOverflow="ellipsis" vert="horz" wrap="square" lIns="38100" tIns="19050" rIns="38100" bIns="19050" anchor="ctr" anchorCtr="1">
                    <a:spAutoFit/>
                  </a:bodyPr>
                  <a:lstStyle/>
                  <a:p>
                    <a:pPr>
                      <a:defRPr sz="800" b="1" i="0" u="none" strike="noStrike" kern="1200" baseline="0">
                        <a:solidFill>
                          <a:schemeClr val="tx2"/>
                        </a:solidFill>
                        <a:latin typeface="Segoe UI" panose="020B0502040204020203" pitchFamily="34" charset="0"/>
                        <a:ea typeface="+mn-ea"/>
                        <a:cs typeface="Segoe UI" panose="020B0502040204020203" pitchFamily="34" charset="0"/>
                      </a:defRPr>
                    </a:pPr>
                    <a:fld id="{5120389C-AE7C-4862-A278-CBB25F6FA90C}" type="SERIESNAME">
                      <a:rPr lang="en-US" b="1"/>
                      <a:pPr>
                        <a:defRPr b="1"/>
                      </a:pPr>
                      <a:t>[NÁZOV RADU]</a:t>
                    </a:fld>
                    <a:r>
                      <a:rPr lang="en-US" b="1" baseline="0"/>
                      <a:t> </a:t>
                    </a:r>
                    <a:fld id="{AC8010DD-A263-44DE-B802-5FDF5BE6EA45}" type="VALUE">
                      <a:rPr lang="en-US" b="1" baseline="0"/>
                      <a:pPr>
                        <a:defRPr b="1"/>
                      </a:pPr>
                      <a:t>[HODNOTA]</a:t>
                    </a:fld>
                    <a:endParaRPr lang="en-US" b="1" baseline="0"/>
                  </a:p>
                </c:rich>
              </c:tx>
              <c:spPr>
                <a:noFill/>
                <a:ln>
                  <a:solidFill>
                    <a:srgbClr val="314364"/>
                  </a:solidFill>
                  <a:prstDash val="sysDash"/>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dLblPos val="r"/>
              <c:showLegendKey val="0"/>
              <c:showVal val="1"/>
              <c:showCatName val="0"/>
              <c:showSerName val="1"/>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47D0-4655-A884-1DE1B69003A2}"/>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rgbClr val="314364"/>
                      </a:solidFill>
                      <a:round/>
                    </a:ln>
                    <a:effectLst/>
                  </c:spPr>
                </c15:leaderLines>
              </c:ext>
            </c:extLst>
          </c:dLbls>
          <c:cat>
            <c:strRef>
              <c:f>'Graf 6'!$B$3:$B$29</c:f>
              <c:strCache>
                <c:ptCount val="27"/>
                <c:pt idx="0">
                  <c:v>Francúzsko</c:v>
                </c:pt>
                <c:pt idx="1">
                  <c:v>Fínsko</c:v>
                </c:pt>
                <c:pt idx="2">
                  <c:v>Taliansko</c:v>
                </c:pt>
                <c:pt idx="3">
                  <c:v>Belgicko</c:v>
                </c:pt>
                <c:pt idx="4">
                  <c:v>Rakúsko</c:v>
                </c:pt>
                <c:pt idx="5">
                  <c:v>Grécko</c:v>
                </c:pt>
                <c:pt idx="6">
                  <c:v>Maďarsko</c:v>
                </c:pt>
                <c:pt idx="7">
                  <c:v>Nemecko</c:v>
                </c:pt>
                <c:pt idx="8">
                  <c:v>Luxembursko</c:v>
                </c:pt>
                <c:pt idx="9">
                  <c:v>Švédsko</c:v>
                </c:pt>
                <c:pt idx="10">
                  <c:v>Slovensko</c:v>
                </c:pt>
                <c:pt idx="11">
                  <c:v>Chorvátsko</c:v>
                </c:pt>
                <c:pt idx="12">
                  <c:v>Dánsko</c:v>
                </c:pt>
                <c:pt idx="13">
                  <c:v>Poľsko</c:v>
                </c:pt>
                <c:pt idx="14">
                  <c:v>Slovinsko</c:v>
                </c:pt>
                <c:pt idx="15">
                  <c:v>Španielsko</c:v>
                </c:pt>
                <c:pt idx="16">
                  <c:v>Česko</c:v>
                </c:pt>
                <c:pt idx="17">
                  <c:v>Portugalsko</c:v>
                </c:pt>
                <c:pt idx="18">
                  <c:v>Estónsko</c:v>
                </c:pt>
                <c:pt idx="19">
                  <c:v>Holandsko</c:v>
                </c:pt>
                <c:pt idx="20">
                  <c:v>Lotyšsko</c:v>
                </c:pt>
                <c:pt idx="21">
                  <c:v>Cyprus</c:v>
                </c:pt>
                <c:pt idx="22">
                  <c:v>Rumunsko</c:v>
                </c:pt>
                <c:pt idx="23">
                  <c:v>Bulharsko</c:v>
                </c:pt>
                <c:pt idx="24">
                  <c:v>Malta</c:v>
                </c:pt>
                <c:pt idx="25">
                  <c:v>Litva</c:v>
                </c:pt>
                <c:pt idx="26">
                  <c:v>Írsko</c:v>
                </c:pt>
              </c:strCache>
            </c:strRef>
          </c:cat>
          <c:val>
            <c:numRef>
              <c:f>'Graf 6'!$E$3:$E$29</c:f>
              <c:numCache>
                <c:formatCode>0.0</c:formatCode>
                <c:ptCount val="27"/>
                <c:pt idx="0">
                  <c:v>49.8</c:v>
                </c:pt>
                <c:pt idx="1">
                  <c:v>49.8</c:v>
                </c:pt>
                <c:pt idx="2">
                  <c:v>49.8</c:v>
                </c:pt>
                <c:pt idx="3">
                  <c:v>49.8</c:v>
                </c:pt>
                <c:pt idx="4">
                  <c:v>49.8</c:v>
                </c:pt>
                <c:pt idx="5">
                  <c:v>49.8</c:v>
                </c:pt>
                <c:pt idx="6">
                  <c:v>49.8</c:v>
                </c:pt>
                <c:pt idx="7">
                  <c:v>49.8</c:v>
                </c:pt>
                <c:pt idx="8">
                  <c:v>49.8</c:v>
                </c:pt>
                <c:pt idx="9">
                  <c:v>49.8</c:v>
                </c:pt>
                <c:pt idx="10">
                  <c:v>49.8</c:v>
                </c:pt>
                <c:pt idx="11">
                  <c:v>49.8</c:v>
                </c:pt>
                <c:pt idx="12">
                  <c:v>49.8</c:v>
                </c:pt>
                <c:pt idx="13">
                  <c:v>49.8</c:v>
                </c:pt>
                <c:pt idx="14">
                  <c:v>49.8</c:v>
                </c:pt>
                <c:pt idx="15">
                  <c:v>49.8</c:v>
                </c:pt>
                <c:pt idx="16">
                  <c:v>49.8</c:v>
                </c:pt>
                <c:pt idx="17">
                  <c:v>49.8</c:v>
                </c:pt>
                <c:pt idx="18">
                  <c:v>49.8</c:v>
                </c:pt>
                <c:pt idx="19">
                  <c:v>49.8</c:v>
                </c:pt>
                <c:pt idx="20">
                  <c:v>49.8</c:v>
                </c:pt>
                <c:pt idx="21">
                  <c:v>49.8</c:v>
                </c:pt>
                <c:pt idx="22">
                  <c:v>49.8</c:v>
                </c:pt>
                <c:pt idx="23">
                  <c:v>49.8</c:v>
                </c:pt>
                <c:pt idx="24">
                  <c:v>49.8</c:v>
                </c:pt>
                <c:pt idx="25">
                  <c:v>49.8</c:v>
                </c:pt>
                <c:pt idx="26">
                  <c:v>49.8</c:v>
                </c:pt>
              </c:numCache>
            </c:numRef>
          </c:val>
          <c:smooth val="0"/>
          <c:extLst>
            <c:ext xmlns:c16="http://schemas.microsoft.com/office/drawing/2014/chart" uri="{C3380CC4-5D6E-409C-BE32-E72D297353CC}">
              <c16:uniqueId val="{00000006-47D0-4655-A884-1DE1B69003A2}"/>
            </c:ext>
          </c:extLst>
        </c:ser>
        <c:dLbls>
          <c:showLegendKey val="0"/>
          <c:showVal val="0"/>
          <c:showCatName val="0"/>
          <c:showSerName val="0"/>
          <c:showPercent val="0"/>
          <c:showBubbleSize val="0"/>
        </c:dLbls>
        <c:marker val="1"/>
        <c:smooth val="0"/>
        <c:axId val="611564432"/>
        <c:axId val="611571920"/>
      </c:lineChart>
      <c:catAx>
        <c:axId val="611564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611571920"/>
        <c:crosses val="autoZero"/>
        <c:auto val="1"/>
        <c:lblAlgn val="ctr"/>
        <c:lblOffset val="100"/>
        <c:noMultiLvlLbl val="0"/>
      </c:catAx>
      <c:valAx>
        <c:axId val="611571920"/>
        <c:scaling>
          <c:orientation val="minMax"/>
          <c:max val="6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611564432"/>
        <c:crosses val="autoZero"/>
        <c:crossBetween val="between"/>
        <c:majorUnit val="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chemeClr val="tx2"/>
          </a:solidFill>
          <a:latin typeface="Segoe UI" panose="020B0502040204020203" pitchFamily="34" charset="0"/>
          <a:cs typeface="Segoe UI" panose="020B0502040204020203" pitchFamily="34" charset="0"/>
        </a:defRPr>
      </a:pPr>
      <a:endParaRPr lang="sk-SK"/>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'Graf DLH_1'!$B$2</c:f>
              <c:strCache>
                <c:ptCount val="1"/>
                <c:pt idx="0">
                  <c:v>Hrubý dlh VS v % z HDP</c:v>
                </c:pt>
              </c:strCache>
            </c:strRef>
          </c:tx>
          <c:spPr>
            <a:solidFill>
              <a:schemeClr val="accent1"/>
            </a:solidFill>
            <a:ln>
              <a:solidFill>
                <a:srgbClr val="314364"/>
              </a:solidFill>
            </a:ln>
            <a:effectLst/>
          </c:spPr>
          <c:invertIfNegative val="0"/>
          <c:dLbls>
            <c:dLbl>
              <c:idx val="12"/>
              <c:layout>
                <c:manualLayout>
                  <c:x val="-8.2165250633271889E-17"/>
                  <c:y val="-1.91387559808612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4C3-4522-A95E-E3FC87C736A7}"/>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'Graf DLH_1'!$C$1:$Q$1</c:f>
              <c:strCach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strCache>
            </c:strRef>
          </c:cat>
          <c:val>
            <c:numRef>
              <c:f>'Graf DLH_1'!$C$2:$Q$2</c:f>
              <c:numCache>
                <c:formatCode>0.0</c:formatCode>
                <c:ptCount val="15"/>
                <c:pt idx="0">
                  <c:v>40.6</c:v>
                </c:pt>
                <c:pt idx="1">
                  <c:v>43.2</c:v>
                </c:pt>
                <c:pt idx="2">
                  <c:v>51.7</c:v>
                </c:pt>
                <c:pt idx="3">
                  <c:v>54.7</c:v>
                </c:pt>
                <c:pt idx="4">
                  <c:v>53.5</c:v>
                </c:pt>
                <c:pt idx="5">
                  <c:v>51.7</c:v>
                </c:pt>
                <c:pt idx="6">
                  <c:v>52.3</c:v>
                </c:pt>
                <c:pt idx="7">
                  <c:v>51.5</c:v>
                </c:pt>
                <c:pt idx="8">
                  <c:v>49.4</c:v>
                </c:pt>
                <c:pt idx="9">
                  <c:v>48</c:v>
                </c:pt>
                <c:pt idx="10">
                  <c:v>58.9</c:v>
                </c:pt>
                <c:pt idx="11">
                  <c:v>61.1</c:v>
                </c:pt>
                <c:pt idx="12">
                  <c:v>57.7</c:v>
                </c:pt>
                <c:pt idx="13">
                  <c:v>56</c:v>
                </c:pt>
                <c:pt idx="14">
                  <c:v>58.6</c:v>
                </c:pt>
              </c:numCache>
            </c:numRef>
          </c:val>
          <c:extLst>
            <c:ext xmlns:c16="http://schemas.microsoft.com/office/drawing/2014/chart" uri="{C3380CC4-5D6E-409C-BE32-E72D297353CC}">
              <c16:uniqueId val="{00000001-14C3-4522-A95E-E3FC87C736A7}"/>
            </c:ext>
          </c:extLst>
        </c:ser>
        <c:ser>
          <c:idx val="1"/>
          <c:order val="1"/>
          <c:tx>
            <c:strRef>
              <c:f>'Graf DLH_1'!$B$3</c:f>
              <c:strCache>
                <c:ptCount val="1"/>
                <c:pt idx="0">
                  <c:v>Čistý dlh VS v % z HDP</c:v>
                </c:pt>
              </c:strCache>
            </c:strRef>
          </c:tx>
          <c:spPr>
            <a:solidFill>
              <a:schemeClr val="accent2"/>
            </a:solidFill>
            <a:ln>
              <a:noFill/>
            </a:ln>
            <a:effectLst/>
          </c:spPr>
          <c:invertIfNegative val="0"/>
          <c:cat>
            <c:strRef>
              <c:f>'Graf DLH_1'!$C$1:$Q$1</c:f>
              <c:strCach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strCache>
            </c:strRef>
          </c:cat>
          <c:val>
            <c:numRef>
              <c:f>'Graf DLH_1'!$C$3:$Q$3</c:f>
              <c:numCache>
                <c:formatCode>0.0</c:formatCode>
                <c:ptCount val="15"/>
                <c:pt idx="0">
                  <c:v>36.700000000000003</c:v>
                </c:pt>
                <c:pt idx="1">
                  <c:v>40.6</c:v>
                </c:pt>
                <c:pt idx="2">
                  <c:v>45</c:v>
                </c:pt>
                <c:pt idx="3">
                  <c:v>47.8</c:v>
                </c:pt>
                <c:pt idx="4">
                  <c:v>49.5</c:v>
                </c:pt>
                <c:pt idx="5">
                  <c:v>47.3</c:v>
                </c:pt>
                <c:pt idx="6">
                  <c:v>46.9</c:v>
                </c:pt>
                <c:pt idx="7">
                  <c:v>45.7</c:v>
                </c:pt>
                <c:pt idx="8">
                  <c:v>43.3</c:v>
                </c:pt>
                <c:pt idx="9">
                  <c:v>43.1</c:v>
                </c:pt>
                <c:pt idx="10">
                  <c:v>48.9</c:v>
                </c:pt>
                <c:pt idx="11">
                  <c:v>49.6</c:v>
                </c:pt>
                <c:pt idx="12">
                  <c:v>47.6</c:v>
                </c:pt>
                <c:pt idx="13">
                  <c:v>48.3</c:v>
                </c:pt>
                <c:pt idx="14">
                  <c:v>50.6</c:v>
                </c:pt>
              </c:numCache>
            </c:numRef>
          </c:val>
          <c:extLst>
            <c:ext xmlns:c16="http://schemas.microsoft.com/office/drawing/2014/chart" uri="{C3380CC4-5D6E-409C-BE32-E72D297353CC}">
              <c16:uniqueId val="{00000002-14C3-4522-A95E-E3FC87C736A7}"/>
            </c:ext>
          </c:extLst>
        </c:ser>
        <c:dLbls>
          <c:showLegendKey val="0"/>
          <c:showVal val="0"/>
          <c:showCatName val="0"/>
          <c:showSerName val="0"/>
          <c:showPercent val="0"/>
          <c:showBubbleSize val="0"/>
        </c:dLbls>
        <c:gapWidth val="100"/>
        <c:axId val="432185839"/>
        <c:axId val="432178767"/>
      </c:barChart>
      <c:lineChart>
        <c:grouping val="standard"/>
        <c:varyColors val="0"/>
        <c:ser>
          <c:idx val="3"/>
          <c:order val="2"/>
          <c:tx>
            <c:strRef>
              <c:f>'Graf DLH_1'!$B$5</c:f>
              <c:strCache>
                <c:ptCount val="1"/>
                <c:pt idx="0">
                  <c:v>Hrubý dlh VS v mil. eur (pravá os)</c:v>
                </c:pt>
              </c:strCache>
            </c:strRef>
          </c:tx>
          <c:spPr>
            <a:ln w="22225" cap="rnd">
              <a:solidFill>
                <a:srgbClr val="F55647"/>
              </a:solidFill>
              <a:prstDash val="sysDash"/>
              <a:round/>
            </a:ln>
            <a:effectLst/>
          </c:spPr>
          <c:marker>
            <c:symbol val="none"/>
          </c:marker>
          <c:cat>
            <c:strRef>
              <c:f>'Graf DLH_1'!$C$1:$Q$1</c:f>
              <c:strCach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strCache>
            </c:strRef>
          </c:cat>
          <c:val>
            <c:numRef>
              <c:f>'Graf DLH_1'!$C$5:$Q$5</c:f>
              <c:numCache>
                <c:formatCode>#,##0</c:formatCode>
                <c:ptCount val="15"/>
                <c:pt idx="0">
                  <c:v>27928.769</c:v>
                </c:pt>
                <c:pt idx="1">
                  <c:v>30979.850000000002</c:v>
                </c:pt>
                <c:pt idx="2">
                  <c:v>38098.069000000003</c:v>
                </c:pt>
                <c:pt idx="3">
                  <c:v>40742.084000000003</c:v>
                </c:pt>
                <c:pt idx="4">
                  <c:v>40844.046000000002</c:v>
                </c:pt>
                <c:pt idx="5">
                  <c:v>41413.361999999994</c:v>
                </c:pt>
                <c:pt idx="6">
                  <c:v>42481.256999999998</c:v>
                </c:pt>
                <c:pt idx="7">
                  <c:v>43572.438000000009</c:v>
                </c:pt>
                <c:pt idx="8">
                  <c:v>44405</c:v>
                </c:pt>
                <c:pt idx="9">
                  <c:v>45306.023000000001</c:v>
                </c:pt>
                <c:pt idx="10">
                  <c:v>54993.179000000004</c:v>
                </c:pt>
                <c:pt idx="11">
                  <c:v>61238.237000000001</c:v>
                </c:pt>
                <c:pt idx="12">
                  <c:v>63378.628000000004</c:v>
                </c:pt>
                <c:pt idx="13">
                  <c:v>68830.390999999989</c:v>
                </c:pt>
                <c:pt idx="14">
                  <c:v>76582</c:v>
                </c:pt>
              </c:numCache>
            </c:numRef>
          </c:val>
          <c:smooth val="0"/>
          <c:extLst>
            <c:ext xmlns:c16="http://schemas.microsoft.com/office/drawing/2014/chart" uri="{C3380CC4-5D6E-409C-BE32-E72D297353CC}">
              <c16:uniqueId val="{00000003-14C3-4522-A95E-E3FC87C736A7}"/>
            </c:ext>
          </c:extLst>
        </c:ser>
        <c:dLbls>
          <c:showLegendKey val="0"/>
          <c:showVal val="0"/>
          <c:showCatName val="0"/>
          <c:showSerName val="0"/>
          <c:showPercent val="0"/>
          <c:showBubbleSize val="0"/>
        </c:dLbls>
        <c:marker val="1"/>
        <c:smooth val="0"/>
        <c:axId val="525384719"/>
        <c:axId val="525384303"/>
      </c:lineChart>
      <c:catAx>
        <c:axId val="4321858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432178767"/>
        <c:crosses val="autoZero"/>
        <c:auto val="1"/>
        <c:lblAlgn val="ctr"/>
        <c:lblOffset val="100"/>
        <c:noMultiLvlLbl val="0"/>
      </c:catAx>
      <c:valAx>
        <c:axId val="432178767"/>
        <c:scaling>
          <c:orientation val="minMax"/>
          <c:max val="8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432185839"/>
        <c:crosses val="autoZero"/>
        <c:crossBetween val="between"/>
      </c:valAx>
      <c:valAx>
        <c:axId val="525384303"/>
        <c:scaling>
          <c:orientation val="minMax"/>
          <c:max val="80000"/>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525384719"/>
        <c:crosses val="max"/>
        <c:crossBetween val="between"/>
        <c:majorUnit val="10000"/>
      </c:valAx>
      <c:catAx>
        <c:axId val="525384719"/>
        <c:scaling>
          <c:orientation val="minMax"/>
        </c:scaling>
        <c:delete val="1"/>
        <c:axPos val="b"/>
        <c:numFmt formatCode="General" sourceLinked="1"/>
        <c:majorTickMark val="none"/>
        <c:minorTickMark val="none"/>
        <c:tickLblPos val="nextTo"/>
        <c:crossAx val="525384303"/>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legend>
    <c:plotVisOnly val="1"/>
    <c:dispBlanksAs val="gap"/>
    <c:showDLblsOverMax val="0"/>
  </c:chart>
  <c:spPr>
    <a:solidFill>
      <a:schemeClr val="bg1"/>
    </a:solidFill>
    <a:ln w="9525" cap="flat" cmpd="sng" algn="ctr">
      <a:noFill/>
      <a:round/>
    </a:ln>
    <a:effectLst/>
  </c:spPr>
  <c:txPr>
    <a:bodyPr/>
    <a:lstStyle/>
    <a:p>
      <a:pPr>
        <a:defRPr sz="800">
          <a:solidFill>
            <a:schemeClr val="tx2"/>
          </a:solidFill>
          <a:latin typeface="Segoe UI" panose="020B0502040204020203" pitchFamily="34" charset="0"/>
          <a:cs typeface="Segoe UI" panose="020B0502040204020203" pitchFamily="34" charset="0"/>
        </a:defRPr>
      </a:pPr>
      <a:endParaRPr lang="sk-SK"/>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624434542581404E-2"/>
          <c:y val="3.5859811495983031E-2"/>
          <c:w val="0.93452861028030398"/>
          <c:h val="0.77148931932071196"/>
        </c:manualLayout>
      </c:layout>
      <c:barChart>
        <c:barDir val="col"/>
        <c:grouping val="clustered"/>
        <c:varyColors val="0"/>
        <c:ser>
          <c:idx val="0"/>
          <c:order val="0"/>
          <c:tx>
            <c:strRef>
              <c:f>'Graf DLH_2'!$C$2</c:f>
              <c:strCache>
                <c:ptCount val="1"/>
                <c:pt idx="0">
                  <c:v>Hrubý dlh VS 2023</c:v>
                </c:pt>
              </c:strCache>
            </c:strRef>
          </c:tx>
          <c:spPr>
            <a:solidFill>
              <a:srgbClr val="9CB9EC"/>
            </a:solidFill>
            <a:ln>
              <a:noFill/>
            </a:ln>
            <a:effectLst/>
          </c:spPr>
          <c:invertIfNegative val="0"/>
          <c:dPt>
            <c:idx val="8"/>
            <c:invertIfNegative val="0"/>
            <c:bubble3D val="0"/>
            <c:spPr>
              <a:solidFill>
                <a:srgbClr val="9CB9EC"/>
              </a:solidFill>
              <a:ln>
                <a:noFill/>
              </a:ln>
              <a:effectLst/>
            </c:spPr>
            <c:extLst>
              <c:ext xmlns:c16="http://schemas.microsoft.com/office/drawing/2014/chart" uri="{C3380CC4-5D6E-409C-BE32-E72D297353CC}">
                <c16:uniqueId val="{00000001-8E40-4F91-B690-8F12C2E8794D}"/>
              </c:ext>
            </c:extLst>
          </c:dPt>
          <c:dPt>
            <c:idx val="9"/>
            <c:invertIfNegative val="0"/>
            <c:bubble3D val="0"/>
            <c:spPr>
              <a:solidFill>
                <a:srgbClr val="9CB9EC"/>
              </a:solidFill>
              <a:ln>
                <a:noFill/>
              </a:ln>
              <a:effectLst/>
            </c:spPr>
            <c:extLst>
              <c:ext xmlns:c16="http://schemas.microsoft.com/office/drawing/2014/chart" uri="{C3380CC4-5D6E-409C-BE32-E72D297353CC}">
                <c16:uniqueId val="{00000003-8E40-4F91-B690-8F12C2E8794D}"/>
              </c:ext>
            </c:extLst>
          </c:dPt>
          <c:dPt>
            <c:idx val="13"/>
            <c:invertIfNegative val="0"/>
            <c:bubble3D val="0"/>
            <c:spPr>
              <a:solidFill>
                <a:srgbClr val="F55647"/>
              </a:solidFill>
              <a:ln>
                <a:noFill/>
              </a:ln>
              <a:effectLst/>
            </c:spPr>
            <c:extLst>
              <c:ext xmlns:c16="http://schemas.microsoft.com/office/drawing/2014/chart" uri="{C3380CC4-5D6E-409C-BE32-E72D297353CC}">
                <c16:uniqueId val="{00000005-8E40-4F91-B690-8F12C2E8794D}"/>
              </c:ext>
            </c:extLst>
          </c:dPt>
          <c:dPt>
            <c:idx val="14"/>
            <c:invertIfNegative val="0"/>
            <c:bubble3D val="0"/>
            <c:spPr>
              <a:solidFill>
                <a:srgbClr val="9CB9EC"/>
              </a:solidFill>
              <a:ln>
                <a:noFill/>
              </a:ln>
              <a:effectLst/>
            </c:spPr>
            <c:extLst>
              <c:ext xmlns:c16="http://schemas.microsoft.com/office/drawing/2014/chart" uri="{C3380CC4-5D6E-409C-BE32-E72D297353CC}">
                <c16:uniqueId val="{00000007-8E40-4F91-B690-8F12C2E8794D}"/>
              </c:ext>
            </c:extLst>
          </c:dPt>
          <c:dPt>
            <c:idx val="15"/>
            <c:invertIfNegative val="0"/>
            <c:bubble3D val="0"/>
            <c:spPr>
              <a:solidFill>
                <a:srgbClr val="9CB9EC"/>
              </a:solidFill>
              <a:ln>
                <a:noFill/>
              </a:ln>
              <a:effectLst/>
            </c:spPr>
            <c:extLst>
              <c:ext xmlns:c16="http://schemas.microsoft.com/office/drawing/2014/chart" uri="{C3380CC4-5D6E-409C-BE32-E72D297353CC}">
                <c16:uniqueId val="{00000009-8E40-4F91-B690-8F12C2E8794D}"/>
              </c:ext>
            </c:extLst>
          </c:dPt>
          <c:dPt>
            <c:idx val="17"/>
            <c:invertIfNegative val="0"/>
            <c:bubble3D val="0"/>
            <c:spPr>
              <a:solidFill>
                <a:srgbClr val="9CB9EC"/>
              </a:solidFill>
              <a:ln>
                <a:noFill/>
              </a:ln>
              <a:effectLst/>
            </c:spPr>
            <c:extLst>
              <c:ext xmlns:c16="http://schemas.microsoft.com/office/drawing/2014/chart" uri="{C3380CC4-5D6E-409C-BE32-E72D297353CC}">
                <c16:uniqueId val="{0000000B-8E40-4F91-B690-8F12C2E8794D}"/>
              </c:ext>
            </c:extLst>
          </c:dPt>
          <c:dPt>
            <c:idx val="18"/>
            <c:invertIfNegative val="0"/>
            <c:bubble3D val="0"/>
            <c:spPr>
              <a:solidFill>
                <a:srgbClr val="9CB9EC"/>
              </a:solidFill>
              <a:ln>
                <a:noFill/>
              </a:ln>
              <a:effectLst/>
            </c:spPr>
            <c:extLst>
              <c:ext xmlns:c16="http://schemas.microsoft.com/office/drawing/2014/chart" uri="{C3380CC4-5D6E-409C-BE32-E72D297353CC}">
                <c16:uniqueId val="{0000000D-8E40-4F91-B690-8F12C2E8794D}"/>
              </c:ext>
            </c:extLst>
          </c:dPt>
          <c:dPt>
            <c:idx val="20"/>
            <c:invertIfNegative val="0"/>
            <c:bubble3D val="0"/>
            <c:spPr>
              <a:solidFill>
                <a:srgbClr val="9CB9EC"/>
              </a:solidFill>
              <a:ln>
                <a:noFill/>
              </a:ln>
              <a:effectLst/>
            </c:spPr>
            <c:extLst>
              <c:ext xmlns:c16="http://schemas.microsoft.com/office/drawing/2014/chart" uri="{C3380CC4-5D6E-409C-BE32-E72D297353CC}">
                <c16:uniqueId val="{0000000F-8E40-4F91-B690-8F12C2E8794D}"/>
              </c:ext>
            </c:extLst>
          </c:dPt>
          <c:dLbls>
            <c:dLbl>
              <c:idx val="9"/>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accent4"/>
                      </a:solidFill>
                      <a:latin typeface="Segoe UI" panose="020B0502040204020203" pitchFamily="34" charset="0"/>
                      <a:ea typeface="+mn-ea"/>
                      <a:cs typeface="Segoe UI" panose="020B0502040204020203" pitchFamily="34" charset="0"/>
                    </a:defRPr>
                  </a:pPr>
                  <a:endParaRPr lang="sk-SK"/>
                </a:p>
              </c:txPr>
              <c:showLegendKey val="0"/>
              <c:showVal val="0"/>
              <c:showCatName val="0"/>
              <c:showSerName val="0"/>
              <c:showPercent val="0"/>
              <c:showBubbleSize val="0"/>
              <c:extLst>
                <c:ext xmlns:c16="http://schemas.microsoft.com/office/drawing/2014/chart" uri="{C3380CC4-5D6E-409C-BE32-E72D297353CC}">
                  <c16:uniqueId val="{00000003-8E40-4F91-B690-8F12C2E8794D}"/>
                </c:ext>
              </c:extLst>
            </c:dLbl>
            <c:dLbl>
              <c:idx val="13"/>
              <c:layout>
                <c:manualLayout>
                  <c:x val="0"/>
                  <c:y val="-0.14285714285714282"/>
                </c:manualLayout>
              </c:layout>
              <c:spPr>
                <a:noFill/>
                <a:ln>
                  <a:solidFill>
                    <a:srgbClr val="F55647"/>
                  </a:solidFill>
                  <a:prstDash val="solid"/>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accent6"/>
                      </a:solidFill>
                      <a:latin typeface="Segoe UI" panose="020B0502040204020203" pitchFamily="34" charset="0"/>
                      <a:ea typeface="+mn-ea"/>
                      <a:cs typeface="Segoe UI" panose="020B0502040204020203" pitchFamily="34" charset="0"/>
                    </a:defRPr>
                  </a:pPr>
                  <a:endParaRPr lang="sk-SK"/>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E40-4F91-B690-8F12C2E8794D}"/>
                </c:ext>
              </c:extLst>
            </c:dLbl>
            <c:dLbl>
              <c:idx val="15"/>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accent4"/>
                      </a:solidFill>
                      <a:latin typeface="Segoe UI" panose="020B0502040204020203" pitchFamily="34" charset="0"/>
                      <a:ea typeface="+mn-ea"/>
                      <a:cs typeface="Segoe UI" panose="020B0502040204020203" pitchFamily="34" charset="0"/>
                    </a:defRPr>
                  </a:pPr>
                  <a:endParaRPr lang="sk-SK"/>
                </a:p>
              </c:txPr>
              <c:showLegendKey val="0"/>
              <c:showVal val="0"/>
              <c:showCatName val="0"/>
              <c:showSerName val="0"/>
              <c:showPercent val="0"/>
              <c:showBubbleSize val="0"/>
              <c:extLst>
                <c:ext xmlns:c16="http://schemas.microsoft.com/office/drawing/2014/chart" uri="{C3380CC4-5D6E-409C-BE32-E72D297353CC}">
                  <c16:uniqueId val="{00000009-8E40-4F91-B690-8F12C2E8794D}"/>
                </c:ext>
              </c:extLst>
            </c:dLbl>
            <c:dLbl>
              <c:idx val="18"/>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accent4"/>
                      </a:solidFill>
                      <a:latin typeface="Segoe UI" panose="020B0502040204020203" pitchFamily="34" charset="0"/>
                      <a:ea typeface="+mn-ea"/>
                      <a:cs typeface="Segoe UI" panose="020B0502040204020203" pitchFamily="34" charset="0"/>
                    </a:defRPr>
                  </a:pPr>
                  <a:endParaRPr lang="sk-SK"/>
                </a:p>
              </c:txPr>
              <c:showLegendKey val="0"/>
              <c:showVal val="0"/>
              <c:showCatName val="0"/>
              <c:showSerName val="0"/>
              <c:showPercent val="0"/>
              <c:showBubbleSize val="0"/>
              <c:extLst>
                <c:ext xmlns:c16="http://schemas.microsoft.com/office/drawing/2014/chart" uri="{C3380CC4-5D6E-409C-BE32-E72D297353CC}">
                  <c16:uniqueId val="{0000000D-8E40-4F91-B690-8F12C2E8794D}"/>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rgbClr val="F55647"/>
                      </a:solidFill>
                      <a:round/>
                    </a:ln>
                    <a:effectLst/>
                  </c:spPr>
                </c15:leaderLines>
              </c:ext>
            </c:extLst>
          </c:dLbls>
          <c:cat>
            <c:strRef>
              <c:f>'Graf DLH_2'!$B$3:$B$29</c:f>
              <c:strCache>
                <c:ptCount val="27"/>
                <c:pt idx="0">
                  <c:v>Grécko</c:v>
                </c:pt>
                <c:pt idx="1">
                  <c:v>Taliansko</c:v>
                </c:pt>
                <c:pt idx="2">
                  <c:v>Francúzsko</c:v>
                </c:pt>
                <c:pt idx="3">
                  <c:v>Španielsko</c:v>
                </c:pt>
                <c:pt idx="4">
                  <c:v>Belgicko</c:v>
                </c:pt>
                <c:pt idx="5">
                  <c:v>Portugalsko</c:v>
                </c:pt>
                <c:pt idx="6">
                  <c:v>Rakúsko</c:v>
                </c:pt>
                <c:pt idx="7">
                  <c:v>Cyprus</c:v>
                </c:pt>
                <c:pt idx="8">
                  <c:v>Fínsko</c:v>
                </c:pt>
                <c:pt idx="9">
                  <c:v>Maďarsko</c:v>
                </c:pt>
                <c:pt idx="10">
                  <c:v>Slovinsko</c:v>
                </c:pt>
                <c:pt idx="11">
                  <c:v>Nemecko</c:v>
                </c:pt>
                <c:pt idx="12">
                  <c:v>Chorvátsko</c:v>
                </c:pt>
                <c:pt idx="13">
                  <c:v>Slovensko</c:v>
                </c:pt>
                <c:pt idx="14">
                  <c:v>Malta</c:v>
                </c:pt>
                <c:pt idx="15">
                  <c:v>Poľsko</c:v>
                </c:pt>
                <c:pt idx="16">
                  <c:v>Rumunsko</c:v>
                </c:pt>
                <c:pt idx="17">
                  <c:v>Holandsko</c:v>
                </c:pt>
                <c:pt idx="18">
                  <c:v>Česká republika</c:v>
                </c:pt>
                <c:pt idx="19">
                  <c:v>Írsko</c:v>
                </c:pt>
                <c:pt idx="20">
                  <c:v>Lotyšsko</c:v>
                </c:pt>
                <c:pt idx="21">
                  <c:v>Litva</c:v>
                </c:pt>
                <c:pt idx="22">
                  <c:v>Švédsko</c:v>
                </c:pt>
                <c:pt idx="23">
                  <c:v>Dánsko</c:v>
                </c:pt>
                <c:pt idx="24">
                  <c:v>Luxembursko</c:v>
                </c:pt>
                <c:pt idx="25">
                  <c:v>Bulharsko</c:v>
                </c:pt>
                <c:pt idx="26">
                  <c:v>Estónsko</c:v>
                </c:pt>
              </c:strCache>
            </c:strRef>
          </c:cat>
          <c:val>
            <c:numRef>
              <c:f>'Graf DLH_2'!$C$3:$C$29</c:f>
              <c:numCache>
                <c:formatCode>0.0</c:formatCode>
                <c:ptCount val="27"/>
                <c:pt idx="0">
                  <c:v>161.9</c:v>
                </c:pt>
                <c:pt idx="1">
                  <c:v>137.30000000000001</c:v>
                </c:pt>
                <c:pt idx="2">
                  <c:v>110.6</c:v>
                </c:pt>
                <c:pt idx="3">
                  <c:v>107.7</c:v>
                </c:pt>
                <c:pt idx="4">
                  <c:v>105.2</c:v>
                </c:pt>
                <c:pt idx="5">
                  <c:v>99.1</c:v>
                </c:pt>
                <c:pt idx="6">
                  <c:v>77.8</c:v>
                </c:pt>
                <c:pt idx="7">
                  <c:v>77.3</c:v>
                </c:pt>
                <c:pt idx="8">
                  <c:v>75.8</c:v>
                </c:pt>
                <c:pt idx="9">
                  <c:v>73.5</c:v>
                </c:pt>
                <c:pt idx="10">
                  <c:v>69.2</c:v>
                </c:pt>
                <c:pt idx="11">
                  <c:v>63.6</c:v>
                </c:pt>
                <c:pt idx="12">
                  <c:v>63</c:v>
                </c:pt>
                <c:pt idx="13">
                  <c:v>56</c:v>
                </c:pt>
                <c:pt idx="14">
                  <c:v>50.4</c:v>
                </c:pt>
                <c:pt idx="15">
                  <c:v>49.6</c:v>
                </c:pt>
                <c:pt idx="16">
                  <c:v>48.8</c:v>
                </c:pt>
                <c:pt idx="17">
                  <c:v>46.5</c:v>
                </c:pt>
                <c:pt idx="18">
                  <c:v>44</c:v>
                </c:pt>
                <c:pt idx="19">
                  <c:v>43.7</c:v>
                </c:pt>
                <c:pt idx="20">
                  <c:v>43.6</c:v>
                </c:pt>
                <c:pt idx="21">
                  <c:v>38.299999999999997</c:v>
                </c:pt>
                <c:pt idx="22">
                  <c:v>31.2</c:v>
                </c:pt>
                <c:pt idx="23">
                  <c:v>29.3</c:v>
                </c:pt>
                <c:pt idx="24">
                  <c:v>25.7</c:v>
                </c:pt>
                <c:pt idx="25">
                  <c:v>23.1</c:v>
                </c:pt>
                <c:pt idx="26">
                  <c:v>19.600000000000001</c:v>
                </c:pt>
              </c:numCache>
            </c:numRef>
          </c:val>
          <c:extLst>
            <c:ext xmlns:c16="http://schemas.microsoft.com/office/drawing/2014/chart" uri="{C3380CC4-5D6E-409C-BE32-E72D297353CC}">
              <c16:uniqueId val="{00000010-8E40-4F91-B690-8F12C2E8794D}"/>
            </c:ext>
          </c:extLst>
        </c:ser>
        <c:dLbls>
          <c:showLegendKey val="0"/>
          <c:showVal val="0"/>
          <c:showCatName val="0"/>
          <c:showSerName val="0"/>
          <c:showPercent val="0"/>
          <c:showBubbleSize val="0"/>
        </c:dLbls>
        <c:gapWidth val="100"/>
        <c:axId val="1377750255"/>
        <c:axId val="1377733199"/>
      </c:barChart>
      <c:lineChart>
        <c:grouping val="standard"/>
        <c:varyColors val="0"/>
        <c:ser>
          <c:idx val="1"/>
          <c:order val="1"/>
          <c:tx>
            <c:strRef>
              <c:f>'Graf DLH_2'!$D$2</c:f>
              <c:strCache>
                <c:ptCount val="1"/>
                <c:pt idx="0">
                  <c:v>Priemer EÚ</c:v>
                </c:pt>
              </c:strCache>
            </c:strRef>
          </c:tx>
          <c:spPr>
            <a:ln w="22225" cap="rnd">
              <a:solidFill>
                <a:srgbClr val="314364"/>
              </a:solidFill>
              <a:prstDash val="sysDash"/>
              <a:round/>
            </a:ln>
            <a:effectLst/>
          </c:spPr>
          <c:marker>
            <c:symbol val="none"/>
          </c:marker>
          <c:dLbls>
            <c:dLbl>
              <c:idx val="22"/>
              <c:layout>
                <c:manualLayout>
                  <c:x val="-8.9635854341736695E-2"/>
                  <c:y val="-0.11309544843479931"/>
                </c:manualLayout>
              </c:layout>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11-8E40-4F91-B690-8F12C2E8794D}"/>
                </c:ext>
              </c:extLst>
            </c:dLbl>
            <c:spPr>
              <a:noFill/>
              <a:ln>
                <a:solidFill>
                  <a:srgbClr val="314364"/>
                </a:solidFill>
                <a:prstDash val="sysDash"/>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rgbClr val="314364"/>
                      </a:solidFill>
                      <a:round/>
                    </a:ln>
                    <a:effectLst/>
                  </c:spPr>
                </c15:leaderLines>
              </c:ext>
            </c:extLst>
          </c:dLbls>
          <c:val>
            <c:numRef>
              <c:f>'Graf DLH_2'!$D$3:$D$29</c:f>
              <c:numCache>
                <c:formatCode>#\ ##0.0</c:formatCode>
                <c:ptCount val="27"/>
                <c:pt idx="0">
                  <c:v>81.7</c:v>
                </c:pt>
                <c:pt idx="1">
                  <c:v>81.7</c:v>
                </c:pt>
                <c:pt idx="2">
                  <c:v>81.7</c:v>
                </c:pt>
                <c:pt idx="3">
                  <c:v>81.7</c:v>
                </c:pt>
                <c:pt idx="4">
                  <c:v>81.7</c:v>
                </c:pt>
                <c:pt idx="5">
                  <c:v>81.7</c:v>
                </c:pt>
                <c:pt idx="6">
                  <c:v>81.7</c:v>
                </c:pt>
                <c:pt idx="7">
                  <c:v>81.7</c:v>
                </c:pt>
                <c:pt idx="8">
                  <c:v>81.7</c:v>
                </c:pt>
                <c:pt idx="9">
                  <c:v>81.7</c:v>
                </c:pt>
                <c:pt idx="10">
                  <c:v>81.7</c:v>
                </c:pt>
                <c:pt idx="11">
                  <c:v>81.7</c:v>
                </c:pt>
                <c:pt idx="12">
                  <c:v>81.7</c:v>
                </c:pt>
                <c:pt idx="13">
                  <c:v>81.7</c:v>
                </c:pt>
                <c:pt idx="14">
                  <c:v>81.7</c:v>
                </c:pt>
                <c:pt idx="15">
                  <c:v>81.7</c:v>
                </c:pt>
                <c:pt idx="16">
                  <c:v>81.7</c:v>
                </c:pt>
                <c:pt idx="17">
                  <c:v>81.7</c:v>
                </c:pt>
                <c:pt idx="18">
                  <c:v>81.7</c:v>
                </c:pt>
                <c:pt idx="19">
                  <c:v>81.7</c:v>
                </c:pt>
                <c:pt idx="20">
                  <c:v>81.7</c:v>
                </c:pt>
                <c:pt idx="21">
                  <c:v>81.7</c:v>
                </c:pt>
                <c:pt idx="22">
                  <c:v>81.7</c:v>
                </c:pt>
                <c:pt idx="23">
                  <c:v>81.7</c:v>
                </c:pt>
                <c:pt idx="24">
                  <c:v>81.7</c:v>
                </c:pt>
                <c:pt idx="25">
                  <c:v>81.7</c:v>
                </c:pt>
                <c:pt idx="26">
                  <c:v>81.7</c:v>
                </c:pt>
              </c:numCache>
            </c:numRef>
          </c:val>
          <c:smooth val="0"/>
          <c:extLst>
            <c:ext xmlns:c16="http://schemas.microsoft.com/office/drawing/2014/chart" uri="{C3380CC4-5D6E-409C-BE32-E72D297353CC}">
              <c16:uniqueId val="{00000012-8E40-4F91-B690-8F12C2E8794D}"/>
            </c:ext>
          </c:extLst>
        </c:ser>
        <c:dLbls>
          <c:showLegendKey val="0"/>
          <c:showVal val="0"/>
          <c:showCatName val="0"/>
          <c:showSerName val="0"/>
          <c:showPercent val="0"/>
          <c:showBubbleSize val="0"/>
        </c:dLbls>
        <c:marker val="1"/>
        <c:smooth val="0"/>
        <c:axId val="1377750255"/>
        <c:axId val="1377733199"/>
      </c:lineChart>
      <c:catAx>
        <c:axId val="13777502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1377733199"/>
        <c:crosses val="autoZero"/>
        <c:auto val="1"/>
        <c:lblAlgn val="ctr"/>
        <c:lblOffset val="100"/>
        <c:noMultiLvlLbl val="0"/>
      </c:catAx>
      <c:valAx>
        <c:axId val="137773319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1377750255"/>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chemeClr val="tx2"/>
          </a:solidFill>
          <a:latin typeface="Segoe UI" panose="020B0502040204020203" pitchFamily="34" charset="0"/>
          <a:cs typeface="Segoe UI" panose="020B0502040204020203" pitchFamily="34" charset="0"/>
        </a:defRPr>
      </a:pPr>
      <a:endParaRPr lang="sk-SK"/>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253556448698433E-2"/>
          <c:y val="5.0505050505050504E-2"/>
          <c:w val="0.89829396325459321"/>
          <c:h val="0.84434466352862914"/>
        </c:manualLayout>
      </c:layout>
      <c:barChart>
        <c:barDir val="col"/>
        <c:grouping val="clustered"/>
        <c:varyColors val="0"/>
        <c:ser>
          <c:idx val="0"/>
          <c:order val="0"/>
          <c:tx>
            <c:strRef>
              <c:f>'DLH na obyvatela'!$B$6</c:f>
              <c:strCache>
                <c:ptCount val="1"/>
                <c:pt idx="0">
                  <c:v>Dlh na obyvateľa</c:v>
                </c:pt>
              </c:strCache>
            </c:strRef>
          </c:tx>
          <c:spPr>
            <a:solidFill>
              <a:schemeClr val="accent1"/>
            </a:solidFill>
            <a:ln>
              <a:noFill/>
            </a:ln>
            <a:effectLst/>
          </c:spPr>
          <c:invertIfNegative val="0"/>
          <c:dPt>
            <c:idx val="10"/>
            <c:invertIfNegative val="0"/>
            <c:bubble3D val="0"/>
            <c:spPr>
              <a:solidFill>
                <a:schemeClr val="accent1"/>
              </a:solidFill>
              <a:ln>
                <a:noFill/>
              </a:ln>
              <a:effectLst/>
            </c:spPr>
            <c:extLst>
              <c:ext xmlns:c16="http://schemas.microsoft.com/office/drawing/2014/chart" uri="{C3380CC4-5D6E-409C-BE32-E72D297353CC}">
                <c16:uniqueId val="{00000001-95BA-4370-9166-DF54299A430E}"/>
              </c:ext>
            </c:extLst>
          </c:dPt>
          <c:dLbls>
            <c:numFmt formatCode="#,##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'DLH na obyvatela'!$C$3:$P$3</c:f>
              <c:numCache>
                <c:formatCode>General</c:formatCode>
                <c:ptCount val="14"/>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numCache>
            </c:numRef>
          </c:cat>
          <c:val>
            <c:numRef>
              <c:f>'DLH na obyvatela'!$C$6:$P$6</c:f>
              <c:numCache>
                <c:formatCode>_-* #\ ##0.0_-;\-* #\ ##0.0_-;_-* "-"??_-;_-@_-</c:formatCode>
                <c:ptCount val="14"/>
                <c:pt idx="0">
                  <c:v>5148.2313580372083</c:v>
                </c:pt>
                <c:pt idx="1">
                  <c:v>5745.0459401911494</c:v>
                </c:pt>
                <c:pt idx="2">
                  <c:v>7049.5557074504441</c:v>
                </c:pt>
                <c:pt idx="3">
                  <c:v>7529.7207307706249</c:v>
                </c:pt>
                <c:pt idx="4">
                  <c:v>7541.4384441212433</c:v>
                </c:pt>
                <c:pt idx="5">
                  <c:v>7638.9404187039045</c:v>
                </c:pt>
                <c:pt idx="6">
                  <c:v>7828.8396852929045</c:v>
                </c:pt>
                <c:pt idx="7">
                  <c:v>8016.5019944463502</c:v>
                </c:pt>
                <c:pt idx="8">
                  <c:v>8158.0049677390898</c:v>
                </c:pt>
                <c:pt idx="9">
                  <c:v>8312.3896300854558</c:v>
                </c:pt>
                <c:pt idx="10">
                  <c:v>10075.935991914799</c:v>
                </c:pt>
                <c:pt idx="11">
                  <c:v>11237.879018657546</c:v>
                </c:pt>
                <c:pt idx="12">
                  <c:v>11661.819062353259</c:v>
                </c:pt>
                <c:pt idx="13">
                  <c:v>12678.767394293242</c:v>
                </c:pt>
              </c:numCache>
            </c:numRef>
          </c:val>
          <c:extLst>
            <c:ext xmlns:c16="http://schemas.microsoft.com/office/drawing/2014/chart" uri="{C3380CC4-5D6E-409C-BE32-E72D297353CC}">
              <c16:uniqueId val="{00000002-95BA-4370-9166-DF54299A430E}"/>
            </c:ext>
          </c:extLst>
        </c:ser>
        <c:dLbls>
          <c:showLegendKey val="0"/>
          <c:showVal val="0"/>
          <c:showCatName val="0"/>
          <c:showSerName val="0"/>
          <c:showPercent val="0"/>
          <c:showBubbleSize val="0"/>
        </c:dLbls>
        <c:gapWidth val="100"/>
        <c:axId val="611564432"/>
        <c:axId val="611571920"/>
      </c:barChart>
      <c:catAx>
        <c:axId val="611564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611571920"/>
        <c:crosses val="autoZero"/>
        <c:auto val="1"/>
        <c:lblAlgn val="ctr"/>
        <c:lblOffset val="100"/>
        <c:noMultiLvlLbl val="0"/>
      </c:catAx>
      <c:valAx>
        <c:axId val="6115719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61156443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chemeClr val="tx2"/>
          </a:solidFill>
          <a:latin typeface="Segoe UI" panose="020B0502040204020203" pitchFamily="34" charset="0"/>
          <a:cs typeface="Segoe UI" panose="020B0502040204020203" pitchFamily="34" charset="0"/>
        </a:defRPr>
      </a:pPr>
      <a:endParaRPr lang="sk-SK"/>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grafy!$G$3:$G$1727</cx:f>
        <cx:lvl ptCount="1725" formatCode="General">
          <cx:pt idx="0">9.3871094519963183</cx:pt>
          <cx:pt idx="1">8.6357259125749177</cx:pt>
          <cx:pt idx="2">9.4116694429020917</cx:pt>
          <cx:pt idx="3">8.4291614869471072</cx:pt>
          <cx:pt idx="4">10.31996957198721</cx:pt>
          <cx:pt idx="5">11.186879801350198</cx:pt>
          <cx:pt idx="6">9.4584326660912215</cx:pt>
          <cx:pt idx="7">9.7772523753672953</cx:pt>
          <cx:pt idx="8">21.197670023181356</cx:pt>
          <cx:pt idx="9">22.405962341342367</cx:pt>
          <cx:pt idx="10">9.8294627117344984</cx:pt>
          <cx:pt idx="11">25.561784584575474</cx:pt>
          <cx:pt idx="12">25.466337421939144</cx:pt>
          <cx:pt idx="13">24.116432275248009</cx:pt>
          <cx:pt idx="14">24.124756668595779</cx:pt>
          <cx:pt idx="15">10.239423180303193</cx:pt>
          <cx:pt idx="16">22.591009500270332</cx:pt>
          <cx:pt idx="17">23.107405803378086</cx:pt>
          <cx:pt idx="18">24.180198277625877</cx:pt>
          <cx:pt idx="19">25.295109612141651</cx:pt>
          <cx:pt idx="20">19.937529075563234</cx:pt>
          <cx:pt idx="21">9.6135006816151929</cx:pt>
          <cx:pt idx="22">21.524280148246699</cx:pt>
          <cx:pt idx="23">9.7973960145107597</cx:pt>
          <cx:pt idx="24">1.8763987921540766</cx:pt>
          <cx:pt idx="25">23.032411331124639</cx:pt>
          <cx:pt idx="26">22.115483652820767</cx:pt>
          <cx:pt idx="27">21.119108434382813</cx:pt>
          <cx:pt idx="28">22.053418279833373</cx:pt>
          <cx:pt idx="29">9.9546532305868407</cx:pt>
          <cx:pt idx="30">20.459852708786787</cx:pt>
          <cx:pt idx="31">9.6265198025761407</cx:pt>
          <cx:pt idx="32">23.414668677479916</cx:pt>
          <cx:pt idx="33">21.958700338774253</cx:pt>
          <cx:pt idx="34">24.720707810212158</cx:pt>
          <cx:pt idx="35">21.640530234247322</cx:pt>
          <cx:pt idx="36">22.281908621960206</cx:pt>
          <cx:pt idx="37">27.669815974198443</cx:pt>
          <cx:pt idx="38">19.974741302045139</cx:pt>
          <cx:pt idx="39">24.388247810786481</cx:pt>
          <cx:pt idx="40">1.8862275449101797</cx:pt>
          <cx:pt idx="41">23.770230360307146</cx:pt>
          <cx:pt idx="42">21.008403361344538</cx:pt>
          <cx:pt idx="43">20.776946558321509</cx:pt>
          <cx:pt idx="44">2.9756160495419945</cx:pt>
          <cx:pt idx="45">22.957181359763521</cx:pt>
          <cx:pt idx="46">22.930238726790449</cx:pt>
          <cx:pt idx="47">1.77210703526493</cx:pt>
          <cx:pt idx="48">10.2836508079805</cx:pt>
          <cx:pt idx="49">22.99986412428099</cx:pt>
          <cx:pt idx="50">21.083461782573217</cx:pt>
          <cx:pt idx="51">1.8882196064005885</cx:pt>
          <cx:pt idx="52">22.112678679517625</cx:pt>
          <cx:pt idx="53">21.80979731333365</cx:pt>
          <cx:pt idx="54">1.8412348401323042</cx:pt>
          <cx:pt idx="55">20.943094135802468</cx:pt>
          <cx:pt idx="56">22.774532131894247</cx:pt>
          <cx:pt idx="57">10.016213259064008</cx:pt>
          <cx:pt idx="58">21.563430791452905</cx:pt>
          <cx:pt idx="59">27.981597239585938</cx:pt>
          <cx:pt idx="60">23.1640616913363</cx:pt>
          <cx:pt idx="61">24.223893992186674</cx:pt>
          <cx:pt idx="62">22.189190636884675</cx:pt>
          <cx:pt idx="63">27.213800539083557</cx:pt>
          <cx:pt idx="64">25.125681805132917</cx:pt>
          <cx:pt idx="65">23.712202124605227</cx:pt>
          <cx:pt idx="66">22.970821823204421</cx:pt>
          <cx:pt idx="67">20.750105023105082</cx:pt>
          <cx:pt idx="68">26.279075485615934</cx:pt>
          <cx:pt idx="69">23.965190651906518</cx:pt>
          <cx:pt idx="70">11.788455459315927</cx:pt>
          <cx:pt idx="71">12.401792828685259</cx:pt>
          <cx:pt idx="72">26</cx:pt>
          <cx:pt idx="73">24.114114316527367</cx:pt>
          <cx:pt idx="74">26.576302475044443</cx:pt>
          <cx:pt idx="75">23.340159666782366</cx:pt>
          <cx:pt idx="76">24.561935339356381</cx:pt>
          <cx:pt idx="77">23.883867412014801</cx:pt>
          <cx:pt idx="78">23.272542317708332</cx:pt>
          <cx:pt idx="79">22.259983007646561</cx:pt>
          <cx:pt idx="80">21.590351028877745</cx:pt>
          <cx:pt idx="81">22.827631927870591</cx:pt>
          <cx:pt idx="82">22.829838067427662</cx:pt>
          <cx:pt idx="83">23.380210188813681</cx:pt>
          <cx:pt idx="84">21.477354421279657</cx:pt>
          <cx:pt idx="85">16.450374702979346</cx:pt>
          <cx:pt idx="86">24.591551951725439</cx:pt>
          <cx:pt idx="87">20.40064406137526</cx:pt>
          <cx:pt idx="88">22.28333017257728</cx:pt>
          <cx:pt idx="89">26.371715610510048</cx:pt>
          <cx:pt idx="90">22.782140031645568</cx:pt>
          <cx:pt idx="91">24.599173553719009</cx:pt>
          <cx:pt idx="92">20.90595971192986</cx:pt>
          <cx:pt idx="93">23.327117327117328</cx:pt>
          <cx:pt idx="94">20.969807037457436</cx:pt>
          <cx:pt idx="95">22.166762639640677</cx:pt>
          <cx:pt idx="96">21.367521367521366</cx:pt>
          <cx:pt idx="97">25.560214302352666</cx:pt>
          <cx:pt idx="98">21.081953835392866</cx:pt>
          <cx:pt idx="99">23.579344494223061</cx:pt>
          <cx:pt idx="100">25.217500945656287</cx:pt>
          <cx:pt idx="101">22.056126984126983</cx:pt>
          <cx:pt idx="102">25.619324796274739</cx:pt>
          <cx:pt idx="103">22.491706795077583</cx:pt>
          <cx:pt idx="104">9.4157167761834515</cx:pt>
          <cx:pt idx="105">21.96678368890089</cx:pt>
          <cx:pt idx="106">20.624151967435548</cx:pt>
          <cx:pt idx="107">22.744877188220926</cx:pt>
          <cx:pt idx="108">23.913102511880517</cx:pt>
          <cx:pt idx="109">28.375713897198803</cx:pt>
          <cx:pt idx="110">22.144965159174749</cx:pt>
          <cx:pt idx="111">26.679622280005475</cx:pt>
          <cx:pt idx="112">22.926963207029104</cx:pt>
          <cx:pt idx="113">19.517179522561058</cx:pt>
          <cx:pt idx="114">23.116102765688613</cx:pt>
          <cx:pt idx="115">22.656471254602096</cx:pt>
          <cx:pt idx="116">26.498475831034984</cx:pt>
          <cx:pt idx="117">24.795703703703705</cx:pt>
          <cx:pt idx="118">21.390374331550802</cx:pt>
          <cx:pt idx="119">2.8482583345791599</cx:pt>
          <cx:pt idx="120">21.28593155893536</cx:pt>
          <cx:pt idx="121">22.262217470983508</cx:pt>
          <cx:pt idx="122">32.847330579776653</cx:pt>
          <cx:pt idx="123">21.52521525215252</cx:pt>
          <cx:pt idx="124">8.6869943995021774</cx:pt>
          <cx:pt idx="125">26.463262764632628</cx:pt>
          <cx:pt idx="126">25.32248849388986</cx:pt>
          <cx:pt idx="127">24.500876494023906</cx:pt>
          <cx:pt idx="128">21.397030026109661</cx:pt>
          <cx:pt idx="129">6.7469267333224066</cx:pt>
          <cx:pt idx="130">7.2291114058355435</cx:pt>
          <cx:pt idx="131">20.089671205579542</cx:pt>
          <cx:pt idx="132">22.148259203731467</cx:pt>
          <cx:pt idx="133">10.182730923694779</cx:pt>
          <cx:pt idx="134">24.446887686062247</cx:pt>
          <cx:pt idx="135">26.501805674978502</cx:pt>
          <cx:pt idx="136">20.216103171836878</cx:pt>
          <cx:pt idx="137">17.522340984755562</cx:pt>
          <cx:pt idx="138">26.34484639156517</cx:pt>
          <cx:pt idx="139">22.454828090709583</cx:pt>
          <cx:pt idx="140">22.062879205736348</cx:pt>
          <cx:pt idx="141">27.783105864994468</cx:pt>
          <cx:pt idx="142">23.673007418679855</cx:pt>
          <cx:pt idx="143">27.461391437308869</cx:pt>
          <cx:pt idx="144">23.807335907335908</cx:pt>
          <cx:pt idx="145">21.337403100775195</cx:pt>
          <cx:pt idx="146">19.253713838936669</cx:pt>
          <cx:pt idx="147">20.252402431849383</cx:pt>
          <cx:pt idx="148">18.463448275862071</cx:pt>
          <cx:pt idx="149">20.930569331481848</cx:pt>
          <cx:pt idx="150">27.787534846674632</cx:pt>
          <cx:pt idx="151">18.378065802592225</cx:pt>
          <cx:pt idx="152">18.889400921658986</cx:pt>
          <cx:pt idx="153">23.367869381173151</cx:pt>
          <cx:pt idx="154">23.693803159173754</cx:pt>
          <cx:pt idx="155">18.59570070276974</cx:pt>
          <cx:pt idx="156">20.103947921041581</cx:pt>
          <cx:pt idx="157">19.05972045743329</cx:pt>
          <cx:pt idx="158">18.5137653536637</cx:pt>
          <cx:pt idx="159">20.272668112798264</cx:pt>
          <cx:pt idx="160">19.869398784057644</cx:pt>
          <cx:pt idx="161">23.777173913043477</cx:pt>
          <cx:pt idx="162">19.841480446927374</cx:pt>
          <cx:pt idx="163">20.913256955810148</cx:pt>
          <cx:pt idx="164">20.713143663296496</cx:pt>
          <cx:pt idx="165">21.012708872675923</cx:pt>
          <cx:pt idx="166">20.052518500835522</cx:pt>
          <cx:pt idx="167">18.727250957854405</cx:pt>
          <cx:pt idx="168">24.507187350263536</cx:pt>
          <cx:pt idx="169">20.037117377681369</cx:pt>
          <cx:pt idx="170">18.05092927830075</cx:pt>
          <cx:pt idx="171">18.677458617332036</cx:pt>
          <cx:pt idx="172">26.596538274012676</cx:pt>
          <cx:pt idx="173">22.467269174401562</cx:pt>
          <cx:pt idx="174">22.216736608244879</cx:pt>
          <cx:pt idx="175">18.381755081804659</cx:pt>
          <cx:pt idx="176">22.321553011448483</cx:pt>
          <cx:pt idx="177">22.349601593625497</cx:pt>
          <cx:pt idx="178">18.842026453706016</cx:pt>
          <cx:pt idx="179">19.015280561122246</cx:pt>
          <cx:pt idx="180">27.183488547696953</cx:pt>
          <cx:pt idx="181">19.441966548403446</cx:pt>
          <cx:pt idx="182">16.764360479959151</cx:pt>
          <cx:pt idx="183">19.430871454127267</cx:pt>
          <cx:pt idx="184">25.56307929969104</cx:pt>
          <cx:pt idx="185">19.424870466321245</cx:pt>
          <cx:pt idx="186">19.765027322404372</cx:pt>
          <cx:pt idx="187">18.440463645943098</cx:pt>
          <cx:pt idx="188">17.647058823529413</cx:pt>
          <cx:pt idx="189">17.021721641190666</cx:pt>
          <cx:pt idx="190">17.945517981749866</cx:pt>
          <cx:pt idx="191">21.098591549295776</cx:pt>
          <cx:pt idx="192">17.883102793599132</cx:pt>
          <cx:pt idx="193">19.089173711480775</cx:pt>
          <cx:pt idx="194">21.469852736871353</cx:pt>
          <cx:pt idx="195">19.41866295264624</cx:pt>
          <cx:pt idx="196">18.852358358917108</cx:pt>
          <cx:pt idx="197">20.338983050847457</cx:pt>
          <cx:pt idx="198">20.633786848072564</cx:pt>
          <cx:pt idx="199">18.928836810517289</cx:pt>
          <cx:pt idx="200">22.241963260619976</cx:pt>
          <cx:pt idx="201">26.788081395348836</cx:pt>
          <cx:pt idx="202">23.39325189063409</cx:pt>
          <cx:pt idx="203">19.955002960331559</cx:pt>
          <cx:pt idx="204">18.730734900327285</cx:pt>
          <cx:pt idx="205">21.578445966061327</cx:pt>
          <cx:pt idx="206">19.043176328502415</cx:pt>
          <cx:pt idx="207">18.135045317220545</cx:pt>
          <cx:pt idx="208">21.443801401157479</cx:pt>
          <cx:pt idx="209">22.802563320109858</cx:pt>
          <cx:pt idx="210">25.406748466257667</cx:pt>
          <cx:pt idx="211">19.214419475655429</cx:pt>
          <cx:pt idx="212">16.067748985326258</cx:pt>
          <cx:pt idx="213">18.791105543376137</cx:pt>
          <cx:pt idx="214">25.538389219680351</cx:pt>
          <cx:pt idx="215">17.06700379266751</cx:pt>
          <cx:pt idx="216">19.46158710085362</cx:pt>
          <cx:pt idx="217">26.129647283126786</cx:pt>
          <cx:pt idx="218">20.574210022342804</cx:pt>
          <cx:pt idx="219">17.833812719718761</cx:pt>
          <cx:pt idx="220">19.350096711798841</cx:pt>
          <cx:pt idx="221">21.773932729624839</cx:pt>
          <cx:pt idx="222">20.080530401034927</cx:pt>
          <cx:pt idx="223">22.935779816513762</cx:pt>
          <cx:pt idx="224">18.825800065984822</cx:pt>
          <cx:pt idx="225">18.370174859782249</cx:pt>
          <cx:pt idx="226">20.580742226680041</cx:pt>
          <cx:pt idx="227">21.288345612860013</cx:pt>
          <cx:pt idx="228">17.407407407407408</cx:pt>
          <cx:pt idx="229">31.430550861777629</cx:pt>
          <cx:pt idx="230">6.9418329387893136</cx:pt>
          <cx:pt idx="231">18.185486605629027</cx:pt>
          <cx:pt idx="232">18.104273504273504</cx:pt>
          <cx:pt idx="233">19.946066643765029</cx:pt>
          <cx:pt idx="234">24.203997243280497</cx:pt>
          <cx:pt idx="235">11.510289501220788</cx:pt>
          <cx:pt idx="236">21.059675141242938</cx:pt>
          <cx:pt idx="237">17.892122072391768</cx:pt>
          <cx:pt idx="238">16.927253371185238</cx:pt>
          <cx:pt idx="239">28.28454706927176</cx:pt>
          <cx:pt idx="240">18.047652916073968</cx:pt>
          <cx:pt idx="241">20.149786019971469</cx:pt>
          <cx:pt idx="242">24.643879742304939</cx:pt>
          <cx:pt idx="243">18.336077308518252</cx:pt>
          <cx:pt idx="244">19.544344703770197</cx:pt>
          <cx:pt idx="245">24.17353579175705</cx:pt>
          <cx:pt idx="246">19.101952277657269</cx:pt>
          <cx:pt idx="247">20.905297532656022</cx:pt>
          <cx:pt idx="248">17.510181818181817</cx:pt>
          <cx:pt idx="249">17.178362573099417</cx:pt>
          <cx:pt idx="250">19.887628111273791</cx:pt>
          <cx:pt idx="251">19.207111436950147</cx:pt>
          <cx:pt idx="252">20.155115511551156</cx:pt>
          <cx:pt idx="253">19.368186874304783</cx:pt>
          <cx:pt idx="254">20.281203566121842</cx:pt>
          <cx:pt idx="255">17.749628528974739</cx:pt>
          <cx:pt idx="256">25.619670905011219</cx:pt>
          <cx:pt idx="257">20.422625804010593</cx:pt>
          <cx:pt idx="258">20.597801364670204</cx:pt>
          <cx:pt idx="259">19.839755818389929</cx:pt>
          <cx:pt idx="260">23.214806290755657</cx:pt>
          <cx:pt idx="261">21.872545244512899</cx:pt>
          <cx:pt idx="262">20.801232665639446</cx:pt>
          <cx:pt idx="263">17.572864321608041</cx:pt>
          <cx:pt idx="264">11.333720930232559</cx:pt>
          <cx:pt idx="265">22.48972469949593</cx:pt>
          <cx:pt idx="266">21.516355140186917</cx:pt>
          <cx:pt idx="267">19.584802193497847</cx:pt>
          <cx:pt idx="268">20.308869701726845</cx:pt>
          <cx:pt idx="269">18.567164179104477</cx:pt>
          <cx:pt idx="270">20.403536345776033</cx:pt>
          <cx:pt idx="271">20.671911880409127</cx:pt>
          <cx:pt idx="272">6.9090551181102366</cx:pt>
          <cx:pt idx="273">7.3526398739164698</cx:pt>
          <cx:pt idx="274">29.851442117740024</cx:pt>
          <cx:pt idx="275">18.9873417721519</cx:pt>
          <cx:pt idx="276">14.657097288676235</cx:pt>
          <cx:pt idx="277">26.528422738190553</cx:pt>
          <cx:pt idx="278">25.746997598078462</cx:pt>
          <cx:pt idx="279">19.991192954363491</cx:pt>
          <cx:pt idx="280">18.61208967173739</cx:pt>
          <cx:pt idx="281">22.727016129032258</cx:pt>
          <cx:pt idx="282">19.651539708265801</cx:pt>
          <cx:pt idx="283">17.122366288492707</cx:pt>
          <cx:pt idx="284">17.146639511201631</cx:pt>
          <cx:pt idx="285">21.310938140106515</cx:pt>
          <cx:pt idx="286">19.473576403113476</cx:pt>
          <cx:pt idx="287">19.755847353303242</cx:pt>
          <cx:pt idx="288">19.963344316309719</cx:pt>
          <cx:pt idx="289">16.535758577924764</cx:pt>
          <cx:pt idx="290">21.98257984238905</cx:pt>
          <cx:pt idx="291">22.807098121085595</cx:pt>
          <cx:pt idx="292">20.413951545530495</cx:pt>
          <cx:pt idx="293">20.081658291457288</cx:pt>
          <cx:pt idx="294">16.288785834738619</cx:pt>
          <cx:pt idx="295">14.951096121416526</cx:pt>
          <cx:pt idx="296">26.244829041789785</cx:pt>
          <cx:pt idx="297">26.93434985175773</cx:pt>
          <cx:pt idx="298">19.476635514018692</cx:pt>
          <cx:pt idx="299">27.069587628865978</cx:pt>
          <cx:pt idx="300">17.167385677308022</cx:pt>
          <cx:pt idx="301">15.90614186851211</cx:pt>
          <cx:pt idx="302">27.213913043478261</cx:pt>
          <cx:pt idx="303">19.199999999999999</cx:pt>
          <cx:pt idx="304">18.687172774869111</cx:pt>
          <cx:pt idx="305">17.459624618070713</cx:pt>
          <cx:pt idx="306">18.213315812527377</cx:pt>
          <cx:pt idx="307">19.858781994704326</cx:pt>
          <cx:pt idx="308">27.094964664310954</cx:pt>
          <cx:pt idx="309">17.114209827357239</cx:pt>
          <cx:pt idx="310">20.567375886524822</cx:pt>
          <cx:pt idx="311">17.77595385980479</cx:pt>
          <cx:pt idx="312">22.844097995545656</cx:pt>
          <cx:pt idx="313">18.866696388765046</cx:pt>
          <cx:pt idx="314">29.206512042818911</cx:pt>
          <cx:pt idx="315">17.551431127012524</cx:pt>
          <cx:pt idx="316">19.262096774193548</cx:pt>
          <cx:pt idx="317">17.936379928315411</cx:pt>
          <cx:pt idx="318">19.261220825852782</cx:pt>
          <cx:pt idx="319">18.9873417721519</cx:pt>
          <cx:pt idx="320">19.425917535115541</cx:pt>
          <cx:pt idx="321">30.744972577696526</cx:pt>
          <cx:pt idx="322">16.618938700823421</cx:pt>
          <cx:pt idx="323">20.370590929912964</cx:pt>
          <cx:pt idx="324">21.327522935779818</cx:pt>
          <cx:pt idx="325">19.333947489636113</cx:pt>
          <cx:pt idx="326">22.323800738007382</cx:pt>
          <cx:pt idx="327">16.256386437529031</cx:pt>
          <cx:pt idx="328">20.0325430032543</cx:pt>
          <cx:pt idx="329">18.374709437470944</cx:pt>
          <cx:pt idx="330">19.146114471847373</cx:pt>
          <cx:pt idx="331">20.093457943925234</cx:pt>
          <cx:pt idx="332">21.517999064983638</cx:pt>
          <cx:pt idx="333">20.57149554617909</cx:pt>
          <cx:pt idx="334">17.408345053914672</cx:pt>
          <cx:pt idx="335">19.712007504690433</cx:pt>
          <cx:pt idx="336">19.820670127418595</cx:pt>
          <cx:pt idx="337">18.558712121212121</cx:pt>
          <cx:pt idx="338">19.63584366062917</cx:pt>
          <cx:pt idx="339">17.677974199713329</cx:pt>
          <cx:pt idx="340">7.0455198850023955</cx:pt>
          <cx:pt idx="341">18.225419664268586</cx:pt>
          <cx:pt idx="342">20.619299087854056</cx:pt>
          <cx:pt idx="343">17.308063737324964</cx:pt>
          <cx:pt idx="344">21.072463768115941</cx:pt>
          <cx:pt idx="345">21.254229096181732</cx:pt>
          <cx:pt idx="346">19.814868804664723</cx:pt>
          <cx:pt idx="347">17.665046183762762</cx:pt>
          <cx:pt idx="348">20.172598732325696</cx:pt>
          <cx:pt idx="349">19.598236158745713</cx:pt>
          <cx:pt idx="350">19.789705882352941</cx:pt>
          <cx:pt idx="351">19.617459538989699</cx:pt>
          <cx:pt idx="352">20.442751842751843</cx:pt>
          <cx:pt idx="353">17.142154451549434</cx:pt>
          <cx:pt idx="354">37.205649157581767</cx:pt>
          <cx:pt idx="355">19.731938216243147</cx:pt>
          <cx:pt idx="356">19.53673163418291</cx:pt>
          <cx:pt idx="357">20.301905717151456</cx:pt>
          <cx:pt idx="358">18.342541436464089</cx:pt>
          <cx:pt idx="359">19.507568113017154</cx:pt>
          <cx:pt idx="360">19.17255297679112</cx:pt>
          <cx:pt idx="361">16.911077235772357</cx:pt>
          <cx:pt idx="362">27.170071501532174</cx:pt>
          <cx:pt idx="363">17.577493606138109</cx:pt>
          <cx:pt idx="364">17.457800511508953</cx:pt>
          <cx:pt idx="365">19.353483606557376</cx:pt>
          <cx:pt idx="366">23.070202808112324</cx:pt>
          <cx:pt idx="367">18.96546310832025</cx:pt>
          <cx:pt idx="368">18.638743455497384</cx:pt>
          <cx:pt idx="369">23.737283691662295</cx:pt>
          <cx:pt idx="370">20.062992125984252</cx:pt>
          <cx:pt idx="371">20.746315789473684</cx:pt>
          <cx:pt idx="372">20.293838862559241</cx:pt>
          <cx:pt idx="373">15.86867088607595</cx:pt>
          <cx:pt idx="374">26.399155227032736</cx:pt>
          <cx:pt idx="375">21.594508975712777</cx:pt>
          <cx:pt idx="376">20.334566596194502</cx:pt>
          <cx:pt idx="377">17.451084082496035</cx:pt>
          <cx:pt idx="378">19.301217575436738</cx:pt>
          <cx:pt idx="379">22.574986751457338</cx:pt>
          <cx:pt idx="380">21.219447396386823</cx:pt>
          <cx:pt idx="381">20.487247608926673</cx:pt>
          <cx:pt idx="382">18.496537027171019</cx:pt>
          <cx:pt idx="383">21.528525296017222</cx:pt>
          <cx:pt idx="384">17.86275565123789</cx:pt>
          <cx:pt idx="385">21.343581445523192</cx:pt>
          <cx:pt idx="386">16.733009708737864</cx:pt>
          <cx:pt idx="387">21.804324324324323</cx:pt>
          <cx:pt idx="388">20.906486486486486</cx:pt>
          <cx:pt idx="389">20.327904451682954</cx:pt>
          <cx:pt idx="390">27.20348204570185</cx:pt>
          <cx:pt idx="391">35.453405994550408</cx:pt>
          <cx:pt idx="392">24.396072013093288</cx:pt>
          <cx:pt idx="393">16.235745614035089</cx:pt>
          <cx:pt idx="394">20.135388002201431</cx:pt>
          <cx:pt idx="395">20.098840419657648</cx:pt>
          <cx:pt idx="396">18.184428492545553</cx:pt>
          <cx:pt idx="397">19.455252918287936</cx:pt>
          <cx:pt idx="398">15.77709838799333</cx:pt>
          <cx:pt idx="399">15.811594202898551</cx:pt>
          <cx:pt idx="400">26.527932960893853</cx:pt>
          <cx:pt idx="401">20.044994375703038</cx:pt>
          <cx:pt idx="402">18.018018018018019</cx:pt>
          <cx:pt idx="403">20.001693958215697</cx:pt>
          <cx:pt idx="404">19.810734463276837</cx:pt>
          <cx:pt idx="405">15.693220338983052</cx:pt>
          <cx:pt idx="406">19.333333333333332</cx:pt>
          <cx:pt idx="407">17.969370391378334</cx:pt>
          <cx:pt idx="408">22.459965928449744</cx:pt>
          <cx:pt idx="409">20.785876993166287</cx:pt>
          <cx:pt idx="410">25.046750285062714</cx:pt>
          <cx:pt idx="411">19.781911848883801</cx:pt>
          <cx:pt idx="412">18.635111876075733</cx:pt>
          <cx:pt idx="413">17.537887485648678</cx:pt>
          <cx:pt idx="414">38.692528735632187</cx:pt>
          <cx:pt idx="415">19.357142857142858</cx:pt>
          <cx:pt idx="416">19.292387543252595</cx:pt>
          <cx:pt idx="417">19.402312138728323</cx:pt>
          <cx:pt idx="418">25.831694621168307</cx:pt>
          <cx:pt idx="419">18.423277359583093</cx:pt>
          <cx:pt idx="420">16.878699941961695</cx:pt>
          <cx:pt idx="421">22.105875509016869</cx:pt>
          <cx:pt idx="422">15.4895227008149</cx:pt>
          <cx:pt idx="423">17.476301930953774</cx:pt>
          <cx:pt idx="424">19.42379835873388</cx:pt>
          <cx:pt idx="425">37.896774193548389</cx:pt>
          <cx:pt idx="426">18.828908554572273</cx:pt>
          <cx:pt idx="427">22.561393152302244</cx:pt>
          <cx:pt idx="428">17.872931442080379</cx:pt>
          <cx:pt idx="429">15.407801418439716</cx:pt>
          <cx:pt idx="430">22.789661319073083</cx:pt>
          <cx:pt idx="431">17.794520547945204</cx:pt>
          <cx:pt idx="432">15.926610978520287</cx:pt>
          <cx:pt idx="433">20.583880597014925</cx:pt>
          <cx:pt idx="434">19.581981981981983</cx:pt>
          <cx:pt idx="435">20.418478260869566</cx:pt>
          <cx:pt idx="436">23.361599030890371</cx:pt>
          <cx:pt idx="437">14.982402912621358</cx:pt>
          <cx:pt idx="438">18.155434122647236</cx:pt>
          <cx:pt idx="439">23.543465045592704</cx:pt>
          <cx:pt idx="440">19.516483516483518</cx:pt>
          <cx:pt idx="441">22.674006116207952</cx:pt>
          <cx:pt idx="442">25.703794369645042</cx:pt>
          <cx:pt idx="443">20.20820575627679</cx:pt>
          <cx:pt idx="444">18.333333333333332</cx:pt>
          <cx:pt idx="445">21.66646153846154</cx:pt>
          <cx:pt idx="446">24.961206896551722</cx:pt>
          <cx:pt idx="447">18.264814814814816</cx:pt>
          <cx:pt idx="448">13.730983302411873</cx:pt>
          <cx:pt idx="449">18.068688118811881</cx:pt>
          <cx:pt idx="450">15.675155279503105</cx:pt>
          <cx:pt idx="451">21.729140722291408</cx:pt>
          <cx:pt idx="452">17.712414223331255</cx:pt>
          <cx:pt idx="453">20.609862671660423</cx:pt>
          <cx:pt idx="454">20.825297432686288</cx:pt>
          <cx:pt idx="455">24.167293233082706</cx:pt>
          <cx:pt idx="456">22.387218045112782</cx:pt>
          <cx:pt idx="457">17.888190954773869</cx:pt>
          <cx:pt idx="458">26.466666666666665</cx:pt>
          <cx:pt idx="459">21.546261089987325</cx:pt>
          <cx:pt idx="460">19.369689283449588</cx:pt>
          <cx:pt idx="461">17.660509554140127</cx:pt>
          <cx:pt idx="462">22.29948914431673</cx:pt>
          <cx:pt idx="463">19.823642172523961</cx:pt>
          <cx:pt idx="464">15.736741214057508</cx:pt>
          <cx:pt idx="465">20.263326910725755</cx:pt>
          <cx:pt idx="466">19.400770712909441</cx:pt>
          <cx:pt idx="467">8.8516377649325619</cx:pt>
          <cx:pt idx="468">19.094473007712082</cx:pt>
          <cx:pt idx="469">29.220862846104314</cx:pt>
          <cx:pt idx="470">20.605280103026402</cx:pt>
          <cx:pt idx="471">16.641108247422679</cx:pt>
          <cx:pt idx="472">15.951030927835051</cx:pt>
          <cx:pt idx="473">19.723225806451612</cx:pt>
          <cx:pt idx="474">24.172056921086675</cx:pt>
          <cx:pt idx="475">21.499025341130604</cx:pt>
          <cx:pt idx="476">16.756527415143601</cx:pt>
          <cx:pt idx="477">20.025573770491803</cx:pt>
          <cx:pt idx="478">16.601049868766403</cx:pt>
          <cx:pt idx="479">25.81746552856205</cx:pt>
          <cx:pt idx="480">20.5</cx:pt>
          <cx:pt idx="481">16.936226166995397</cx:pt>
          <cx:pt idx="482">18.161184210526315</cx:pt>
          <cx:pt idx="483">26.155365371955234</cx:pt>
          <cx:pt idx="484">20.747860434496378</cx:pt>
          <cx:pt idx="485">18.934167215273206</cx:pt>
          <cx:pt idx="486">24.792216358839049</cx:pt>
          <cx:pt idx="487">20.424142480211081</cx:pt>
          <cx:pt idx="488">18.902310231023101</cx:pt>
          <cx:pt idx="489">19.64380825565912</cx:pt>
          <cx:pt idx="490">19.967289719626169</cx:pt>
          <cx:pt idx="491">22.043449197860962</cx:pt>
          <cx:pt idx="492">20.112967914438503</cx:pt>
          <cx:pt idx="493">20.520428667113194</cx:pt>
          <cx:pt idx="494">20.161290322580644</cx:pt>
          <cx:pt idx="495">19.464864864864865</cx:pt>
          <cx:pt idx="496">15.81891891891892</cx:pt>
          <cx:pt idx="497">18.701016949152542</cx:pt>
          <cx:pt idx="498">17.607336956521738</cx:pt>
          <cx:pt idx="499">18.770592239618789</cx:pt>
          <cx:pt idx="500">16.734791524265209</cx:pt>
          <cx:pt idx="501">16.939808481532147</cx:pt>
          <cx:pt idx="502">22.156741957563312</cx:pt>
          <cx:pt idx="503">17.002739726027396</cx:pt>
          <cx:pt idx="504">22.649279341111875</cx:pt>
          <cx:pt idx="505">19.516129032258064</cx:pt>
          <cx:pt idx="506">18.28041237113402</cx:pt>
          <cx:pt idx="507">15.807560137457045</cx:pt>
          <cx:pt idx="508">18.150826446280991</cx:pt>
          <cx:pt idx="509">22.313278008298756</cx:pt>
          <cx:pt idx="510">19.377162629757784</cx:pt>
          <cx:pt idx="511">20.686328938237335</cx:pt>
          <cx:pt idx="512">16.034746351633078</cx:pt>
          <cx:pt idx="513">18.009735744089014</cx:pt>
          <cx:pt idx="514">21.216178521617852</cx:pt>
          <cx:pt idx="515">19.115062761506277</cx:pt>
          <cx:pt idx="516">19.539427773900908</cx:pt>
          <cx:pt idx="517">18.098394975575715</cx:pt>
          <cx:pt idx="518">20.139453398738613</cx:pt>
          <cx:pt idx="519">15.050490883590463</cx:pt>
          <cx:pt idx="520">22.861052631578946</cx:pt>
          <cx:pt idx="521">18.711267605633804</cx:pt>
          <cx:pt idx="522">26.779422128259338</cx:pt>
          <cx:pt idx="523">19.055162659123056</cx:pt>
          <cx:pt idx="524">21.090651558073656</cx:pt>
          <cx:pt idx="525">19.46987951807229</cx:pt>
          <cx:pt idx="526">17.099220411055988</cx:pt>
          <cx:pt idx="527">22.499290780141845</cx:pt>
          <cx:pt idx="528">17.060369318181817</cx:pt>
          <cx:pt idx="529">17.784648187633262</cx:pt>
          <cx:pt idx="530">16.489285714285714</cx:pt>
          <cx:pt idx="531">15.174659985683608</cx:pt>
          <cx:pt idx="532">23.918103448275861</cx:pt>
          <cx:pt idx="533">16.242620590352772</cx:pt>
          <cx:pt idx="534">21.752881844380404</cx:pt>
          <cx:pt idx="535">18.572766570605186</cx:pt>
          <cx:pt idx="536">18.742588575560376</cx:pt>
          <cx:pt idx="537">16.269898697539798</cx:pt>
          <cx:pt idx="538">7.1031227305737108</cx:pt>
          <cx:pt idx="539">15.753275109170305</cx:pt>
          <cx:pt idx="540">10.956902848794741</cx:pt>
          <cx:pt idx="541">14.630577907827359</cx:pt>
          <cx:pt idx="542">20.325036603221083</cx:pt>
          <cx:pt idx="543">18.457540263543191</cx:pt>
          <cx:pt idx="544">18.76595744680851</cx:pt>
          <cx:pt idx="545">19.823788546255507</cx:pt>
          <cx:pt idx="546">21.260837619397503</cx:pt>
          <cx:pt idx="547">20.573108008817048</cx:pt>
          <cx:pt idx="548">19.57237325495959</cx:pt>
          <cx:pt idx="549">18.59808963997061</cx:pt>
          <cx:pt idx="550">40.7540500736377</cx:pt>
          <cx:pt idx="551">20.585114222549741</cx:pt>
          <cx:pt idx="552">38.702064896755161</cx:pt>
          <cx:pt idx="553">20.144649446494466</cx:pt>
          <cx:pt idx="554">20.479674796747968</cx:pt>
          <cx:pt idx="555">20.523668639053255</cx:pt>
          <cx:pt idx="556">14.262573964497042</cx:pt>
          <cx:pt idx="557">16.750555144337529</cx:pt>
          <cx:pt idx="558">17.517037037037039</cx:pt>
          <cx:pt idx="559">18.876204595997034</cx:pt>
          <cx:pt idx="560">15.036323202372127</cx:pt>
          <cx:pt idx="561">27.259286775631502</cx:pt>
          <cx:pt idx="562">22.359583952451707</cx:pt>
          <cx:pt idx="563">19.439078751857355</cx:pt>
          <cx:pt idx="564">17.935364041604753</cx:pt>
          <cx:pt idx="565">17.222304832713753</cx:pt>
          <cx:pt idx="566">19.614466815809099</cx:pt>
          <cx:pt idx="567">24.174626865671641</cx:pt>
          <cx:pt idx="568">16.734328358208955</cx:pt>
          <cx:pt idx="569">17.376215407629019</cx:pt>
          <cx:pt idx="570">25.333333333333332</cx:pt>
          <cx:pt idx="571">15.81203007518797</cx:pt>
          <cx:pt idx="572">18.528216704288941</cx:pt>
          <cx:pt idx="573">19.115384615384617</cx:pt>
          <cx:pt idx="574">17.35444947209653</cx:pt>
          <cx:pt idx="575">19.740181268882175</cx:pt>
          <cx:pt idx="576">16.678004535147391</cx:pt>
          <cx:pt idx="577">21.460665658093799</cx:pt>
          <cx:pt idx="578">16.646747352496217</cx:pt>
          <cx:pt idx="579">16.418622255866769</cx:pt>
          <cx:pt idx="580">66.615620214395094</cx:pt>
          <cx:pt idx="581">21.254977029096477</cx:pt>
          <cx:pt idx="582">22.346213292117465</cx:pt>
          <cx:pt idx="583">21.377416860015469</cx:pt>
          <cx:pt idx="584">17.453137103020914</cx:pt>
          <cx:pt idx="585">26.475193798449613</cx:pt>
          <cx:pt idx="586">16.744929797191887</cx:pt>
          <cx:pt idx="587">20.621579358874122</cx:pt>
          <cx:pt idx="588">17.047021943573668</cx:pt>
          <cx:pt idx="589">16.338039215686276</cx:pt>
          <cx:pt idx="590">20.911163522012579</cx:pt>
          <cx:pt idx="591">15.256490952006294</cx:pt>
          <cx:pt idx="592">20.202052091554854</cx:pt>
          <cx:pt idx="593">19.047619047619047</cx:pt>
          <cx:pt idx="594">19.027799841143764</cx:pt>
          <cx:pt idx="595">15.107227958697379</cx:pt>
          <cx:pt idx="596">20.543789808917197</cx:pt>
          <cx:pt idx="597">17.264331210191084</cx:pt>
          <cx:pt idx="598">15.494417862838915</cx:pt>
          <cx:pt idx="599">20.984012789768187</cx:pt>
          <cx:pt idx="600">20.011199999999999</cx:pt>
          <cx:pt idx="601">17.6128</cx:pt>
          <cx:pt idx="602">21.574859887910328</cx:pt>
          <cx:pt idx="603">20.862068965517242</cx:pt>
          <cx:pt idx="604">16.077170418006432</cx:pt>
          <cx:pt idx="605">21.616747181964573</cx:pt>
          <cx:pt idx="606">17.835351089588379</cx:pt>
          <cx:pt idx="607">18.03071948261924</cx:pt>
          <cx:pt idx="608">22.665044606650447</cx:pt>
          <cx:pt idx="609">20.031836734693879</cx:pt>
          <cx:pt idx="610">19.016326530612243</cx:pt>
          <cx:pt idx="611">18.084897959183674</cx:pt>
          <cx:pt idx="612">19.950779327317473</cx:pt>
          <cx:pt idx="613">20.361247947454842</cx:pt>
          <cx:pt idx="614">7.248972884141331</cx:pt>
          <cx:pt idx="615">17.585526315789473</cx:pt>
          <cx:pt idx="616">21.972727272727273</cx:pt>
          <cx:pt idx="617">18.64516129032258</cx:pt>
          <cx:pt idx="618">21.109271523178808</cx:pt>
          <cx:pt idx="619">18.933499584372402</cx:pt>
          <cx:pt idx="620">19.856905158069882</cx:pt>
          <cx:pt idx="621">20.269616026711184</cx:pt>
          <cx:pt idx="622">20.885547201336674</cx:pt>
          <cx:pt idx="623">18.838763575605682</cx:pt>
          <cx:pt idx="624">18.638795986622075</cx:pt>
          <cx:pt idx="625">19.013389121338911</cx:pt>
          <cx:pt idx="626">17.573221757322177</cx:pt>
          <cx:pt idx="627">21.081239530988274</cx:pt>
          <cx:pt idx="628">18.791457286432159</cx:pt>
          <cx:pt idx="629">20.48197820620285</cx:pt>
          <cx:pt idx="630">21.134340890008396</cx:pt>
          <cx:pt idx="631">18.189234650967201</cx:pt>
          <cx:pt idx="632">16.820857863751051</cx:pt>
          <cx:pt idx="633">18.245362563237773</cx:pt>
          <cx:pt idx="634">15.882799325463743</cx:pt>
          <cx:pt idx="635">18.431472081218274</cx:pt>
          <cx:pt idx="636">20.811176968670619</cx:pt>
          <cx:pt idx="637">17.914406779661018</cx:pt>
          <cx:pt idx="638">21.538200339558575</cx:pt>
          <cx:pt idx="639">20.403225806451612</cx:pt>
          <cx:pt idx="640">18.007646559048428</cx:pt>
          <cx:pt idx="641">18.529361702127659</cx:pt>
          <cx:pt idx="642">16.409361702127658</cx:pt>
          <cx:pt idx="643">21.447098976109213</cx:pt>
          <cx:pt idx="644">17.839453458582408</cx:pt>
          <cx:pt idx="645">21.622431506849313</cx:pt>
          <cx:pt idx="646">15.424164524421593</cx:pt>
          <cx:pt idx="647">17.152658662092623</cx:pt>
          <cx:pt idx="648">15.241408934707904</cx:pt>
          <cx:pt idx="649">15.924203273040483</cx:pt>
          <cx:pt idx="650">20.743301642178047</cx:pt>
          <cx:pt idx="651">16.871218668971476</cx:pt>
          <cx:pt idx="652">19.110726643598618</cx:pt>
          <cx:pt idx="653">19.703030303030303</cx:pt>
          <cx:pt idx="654">17.697835497835499</cx:pt>
          <cx:pt idx="655">16.914782608695653</cx:pt>
          <cx:pt idx="656">15.076721883173496</cx:pt>
          <cx:pt idx="657">25.203315881326354</cx:pt>
          <cx:pt idx="658">20.730366492146597</cx:pt>
          <cx:pt idx="659">16.477312390924958</cx:pt>
          <cx:pt idx="660">17.001746724890829</cx:pt>
          <cx:pt idx="661">19.762029746281716</cx:pt>
          <cx:pt idx="662">16.8415061295972</cx:pt>
          <cx:pt idx="663">18.82001755926251</cx:pt>
          <cx:pt idx="664">18.112775330396477</cx:pt>
          <cx:pt idx="665">20.664021164021165</cx:pt>
          <cx:pt idx="666">19.819064430714917</cx:pt>
          <cx:pt idx="667">18.879858657243815</cx:pt>
          <cx:pt idx="668">20.184070796460176</cx:pt>
          <cx:pt idx="669">16.4781054512958</cx:pt>
          <cx:pt idx="670">17.04398563734291</cx:pt>
          <cx:pt idx="671">19.439748201438849</cx:pt>
          <cx:pt idx="672">18.480180180180181</cx:pt>
          <cx:pt idx="673">16.568840579710145</cx:pt>
          <cx:pt idx="674">19.414168937329702</cx:pt>
          <cx:pt idx="675">17.785649409627613</cx:pt>
          <cx:pt idx="676">16.845313921747042</cx:pt>
          <cx:pt idx="677">18.90602189781022</cx:pt>
          <cx:pt idx="678">14.769160583941606</cx:pt>
          <cx:pt idx="679">18.848124428179322</cx:pt>
          <cx:pt idx="680">15.017383348581884</cx:pt>
          <cx:pt idx="681">27.254578754578755</cx:pt>
          <cx:pt idx="682">19.471127406049497</cx:pt>
          <cx:pt idx="683">20.01010101010101</cx:pt>
          <cx:pt idx="684">15.187672493100276</cx:pt>
          <cx:pt idx="685">16.589861751152075</cx:pt>
          <cx:pt idx="686">19.326568265682656</cx:pt>
          <cx:pt idx="687">19.613111726685133</cx:pt>
          <cx:pt idx="688">18.807940904893812</cx:pt>
          <cx:pt idx="689">21.49537037037037</cx:pt>
          <cx:pt idx="690">21.676552363299351</cx:pt>
          <cx:pt idx="691">15.70844939647168</cx:pt>
          <cx:pt idx="692">25.708178438661712</cx:pt>
          <cx:pt idx="693">18.199069767441859</cx:pt>
          <cx:pt idx="694">17.76794035414725</cx:pt>
          <cx:pt idx="695">17.350795135640787</cx:pt>
          <cx:pt idx="696">18.25866916588566</cx:pt>
          <cx:pt idx="697">19.726415094339622</cx:pt>
          <cx:pt idx="698">16.052880075542966</cx:pt>
          <cx:pt idx="699">16.234404536862005</cx:pt>
          <cx:pt idx="700">23.995265151515152</cx:pt>
          <cx:pt idx="701">25.541389153187442</cx:pt>
          <cx:pt idx="702">19.883920076117985</cx:pt>
          <cx:pt idx="703">21.954285714285714</cx:pt>
          <cx:pt idx="704">18.45809523809524</cx:pt>
          <cx:pt idx="705">29.742612011439466</cx:pt>
          <cx:pt idx="706">17.379178605539636</cx:pt>
          <cx:pt idx="707">22.569923371647509</cx:pt>
          <cx:pt idx="708">19.646551724137932</cx:pt>
          <cx:pt idx="709">17.145593869731801</cx:pt>
          <cx:pt idx="710">21.953623188405796</cx:pt>
          <cx:pt idx="711">16.564796905222437</cx:pt>
          <cx:pt idx="712">23.152952565343661</cx:pt>
          <cx:pt idx="713">18.145208131655373</cx:pt>
          <cx:pt idx="714">21.955339805825243</cx:pt>
          <cx:pt idx="715">18.699029126213592</cx:pt>
          <cx:pt idx="716">14.683495145631069</cx:pt>
          <cx:pt idx="717">22.488824101069</cx:pt>
          <cx:pt idx="718">20.210526315789473</cx:pt>
          <cx:pt idx="719">21.98240469208211</cx:pt>
          <cx:pt idx="720">18.098039215686274</cx:pt>
          <cx:pt idx="721">17.974358974358974</cx:pt>
          <cx:pt idx="722">16.648568608094767</cx:pt>
          <cx:pt idx="723">25.226284584980238</cx:pt>
          <cx:pt idx="724">20.293478260869566</cx:pt>
          <cx:pt idx="725">20.533135509396637</cx:pt>
          <cx:pt idx="726">30.871287128712872</cx:pt>
          <cx:pt idx="727">18.059464816650149</cx:pt>
          <cx:pt idx="728">23.286991062562066</cx:pt>
          <cx:pt idx="729">15.05765407554672</cx:pt>
          <cx:pt idx="730">25.743768693918245</cx:pt>
          <cx:pt idx="731">21.559322033898304</cx:pt>
          <cx:pt idx="732">17.921157684630739</cx:pt>
          <cx:pt idx="733">26.825174825174827</cx:pt>
          <cx:pt idx="734">19.914000000000001</cx:pt>
          <cx:pt idx="735">16.5</cx:pt>
          <cx:pt idx="736">19.904809619238478</cx:pt>
          <cx:pt idx="737">18.869608826479439</cx:pt>
          <cx:pt idx="738">18.08835341365462</cx:pt>
          <cx:pt idx="739">26.673057517658929</cx:pt>
          <cx:pt idx="740">18.543895055499494</cx:pt>
          <cx:pt idx="741">22.495959595959597</cx:pt>
          <cx:pt idx="742">18.572727272727274</cx:pt>
          <cx:pt idx="743">18.869565217391305</cx:pt>
          <cx:pt idx="744">20.871196754563893</cx:pt>
          <cx:pt idx="745">16.227180527383368</cx:pt>
          <cx:pt idx="746">19.970528455284551</cx:pt>
          <cx:pt idx="747">19.127032520325205</cx:pt>
          <cx:pt idx="748">17.574771108850459</cx:pt>
          <cx:pt idx="749">18.864562118126273</cx:pt>
          <cx:pt idx="750">15.390020366598778</cx:pt>
          <cx:pt idx="751">16.522982635342185</cx:pt>
          <cx:pt idx="752">15.604294478527608</cx:pt>
          <cx:pt idx="753">18.47799385875128</cx:pt>
          <cx:pt idx="754">19.865778688524589</cx:pt>
          <cx:pt idx="755">23.97948717948718</cx:pt>
          <cx:pt idx="756">16.059487179487178</cx:pt>
          <cx:pt idx="757">20.075180226570545</cx:pt>
          <cx:pt idx="758">25.775025799793603</cx:pt>
          <cx:pt idx="759">22.210743801652892</cx:pt>
          <cx:pt idx="760">19.567148760330578</cx:pt>
          <cx:pt idx="761">15.822130299896587</cx:pt>
          <cx:pt idx="762">18.012448132780083</cx:pt>
          <cx:pt idx="763">16.509336099585063</cx:pt>
          <cx:pt idx="764">21.848390446521286</cx:pt>
          <cx:pt idx="765">16.915887850467289</cx:pt>
          <cx:pt idx="766">26.125</cx:pt>
          <cx:pt idx="767">16.393117831074036</cx:pt>
          <cx:pt idx="768">20.876826722338205</cx:pt>
          <cx:pt idx="769">15.936325678496868</cx:pt>
          <cx:pt idx="770">18.430512016718914</cx:pt>
          <cx:pt idx="771">15.532426778242678</cx:pt>
          <cx:pt idx="772">15.547643979057591</cx:pt>
          <cx:pt idx="773">15.827044025157234</cx:pt>
          <cx:pt idx="774">20.815126050420169</cx:pt>
          <cx:pt idx="775">16.535714285714285</cx:pt>
          <cx:pt idx="776">16.824395373291271</cx:pt>
          <cx:pt idx="777">17.684210526315791</cx:pt>
          <cx:pt idx="778">16.998945147679326</cx:pt>
          <cx:pt idx="779">19.458773784355181</cx:pt>
          <cx:pt idx="780">22.479872881355931</cx:pt>
          <cx:pt idx="781">18.693531283138917</cx:pt>
          <cx:pt idx="782">19.128586609989373</cx:pt>
          <cx:pt idx="783">16.236170212765959</cx:pt>
          <cx:pt idx="784">18.909381663113006</cx:pt>
          <cx:pt idx="785">19.366167023554603</cx:pt>
          <cx:pt idx="786">15.664523043944266</cx:pt>
          <cx:pt idx="787">19.631578947368421</cx:pt>
          <cx:pt idx="788">18.045112781954888</cx:pt>
          <cx:pt idx="789">21.487096774193549</cx:pt>
          <cx:pt idx="790">19.806243272335845</cx:pt>
          <cx:pt idx="791">17.808396124865446</cx:pt>
          <cx:pt idx="792">17.459634015069966</cx:pt>
          <cx:pt idx="793">16.67462039045553</cx:pt>
          <cx:pt idx="794">18.84256243213898</cx:pt>
          <cx:pt idx="795">25.615217391304348</cx:pt>
          <cx:pt idx="796">18.357298474945534</cx:pt>
          <cx:pt idx="797">17.847328244274809</cx:pt>
          <cx:pt idx="798">16.080697928026172</cx:pt>
          <cx:pt idx="799">19.771834061135372</cx:pt>
          <cx:pt idx="800">32.883060109289616</cx:pt>
          <cx:pt idx="801">16.991256830601092</cx:pt>
          <cx:pt idx="802">20.700218818380744</cx:pt>
          <cx:pt idx="803">18.599562363238512</cx:pt>
          <cx:pt idx="804">18.368708971553609</cx:pt>
          <cx:pt idx="805">18.527412280701753</cx:pt>
          <cx:pt idx="806">16.017601760176017</cx:pt>
          <cx:pt idx="807">16.760749724366043</cx:pt>
          <cx:pt idx="808">12.772123893805309</cx:pt>
          <cx:pt idx="809">22.550000000000001</cx:pt>
          <cx:pt idx="810">20.03448275862069</cx:pt>
          <cx:pt idx="811">18.199110122358174</cx:pt>
          <cx:pt idx="812">18.591314031180399</cx:pt>
          <cx:pt idx="813">22.227932960893856</cx:pt>
          <cx:pt idx="814">19.324022346368714</cx:pt>
          <cx:pt idx="815">15.719239373601789</cx:pt>
          <cx:pt idx="816">23.371492704826039</cx:pt>
          <cx:pt idx="817">18.631756756756758</cx:pt>
          <cx:pt idx="818">6.3434684684684681</cx:pt>
          <cx:pt idx="819">20.809090909090909</cx:pt>
          <cx:pt idx="820">18.878409090909091</cx:pt>
          <cx:pt idx="821">20.023890784982935</cx:pt>
          <cx:pt idx="822">17.252559726962456</cx:pt>
          <cx:pt idx="823">18.357714285714287</cx:pt>
          <cx:pt idx="824">19.300915331807779</cx:pt>
          <cx:pt idx="825">34.118254879448912</cx:pt>
          <cx:pt idx="826">19.426927502876868</cx:pt>
          <cx:pt idx="827">23.352534562211982</cx:pt>
          <cx:pt idx="828">18.217993079584776</cx:pt>
          <cx:pt idx="829">32.408775981524251</cx:pt>
          <cx:pt idx="830">19.442774566473989</cx:pt>
          <cx:pt idx="831">17.401156069364163</cx:pt>
          <cx:pt idx="832">17.181712962962962</cx:pt>
          <cx:pt idx="833">20.226218097447795</cx:pt>
          <cx:pt idx="834">20.620209059233449</cx:pt>
          <cx:pt idx="835">21.413271245634458</cx:pt>
          <cx:pt idx="836">15.808634772462076</cx:pt>
          <cx:pt idx="837">21.397420867526378</cx:pt>
          <cx:pt idx="838">21.853286384976524</cx:pt>
          <cx:pt idx="839">20</cx:pt>
          <cx:pt idx="840">16.211764705882352</cx:pt>
          <cx:pt idx="841">22.378091872791519</cx:pt>
          <cx:pt idx="842">17.528368794326241</cx:pt>
          <cx:pt idx="843">17.603571428571428</cx:pt>
          <cx:pt idx="844">19.010727056019071</cx:pt>
          <cx:pt idx="845">14.302741358760429</cx:pt>
          <cx:pt idx="846">17.367541766109785</cx:pt>
          <cx:pt idx="847">21.683832335329342</cx:pt>
          <cx:pt idx="848">19.520958083832337</cx:pt>
          <cx:pt idx="849">17.970023980815348</cx:pt>
          <cx:pt idx="850">16.111510791366907</cx:pt>
          <cx:pt idx="851">23.93997599039616</cx:pt>
          <cx:pt idx="852">17.137184115523464</cx:pt>
          <cx:pt idx="853">17.111913357400724</cx:pt>
          <cx:pt idx="854">16.825511432009627</cx:pt>
          <cx:pt idx="855">24.827710843373495</cx:pt>
          <cx:pt idx="856">19.461445783132529</cx:pt>
          <cx:pt idx="857">18.513253012048192</cx:pt>
          <cx:pt idx="858">15.171084337349397</cx:pt>
          <cx:pt idx="859">18.590579710144926</cx:pt>
          <cx:pt idx="860">18.917575757575758</cx:pt>
          <cx:pt idx="861">18.086060606060606</cx:pt>
          <cx:pt idx="862">24.418689320388349</cx:pt>
          <cx:pt idx="863">21.501213592233011</cx:pt>
          <cx:pt idx="864">20.266990291262136</cx:pt>
          <cx:pt idx="865">17.913834951456312</cx:pt>
          <cx:pt idx="866">21.665450121654501</cx:pt>
          <cx:pt idx="867">19.011002444987774</cx:pt>
          <cx:pt idx="868">20.555691554467565</cx:pt>
          <cx:pt idx="869">32.250308261405671</cx:pt>
          <cx:pt idx="870">19.146913580246913</cx:pt>
          <cx:pt idx="871">19.955390334572492</cx:pt>
          <cx:pt idx="872">17.348203221809168</cx:pt>
          <cx:pt idx="873">15.830235439900868</cx:pt>
          <cx:pt idx="874">17.114143920595534</cx:pt>
          <cx:pt idx="875">20.817391304347826</cx:pt>
          <cx:pt idx="876">13.519302615193027</cx:pt>
          <cx:pt idx="877">16.336658354114714</cx:pt>
          <cx:pt idx="878">18.830212234706618</cx:pt>
          <cx:pt idx="879">17.752500000000001</cx:pt>
          <cx:pt idx="880">17.638750000000002</cx:pt>
          <cx:pt idx="881">14.9937343358396</cx:pt>
          <cx:pt idx="882">18.609786700125472</cx:pt>
          <cx:pt idx="883">18.536523929471034</cx:pt>
          <cx:pt idx="884">12.610340479192939</cx:pt>
          <cx:pt idx="885">18.094696969696969</cx:pt>
          <cx:pt idx="886">17.815656565656564</cx:pt>
          <cx:pt idx="887">22.266750948166877</cx:pt>
          <cx:pt idx="888">21.09481668773704</cx:pt>
          <cx:pt idx="889">27.848101265822784</cx:pt>
          <cx:pt idx="890">20.125634517766496</cx:pt>
          <cx:pt idx="891">18.343550446998723</cx:pt>
          <cx:pt idx="892">19.861892583120206</cx:pt>
          <cx:pt idx="893">22.441741357234314</cx:pt>
          <cx:pt idx="894">18.869230769230768</cx:pt>
          <cx:pt idx="895">17.923076923076923</cx:pt>
          <cx:pt idx="896">16.666666666666668</cx:pt>
          <cx:pt idx="897">33.217223650385606</cx:pt>
          <cx:pt idx="898">17.070694087403599</cx:pt>
          <cx:pt idx="899">16.74742268041237</cx:pt>
          <cx:pt idx="900">19.833981841763944</cx:pt>
          <cx:pt idx="901">19.364935064935064</cx:pt>
          <cx:pt idx="902">18.114285714285714</cx:pt>
          <cx:pt idx="903">16.787012987012986</cx:pt>
          <cx:pt idx="904">19.239583333333332</cx:pt>
          <cx:pt idx="905">20.303780964797912</cx:pt>
          <cx:pt idx="906">18.261780104712042</cx:pt>
          <cx:pt idx="907">17.138743455497384</cx:pt>
          <cx:pt idx="908">17.109067017082786</cx:pt>
          <cx:pt idx="909">16.68856767411301</cx:pt>
          <cx:pt idx="910">22.301188903566711</cx:pt>
          <cx:pt idx="911">17.663576158940398</cx:pt>
          <cx:pt idx="912">19.957559681697614</cx:pt>
          <cx:pt idx="913">21.183266932270918</cx:pt>
          <cx:pt idx="914">18.898936170212767</cx:pt>
          <cx:pt idx="915">15.832446808510639</cx:pt>
          <cx:pt idx="916">17.934666666666665</cx:pt>
          <cx:pt idx="917">21.4190093708166</cx:pt>
          <cx:pt idx="918">15.457104557640751</cx:pt>
          <cx:pt idx="919">6.9033557046979865</cx:pt>
          <cx:pt idx="920">26.148448043184885</cx:pt>
          <cx:pt idx="921">18.159244264507421</cx:pt>
          <cx:pt idx="922">19.346414073071717</cx:pt>
          <cx:pt idx="923">16.873983739837399</cx:pt>
          <cx:pt idx="924">16.260162601626018</cx:pt>
          <cx:pt idx="925">17.154681139755766</cx:pt>
          <cx:pt idx="926">19.822010869565219</cx:pt>
          <cx:pt idx="927">17.14965986394558</cx:pt>
          <cx:pt idx="928">21.479564032697549</cx:pt>
          <cx:pt idx="929">16.934604904632153</cx:pt>
          <cx:pt idx="930">19.989085948158255</cx:pt>
          <cx:pt idx="931">18.993178717598909</cx:pt>
          <cx:pt idx="932">20.916666666666668</cx:pt>
          <cx:pt idx="933">18.240437158469945</cx:pt>
          <cx:pt idx="934">17.868852459016395</cx:pt>
          <cx:pt idx="935">19.268125854993158</cx:pt>
          <cx:pt idx="936">21.914835164835164</cx:pt>
          <cx:pt idx="937">18.271978021978022</cx:pt>
          <cx:pt idx="938">16.866574965612106</cx:pt>
          <cx:pt idx="939">19.873278236914601</cx:pt>
          <cx:pt idx="940">52.847856154910097</cx:pt>
          <cx:pt idx="941">17.612500000000001</cx:pt>
          <cx:pt idx="942">17.270194986072422</cx:pt>
          <cx:pt idx="943">11.793871866295264</cx:pt>
          <cx:pt idx="944">19.320781032078102</cx:pt>
          <cx:pt idx="945">18.364016736401673</cx:pt>
          <cx:pt idx="946">17.425383542538356</cx:pt>
          <cx:pt idx="947">11.884078212290502</cx:pt>
          <cx:pt idx="948">18.06993006993007</cx:pt>
          <cx:pt idx="949">16.770308123249301</cx:pt>
          <cx:pt idx="950">19.47545582047686</cx:pt>
          <cx:pt idx="951">17.064788732394366</cx:pt>
          <cx:pt idx="952">16.802816901408452</cx:pt>
          <cx:pt idx="953">10.871830985915492</cx:pt>
          <cx:pt idx="954">32.0098730606488</cx:pt>
          <cx:pt idx="955">20.202263083451204</cx:pt>
          <cx:pt idx="956">17.171145685997171</cx:pt>
          <cx:pt idx="957">24.174220963172804</cx:pt>
          <cx:pt idx="958">17.814447592067989</cx:pt>
          <cx:pt idx="959">17.616147308781869</cx:pt>
          <cx:pt idx="960">16.828125</cx:pt>
          <cx:pt idx="961">19.173541963015648</cx:pt>
          <cx:pt idx="962">14.22475106685633</cx:pt>
          <cx:pt idx="963">18.518518518518519</cx:pt>
          <cx:pt idx="964">16.512820512820515</cx:pt>
          <cx:pt idx="965">23.744285714285713</cx:pt>
          <cx:pt idx="966">16.938571428571429</cx:pt>
          <cx:pt idx="967">14.981428571428571</cx:pt>
          <cx:pt idx="968">19.44349070100143</cx:pt>
          <cx:pt idx="969">16.642346208869814</cx:pt>
          <cx:pt idx="970">17.875358166189113</cx:pt>
          <cx:pt idx="971">22.524425287356323</cx:pt>
          <cx:pt idx="972">18.149425287356323</cx:pt>
          <cx:pt idx="973">12.629310344827585</cx:pt>
          <cx:pt idx="974">20.366906474820144</cx:pt>
          <cx:pt idx="975">17.968345323741008</cx:pt>
          <cx:pt idx="976">18.862119013062408</cx:pt>
          <cx:pt idx="977">16.100145137880986</cx:pt>
          <cx:pt idx="978">18.17877906976744</cx:pt>
          <cx:pt idx="979">17.151162790697676</cx:pt>
          <cx:pt idx="980">20.036390101892284</cx:pt>
          <cx:pt idx="981">17.410480349344979</cx:pt>
          <cx:pt idx="982">18.208454810495628</cx:pt>
          <cx:pt idx="983">17.669096209912535</cx:pt>
          <cx:pt idx="984">18.338686131386861</cx:pt>
          <cx:pt idx="985">17.240875912408757</cx:pt>
          <cx:pt idx="986">18.650584795321638</cx:pt>
          <cx:pt idx="987">18.36163982430454</cx:pt>
          <cx:pt idx="988">17.295588235294119</cx:pt>
          <cx:pt idx="989">12.110456553755522</cx:pt>
          <cx:pt idx="990">17.179259259259258</cx:pt>
          <cx:pt idx="991">22.332838038632985</cx:pt>
          <cx:pt idx="992">18.727678571428573</cx:pt>
          <cx:pt idx="993">16.36904761904762</cx:pt>
          <cx:pt idx="994">17.664179104477611</cx:pt>
          <cx:pt idx="995">17.977578475336323</cx:pt>
          <cx:pt idx="996">18.446776611694151</cx:pt>
          <cx:pt idx="997">19.245112781954887</cx:pt>
          <cx:pt idx="998">16.648120300751881</cx:pt>
          <cx:pt idx="999">16.978851963746223</cx:pt>
          <cx:pt idx="1000">17.303030303030305</cx:pt>
          <cx:pt idx="1001">16.969696969696969</cx:pt>
          <cx:pt idx="1002">17.06980273141123</cx:pt>
          <cx:pt idx="1003">14.861911987860395</cx:pt>
          <cx:pt idx="1004">20.247720364741642</cx:pt>
          <cx:pt idx="1005">17.503805175038053</cx:pt>
          <cx:pt idx="1006">23.549618320610687</cx:pt>
          <cx:pt idx="1007">16.381679389312978</cx:pt>
          <cx:pt idx="1008">18.310397553516818</cx:pt>
          <cx:pt idx="1009">17.938837920489295</cx:pt>
          <cx:pt idx="1010">17.799694189602448</cx:pt>
          <cx:pt idx="1011">17.778287461773701</cx:pt>
          <cx:pt idx="1012">20.394171779141104</cx:pt>
          <cx:pt idx="1013">17.969325153374232</cx:pt>
          <cx:pt idx="1014">20.343076923076922</cx:pt>
          <cx:pt idx="1015">17.425925925925927</cx:pt>
          <cx:pt idx="1016">16.972222222222221</cx:pt>
          <cx:pt idx="1017">12.304347826086957</cx:pt>
          <cx:pt idx="1018">18.94556765163297</cx:pt>
          <cx:pt idx="1019">55.08736349453978</cx:pt>
          <cx:pt idx="1020">18.479687500000001</cx:pt>
          <cx:pt idx="1021">18.459375000000001</cx:pt>
          <cx:pt idx="1022">21.517996870109545</cx:pt>
          <cx:pt idx="1023">17.602825745682889</cx:pt>
          <cx:pt idx="1024">24.308176100628931</cx:pt>
          <cx:pt idx="1025">18.845669291338584</cx:pt>
          <cx:pt idx="1026">19.853312302839118</cx:pt>
          <cx:pt idx="1027">23.652931854199682</cx:pt>
          <cx:pt idx="1028">22.979397781299525</cx:pt>
          <cx:pt idx="1029">20.843106180665611</cx:pt>
          <cx:pt idx="1030">18.188589540412046</cx:pt>
          <cx:pt idx="1031">17.749603803486529</cx:pt>
          <cx:pt idx="1032">18.798412698412697</cx:pt>
          <cx:pt idx="1033">22.895071542130367</cx:pt>
          <cx:pt idx="1034">21.764705882352942</cx:pt>
          <cx:pt idx="1035">16.553259141494436</cx:pt>
          <cx:pt idx="1036">11.888712241653419</cx:pt>
          <cx:pt idx="1037">21.044585987261147</cx:pt>
          <cx:pt idx="1038">22.22328548644338</cx:pt>
          <cx:pt idx="1039">11.0608</cx:pt>
          <cx:pt idx="1040">19.070512820512821</cx:pt>
          <cx:pt idx="1041">16.025641025641026</cx:pt>
          <cx:pt idx="1042">18.898876404494381</cx:pt>
          <cx:pt idx="1043">17.314606741573034</cx:pt>
          <cx:pt idx="1044">17.040128410914928</cx:pt>
          <cx:pt idx="1045">17.926045016077172</cx:pt>
          <cx:pt idx="1046">16.80385852090032</cx:pt>
          <cx:pt idx="1047">11.686495176848874</cx:pt>
          <cx:pt idx="1048">20.086956521739129</cx:pt>
          <cx:pt idx="1049">15.50402576489533</cx:pt>
          <cx:pt idx="1050">13.57258064516129</cx:pt>
          <cx:pt idx="1051">22.617124394184167</cx:pt>
          <cx:pt idx="1052">12.731391585760518</cx:pt>
          <cx:pt idx="1053">28.364667747163697</cx:pt>
          <cx:pt idx="1054">19.572123176661265</cx:pt>
          <cx:pt idx="1055">19.395461912479739</cx:pt>
          <cx:pt idx="1056">19.845779220779221</cx:pt>
          <cx:pt idx="1057">13.689935064935066</cx:pt>
          <cx:pt idx="1058">18.076422764227644</cx:pt>
          <cx:pt idx="1059">18.03089430894309</cx:pt>
          <cx:pt idx="1060">20.540983606557376</cx:pt>
          <cx:pt idx="1061">20.594417077175699</cx:pt>
          <cx:pt idx="1062">19.10673234811166</cx:pt>
          <cx:pt idx="1063">27.270627062706271</cx:pt>
          <cx:pt idx="1064">11.768211920529801</cx:pt>
          <cx:pt idx="1065">17.940199335548172</cx:pt>
          <cx:pt idx="1066">18.375</cx:pt>
          <cx:pt idx="1067">17.966611018363938</cx:pt>
          <cx:pt idx="1068">20.162479061976548</cx:pt>
          <cx:pt idx="1069">18.994966442953022</cx:pt>
          <cx:pt idx="1070">16.979865771812079</cx:pt>
          <cx:pt idx="1071">20.58277027027027</cx:pt>
          <cx:pt idx="1072">18.505067567567568</cx:pt>
          <cx:pt idx="1073">20.739424703891707</cx:pt>
          <cx:pt idx="1074">33.225806451612904</cx:pt>
          <cx:pt idx="1075">21.249575551782684</cx:pt>
          <cx:pt idx="1076">13.134125636672326</cx:pt>
          <cx:pt idx="1077">23.465870307167236</cx:pt>
          <cx:pt idx="1078">23.204778156996586</cx:pt>
          <cx:pt idx="1079">16.774744027303754</cx:pt>
          <cx:pt idx="1080">20.323630136986303</cx:pt>
          <cx:pt idx="1081">22</cx:pt>
          <cx:pt idx="1082">19.339622641509433</cx:pt>
          <cx:pt idx="1083">17.30017152658662</cx:pt>
          <cx:pt idx="1084">16.793814432989691</cx:pt>
          <cx:pt idx="1085">16.006884681583475</cx:pt>
          <cx:pt idx="1086">12.137693631669535</cx:pt>
          <cx:pt idx="1087">18.513793103448275</cx:pt>
          <cx:pt idx="1088">18.110344827586207</cx:pt>
          <cx:pt idx="1089">18.998272884283246</cx:pt>
          <cx:pt idx="1090">18.743944636678201</cx:pt>
          <cx:pt idx="1091">18.121107266435985</cx:pt>
          <cx:pt idx="1092">16.301038062283737</cx:pt>
          <cx:pt idx="1093">21.240901213171576</cx:pt>
          <cx:pt idx="1094">18.782608695652176</cx:pt>
          <cx:pt idx="1095">18.255652173913042</cx:pt>
          <cx:pt idx="1096">18.128695652173914</cx:pt>
          <cx:pt idx="1097">17.438045375218149</cx:pt>
          <cx:pt idx="1098">19.001748251748253</cx:pt>
          <cx:pt idx="1099">18.487762237762237</cx:pt>
          <cx:pt idx="1100">24.371929824561402</cx:pt>
          <cx:pt idx="1101">19.843859649122805</cx:pt>
          <cx:pt idx="1102">18.52288732394366</cx:pt>
          <cx:pt idx="1103">19.621908127208481</cx:pt>
          <cx:pt idx="1104">18.160777385159012</cx:pt>
          <cx:pt idx="1105">19.469026548672566</cx:pt>
          <cx:pt idx="1106">18.228318584070795</cx:pt>
          <cx:pt idx="1107">14.049557522123894</cx:pt>
          <cx:pt idx="1108">12.5</cx:pt>
          <cx:pt idx="1109">21.59608540925267</cx:pt>
          <cx:pt idx="1110">21.390374331550802</cx:pt>
          <cx:pt idx="1111">18.527629233511586</cx:pt>
          <cx:pt idx="1112">11.135472370766488</cx:pt>
          <cx:pt idx="1113">12.569642857142858</cx:pt>
          <cx:pt idx="1114">19.475849731663686</cx:pt>
          <cx:pt idx="1115">19.739676840215441</cx:pt>
          <cx:pt idx="1116">19.025134649910232</cx:pt>
          <cx:pt idx="1117">18.938738738738738</cx:pt>
          <cx:pt idx="1118">19.115523465703973</cx:pt>
          <cx:pt idx="1119">19.902173913043477</cx:pt>
          <cx:pt idx="1120">19.157608695652176</cx:pt>
          <cx:pt idx="1121">12.882246376811594</cx:pt>
          <cx:pt idx="1122">12.802536231884059</cx:pt>
          <cx:pt idx="1123">21.952727272727273</cx:pt>
          <cx:pt idx="1124">19.861818181818183</cx:pt>
          <cx:pt idx="1125">18.685454545454544</cx:pt>
          <cx:pt idx="1126">20.565693430656935</cx:pt>
          <cx:pt idx="1127">19.414233576642335</cx:pt>
          <cx:pt idx="1128">28.848263254113345</cx:pt>
          <cx:pt idx="1129">22.376599634369288</cx:pt>
          <cx:pt idx="1130">16.647166361974406</cx:pt>
          <cx:pt idx="1131">13.411334552102376</cx:pt>
          <cx:pt idx="1132">18.866300366300365</cx:pt>
          <cx:pt idx="1133">22.444036697247707</cx:pt>
          <cx:pt idx="1134">34.38858195211786</cx:pt>
          <cx:pt idx="1135">12.747697974217312</cx:pt>
          <cx:pt idx="1136">22.824723247232473</cx:pt>
          <cx:pt idx="1137">18.547970479704798</cx:pt>
          <cx:pt idx="1138">18.20479704797048</cx:pt>
          <cx:pt idx="1139">12.915129151291513</cx:pt>
          <cx:pt idx="1140">12.614391143911439</cx:pt>
          <cx:pt idx="1141">23.763401109057302</cx:pt>
          <cx:pt idx="1142">19.650646950092423</cx:pt>
          <cx:pt idx="1143">19.525925925925925</cx:pt>
          <cx:pt idx="1144">17.366666666666667</cx:pt>
          <cx:pt idx="1145">21.449814126394052</cx:pt>
          <cx:pt idx="1146">18.202979515828677</cx:pt>
          <cx:pt idx="1147">17.24581005586592</cx:pt>
          <cx:pt idx="1148">20.560747663551403</cx:pt>
          <cx:pt idx="1149">20.067289719626167</cx:pt>
          <cx:pt idx="1150">16.410112359550563</cx:pt>
          <cx:pt idx="1151">17.238273921200751</cx:pt>
          <cx:pt idx="1152">13.298872180451127</cx:pt>
          <cx:pt idx="1153">20.190566037735849</cx:pt>
          <cx:pt idx="1154">19.342155009451798</cx:pt>
          <cx:pt idx="1155">17.321361058601134</cx:pt>
          <cx:pt idx="1156">17.16257088846881</cx:pt>
          <cx:pt idx="1157">16.965973534971646</cx:pt>
          <cx:pt idx="1158">19.011385199240987</cx:pt>
          <cx:pt idx="1159">15.208728652751423</cx:pt>
          <cx:pt idx="1160">21.863117870722434</cx:pt>
          <cx:pt idx="1161">18.441064638783271</cx:pt>
          <cx:pt idx="1162">19.432380952380953</cx:pt>
          <cx:pt idx="1163">18.070476190476189</cx:pt>
          <cx:pt idx="1164">30.268199233716476</cx:pt>
          <cx:pt idx="1165">20.944337811900191</cx:pt>
          <cx:pt idx="1166">18.788867562380037</cx:pt>
          <cx:pt idx="1167">18.397312859884838</cx:pt>
          <cx:pt idx="1168">19.011538461538461</cx:pt>
          <cx:pt idx="1169">53.840077071290942</cx:pt>
          <cx:pt idx="1170">12.471042471042471</cx:pt>
          <cx:pt idx="1171">20.381044487427467</cx:pt>
          <cx:pt idx="1172">11.4642166344294</cx:pt>
          <cx:pt idx="1173">12.556201550387597</cx:pt>
          <cx:pt idx="1174">21.157281553398057</cx:pt>
          <cx:pt idx="1175">11.86328125</cx:pt>
          <cx:pt idx="1176">23.483365949119374</cx:pt>
          <cx:pt idx="1177">18.87866927592955</cx:pt>
          <cx:pt idx="1178">47.994106090373279</cx:pt>
          <cx:pt idx="1179">19.520628683693516</cx:pt>
          <cx:pt idx="1180">19.096267190569744</cx:pt>
          <cx:pt idx="1181">11.715127701375245</cx:pt>
          <cx:pt idx="1182">19.250493096646942</cx:pt>
          <cx:pt idx="1183">12.323471400394478</cx:pt>
          <cx:pt idx="1184">12.173913043478262</cx:pt>
          <cx:pt idx="1185">12.736633663366337</cx:pt>
          <cx:pt idx="1186">12.534653465346535</cx:pt>
          <cx:pt idx="1187">19.365079365079364</cx:pt>
          <cx:pt idx="1188">16.011904761904763</cx:pt>
          <cx:pt idx="1189">20.534791252485089</cx:pt>
          <cx:pt idx="1190">18.125248508946321</cx:pt>
          <cx:pt idx="1191">17.8389662027833</cx:pt>
          <cx:pt idx="1192">12.683896620278331</cx:pt>
          <cx:pt idx="1193">12.497017892644136</cx:pt>
          <cx:pt idx="1194">19.460000000000001</cx:pt>
          <cx:pt idx="1195">10.898</cx:pt>
          <cx:pt idx="1196">18.036072144288578</cx:pt>
          <cx:pt idx="1197">12.925851703406813</cx:pt>
          <cx:pt idx="1198">24.096385542168676</cx:pt>
          <cx:pt idx="1199">12.651911468812877</cx:pt>
          <cx:pt idx="1200">19.092741935483872</cx:pt>
          <cx:pt idx="1201">18.528225806451612</cx:pt>
          <cx:pt idx="1202">19.111111111111111</cx:pt>
          <cx:pt idx="1203">18.745454545454546</cx:pt>
          <cx:pt idx="1204">21.427125506072876</cx:pt>
          <cx:pt idx="1205">18.654471544715449</cx:pt>
          <cx:pt idx="1206">18.653688524590162</cx:pt>
          <cx:pt idx="1207">13.790983606557377</cx:pt>
          <cx:pt idx="1208">21.404517453798768</cx:pt>
          <cx:pt idx="1209">18.57494866529774</cx:pt>
          <cx:pt idx="1210">18.074074074074073</cx:pt>
          <cx:pt idx="1211">17.798353909465021</cx:pt>
          <cx:pt idx="1212">13.954732510288066</cx:pt>
          <cx:pt idx="1213">20.119587628865979</cx:pt>
          <cx:pt idx="1214">18.144329896907216</cx:pt>
          <cx:pt idx="1215">12.931958762886598</cx:pt>
          <cx:pt idx="1216">30.991735537190081</cx:pt>
          <cx:pt idx="1217">17.997929606625259</cx:pt>
          <cx:pt idx="1218">15.066390041493776</cx:pt>
          <cx:pt idx="1219">20.254166666666666</cx:pt>
          <cx:pt idx="1220">19.077083333333334</cx:pt>
          <cx:pt idx="1221">25.112734864300627</cx:pt>
          <cx:pt idx="1222">19.448851774530272</cx:pt>
          <cx:pt idx="1223">12.315240083507307</cx:pt>
          <cx:pt idx="1224">19.859832635983263</cx:pt>
          <cx:pt idx="1225">21.90566037735849</cx:pt>
          <cx:pt idx="1226">20.679245283018869</cx:pt>
          <cx:pt idx="1227">18.665966386554622</cx:pt>
          <cx:pt idx="1228">23.89263157894737</cx:pt>
          <cx:pt idx="1229">18.734736842105264</cx:pt>
          <cx:pt idx="1230">16.84</cx:pt>
          <cx:pt idx="1231">13.616842105263158</cx:pt>
          <cx:pt idx="1232">20.109704641350213</cx:pt>
          <cx:pt idx="1233">19.733615221987314</cx:pt>
          <cx:pt idx="1234">17.348195329087048</cx:pt>
          <cx:pt idx="1235">20.427659574468084</cx:pt>
          <cx:pt idx="1236">14.436170212765957</cx:pt>
          <cx:pt idx="1237">12.348936170212767</cx:pt>
          <cx:pt idx="1238">11.963829787234042</cx:pt>
          <cx:pt idx="1239">17.221748400852878</cx:pt>
          <cx:pt idx="1240">20.48076923076923</cx:pt>
          <cx:pt idx="1241">18.506410256410255</cx:pt>
          <cx:pt idx="1242">18.444444444444443</cx:pt>
          <cx:pt idx="1243">17.942307692307693</cx:pt>
          <cx:pt idx="1244">20.492505353319057</cx:pt>
          <cx:pt idx="1245">19.156316916488223</cx:pt>
          <cx:pt idx="1246">14.457081545064378</cx:pt>
          <cx:pt idx="1247">20.318279569892471</cx:pt>
          <cx:pt idx="1248">21.613390928725703</cx:pt>
          <cx:pt idx="1249">18.14533622559653</cx:pt>
          <cx:pt idx="1250">22.489130434782609</cx:pt>
          <cx:pt idx="1251">21.941304347826087</cx:pt>
          <cx:pt idx="1252">14.423913043478262</cx:pt>
          <cx:pt idx="1253">19.242358078602621</cx:pt>
          <cx:pt idx="1254">12.269146608315099</cx:pt>
          <cx:pt idx="1255">19.951648351648352</cx:pt>
          <cx:pt idx="1256">18.865638766519822</cx:pt>
          <cx:pt idx="1257">20.55849889624724</cx:pt>
          <cx:pt idx="1258">19.256070640176599</cx:pt>
          <cx:pt idx="1259">12.695364238410596</cx:pt>
          <cx:pt idx="1260">21.017699115044248</cx:pt>
          <cx:pt idx="1261">19.081858407079647</cx:pt>
          <cx:pt idx="1262">14.269911504424778</cx:pt>
          <cx:pt idx="1263">12.955752212389381</cx:pt>
          <cx:pt idx="1264">17.86917960088692</cx:pt>
          <cx:pt idx="1265">22.231111111111112</cx:pt>
          <cx:pt idx="1266">21.497777777777777</cx:pt>
          <cx:pt idx="1267">17.545657015590201</cx:pt>
          <cx:pt idx="1268">12.46770601336303</cx:pt>
          <cx:pt idx="1269">17.493303571428573</cx:pt>
          <cx:pt idx="1270">16.988839285714285</cx:pt>
          <cx:pt idx="1271">18.993288590604028</cx:pt>
          <cx:pt idx="1272">19.429213483146068</cx:pt>
          <cx:pt idx="1273">19.101123595505619</cx:pt>
          <cx:pt idx="1274">18.085393258426965</cx:pt>
          <cx:pt idx="1275">25.515765765765767</cx:pt>
          <cx:pt idx="1276">13.348416289592761</cx:pt>
          <cx:pt idx="1277">12.478458049886621</cx:pt>
          <cx:pt idx="1278">12.405895691609977</cx:pt>
          <cx:pt idx="1279">20.884090909090908</cx:pt>
          <cx:pt idx="1280">20.837899543378995</cx:pt>
          <cx:pt idx="1281">18.264840182648403</cx:pt>
          <cx:pt idx="1282">18.585812356979407</cx:pt>
          <cx:pt idx="1283">20.642201834862384</cx:pt>
          <cx:pt idx="1284">18.178899082568808</cx:pt>
          <cx:pt idx="1285">20.689655172413794</cx:pt>
          <cx:pt idx="1286">20.946882217090071</cx:pt>
          <cx:pt idx="1287">19.382830626450115</cx:pt>
          <cx:pt idx="1288">19.29767441860465</cx:pt>
          <cx:pt idx="1289">19.190697674418605</cx:pt>
          <cx:pt idx="1290">20.167832167832167</cx:pt>
          <cx:pt idx="1291">20.295081967213115</cx:pt>
          <cx:pt idx="1292">12.734741784037558</cx:pt>
          <cx:pt idx="1293">20.496470588235294</cx:pt>
          <cx:pt idx="1294">12.461176470588235</cx:pt>
          <cx:pt idx="1295">12.922169811320755</cx:pt>
          <cx:pt idx="1296">12.452830188679245</cx:pt>
          <cx:pt idx="1297">28.160756501182032</cx:pt>
          <cx:pt idx="1298">12.73758865248227</cx:pt>
          <cx:pt idx="1299">23.518957345971565</cx:pt>
          <cx:pt idx="1300">26.847980997624703</cx:pt>
          <cx:pt idx="1301">19.735714285714284</cx:pt>
          <cx:pt idx="1302">21.21002386634845</cx:pt>
          <cx:pt idx="1303">18.923627684964199</cx:pt>
          <cx:pt idx="1304">13.429256594724221</cx:pt>
          <cx:pt idx="1305">12.299760191846524</cx:pt>
          <cx:pt idx="1306">18.718072289156627</cx:pt>
          <cx:pt idx="1307">21.123486682808718</cx:pt>
          <cx:pt idx="1308">12.86682808716707</cx:pt>
          <cx:pt idx="1309">27.468446601941746</cx:pt>
          <cx:pt idx="1310">19.186893203883496</cx:pt>
          <cx:pt idx="1311">18.401459854014597</cx:pt>
          <cx:pt idx="1312">17.649635036496349</cx:pt>
          <cx:pt idx="1313">13.931873479318735</cx:pt>
          <cx:pt idx="1314">11.807317073170731</cx:pt>
          <cx:pt idx="1315">22.948655256723715</cx:pt>
          <cx:pt idx="1316">24.850490196078432</cx:pt>
          <cx:pt idx="1317">20.833333333333332</cx:pt>
          <cx:pt idx="1318">31.941031941031941</cx:pt>
          <cx:pt idx="1319">21.088452088452087</cx:pt>
          <cx:pt idx="1320">27.987684729064039</cx:pt>
          <cx:pt idx="1321">24.691358024691358</cx:pt>
          <cx:pt idx="1322">21.484999999999999</cx:pt>
          <cx:pt idx="1323">19.298245614035089</cx:pt>
          <cx:pt idx="1324">12.491228070175438</cx:pt>
          <cx:pt idx="1325">20.286432160804019</cx:pt>
          <cx:pt idx="1326">20.062814070351759</cx:pt>
          <cx:pt idx="1327">16.103015075376884</cx:pt>
          <cx:pt idx="1328">21.3727959697733</cx:pt>
          <cx:pt idx="1329">20.498740554156171</cx:pt>
          <cx:pt idx="1330">22.164141414141415</cx:pt>
          <cx:pt idx="1331">19.323232323232322</cx:pt>
          <cx:pt idx="1332">21.015267175572518</cx:pt>
          <cx:pt idx="1333">13.168367346938776</cx:pt>
          <cx:pt idx="1334">18.823529411764707</cx:pt>
          <cx:pt idx="1335">12.370843989769821</cx:pt>
          <cx:pt idx="1336">13.394871794871795</cx:pt>
          <cx:pt idx="1337">20.649484536082475</cx:pt>
          <cx:pt idx="1338">14.221649484536082</cx:pt>
          <cx:pt idx="1339">19.924870466321245</cx:pt>
          <cx:pt idx="1340">18.002590673575128</cx:pt>
          <cx:pt idx="1341">12.319480519480519</cx:pt>
          <cx:pt idx="1342">10.38961038961039</cx:pt>
          <cx:pt idx="1343">13.054830287206267</cx:pt>
          <cx:pt idx="1344">18.7434554973822</cx:pt>
          <cx:pt idx="1345">14.253926701570681</cx:pt>
          <cx:pt idx="1346">12.486910994764397</cx:pt>
          <cx:pt idx="1347">13.698162729658792</cx:pt>
          <cx:pt idx="1348">24.915567282321899</cx:pt>
          <cx:pt idx="1349">13.034300791556728</cx:pt>
          <cx:pt idx="1350">21.276595744680851</cx:pt>
          <cx:pt idx="1351">21.333333333333332</cx:pt>
          <cx:pt idx="1352">21.120000000000001</cx:pt>
          <cx:pt idx="1353">12.199999999999999</cx:pt>
          <cx:pt idx="1354">12.774798927613942</cx:pt>
          <cx:pt idx="1355">21.091397849462364</cx:pt>
          <cx:pt idx="1356">22.029649595687331</cx:pt>
          <cx:pt idx="1357">18.71891891891892</cx:pt>
          <cx:pt idx="1358">12.732432432432432</cx:pt>
          <cx:pt idx="1359">12.429729729729729</cx:pt>
          <cx:pt idx="1360">13.853658536585366</cx:pt>
          <cx:pt idx="1361">13.27371273712737</cx:pt>
          <cx:pt idx="1362">21.334239130434781</cx:pt>
          <cx:pt idx="1363">20.967391304347824</cx:pt>
          <cx:pt idx="1364">20.111716621253407</cx:pt>
          <cx:pt idx="1365">11.855585831062671</cx:pt>
          <cx:pt idx="1366">23.980874316939889</cx:pt>
          <cx:pt idx="1367">14.532786885245901</cx:pt>
          <cx:pt idx="1368">12.336986301369864</cx:pt>
          <cx:pt idx="1369">10.95890410958904</cx:pt>
          <cx:pt idx="1370">23.401098901098901</cx:pt>
          <cx:pt idx="1371">21.71153846153846</cx:pt>
          <cx:pt idx="1372">11.835164835164836</cx:pt>
          <cx:pt idx="1373">20.201101928374655</cx:pt>
          <cx:pt idx="1374">20.110192837465565</cx:pt>
          <cx:pt idx="1375">41.666666666666664</cx:pt>
          <cx:pt idx="1376">21.922222222222221</cx:pt>
          <cx:pt idx="1377">17.519444444444446</cx:pt>
          <cx:pt idx="1378">16.452777777777779</cx:pt>
          <cx:pt idx="1379">19.498607242339833</cx:pt>
          <cx:pt idx="1380">13.481894150417828</cx:pt>
          <cx:pt idx="1381">11.483240223463687</cx:pt>
          <cx:pt idx="1382">21.008403361344538</cx:pt>
          <cx:pt idx="1383">22.517045454545453</cx:pt>
          <cx:pt idx="1384">32.421652421652425</cx:pt>
          <cx:pt idx="1385">16.270655270655272</cx:pt>
          <cx:pt idx="1386">12.794871794871796</cx:pt>
          <cx:pt idx="1387">18.217142857142857</cx:pt>
          <cx:pt idx="1388">23.733524355300858</cx:pt>
          <cx:pt idx="1389">22.280802292263612</cx:pt>
          <cx:pt idx="1390">11.494252873563218</cx:pt>
          <cx:pt idx="1391">20.481268011527376</cx:pt>
          <cx:pt idx="1392">21.069364161849713</cx:pt>
          <cx:pt idx="1393">13.476878612716764</cx:pt>
          <cx:pt idx="1394">12.56231884057971</cx:pt>
          <cx:pt idx="1395">20.607558139534884</cx:pt>
          <cx:pt idx="1396">14.552325581395349</cx:pt>
          <cx:pt idx="1397">12.758720930232558</cx:pt>
          <cx:pt idx="1398">21.615160349854229</cx:pt>
          <cx:pt idx="1399">20.903508771929825</cx:pt>
          <cx:pt idx="1400">18.475073313782993</cx:pt>
          <cx:pt idx="1401">12.463343108504398</cx:pt>
          <cx:pt idx="1402">18.192307692307693</cx:pt>
          <cx:pt idx="1403">13.646884272997033</cx:pt>
          <cx:pt idx="1404">22.101492537313433</cx:pt>
          <cx:pt idx="1405">21.616766467065869</cx:pt>
          <cx:pt idx="1406">11.655688622754491</cx:pt>
          <cx:pt idx="1407">11.152694610778443</cx:pt>
          <cx:pt idx="1408">19.852852852852852</cx:pt>
          <cx:pt idx="1409">12.612612612612613</cx:pt>
          <cx:pt idx="1410">24.096385542168676</cx:pt>
          <cx:pt idx="1411">23.262839879154079</cx:pt>
          <cx:pt idx="1412">21.036363636363635</cx:pt>
          <cx:pt idx="1413">12.51063829787234</cx:pt>
          <cx:pt idx="1414">23.435975609756099</cx:pt>
          <cx:pt idx="1415">14.009146341463415</cx:pt>
          <cx:pt idx="1416">27.229357798165136</cx:pt>
          <cx:pt idx="1417">26.278287461773701</cx:pt>
          <cx:pt idx="1418">14.18960244648318</cx:pt>
          <cx:pt idx="1419">13.110091743119266</cx:pt>
          <cx:pt idx="1420">22.113496932515336</cx:pt>
          <cx:pt idx="1421">13.104294478527608</cx:pt>
          <cx:pt idx="1422">12.904907975460123</cx:pt>
          <cx:pt idx="1423">21.883076923076924</cx:pt>
          <cx:pt idx="1424">13.938461538461539</cx:pt>
          <cx:pt idx="1425">12.929230769230768</cx:pt>
          <cx:pt idx="1426">12.383900928792571</cx:pt>
          <cx:pt idx="1427">19.794392523364486</cx:pt>
          <cx:pt idx="1428">13.16822429906542</cx:pt>
          <cx:pt idx="1429">22.487500000000001</cx:pt>
          <cx:pt idx="1430">26.040880503144653</cx:pt>
          <cx:pt idx="1431">21.525157232704402</cx:pt>
          <cx:pt idx="1432">12.977917981072554</cx:pt>
          <cx:pt idx="1433">12.943217665615142</cx:pt>
          <cx:pt idx="1434">12.927444794952681</cx:pt>
          <cx:pt idx="1435">24.130573248407643</cx:pt>
          <cx:pt idx="1436">19.936305732484076</cx:pt>
          <cx:pt idx="1437">18.361022364217252</cx:pt>
          <cx:pt idx="1438">13.47923322683706</cx:pt>
          <cx:pt idx="1439">13.701923076923077</cx:pt>
          <cx:pt idx="1440">13.216129032258065</cx:pt>
          <cx:pt idx="1441">12.019480519480519</cx:pt>
          <cx:pt idx="1442">11.633116883116884</cx:pt>
          <cx:pt idx="1443">16.938110749185668</cx:pt>
          <cx:pt idx="1444">12.521311475409837</cx:pt>
          <cx:pt idx="1445">22.549342105263158</cx:pt>
          <cx:pt idx="1446">13.488448844884488</cx:pt>
          <cx:pt idx="1447">12.667774086378737</cx:pt>
          <cx:pt idx="1448">15.546666666666667</cx:pt>
          <cx:pt idx="1449">13.076923076923077</cx:pt>
          <cx:pt idx="1450">12.630872483221477</cx:pt>
          <cx:pt idx="1451">11.087248322147651</cx:pt>
          <cx:pt idx="1452">82.481481481481481</cx:pt>
          <cx:pt idx="1453">14.185810810810811</cx:pt>
          <cx:pt idx="1454">23.36271186440678</cx:pt>
          <cx:pt idx="1455">13.199999999999999</cx:pt>
          <cx:pt idx="1456">23.327645051194541</cx:pt>
          <cx:pt idx="1457">22.712328767123289</cx:pt>
          <cx:pt idx="1458">13.109965635738831</cx:pt>
          <cx:pt idx="1459">13.024221453287197</cx:pt>
          <cx:pt idx="1460">12.347222222222221</cx:pt>
          <cx:pt idx="1461">12.265734265734265</cx:pt>
          <cx:pt idx="1462">11.517482517482517</cx:pt>
          <cx:pt idx="1463">21.985964912280703</cx:pt>
          <cx:pt idx="1464">12.456140350877194</cx:pt>
          <cx:pt idx="1465">24.822695035460992</cx:pt>
          <cx:pt idx="1466">14.804964539007091</cx:pt>
          <cx:pt idx="1467">12.359430604982206</cx:pt>
          <cx:pt idx="1468">23.485714285714284</cx:pt>
          <cx:pt idx="1469">23.417857142857144</cx:pt>
          <cx:pt idx="1470">11.789285714285715</cx:pt>
          <cx:pt idx="1471">16.025089605734767</cx:pt>
          <cx:pt idx="1472">11.663082437275985</cx:pt>
          <cx:pt idx="1473">23.53956834532374</cx:pt>
          <cx:pt idx="1474">11.014388489208633</cx:pt>
          <cx:pt idx="1475">36.931407942238266</cx:pt>
          <cx:pt idx="1476">18.888086642599276</cx:pt>
          <cx:pt idx="1477">12.672727272727272</cx:pt>
          <cx:pt idx="1478">11.290909090909091</cx:pt>
          <cx:pt idx="1479">17.890109890109891</cx:pt>
          <cx:pt idx="1480">12.626373626373626</cx:pt>
          <cx:pt idx="1481">13.308823529411764</cx:pt>
          <cx:pt idx="1482">19.501845018450183</cx:pt>
          <cx:pt idx="1483">14.405904059040591</cx:pt>
          <cx:pt idx="1484">12.92250922509225</cx:pt>
          <cx:pt idx="1485">24.018587360594797</cx:pt>
          <cx:pt idx="1486">23.408921933085502</cx:pt>
          <cx:pt idx="1487">13.397769516728625</cx:pt>
          <cx:pt idx="1488">24.186567164179106</cx:pt>
          <cx:pt idx="1489">13.253731343283581</cx:pt>
          <cx:pt idx="1490">16.067415730337078</cx:pt>
          <cx:pt idx="1491">11.872659176029963</cx:pt>
          <cx:pt idx="1492">12.996240601503759</cx:pt>
          <cx:pt idx="1493">16.924242424242426</cx:pt>
          <cx:pt idx="1494">21.961977186311788</cx:pt>
          <cx:pt idx="1495">12.522900763358779</cx:pt>
          <cx:pt idx="1496">14.01923076923077</cx:pt>
          <cx:pt idx="1497">13.076923076923077</cx:pt>
          <cx:pt idx="1498">12.692307692307692</cx:pt>
          <cx:pt idx="1499">12.257692307692308</cx:pt>
          <cx:pt idx="1500">13.031007751937985</cx:pt>
          <cx:pt idx="1501">12.729411764705882</cx:pt>
          <cx:pt idx="1502">13.196850393700787</cx:pt>
          <cx:pt idx="1503">12.992125984251969</cx:pt>
          <cx:pt idx="1504">11.811023622047244</cx:pt>
          <cx:pt idx="1505">21.34</cx:pt>
          <cx:pt idx="1506">15.712</cx:pt>
          <cx:pt idx="1507">12.798387096774194</cx:pt>
          <cx:pt idx="1508">12.189516129032258</cx:pt>
          <cx:pt idx="1509">13.299595141700404</cx:pt>
          <cx:pt idx="1510">13.165991902834008</cx:pt>
          <cx:pt idx="1511">11.894736842105264</cx:pt>
          <cx:pt idx="1512">21.579591836734693</cx:pt>
          <cx:pt idx="1513">12.868852459016393</cx:pt>
          <cx:pt idx="1514">25.925925925925927</cx:pt>
          <cx:pt idx="1515">13.429752066115702</cx:pt>
          <cx:pt idx="1516">12.789256198347108</cx:pt>
          <cx:pt idx="1517">12.91701244813278</cx:pt>
          <cx:pt idx="1518">16.270833333333332</cx:pt>
          <cx:pt idx="1519">25.713080168776372</cx:pt>
          <cx:pt idx="1520">14.907172995780591</cx:pt>
          <cx:pt idx="1521">12.864978902953586</cx:pt>
          <cx:pt idx="1522">13.343347639484978</cx:pt>
          <cx:pt idx="1523">12.805194805194805</cx:pt>
          <cx:pt idx="1524">11.682608695652174</cx:pt>
          <cx:pt idx="1525">13.25</cx:pt>
          <cx:pt idx="1526">13.215859030837004</cx:pt>
          <cx:pt idx="1527">25.617777777777778</cx:pt>
          <cx:pt idx="1528">26.424107142857142</cx:pt>
          <cx:pt idx="1529">13.03125</cx:pt>
          <cx:pt idx="1530">12.522321428571429</cx:pt>
          <cx:pt idx="1531">15.399103139013453</cx:pt>
          <cx:pt idx="1532">115.34684684684684</cx:pt>
          <cx:pt idx="1533">13.513513513513514</cx:pt>
          <cx:pt idx="1534">13.420814479638009</cx:pt>
          <cx:pt idx="1535">13.822727272727272</cx:pt>
          <cx:pt idx="1536">12.677272727272728</cx:pt>
          <cx:pt idx="1537">11.909090909090908</cx:pt>
          <cx:pt idx="1538">13.529680365296803</cx:pt>
          <cx:pt idx="1539">12.922374429223744</cx:pt>
          <cx:pt idx="1540">14.167441860465116</cx:pt>
          <cx:pt idx="1541">12.850467289719626</cx:pt>
          <cx:pt idx="1542">11.325471698113208</cx:pt>
          <cx:pt idx="1543">12.357142857142858</cx:pt>
          <cx:pt idx="1544">10.242857142857142</cx:pt>
          <cx:pt idx="1545">12.454545454545455</cx:pt>
          <cx:pt idx="1546">12.315789473684211</cx:pt>
          <cx:pt idx="1547">12.60576923076923</cx:pt>
          <cx:pt idx="1548">24.85024154589372</cx:pt>
          <cx:pt idx="1549">22.855072463768117</cx:pt>
          <cx:pt idx="1550">12.346341463414634</cx:pt>
          <cx:pt idx="1551">12.475490196078431</cx:pt>
          <cx:pt idx="1552">12.52216748768473</cx:pt>
          <cx:pt idx="1553">18.841584158415841</cx:pt>
          <cx:pt idx="1554">30.28855721393035</cx:pt>
          <cx:pt idx="1555">12.64676616915423</cx:pt>
          <cx:pt idx="1556">13.535</cx:pt>
          <cx:pt idx="1557">12.875</cx:pt>
          <cx:pt idx="1558">13.211055276381909</cx:pt>
          <cx:pt idx="1559">11.547738693467336</cx:pt>
          <cx:pt idx="1560">13.055555555555555</cx:pt>
          <cx:pt idx="1561">12.929292929292929</cx:pt>
          <cx:pt idx="1562">11.578680203045685</cx:pt>
          <cx:pt idx="1563">25.153061224489797</cx:pt>
          <cx:pt idx="1564">11.270408163265307</cx:pt>
          <cx:pt idx="1565">14.005128205128205</cx:pt>
          <cx:pt idx="1566">13.994871794871795</cx:pt>
          <cx:pt idx="1567">12.394871794871795</cx:pt>
          <cx:pt idx="1568">12.927835051546392</cx:pt>
          <cx:pt idx="1569">12.762886597938145</cx:pt>
          <cx:pt idx="1570">12.559585492227979</cx:pt>
          <cx:pt idx="1571">13.255208333333334</cx:pt>
          <cx:pt idx="1572">13.026041666666666</cx:pt>
          <cx:pt idx="1573">12.875</cx:pt>
          <cx:pt idx="1574">12.277486910994764</cx:pt>
          <cx:pt idx="1575">14.489473684210527</cx:pt>
          <cx:pt idx="1576">14.352631578947369</cx:pt>
          <cx:pt idx="1577">12.373684210526315</cx:pt>
          <cx:pt idx="1578">12.645502645502646</cx:pt>
          <cx:pt idx="1579">12.042328042328043</cx:pt>
          <cx:pt idx="1580">11.894179894179894</cx:pt>
          <cx:pt idx="1581">13.223404255319149</cx:pt>
          <cx:pt idx="1582">12.595744680851064</cx:pt>
          <cx:pt idx="1583">13.741935483870968</cx:pt>
          <cx:pt idx="1584">13.124324324324323</cx:pt>
          <cx:pt idx="1585">12.259459459459459</cx:pt>
          <cx:pt idx="1586">13.459016393442623</cx:pt>
          <cx:pt idx="1587">12.978142076502733</cx:pt>
          <cx:pt idx="1588">11.94535519125683</cx:pt>
          <cx:pt idx="1589">16.91160220994475</cx:pt>
          <cx:pt idx="1590">14.867403314917127</cx:pt>
          <cx:pt idx="1591">12.777777777777779</cx:pt>
          <cx:pt idx="1592">12.505555555555556</cx:pt>
          <cx:pt idx="1593">13.335195530726256</cx:pt>
          <cx:pt idx="1594">13.48314606741573</cx:pt>
          <cx:pt idx="1595">13.232954545454545</cx:pt>
          <cx:pt idx="1596">12.24</cx:pt>
          <cx:pt idx="1597">12.306358381502891</cx:pt>
          <cx:pt idx="1598">13.88953488372093</cx:pt>
          <cx:pt idx="1599">12.86046511627907</cx:pt>
          <cx:pt idx="1600">12.86046511627907</cx:pt>
          <cx:pt idx="1601">12.284883720930232</cx:pt>
          <cx:pt idx="1602">14.526315789473685</cx:pt>
          <cx:pt idx="1603">13.467836257309942</cx:pt>
          <cx:pt idx="1604">13.68235294117647</cx:pt>
          <cx:pt idx="1605">12.305882352941177</cx:pt>
          <cx:pt idx="1606">14.011834319526628</cx:pt>
          <cx:pt idx="1607">13.461538461538462</cx:pt>
          <cx:pt idx="1608">12.727810650887575</cx:pt>
          <cx:pt idx="1609">12.179640718562874</cx:pt>
          <cx:pt idx="1610">14.03012048192771</cx:pt>
          <cx:pt idx="1611">12.463855421686747</cx:pt>
          <cx:pt idx="1612">11.656626506024097</cx:pt>
          <cx:pt idx="1613">15.539877300613497</cx:pt>
          <cx:pt idx="1614">13.602484472049689</cx:pt>
          <cx:pt idx="1615">13.409937888198758</cx:pt>
          <cx:pt idx="1616">13.267080745341614</cx:pt>
          <cx:pt idx="1617">13.24375</cx:pt>
          <cx:pt idx="1618">12.887499999999999</cx:pt>
          <cx:pt idx="1619">33.427672955974842</cx:pt>
          <cx:pt idx="1620">28.610062893081761</cx:pt>
          <cx:pt idx="1621">21.509433962264151</cx:pt>
          <cx:pt idx="1622">12.490566037735849</cx:pt>
          <cx:pt idx="1623">12.382165605095542</cx:pt>
          <cx:pt idx="1624">14.275641025641026</cx:pt>
          <cx:pt idx="1625">14.509677419354839</cx:pt>
          <cx:pt idx="1626">13.922077922077921</cx:pt>
          <cx:pt idx="1627">13.071895424836601</cx:pt>
          <cx:pt idx="1628">17.099337748344372</cx:pt>
          <cx:pt idx="1629">12.920529801324504</cx:pt>
          <cx:pt idx="1630">12.774834437086092</cx:pt>
          <cx:pt idx="1631">12.926174496644295</cx:pt>
          <cx:pt idx="1632">12.711409395973154</cx:pt>
          <cx:pt idx="1633">12.409395973154362</cx:pt>
          <cx:pt idx="1634">13.121621621621621</cx:pt>
          <cx:pt idx="1635">12.635135135135135</cx:pt>
          <cx:pt idx="1636">12.591836734693878</cx:pt>
          <cx:pt idx="1637">13.883561643835616</cx:pt>
          <cx:pt idx="1638">13.199999999999999</cx:pt>
          <cx:pt idx="1639">12.914893617021276</cx:pt>
          <cx:pt idx="1640">12.631205673758865</cx:pt>
          <cx:pt idx="1641">13.37410071942446</cx:pt>
          <cx:pt idx="1642">13.244604316546763</cx:pt>
          <cx:pt idx="1643">12.949640287769784</cx:pt>
          <cx:pt idx="1644">14.510948905109489</cx:pt>
          <cx:pt idx="1645">12.963503649635037</cx:pt>
          <cx:pt idx="1646">12.284671532846716</cx:pt>
          <cx:pt idx="1647">13.818181818181818</cx:pt>
          <cx:pt idx="1648">13.704545454545455</cx:pt>
          <cx:pt idx="1649">13.196969696969697</cx:pt>
          <cx:pt idx="1650">12.727272727272727</cx:pt>
          <cx:pt idx="1651">12.977099236641221</cx:pt>
          <cx:pt idx="1652">12.732824427480915</cx:pt>
          <cx:pt idx="1653">14.775193798449612</cx:pt>
          <cx:pt idx="1654">12.403100775193799</cx:pt>
          <cx:pt idx="1655">11.627906976744185</cx:pt>
          <cx:pt idx="1656">12.4609375</cx:pt>
          <cx:pt idx="1657">12.1484375</cx:pt>
          <cx:pt idx="1658">15.338582677165354</cx:pt>
          <cx:pt idx="1659">14.070866141732283</cx:pt>
          <cx:pt idx="1660">13.15748031496063</cx:pt>
          <cx:pt idx="1661">12.433070866141732</cx:pt>
          <cx:pt idx="1662">11.779527559055119</cx:pt>
          <cx:pt idx="1663">12.817460317460318</cx:pt>
          <cx:pt idx="1664">12.698412698412698</cx:pt>
          <cx:pt idx="1665">13.488</cx:pt>
          <cx:pt idx="1666">14.180327868852459</cx:pt>
          <cx:pt idx="1667">12.75</cx:pt>
          <cx:pt idx="1668">12.283333333333333</cx:pt>
          <cx:pt idx="1669">14.285714285714286</cx:pt>
          <cx:pt idx="1670">12.882352941176471</cx:pt>
          <cx:pt idx="1671">12.319327731092438</cx:pt>
          <cx:pt idx="1672">14.213675213675213</cx:pt>
          <cx:pt idx="1673">14.051282051282051</cx:pt>
          <cx:pt idx="1674">12.76923076923077</cx:pt>
          <cx:pt idx="1675">12.649572649572649</cx:pt>
          <cx:pt idx="1676">12.307692307692308</cx:pt>
          <cx:pt idx="1677">16.724137931034484</cx:pt>
          <cx:pt idx="1678">13.660869565217391</cx:pt>
          <cx:pt idx="1679">13.608695652173912</cx:pt>
          <cx:pt idx="1680">13.440366972477063</cx:pt>
          <cx:pt idx="1681">12.834862385321101</cx:pt>
          <cx:pt idx="1682">12.174311926605505</cx:pt>
          <cx:pt idx="1683">14.75925925925926</cx:pt>
          <cx:pt idx="1684">13.915094339622641</cx:pt>
          <cx:pt idx="1685">11.847619047619048</cx:pt>
          <cx:pt idx="1686">12.686274509803921</cx:pt>
          <cx:pt idx="1687">13.247524752475247</cx:pt>
          <cx:pt idx="1688">12.663366336633663</cx:pt>
          <cx:pt idx="1689">12.118811881188119</cx:pt>
          <cx:pt idx="1690">13.795918367346939</cx:pt>
          <cx:pt idx="1691">13.505154639175258</cx:pt>
          <cx:pt idx="1692">12.731958762886597</cx:pt>
          <cx:pt idx="1693">12.4</cx:pt>
          <cx:pt idx="1694">13.691489361702128</cx:pt>
          <cx:pt idx="1695">14.204301075268818</cx:pt>
          <cx:pt idx="1696">17.010989010989011</cx:pt>
          <cx:pt idx="1697">15.538461538461538</cx:pt>
          <cx:pt idx="1698">22.617977528089888</cx:pt>
          <cx:pt idx="1699">13.829545454545455</cx:pt>
          <cx:pt idx="1700">13.275862068965518</cx:pt>
          <cx:pt idx="1701">13.541176470588235</cx:pt>
          <cx:pt idx="1702">12.94047619047619</cx:pt>
          <cx:pt idx="1703">15.146341463414634</cx:pt>
          <cx:pt idx="1704">15.025</cx:pt>
          <cx:pt idx="1705">14.9625</cx:pt>
          <cx:pt idx="1706">13.898734177215189</cx:pt>
          <cx:pt idx="1707">13.518987341772151</cx:pt>
          <cx:pt idx="1708">14.012987012987013</cx:pt>
          <cx:pt idx="1709">13.346666666666666</cx:pt>
          <cx:pt idx="1710">12.884057971014492</cx:pt>
          <cx:pt idx="1711">13.106060606060606</cx:pt>
          <cx:pt idx="1712">13.984615384615385</cx:pt>
          <cx:pt idx="1713">13.114754098360656</cx:pt>
          <cx:pt idx="1714">14.101694915254237</cx:pt>
          <cx:pt idx="1715">13.5</cx:pt>
          <cx:pt idx="1716">13.684210526315789</cx:pt>
          <cx:pt idx="1717">12.964912280701755</cx:pt>
          <cx:pt idx="1718">15.839285714285714</cx:pt>
          <cx:pt idx="1719">12.87037037037037</cx:pt>
          <cx:pt idx="1720">13.380000000000001</cx:pt>
          <cx:pt idx="1721">13.586956521739131</cx:pt>
          <cx:pt idx="1722">12.863636363636363</cx:pt>
          <cx:pt idx="1723">12.594594594594595</cx:pt>
          <cx:pt idx="1724">12.806451612903226</cx:pt>
        </cx:lvl>
      </cx:numDim>
    </cx:data>
  </cx:chartData>
  <cx:chart>
    <cx:plotArea>
      <cx:plotAreaRegion>
        <cx:plotSurface>
          <cx:spPr>
            <a:noFill/>
          </cx:spPr>
        </cx:plotSurface>
        <cx:series layoutId="clusteredColumn" uniqueId="{42FA63B5-5DDF-40EC-A013-587B52F99225}">
          <cx:spPr>
            <a:solidFill>
              <a:srgbClr val="314364"/>
            </a:solidFill>
            <a:ln>
              <a:noFill/>
            </a:ln>
          </cx:spPr>
          <cx:dataLabels pos="outEnd">
            <cx:txPr>
              <a:bodyPr spcFirstLastPara="1" vertOverflow="ellipsis" wrap="square" lIns="0" tIns="0" rIns="0" bIns="0" anchor="ctr" anchorCtr="1"/>
              <a:lstStyle/>
              <a:p>
                <a:pPr>
                  <a:defRPr lang="sk-SK" sz="900" b="0" i="0" u="none" strike="noStrike" baseline="0">
                    <a:solidFill>
                      <a:srgbClr val="314364"/>
                    </a:solidFill>
                    <a:latin typeface="Calibri"/>
                  </a:defRPr>
                </a:pPr>
                <a:endParaRPr lang="sk-SK">
                  <a:solidFill>
                    <a:srgbClr val="314364"/>
                  </a:solidFill>
                </a:endParaRPr>
              </a:p>
            </cx:txPr>
            <cx:visibility seriesName="0" categoryName="0" value="1"/>
            <cx:separator>, </cx:separator>
          </cx:dataLabels>
          <cx:dataId val="0"/>
          <cx:layoutPr>
            <cx:visibility meanLine="0" meanMarker="1" nonoutliers="0" outliers="1"/>
            <cx:binning intervalClosed="r" underflow="10" overflow="40">
              <cx:binCount val="12"/>
            </cx:binning>
          </cx:layoutPr>
        </cx:series>
      </cx:plotAreaRegion>
      <cx:axis id="0">
        <cx:catScaling gapWidth="1"/>
        <cx:tickLabels/>
        <cx:txPr>
          <a:bodyPr rot="-60000000" spcFirstLastPara="1" vertOverflow="ellipsis" vert="horz" wrap="square" lIns="0" tIns="0" rIns="0" bIns="0" anchor="ctr" anchorCtr="1"/>
          <a:lstStyle/>
          <a:p>
            <a:pPr>
              <a:defRPr sz="800">
                <a:solidFill>
                  <a:schemeClr val="tx2"/>
                </a:solidFill>
                <a:latin typeface="Segoe UI" panose="020B0502040204020203" pitchFamily="34" charset="0"/>
                <a:ea typeface="Segoe UI" panose="020B0502040204020203" pitchFamily="34" charset="0"/>
                <a:cs typeface="Segoe UI" panose="020B0502040204020203" pitchFamily="34" charset="0"/>
              </a:defRPr>
            </a:pPr>
            <a:endParaRPr lang="sk-SK" sz="800">
              <a:solidFill>
                <a:schemeClr val="tx2"/>
              </a:solidFill>
              <a:latin typeface="Segoe UI" panose="020B0502040204020203" pitchFamily="34" charset="0"/>
              <a:cs typeface="Segoe UI" panose="020B0502040204020203" pitchFamily="34" charset="0"/>
            </a:endParaRPr>
          </a:p>
        </cx:txPr>
      </cx:axis>
      <cx:axis id="1">
        <cx:valScaling/>
        <cx:majorGridlines/>
        <cx:tickLabels/>
        <cx:txPr>
          <a:bodyPr rot="-60000000" spcFirstLastPara="1" vertOverflow="ellipsis" vert="horz" wrap="square" lIns="0" tIns="0" rIns="0" bIns="0" anchor="ctr" anchorCtr="1"/>
          <a:lstStyle/>
          <a:p>
            <a:pPr>
              <a:defRPr sz="800">
                <a:solidFill>
                  <a:schemeClr val="tx2"/>
                </a:solidFill>
                <a:latin typeface="Segoe UI" panose="020B0502040204020203" pitchFamily="34" charset="0"/>
                <a:ea typeface="Segoe UI" panose="020B0502040204020203" pitchFamily="34" charset="0"/>
                <a:cs typeface="Segoe UI" panose="020B0502040204020203" pitchFamily="34" charset="0"/>
              </a:defRPr>
            </a:pPr>
            <a:endParaRPr lang="sk-SK" sz="800">
              <a:solidFill>
                <a:schemeClr val="tx2"/>
              </a:solidFill>
              <a:latin typeface="Segoe UI" panose="020B0502040204020203" pitchFamily="34" charset="0"/>
              <a:cs typeface="Segoe UI" panose="020B0502040204020203" pitchFamily="34" charset="0"/>
            </a:endParaRPr>
          </a:p>
        </cx:txPr>
      </cx:axis>
    </cx:plotArea>
  </cx:chart>
  <cx:spPr>
    <a:noFill/>
    <a:ln>
      <a:noFill/>
    </a:ln>
  </cx:spPr>
  <cx:clrMapOvr bg1="lt1" tx1="dk1" bg2="lt2" tx2="dk2" accent1="accent1" accent2="accent2" accent3="accent3" accent4="accent4" accent5="accent5" accent6="accent6" hlink="hlink" folHlink="folHlink"/>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withinLinear" id="15">
  <a:schemeClr val="accent2"/>
</cs:colorStyle>
</file>

<file path=word/charts/colors13.xml><?xml version="1.0" encoding="utf-8"?>
<cs:colorStyle xmlns:cs="http://schemas.microsoft.com/office/drawing/2012/chartStyle" xmlns:a="http://schemas.openxmlformats.org/drawingml/2006/main" meth="withinLinear" id="15">
  <a:schemeClr val="accent2"/>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withinLinear" id="15">
  <a:schemeClr val="accent2"/>
</cs:colorStyle>
</file>

<file path=word/charts/colors26.xml><?xml version="1.0" encoding="utf-8"?>
<cs:colorStyle xmlns:cs="http://schemas.microsoft.com/office/drawing/2012/chartStyle" xmlns:a="http://schemas.openxmlformats.org/drawingml/2006/main" meth="withinLinear" id="15">
  <a:schemeClr val="accent2"/>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withinLinear" id="15">
  <a:schemeClr val="accent2"/>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withinLinear" id="15">
  <a:schemeClr val="accent2"/>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withinLinearReversed" id="26">
  <a:schemeClr val="accent6"/>
</cs:colorStyle>
</file>

<file path=word/charts/colors8.xml><?xml version="1.0" encoding="utf-8"?>
<cs:colorStyle xmlns:cs="http://schemas.microsoft.com/office/drawing/2012/chartStyle" xmlns:a="http://schemas.openxmlformats.org/drawingml/2006/main" meth="withinLinearReversed" id="21">
  <a:schemeClr val="accent1"/>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40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bodyPr rot="-60000000" vert="horz"/>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tx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dropLine>
  <cs:errorBar>
    <cs:lnRef idx="0"/>
    <cs:fillRef idx="0"/>
    <cs:effectRef idx="0"/>
    <cs:fontRef idx="minor">
      <a:schemeClr val="tx1"/>
    </cs:fontRef>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a:solidFill>
          <a:schemeClr val="tx1">
            <a:lumMod val="15000"/>
            <a:lumOff val="85000"/>
            <a:lumOff val="10000"/>
          </a:schemeClr>
        </a:solidFill>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bodyPr rot="-60000000" vert="horz"/>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b="0" kern="1200" spc="0" baseline="0"/>
    <cs:bodyPr rot="0" vert="horz"/>
  </cs:title>
  <cs:trendline>
    <cs:lnRef idx="0"/>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bodyPr rot="-60000000" vert="horz"/>
  </cs:valueAxis>
  <cs:wall>
    <cs:lnRef idx="0"/>
    <cs:fillRef idx="0"/>
    <cs:effectRef idx="0"/>
    <cs:fontRef idx="minor">
      <a:schemeClr val="tx1"/>
    </cs:fontRef>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CFA9320A03148E98EF733F7A917AECF"/>
        <w:category>
          <w:name w:val="Všeobecné"/>
          <w:gallery w:val="placeholder"/>
        </w:category>
        <w:types>
          <w:type w:val="bbPlcHdr"/>
        </w:types>
        <w:behaviors>
          <w:behavior w:val="content"/>
        </w:behaviors>
        <w:guid w:val="{EAF649BF-7601-4D14-95D7-FEA20E0734E3}"/>
      </w:docPartPr>
      <w:docPartBody>
        <w:p w:rsidR="00F869BD" w:rsidRDefault="000B5EA4">
          <w:pPr>
            <w:pStyle w:val="4CFA9320A03148E98EF733F7A917AECF"/>
          </w:pPr>
          <w:r w:rsidRPr="00F539EB">
            <w:t>Názov</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w:altName w:val="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ontserrat">
    <w:panose1 w:val="00000500000000000000"/>
    <w:charset w:val="EE"/>
    <w:family w:val="auto"/>
    <w:pitch w:val="variable"/>
    <w:sig w:usb0="2000020F" w:usb1="00000003" w:usb2="00000000" w:usb3="00000000" w:csb0="00000197" w:csb1="00000000"/>
  </w:font>
  <w:font w:name="Ebrima">
    <w:panose1 w:val="02000000000000000000"/>
    <w:charset w:val="EE"/>
    <w:family w:val="auto"/>
    <w:pitch w:val="variable"/>
    <w:sig w:usb0="A000005F" w:usb1="02000041" w:usb2="00000800" w:usb3="00000000" w:csb0="00000093" w:csb1="00000000"/>
  </w:font>
  <w:font w:name="Calibri Light">
    <w:panose1 w:val="020F0302020204030204"/>
    <w:charset w:val="EE"/>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A4"/>
    <w:rsid w:val="00003CA5"/>
    <w:rsid w:val="000155BB"/>
    <w:rsid w:val="00057075"/>
    <w:rsid w:val="000662D0"/>
    <w:rsid w:val="00074CD0"/>
    <w:rsid w:val="000757F3"/>
    <w:rsid w:val="00084DC9"/>
    <w:rsid w:val="00090411"/>
    <w:rsid w:val="000B5EA4"/>
    <w:rsid w:val="000E0014"/>
    <w:rsid w:val="001068C9"/>
    <w:rsid w:val="00135665"/>
    <w:rsid w:val="001510FC"/>
    <w:rsid w:val="001553B3"/>
    <w:rsid w:val="00161F43"/>
    <w:rsid w:val="001702EC"/>
    <w:rsid w:val="00173F9A"/>
    <w:rsid w:val="00182719"/>
    <w:rsid w:val="001A2E48"/>
    <w:rsid w:val="001A5900"/>
    <w:rsid w:val="001C3668"/>
    <w:rsid w:val="001C4599"/>
    <w:rsid w:val="001C7FFB"/>
    <w:rsid w:val="001D407D"/>
    <w:rsid w:val="001D6AB0"/>
    <w:rsid w:val="001F0BD9"/>
    <w:rsid w:val="001F6850"/>
    <w:rsid w:val="00232571"/>
    <w:rsid w:val="00232B5C"/>
    <w:rsid w:val="002611D6"/>
    <w:rsid w:val="002634EE"/>
    <w:rsid w:val="002636A4"/>
    <w:rsid w:val="0027791D"/>
    <w:rsid w:val="00292AE7"/>
    <w:rsid w:val="002A283B"/>
    <w:rsid w:val="002C0C35"/>
    <w:rsid w:val="00303B67"/>
    <w:rsid w:val="003118CD"/>
    <w:rsid w:val="0032329F"/>
    <w:rsid w:val="00334CD9"/>
    <w:rsid w:val="0033749D"/>
    <w:rsid w:val="00347D99"/>
    <w:rsid w:val="0035249B"/>
    <w:rsid w:val="00366538"/>
    <w:rsid w:val="00372355"/>
    <w:rsid w:val="003737E2"/>
    <w:rsid w:val="0039618E"/>
    <w:rsid w:val="0040595D"/>
    <w:rsid w:val="00417AA4"/>
    <w:rsid w:val="00422D76"/>
    <w:rsid w:val="0042491C"/>
    <w:rsid w:val="00425470"/>
    <w:rsid w:val="0042620F"/>
    <w:rsid w:val="00497BAF"/>
    <w:rsid w:val="004D6930"/>
    <w:rsid w:val="004E1FCD"/>
    <w:rsid w:val="004E364E"/>
    <w:rsid w:val="004F277A"/>
    <w:rsid w:val="0050312C"/>
    <w:rsid w:val="005318E5"/>
    <w:rsid w:val="00542D8C"/>
    <w:rsid w:val="00564AC7"/>
    <w:rsid w:val="00574A98"/>
    <w:rsid w:val="00581C8A"/>
    <w:rsid w:val="0059222F"/>
    <w:rsid w:val="005A6CD2"/>
    <w:rsid w:val="005A7CFF"/>
    <w:rsid w:val="005C05BA"/>
    <w:rsid w:val="005C121E"/>
    <w:rsid w:val="005D254A"/>
    <w:rsid w:val="005D5943"/>
    <w:rsid w:val="00617F99"/>
    <w:rsid w:val="00633546"/>
    <w:rsid w:val="00642F00"/>
    <w:rsid w:val="00647234"/>
    <w:rsid w:val="00652B14"/>
    <w:rsid w:val="00656DEC"/>
    <w:rsid w:val="00664ED5"/>
    <w:rsid w:val="00670B96"/>
    <w:rsid w:val="006826E8"/>
    <w:rsid w:val="006850A5"/>
    <w:rsid w:val="00690498"/>
    <w:rsid w:val="00693988"/>
    <w:rsid w:val="006B5F9E"/>
    <w:rsid w:val="006C1D70"/>
    <w:rsid w:val="007153BF"/>
    <w:rsid w:val="00715EB6"/>
    <w:rsid w:val="00765C74"/>
    <w:rsid w:val="007703C8"/>
    <w:rsid w:val="00771B8A"/>
    <w:rsid w:val="00785750"/>
    <w:rsid w:val="007A4FCA"/>
    <w:rsid w:val="007D13D5"/>
    <w:rsid w:val="007F1475"/>
    <w:rsid w:val="00813EAD"/>
    <w:rsid w:val="0082313E"/>
    <w:rsid w:val="00830374"/>
    <w:rsid w:val="008317C9"/>
    <w:rsid w:val="00854BE8"/>
    <w:rsid w:val="00857BE3"/>
    <w:rsid w:val="0086424E"/>
    <w:rsid w:val="0086572A"/>
    <w:rsid w:val="00874A05"/>
    <w:rsid w:val="00875292"/>
    <w:rsid w:val="00893148"/>
    <w:rsid w:val="00893EF9"/>
    <w:rsid w:val="008A3A6F"/>
    <w:rsid w:val="008A4B3A"/>
    <w:rsid w:val="008B771C"/>
    <w:rsid w:val="008C2469"/>
    <w:rsid w:val="008D3958"/>
    <w:rsid w:val="008E1B2D"/>
    <w:rsid w:val="008E6453"/>
    <w:rsid w:val="00903514"/>
    <w:rsid w:val="00914754"/>
    <w:rsid w:val="009212DB"/>
    <w:rsid w:val="00934470"/>
    <w:rsid w:val="00967812"/>
    <w:rsid w:val="009779C3"/>
    <w:rsid w:val="00984A3D"/>
    <w:rsid w:val="0099608B"/>
    <w:rsid w:val="00996F0F"/>
    <w:rsid w:val="009B5CFD"/>
    <w:rsid w:val="009B7235"/>
    <w:rsid w:val="009F3446"/>
    <w:rsid w:val="00A4130A"/>
    <w:rsid w:val="00A43C2B"/>
    <w:rsid w:val="00A51F3C"/>
    <w:rsid w:val="00A535C9"/>
    <w:rsid w:val="00A73A88"/>
    <w:rsid w:val="00A73C83"/>
    <w:rsid w:val="00A8256A"/>
    <w:rsid w:val="00A97925"/>
    <w:rsid w:val="00AA6427"/>
    <w:rsid w:val="00AC0E09"/>
    <w:rsid w:val="00AF1584"/>
    <w:rsid w:val="00B13A8F"/>
    <w:rsid w:val="00B22B71"/>
    <w:rsid w:val="00B648A8"/>
    <w:rsid w:val="00B73C80"/>
    <w:rsid w:val="00B76AA4"/>
    <w:rsid w:val="00B81EF4"/>
    <w:rsid w:val="00B9157A"/>
    <w:rsid w:val="00BA7077"/>
    <w:rsid w:val="00BB308D"/>
    <w:rsid w:val="00BC5436"/>
    <w:rsid w:val="00BC5B29"/>
    <w:rsid w:val="00BD40E4"/>
    <w:rsid w:val="00BF19D2"/>
    <w:rsid w:val="00C060B5"/>
    <w:rsid w:val="00C379C5"/>
    <w:rsid w:val="00C438E5"/>
    <w:rsid w:val="00C55C53"/>
    <w:rsid w:val="00C60099"/>
    <w:rsid w:val="00C82BE0"/>
    <w:rsid w:val="00CB6AB0"/>
    <w:rsid w:val="00CC0DE8"/>
    <w:rsid w:val="00CC199A"/>
    <w:rsid w:val="00CC2EDC"/>
    <w:rsid w:val="00CD6F64"/>
    <w:rsid w:val="00CD74B6"/>
    <w:rsid w:val="00CE5507"/>
    <w:rsid w:val="00CE6B8B"/>
    <w:rsid w:val="00D2242A"/>
    <w:rsid w:val="00D30162"/>
    <w:rsid w:val="00D43E4F"/>
    <w:rsid w:val="00DC3754"/>
    <w:rsid w:val="00DF0F28"/>
    <w:rsid w:val="00DF6948"/>
    <w:rsid w:val="00E20D93"/>
    <w:rsid w:val="00E33D43"/>
    <w:rsid w:val="00E42234"/>
    <w:rsid w:val="00E4363D"/>
    <w:rsid w:val="00E5533A"/>
    <w:rsid w:val="00E63FA6"/>
    <w:rsid w:val="00E81E61"/>
    <w:rsid w:val="00E9217C"/>
    <w:rsid w:val="00E94C6C"/>
    <w:rsid w:val="00EA3C7A"/>
    <w:rsid w:val="00EB6F97"/>
    <w:rsid w:val="00EB7026"/>
    <w:rsid w:val="00EC3E2D"/>
    <w:rsid w:val="00ED18B2"/>
    <w:rsid w:val="00ED2999"/>
    <w:rsid w:val="00EE76E0"/>
    <w:rsid w:val="00EF49B7"/>
    <w:rsid w:val="00F219F2"/>
    <w:rsid w:val="00F34EAB"/>
    <w:rsid w:val="00F357CC"/>
    <w:rsid w:val="00F37566"/>
    <w:rsid w:val="00F46DEB"/>
    <w:rsid w:val="00F50487"/>
    <w:rsid w:val="00F51AB5"/>
    <w:rsid w:val="00F869BD"/>
    <w:rsid w:val="00F95591"/>
    <w:rsid w:val="00FD3FB1"/>
    <w:rsid w:val="00FD704C"/>
    <w:rsid w:val="00FD7993"/>
    <w:rsid w:val="00FF3C5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4CFA9320A03148E98EF733F7A917AECF">
    <w:name w:val="4CFA9320A03148E98EF733F7A917AECF"/>
  </w:style>
  <w:style w:type="paragraph" w:customStyle="1" w:styleId="7C6366C82C584D8FA858719D311CFF6A">
    <w:name w:val="7C6366C82C584D8FA858719D311CFF6A"/>
    <w:rsid w:val="002611D6"/>
  </w:style>
  <w:style w:type="paragraph" w:customStyle="1" w:styleId="19A6733DCC0946EBB7675A731F83BA7B">
    <w:name w:val="19A6733DCC0946EBB7675A731F83BA7B"/>
    <w:rsid w:val="002611D6"/>
  </w:style>
  <w:style w:type="paragraph" w:customStyle="1" w:styleId="2B49A7EB9CD846E49B8AA4C0750B68CC">
    <w:name w:val="2B49A7EB9CD846E49B8AA4C0750B68CC"/>
    <w:rsid w:val="002611D6"/>
  </w:style>
  <w:style w:type="paragraph" w:customStyle="1" w:styleId="027BFAEB5B5A4654A10A0D628F9E51DA">
    <w:name w:val="027BFAEB5B5A4654A10A0D628F9E51DA"/>
    <w:rsid w:val="002611D6"/>
  </w:style>
  <w:style w:type="paragraph" w:customStyle="1" w:styleId="D3BCA478441348B08E29E312997591DE">
    <w:name w:val="D3BCA478441348B08E29E312997591DE"/>
    <w:rsid w:val="002611D6"/>
  </w:style>
  <w:style w:type="paragraph" w:customStyle="1" w:styleId="0F9D0EEE52FF4AB8BD5155973D8DD1DE">
    <w:name w:val="0F9D0EEE52FF4AB8BD5155973D8DD1DE"/>
    <w:rsid w:val="002611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balíka Office">
  <a:themeElements>
    <a:clrScheme name="NKÚ SR">
      <a:dk1>
        <a:sysClr val="windowText" lastClr="000000"/>
      </a:dk1>
      <a:lt1>
        <a:sysClr val="window" lastClr="FFFFFF"/>
      </a:lt1>
      <a:dk2>
        <a:srgbClr val="314364"/>
      </a:dk2>
      <a:lt2>
        <a:srgbClr val="9CB9EC"/>
      </a:lt2>
      <a:accent1>
        <a:srgbClr val="314364"/>
      </a:accent1>
      <a:accent2>
        <a:srgbClr val="9CB9EC"/>
      </a:accent2>
      <a:accent3>
        <a:srgbClr val="6D87B7"/>
      </a:accent3>
      <a:accent4>
        <a:srgbClr val="B3BECF"/>
      </a:accent4>
      <a:accent5>
        <a:srgbClr val="B7706D"/>
      </a:accent5>
      <a:accent6>
        <a:srgbClr val="F55647"/>
      </a:accent6>
      <a:hlink>
        <a:srgbClr val="314364"/>
      </a:hlink>
      <a:folHlink>
        <a:srgbClr val="31436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NKÚ SR">
    <a:dk1>
      <a:sysClr val="windowText" lastClr="000000"/>
    </a:dk1>
    <a:lt1>
      <a:sysClr val="window" lastClr="FFFFFF"/>
    </a:lt1>
    <a:dk2>
      <a:srgbClr val="314364"/>
    </a:dk2>
    <a:lt2>
      <a:srgbClr val="9CB9EC"/>
    </a:lt2>
    <a:accent1>
      <a:srgbClr val="314364"/>
    </a:accent1>
    <a:accent2>
      <a:srgbClr val="9CB9EC"/>
    </a:accent2>
    <a:accent3>
      <a:srgbClr val="6D87B7"/>
    </a:accent3>
    <a:accent4>
      <a:srgbClr val="B3BECF"/>
    </a:accent4>
    <a:accent5>
      <a:srgbClr val="B7706D"/>
    </a:accent5>
    <a:accent6>
      <a:srgbClr val="F55647"/>
    </a:accent6>
    <a:hlink>
      <a:srgbClr val="314364"/>
    </a:hlink>
    <a:folHlink>
      <a:srgbClr val="31436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NKÚ SR">
    <a:dk1>
      <a:sysClr val="windowText" lastClr="000000"/>
    </a:dk1>
    <a:lt1>
      <a:sysClr val="window" lastClr="FFFFFF"/>
    </a:lt1>
    <a:dk2>
      <a:srgbClr val="314364"/>
    </a:dk2>
    <a:lt2>
      <a:srgbClr val="9CB9EC"/>
    </a:lt2>
    <a:accent1>
      <a:srgbClr val="314364"/>
    </a:accent1>
    <a:accent2>
      <a:srgbClr val="9CB9EC"/>
    </a:accent2>
    <a:accent3>
      <a:srgbClr val="6D87B7"/>
    </a:accent3>
    <a:accent4>
      <a:srgbClr val="B3BECF"/>
    </a:accent4>
    <a:accent5>
      <a:srgbClr val="B7706D"/>
    </a:accent5>
    <a:accent6>
      <a:srgbClr val="F55647"/>
    </a:accent6>
    <a:hlink>
      <a:srgbClr val="314364"/>
    </a:hlink>
    <a:folHlink>
      <a:srgbClr val="31436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NKÚ SR">
    <a:dk1>
      <a:sysClr val="windowText" lastClr="000000"/>
    </a:dk1>
    <a:lt1>
      <a:sysClr val="window" lastClr="FFFFFF"/>
    </a:lt1>
    <a:dk2>
      <a:srgbClr val="314364"/>
    </a:dk2>
    <a:lt2>
      <a:srgbClr val="9CB9EC"/>
    </a:lt2>
    <a:accent1>
      <a:srgbClr val="314364"/>
    </a:accent1>
    <a:accent2>
      <a:srgbClr val="9CB9EC"/>
    </a:accent2>
    <a:accent3>
      <a:srgbClr val="6D87B7"/>
    </a:accent3>
    <a:accent4>
      <a:srgbClr val="B3BECF"/>
    </a:accent4>
    <a:accent5>
      <a:srgbClr val="B7706D"/>
    </a:accent5>
    <a:accent6>
      <a:srgbClr val="F55647"/>
    </a:accent6>
    <a:hlink>
      <a:srgbClr val="314364"/>
    </a:hlink>
    <a:folHlink>
      <a:srgbClr val="31436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NKÚ SR">
    <a:dk1>
      <a:sysClr val="windowText" lastClr="000000"/>
    </a:dk1>
    <a:lt1>
      <a:sysClr val="window" lastClr="FFFFFF"/>
    </a:lt1>
    <a:dk2>
      <a:srgbClr val="314364"/>
    </a:dk2>
    <a:lt2>
      <a:srgbClr val="9CB9EC"/>
    </a:lt2>
    <a:accent1>
      <a:srgbClr val="314364"/>
    </a:accent1>
    <a:accent2>
      <a:srgbClr val="9CB9EC"/>
    </a:accent2>
    <a:accent3>
      <a:srgbClr val="6D87B7"/>
    </a:accent3>
    <a:accent4>
      <a:srgbClr val="B3BECF"/>
    </a:accent4>
    <a:accent5>
      <a:srgbClr val="B7706D"/>
    </a:accent5>
    <a:accent6>
      <a:srgbClr val="F55647"/>
    </a:accent6>
    <a:hlink>
      <a:srgbClr val="314364"/>
    </a:hlink>
    <a:folHlink>
      <a:srgbClr val="31436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NKÚ">
    <a:dk1>
      <a:sysClr val="windowText" lastClr="000000"/>
    </a:dk1>
    <a:lt1>
      <a:sysClr val="window" lastClr="FFFFFF"/>
    </a:lt1>
    <a:dk2>
      <a:srgbClr val="314364"/>
    </a:dk2>
    <a:lt2>
      <a:srgbClr val="9CB9EC"/>
    </a:lt2>
    <a:accent1>
      <a:srgbClr val="314364"/>
    </a:accent1>
    <a:accent2>
      <a:srgbClr val="9CB9EC"/>
    </a:accent2>
    <a:accent3>
      <a:srgbClr val="6D87B7"/>
    </a:accent3>
    <a:accent4>
      <a:srgbClr val="B3BECF"/>
    </a:accent4>
    <a:accent5>
      <a:srgbClr val="B7706D"/>
    </a:accent5>
    <a:accent6>
      <a:srgbClr val="F55647"/>
    </a:accent6>
    <a:hlink>
      <a:srgbClr val="314364"/>
    </a:hlink>
    <a:folHlink>
      <a:srgbClr val="31436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NKÚ">
    <a:dk1>
      <a:sysClr val="windowText" lastClr="000000"/>
    </a:dk1>
    <a:lt1>
      <a:sysClr val="window" lastClr="FFFFFF"/>
    </a:lt1>
    <a:dk2>
      <a:srgbClr val="314364"/>
    </a:dk2>
    <a:lt2>
      <a:srgbClr val="9CB9EC"/>
    </a:lt2>
    <a:accent1>
      <a:srgbClr val="314364"/>
    </a:accent1>
    <a:accent2>
      <a:srgbClr val="9CB9EC"/>
    </a:accent2>
    <a:accent3>
      <a:srgbClr val="6D87B7"/>
    </a:accent3>
    <a:accent4>
      <a:srgbClr val="B3BECF"/>
    </a:accent4>
    <a:accent5>
      <a:srgbClr val="B7706D"/>
    </a:accent5>
    <a:accent6>
      <a:srgbClr val="F55647"/>
    </a:accent6>
    <a:hlink>
      <a:srgbClr val="314364"/>
    </a:hlink>
    <a:folHlink>
      <a:srgbClr val="31436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NKÚ SR">
    <a:dk1>
      <a:sysClr val="windowText" lastClr="000000"/>
    </a:dk1>
    <a:lt1>
      <a:sysClr val="window" lastClr="FFFFFF"/>
    </a:lt1>
    <a:dk2>
      <a:srgbClr val="314364"/>
    </a:dk2>
    <a:lt2>
      <a:srgbClr val="9CB9EC"/>
    </a:lt2>
    <a:accent1>
      <a:srgbClr val="314364"/>
    </a:accent1>
    <a:accent2>
      <a:srgbClr val="9CB9EC"/>
    </a:accent2>
    <a:accent3>
      <a:srgbClr val="6D87B7"/>
    </a:accent3>
    <a:accent4>
      <a:srgbClr val="B3BECF"/>
    </a:accent4>
    <a:accent5>
      <a:srgbClr val="B7706D"/>
    </a:accent5>
    <a:accent6>
      <a:srgbClr val="F55647"/>
    </a:accent6>
    <a:hlink>
      <a:srgbClr val="314364"/>
    </a:hlink>
    <a:folHlink>
      <a:srgbClr val="31436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NKÚ SR">
    <a:dk1>
      <a:sysClr val="windowText" lastClr="000000"/>
    </a:dk1>
    <a:lt1>
      <a:sysClr val="window" lastClr="FFFFFF"/>
    </a:lt1>
    <a:dk2>
      <a:srgbClr val="314364"/>
    </a:dk2>
    <a:lt2>
      <a:srgbClr val="9CB9EC"/>
    </a:lt2>
    <a:accent1>
      <a:srgbClr val="314364"/>
    </a:accent1>
    <a:accent2>
      <a:srgbClr val="9CB9EC"/>
    </a:accent2>
    <a:accent3>
      <a:srgbClr val="6D87B7"/>
    </a:accent3>
    <a:accent4>
      <a:srgbClr val="B3BECF"/>
    </a:accent4>
    <a:accent5>
      <a:srgbClr val="B7706D"/>
    </a:accent5>
    <a:accent6>
      <a:srgbClr val="F55647"/>
    </a:accent6>
    <a:hlink>
      <a:srgbClr val="314364"/>
    </a:hlink>
    <a:folHlink>
      <a:srgbClr val="31436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AC8793-BC12-49BE-B1E5-FE4319675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Stanovisko OSA.dotx</Template>
  <TotalTime>152</TotalTime>
  <Pages>65</Pages>
  <Words>26173</Words>
  <Characters>149189</Characters>
  <Application>Microsoft Office Word</Application>
  <DocSecurity>0</DocSecurity>
  <Lines>1243</Lines>
  <Paragraphs>350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Onisik Milan</dc:creator>
  <cp:keywords/>
  <dc:description/>
  <cp:lastModifiedBy>Juriová Jana</cp:lastModifiedBy>
  <cp:revision>10</cp:revision>
  <cp:lastPrinted>2024-06-06T09:53:00Z</cp:lastPrinted>
  <dcterms:created xsi:type="dcterms:W3CDTF">2024-06-06T07:20:00Z</dcterms:created>
  <dcterms:modified xsi:type="dcterms:W3CDTF">2024-06-06T09:54:00Z</dcterms:modified>
</cp:coreProperties>
</file>