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3169B8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413AD">
        <w:rPr>
          <w:rFonts w:ascii="Times New Roman" w:hAnsi="Times New Roman" w:cs="Times New Roman"/>
          <w:bCs/>
          <w:sz w:val="24"/>
          <w:szCs w:val="24"/>
        </w:rPr>
        <w:t>608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3169B8">
        <w:rPr>
          <w:rFonts w:ascii="Times New Roman" w:hAnsi="Times New Roman" w:cs="Times New Roman"/>
          <w:bCs/>
          <w:sz w:val="24"/>
          <w:szCs w:val="24"/>
        </w:rPr>
        <w:t>4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1778D3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479">
        <w:rPr>
          <w:rFonts w:ascii="Times New Roman" w:hAnsi="Times New Roman" w:cs="Times New Roman"/>
          <w:b/>
          <w:bCs/>
          <w:sz w:val="24"/>
          <w:szCs w:val="24"/>
        </w:rPr>
        <w:t xml:space="preserve">          82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júna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9D4758" w:rsidRDefault="00CC2297" w:rsidP="0031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9B8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316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3AD" w:rsidRPr="002413AD">
        <w:rPr>
          <w:rFonts w:ascii="Times New Roman" w:hAnsi="Times New Roman" w:cs="Times New Roman"/>
          <w:bCs/>
          <w:sz w:val="24"/>
          <w:szCs w:val="24"/>
        </w:rPr>
        <w:t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</w:t>
      </w:r>
      <w:r w:rsidR="002413AD" w:rsidRPr="002413AD">
        <w:rPr>
          <w:rFonts w:ascii="Times New Roman" w:hAnsi="Times New Roman" w:cs="Times New Roman"/>
          <w:b/>
          <w:bCs/>
          <w:sz w:val="24"/>
          <w:szCs w:val="24"/>
        </w:rPr>
        <w:t xml:space="preserve"> (tlač 218)</w:t>
      </w:r>
      <w:r w:rsidR="00241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758">
        <w:rPr>
          <w:rFonts w:ascii="Times New Roman" w:hAnsi="Times New Roman" w:cs="Times New Roman"/>
          <w:b/>
          <w:bCs/>
          <w:sz w:val="24"/>
          <w:szCs w:val="24"/>
        </w:rPr>
        <w:t xml:space="preserve">a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758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2413AD" w:rsidRPr="002413AD">
        <w:rPr>
          <w:rFonts w:ascii="Times New Roman" w:hAnsi="Times New Roman" w:cs="Times New Roman"/>
          <w:bCs/>
          <w:sz w:val="24"/>
          <w:szCs w:val="24"/>
        </w:rPr>
        <w:t>vládny</w:t>
      </w:r>
      <w:r w:rsidR="002413AD">
        <w:rPr>
          <w:rFonts w:ascii="Times New Roman" w:hAnsi="Times New Roman" w:cs="Times New Roman"/>
          <w:bCs/>
          <w:sz w:val="24"/>
          <w:szCs w:val="24"/>
        </w:rPr>
        <w:t>m</w:t>
      </w:r>
      <w:r w:rsidR="002413AD" w:rsidRPr="002413AD">
        <w:rPr>
          <w:rFonts w:ascii="Times New Roman" w:hAnsi="Times New Roman" w:cs="Times New Roman"/>
          <w:bCs/>
          <w:sz w:val="24"/>
          <w:szCs w:val="24"/>
        </w:rPr>
        <w:t xml:space="preserve"> návrh</w:t>
      </w:r>
      <w:r w:rsidR="002413AD">
        <w:rPr>
          <w:rFonts w:ascii="Times New Roman" w:hAnsi="Times New Roman" w:cs="Times New Roman"/>
          <w:bCs/>
          <w:sz w:val="24"/>
          <w:szCs w:val="24"/>
        </w:rPr>
        <w:t>om</w:t>
      </w:r>
      <w:r w:rsidR="002413AD" w:rsidRPr="002413AD">
        <w:rPr>
          <w:rFonts w:ascii="Times New Roman" w:hAnsi="Times New Roman" w:cs="Times New Roman"/>
          <w:bCs/>
          <w:sz w:val="24"/>
          <w:szCs w:val="24"/>
        </w:rPr>
        <w:t xml:space="preserve">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</w:t>
      </w:r>
      <w:r w:rsidR="002413AD" w:rsidRPr="002413AD">
        <w:rPr>
          <w:rFonts w:ascii="Times New Roman" w:hAnsi="Times New Roman" w:cs="Times New Roman"/>
          <w:b/>
          <w:bCs/>
          <w:sz w:val="24"/>
          <w:szCs w:val="24"/>
        </w:rPr>
        <w:t xml:space="preserve"> (tlač 218)</w:t>
      </w:r>
    </w:p>
    <w:p w:rsidR="003169B8" w:rsidRDefault="003169B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758" w:rsidRDefault="009D475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2413AD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2413AD" w:rsidRPr="002413AD">
        <w:rPr>
          <w:rFonts w:ascii="Times New Roman" w:hAnsi="Times New Roman"/>
          <w:bCs/>
          <w:color w:val="auto"/>
          <w:sz w:val="24"/>
          <w:szCs w:val="24"/>
        </w:rPr>
        <w:t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</w:t>
      </w:r>
      <w:r w:rsidR="002413AD" w:rsidRPr="002413AD">
        <w:rPr>
          <w:rFonts w:ascii="Times New Roman" w:hAnsi="Times New Roman"/>
          <w:b/>
          <w:bCs/>
          <w:color w:val="auto"/>
          <w:sz w:val="24"/>
          <w:szCs w:val="24"/>
        </w:rPr>
        <w:t xml:space="preserve"> (tlač 218)</w:t>
      </w:r>
      <w:r w:rsidR="003169B8" w:rsidRPr="002413A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schváliť </w:t>
      </w:r>
      <w:r w:rsidRPr="003C2CE1">
        <w:rPr>
          <w:rFonts w:ascii="Times New Roman" w:hAnsi="Times New Roman"/>
          <w:b/>
          <w:color w:val="auto"/>
          <w:sz w:val="24"/>
          <w:szCs w:val="24"/>
        </w:rPr>
        <w:t>s pozmeňujúcimi a doplňujúcimi návrhmi tak, ako sú uvedené v prílohe tohto uznesenia;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9D47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hospodárske záležitosti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Default="001778D3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4758" w:rsidRDefault="009D4758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8D3" w:rsidRPr="00733808" w:rsidRDefault="001778D3" w:rsidP="001778D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Výbor Národnej rady  Slovenskej republiky</w:t>
      </w:r>
    </w:p>
    <w:p w:rsidR="001778D3" w:rsidRPr="00733808" w:rsidRDefault="001778D3" w:rsidP="0017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1778D3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733808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733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4D5479">
        <w:rPr>
          <w:rFonts w:ascii="Times New Roman" w:hAnsi="Times New Roman" w:cs="Times New Roman"/>
          <w:b/>
          <w:bCs/>
          <w:sz w:val="24"/>
          <w:szCs w:val="24"/>
        </w:rPr>
        <w:t>82</w:t>
      </w:r>
    </w:p>
    <w:p w:rsidR="001778D3" w:rsidRPr="00733808" w:rsidRDefault="003169B8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78D3">
        <w:rPr>
          <w:rFonts w:ascii="Times New Roman" w:hAnsi="Times New Roman" w:cs="Times New Roman"/>
          <w:sz w:val="24"/>
          <w:szCs w:val="24"/>
        </w:rPr>
        <w:t>3</w:t>
      </w:r>
      <w:r w:rsidR="001778D3" w:rsidRPr="00733808">
        <w:rPr>
          <w:rFonts w:ascii="Times New Roman" w:hAnsi="Times New Roman" w:cs="Times New Roman"/>
          <w:sz w:val="24"/>
          <w:szCs w:val="24"/>
        </w:rPr>
        <w:t xml:space="preserve">. </w:t>
      </w:r>
      <w:r w:rsidR="001778D3" w:rsidRPr="00733808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1778D3" w:rsidRPr="00733808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D3" w:rsidRPr="002B344C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4C">
        <w:rPr>
          <w:rFonts w:ascii="Times New Roman" w:hAnsi="Times New Roman" w:cs="Times New Roman"/>
          <w:b/>
          <w:sz w:val="24"/>
          <w:szCs w:val="24"/>
        </w:rPr>
        <w:t>Pozmeňujú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2B344C">
        <w:rPr>
          <w:rFonts w:ascii="Times New Roman" w:hAnsi="Times New Roman" w:cs="Times New Roman"/>
          <w:b/>
          <w:sz w:val="24"/>
          <w:szCs w:val="24"/>
        </w:rPr>
        <w:t xml:space="preserve"> a doplňujúc</w:t>
      </w:r>
      <w:r>
        <w:rPr>
          <w:rFonts w:ascii="Times New Roman" w:hAnsi="Times New Roman" w:cs="Times New Roman"/>
          <w:b/>
          <w:sz w:val="24"/>
          <w:szCs w:val="24"/>
        </w:rPr>
        <w:t>e návrhy</w:t>
      </w:r>
    </w:p>
    <w:p w:rsidR="004D5479" w:rsidRDefault="001778D3" w:rsidP="003169B8">
      <w:pPr>
        <w:pBdr>
          <w:bottom w:val="single" w:sz="6" w:space="1" w:color="auto"/>
        </w:pBdr>
        <w:tabs>
          <w:tab w:val="center" w:pos="4536"/>
          <w:tab w:val="left" w:pos="64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6DF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2413AD" w:rsidRPr="002413AD">
        <w:rPr>
          <w:rFonts w:ascii="Times New Roman" w:hAnsi="Times New Roman" w:cs="Times New Roman"/>
          <w:b/>
          <w:bCs/>
          <w:sz w:val="24"/>
          <w:szCs w:val="24"/>
        </w:rPr>
        <w:t>vládnemu návrhu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218)</w:t>
      </w:r>
    </w:p>
    <w:p w:rsidR="004D5479" w:rsidRDefault="004D5479" w:rsidP="004D5479">
      <w:pPr>
        <w:rPr>
          <w:rFonts w:ascii="Times New Roman" w:hAnsi="Times New Roman" w:cs="Times New Roman"/>
          <w:sz w:val="24"/>
          <w:szCs w:val="24"/>
        </w:rPr>
      </w:pPr>
    </w:p>
    <w:p w:rsidR="004D5479" w:rsidRPr="00FF4CF9" w:rsidRDefault="004D5479" w:rsidP="004D5479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color w:val="000000"/>
        </w:rPr>
      </w:pPr>
      <w:r w:rsidRPr="00FF4CF9">
        <w:rPr>
          <w:color w:val="000000"/>
        </w:rPr>
        <w:t xml:space="preserve">V čl. II, 5. bode, § 12 ods. 15 sa slová „na ustanovenie odmeny“ nahrádzajú slovami „na stanovenie odmeny“.  </w:t>
      </w:r>
    </w:p>
    <w:p w:rsidR="004D5479" w:rsidRPr="000F022D" w:rsidRDefault="004D5479" w:rsidP="004D5479">
      <w:pPr>
        <w:pStyle w:val="Odsekzoznamu"/>
        <w:spacing w:after="0" w:line="240" w:lineRule="auto"/>
        <w:ind w:left="4394"/>
        <w:jc w:val="both"/>
        <w:rPr>
          <w:color w:val="000000"/>
        </w:rPr>
      </w:pPr>
    </w:p>
    <w:p w:rsidR="004D5479" w:rsidRPr="000F022D" w:rsidRDefault="004D5479" w:rsidP="004D5479">
      <w:pPr>
        <w:pStyle w:val="Odsekzoznamu"/>
        <w:spacing w:after="0" w:line="240" w:lineRule="auto"/>
        <w:ind w:left="4394"/>
        <w:jc w:val="both"/>
        <w:rPr>
          <w:color w:val="000000"/>
        </w:rPr>
      </w:pPr>
      <w:bookmarkStart w:id="0" w:name="_GoBack"/>
      <w:bookmarkEnd w:id="0"/>
      <w:r w:rsidRPr="000F022D">
        <w:rPr>
          <w:color w:val="000000"/>
        </w:rPr>
        <w:t>Pozmeňujúci návrh pojmovo zosúlaďuje navrhované znenie s</w:t>
      </w:r>
      <w:r>
        <w:rPr>
          <w:color w:val="000000"/>
        </w:rPr>
        <w:t> platným znením</w:t>
      </w:r>
      <w:r w:rsidRPr="000F022D">
        <w:rPr>
          <w:color w:val="000000"/>
        </w:rPr>
        <w:t xml:space="preserve"> §</w:t>
      </w:r>
      <w:r>
        <w:rPr>
          <w:color w:val="000000"/>
        </w:rPr>
        <w:t xml:space="preserve"> </w:t>
      </w:r>
      <w:r w:rsidRPr="000F022D">
        <w:rPr>
          <w:color w:val="000000"/>
        </w:rPr>
        <w:t>12 ods. 15, ktor</w:t>
      </w:r>
      <w:r>
        <w:rPr>
          <w:color w:val="000000"/>
        </w:rPr>
        <w:t>ý</w:t>
      </w:r>
      <w:r w:rsidRPr="000F022D">
        <w:rPr>
          <w:color w:val="000000"/>
        </w:rPr>
        <w:t xml:space="preserve"> </w:t>
      </w:r>
      <w:r>
        <w:rPr>
          <w:color w:val="000000"/>
        </w:rPr>
        <w:t>už obsahuje</w:t>
      </w:r>
      <w:r w:rsidRPr="000F022D">
        <w:rPr>
          <w:color w:val="000000"/>
        </w:rPr>
        <w:t xml:space="preserve"> pojem „m</w:t>
      </w:r>
      <w:r>
        <w:rPr>
          <w:color w:val="000000"/>
        </w:rPr>
        <w:t>etodika na stanovenie odmeny</w:t>
      </w:r>
      <w:r w:rsidRPr="000F022D">
        <w:rPr>
          <w:color w:val="000000"/>
        </w:rPr>
        <w:t>“</w:t>
      </w:r>
      <w:r>
        <w:rPr>
          <w:color w:val="000000"/>
        </w:rPr>
        <w:t>.</w:t>
      </w:r>
    </w:p>
    <w:p w:rsidR="004D5479" w:rsidRPr="000F022D" w:rsidRDefault="004D5479" w:rsidP="004D5479">
      <w:pPr>
        <w:pStyle w:val="Odsekzoznamu"/>
        <w:tabs>
          <w:tab w:val="left" w:pos="284"/>
        </w:tabs>
        <w:spacing w:after="0" w:line="240" w:lineRule="auto"/>
        <w:ind w:left="4394"/>
        <w:jc w:val="both"/>
      </w:pPr>
    </w:p>
    <w:p w:rsidR="004D5479" w:rsidRDefault="004D5479" w:rsidP="004D5479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>V čl. II, 8. bode, § 23 ods. 2 písmeno f) znie:</w:t>
      </w:r>
    </w:p>
    <w:p w:rsidR="004D5479" w:rsidRDefault="004D5479" w:rsidP="004D5479">
      <w:pPr>
        <w:pStyle w:val="Odsekzoznamu"/>
        <w:tabs>
          <w:tab w:val="left" w:pos="284"/>
        </w:tabs>
        <w:spacing w:after="0" w:line="240" w:lineRule="auto"/>
        <w:ind w:left="284"/>
        <w:jc w:val="both"/>
      </w:pPr>
      <w:r>
        <w:t xml:space="preserve">„f) schvaľuje </w:t>
      </w:r>
      <w:r w:rsidRPr="002E0687">
        <w:t>metodik</w:t>
      </w:r>
      <w:r>
        <w:t>u</w:t>
      </w:r>
      <w:r w:rsidRPr="002E0687">
        <w:t xml:space="preserve"> na stanovenie odmeny za poskytovanie Európskej služby elektronického výberu mýta</w:t>
      </w:r>
      <w:r>
        <w:t xml:space="preserve"> podľa § 12 ods. 15,“.</w:t>
      </w:r>
    </w:p>
    <w:p w:rsidR="004D5479" w:rsidRDefault="004D5479" w:rsidP="004D5479">
      <w:pPr>
        <w:pStyle w:val="Odsekzoznamu"/>
        <w:tabs>
          <w:tab w:val="left" w:pos="284"/>
        </w:tabs>
        <w:spacing w:after="0" w:line="240" w:lineRule="auto"/>
        <w:ind w:left="4394"/>
        <w:jc w:val="both"/>
      </w:pPr>
    </w:p>
    <w:p w:rsidR="004D5479" w:rsidRDefault="004D5479" w:rsidP="004D5479">
      <w:pPr>
        <w:tabs>
          <w:tab w:val="left" w:pos="284"/>
        </w:tabs>
        <w:spacing w:after="0" w:line="240" w:lineRule="auto"/>
        <w:ind w:left="4394"/>
        <w:jc w:val="both"/>
      </w:pPr>
      <w:r>
        <w:t>Pozmeňujúci návrh terminologicky zosúlaďuje citované ustanovenie s § 12 ods. 15 platného znenia zákona a čl. II, 5. bodu návrhu zákona a zároveň vypúšťa duplicitné navrhovaný text, ktorý je už súčasťou § 12 ods. 15 prvej vety platného znenia zákona.</w:t>
      </w:r>
    </w:p>
    <w:p w:rsidR="004D5479" w:rsidRPr="004403E8" w:rsidRDefault="004D5479" w:rsidP="004D5479">
      <w:pPr>
        <w:tabs>
          <w:tab w:val="left" w:pos="284"/>
        </w:tabs>
        <w:spacing w:after="0" w:line="240" w:lineRule="auto"/>
        <w:jc w:val="both"/>
      </w:pPr>
    </w:p>
    <w:p w:rsidR="004D5479" w:rsidRDefault="004D5479" w:rsidP="004D5479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V čl. II sa za 8. bod vkladá nový 9. bod, ktorý znie: </w:t>
      </w:r>
    </w:p>
    <w:p w:rsidR="004D5479" w:rsidRDefault="004D5479" w:rsidP="004D5479">
      <w:pPr>
        <w:pStyle w:val="Odsekzoznamu"/>
        <w:tabs>
          <w:tab w:val="left" w:pos="284"/>
        </w:tabs>
        <w:spacing w:after="0" w:line="240" w:lineRule="auto"/>
        <w:ind w:left="284"/>
        <w:jc w:val="both"/>
      </w:pPr>
      <w:r>
        <w:t>„9. V § 23 ods. 2 písm. g) sa slová „písmene g)“ nahrádzajú slovami „písmene h)“.“.</w:t>
      </w:r>
    </w:p>
    <w:p w:rsidR="004D5479" w:rsidRDefault="004D5479" w:rsidP="004D5479">
      <w:pPr>
        <w:pStyle w:val="Odsekzoznamu"/>
        <w:tabs>
          <w:tab w:val="left" w:pos="284"/>
        </w:tabs>
        <w:spacing w:after="0" w:line="240" w:lineRule="auto"/>
        <w:ind w:left="284"/>
        <w:jc w:val="both"/>
      </w:pPr>
    </w:p>
    <w:p w:rsidR="004D5479" w:rsidRDefault="004D5479" w:rsidP="004D5479">
      <w:pPr>
        <w:pStyle w:val="Odsekzoznamu"/>
        <w:tabs>
          <w:tab w:val="left" w:pos="284"/>
        </w:tabs>
        <w:spacing w:after="0" w:line="240" w:lineRule="auto"/>
        <w:ind w:left="284"/>
        <w:jc w:val="both"/>
      </w:pPr>
      <w:r>
        <w:t>Doterajšie body 9 až 12 sa primerane prečíslujú.</w:t>
      </w:r>
    </w:p>
    <w:p w:rsidR="004D5479" w:rsidRDefault="004D5479" w:rsidP="004D5479">
      <w:pPr>
        <w:pStyle w:val="Odsekzoznamu"/>
        <w:tabs>
          <w:tab w:val="left" w:pos="4253"/>
        </w:tabs>
        <w:spacing w:after="0" w:line="240" w:lineRule="auto"/>
        <w:ind w:left="4394"/>
        <w:jc w:val="both"/>
      </w:pPr>
    </w:p>
    <w:p w:rsidR="004D5479" w:rsidRDefault="004D5479" w:rsidP="004D5479">
      <w:pPr>
        <w:pStyle w:val="Odsekzoznamu"/>
        <w:tabs>
          <w:tab w:val="left" w:pos="4253"/>
        </w:tabs>
        <w:spacing w:after="0" w:line="240" w:lineRule="auto"/>
        <w:ind w:left="4394"/>
        <w:jc w:val="both"/>
      </w:pPr>
      <w:r>
        <w:t>Pozmeňujúci návrh vloženým novelizačným bodom koriguje vnútorný odkaz vzhľadom na zmenu vykonanú v čl. II, 8. bode návrhu zákona.</w:t>
      </w:r>
    </w:p>
    <w:p w:rsidR="004D5479" w:rsidRPr="0045254D" w:rsidRDefault="004D5479" w:rsidP="004D5479">
      <w:pPr>
        <w:overflowPunct w:val="0"/>
        <w:spacing w:after="0" w:line="240" w:lineRule="auto"/>
        <w:jc w:val="both"/>
      </w:pPr>
    </w:p>
    <w:p w:rsidR="004D5479" w:rsidRDefault="004D5479" w:rsidP="004D5479">
      <w:pPr>
        <w:pStyle w:val="Odsekzoznamu"/>
        <w:numPr>
          <w:ilvl w:val="0"/>
          <w:numId w:val="10"/>
        </w:numPr>
        <w:overflowPunct w:val="0"/>
        <w:spacing w:after="0" w:line="240" w:lineRule="auto"/>
        <w:ind w:left="284" w:hanging="284"/>
        <w:jc w:val="both"/>
      </w:pPr>
      <w:r w:rsidRPr="0045254D">
        <w:t xml:space="preserve">V čl. III sa slovo „júla“ nahrádza slovom „augusta“. </w:t>
      </w:r>
    </w:p>
    <w:p w:rsidR="004D5479" w:rsidRPr="0045254D" w:rsidRDefault="004D5479" w:rsidP="004D5479">
      <w:pPr>
        <w:pStyle w:val="Odsekzoznamu"/>
        <w:overflowPunct w:val="0"/>
        <w:spacing w:after="0" w:line="240" w:lineRule="auto"/>
        <w:ind w:left="284"/>
        <w:jc w:val="both"/>
      </w:pPr>
      <w:r>
        <w:t xml:space="preserve">V súvislosti s touto zmenou sa v čl. I, 7. bode, nadpise § 16i slovo </w:t>
      </w:r>
      <w:r w:rsidRPr="0045254D">
        <w:t>„júla“ nahrádza slovom „augusta“.</w:t>
      </w:r>
    </w:p>
    <w:p w:rsidR="004D5479" w:rsidRDefault="004D5479" w:rsidP="004D5479">
      <w:pPr>
        <w:overflowPunct w:val="0"/>
        <w:spacing w:after="0" w:line="240" w:lineRule="auto"/>
        <w:jc w:val="both"/>
      </w:pPr>
    </w:p>
    <w:p w:rsidR="004D5479" w:rsidRPr="000C4C86" w:rsidRDefault="004D5479" w:rsidP="004D5479">
      <w:pPr>
        <w:overflowPunct w:val="0"/>
        <w:spacing w:after="0" w:line="240" w:lineRule="auto"/>
        <w:ind w:left="4394"/>
        <w:jc w:val="both"/>
      </w:pPr>
      <w:r w:rsidRPr="000C4C86">
        <w:t>Pozmeňujúci návrh zabezpečuje posunutie účinnosti návrhu zákona vzhľadom na predpokladaný termín jeho prerokovania na schôdzi Národnej rady Slovenskej republiky so začiatkom 1</w:t>
      </w:r>
      <w:r>
        <w:t>1</w:t>
      </w:r>
      <w:r w:rsidRPr="000C4C86">
        <w:t>. júna 202</w:t>
      </w:r>
      <w:r>
        <w:t>4</w:t>
      </w:r>
      <w:r w:rsidRPr="000C4C86">
        <w:t>, ako aj potrebu dodržania lehoty podľa čl. 102 ods. 1 písm. o) Ústavy Slovenskej republiky.</w:t>
      </w:r>
    </w:p>
    <w:p w:rsidR="004D5479" w:rsidRDefault="004D5479" w:rsidP="004D5479">
      <w:pPr>
        <w:spacing w:after="0" w:line="240" w:lineRule="auto"/>
        <w:rPr>
          <w:b/>
        </w:rPr>
      </w:pPr>
    </w:p>
    <w:p w:rsidR="008F52FA" w:rsidRPr="004D5479" w:rsidRDefault="008F52FA" w:rsidP="004D5479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52FA" w:rsidRPr="004D5479" w:rsidSect="002413A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6CF5"/>
    <w:multiLevelType w:val="hybridMultilevel"/>
    <w:tmpl w:val="247AB4F4"/>
    <w:lvl w:ilvl="0" w:tplc="7A5E01C6">
      <w:start w:val="1"/>
      <w:numFmt w:val="decimal"/>
      <w:lvlText w:val="%1."/>
      <w:lvlJc w:val="left"/>
      <w:pPr>
        <w:ind w:left="4755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5475" w:hanging="360"/>
      </w:pPr>
    </w:lvl>
    <w:lvl w:ilvl="2" w:tplc="041B001B">
      <w:start w:val="1"/>
      <w:numFmt w:val="lowerRoman"/>
      <w:lvlText w:val="%3."/>
      <w:lvlJc w:val="right"/>
      <w:pPr>
        <w:ind w:left="6195" w:hanging="180"/>
      </w:pPr>
    </w:lvl>
    <w:lvl w:ilvl="3" w:tplc="041B000F">
      <w:start w:val="1"/>
      <w:numFmt w:val="decimal"/>
      <w:lvlText w:val="%4."/>
      <w:lvlJc w:val="left"/>
      <w:pPr>
        <w:ind w:left="6915" w:hanging="360"/>
      </w:pPr>
    </w:lvl>
    <w:lvl w:ilvl="4" w:tplc="041B0019">
      <w:start w:val="1"/>
      <w:numFmt w:val="lowerLetter"/>
      <w:lvlText w:val="%5."/>
      <w:lvlJc w:val="left"/>
      <w:pPr>
        <w:ind w:left="7635" w:hanging="360"/>
      </w:pPr>
    </w:lvl>
    <w:lvl w:ilvl="5" w:tplc="041B001B">
      <w:start w:val="1"/>
      <w:numFmt w:val="lowerRoman"/>
      <w:lvlText w:val="%6."/>
      <w:lvlJc w:val="right"/>
      <w:pPr>
        <w:ind w:left="8355" w:hanging="180"/>
      </w:pPr>
    </w:lvl>
    <w:lvl w:ilvl="6" w:tplc="041B000F">
      <w:start w:val="1"/>
      <w:numFmt w:val="decimal"/>
      <w:lvlText w:val="%7."/>
      <w:lvlJc w:val="left"/>
      <w:pPr>
        <w:ind w:left="9075" w:hanging="360"/>
      </w:pPr>
    </w:lvl>
    <w:lvl w:ilvl="7" w:tplc="041B0019">
      <w:start w:val="1"/>
      <w:numFmt w:val="lowerLetter"/>
      <w:lvlText w:val="%8."/>
      <w:lvlJc w:val="left"/>
      <w:pPr>
        <w:ind w:left="9795" w:hanging="360"/>
      </w:pPr>
    </w:lvl>
    <w:lvl w:ilvl="8" w:tplc="041B001B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4BC03B23"/>
    <w:multiLevelType w:val="hybridMultilevel"/>
    <w:tmpl w:val="C9880D5C"/>
    <w:lvl w:ilvl="0" w:tplc="52F4AD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1778D3"/>
    <w:rsid w:val="00237B8D"/>
    <w:rsid w:val="002413AD"/>
    <w:rsid w:val="002B58F9"/>
    <w:rsid w:val="003169B8"/>
    <w:rsid w:val="003A2B29"/>
    <w:rsid w:val="003B3570"/>
    <w:rsid w:val="003C2CE1"/>
    <w:rsid w:val="004D5479"/>
    <w:rsid w:val="005377A1"/>
    <w:rsid w:val="005F3E34"/>
    <w:rsid w:val="00824160"/>
    <w:rsid w:val="0087757C"/>
    <w:rsid w:val="008F52FA"/>
    <w:rsid w:val="0090446E"/>
    <w:rsid w:val="009D4758"/>
    <w:rsid w:val="00A03F5B"/>
    <w:rsid w:val="00B82E5A"/>
    <w:rsid w:val="00CA15D0"/>
    <w:rsid w:val="00CC2297"/>
    <w:rsid w:val="00D26BD4"/>
    <w:rsid w:val="00D4690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BC88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4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D47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8241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572</Words>
  <Characters>3262</Characters>
  <Application>Microsoft Office Word</Application>
  <DocSecurity>0</DocSecurity>
  <Lines>27</Lines>
  <Paragraphs>7</Paragraphs>
  <ScaleCrop>false</ScaleCrop>
  <Company>Kancelaria NRSR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26</cp:revision>
  <dcterms:created xsi:type="dcterms:W3CDTF">2023-04-12T07:52:00Z</dcterms:created>
  <dcterms:modified xsi:type="dcterms:W3CDTF">2024-06-04T11:15:00Z</dcterms:modified>
</cp:coreProperties>
</file>