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95FB6" w:rsidP="00195FB6">
      <w:pPr>
        <w:pStyle w:val="NormalWeb"/>
        <w:spacing w:before="0" w:beforeAutospacing="0" w:after="0" w:afterAutospacing="0"/>
        <w:jc w:val="center"/>
      </w:pPr>
      <w:r w:rsidR="00233D36">
        <w:rPr>
          <w:b/>
          <w:bCs/>
          <w:sz w:val="28"/>
          <w:szCs w:val="28"/>
        </w:rPr>
        <w:t>Predkladacia správa</w:t>
      </w:r>
      <w:r w:rsidR="00233D36">
        <w:rPr>
          <w:b/>
          <w:bCs/>
          <w:sz w:val="26"/>
          <w:szCs w:val="26"/>
        </w:rPr>
        <w:t> </w:t>
      </w:r>
    </w:p>
    <w:p w:rsidR="00195FB6" w:rsidRPr="00195FB6" w:rsidP="00195FB6">
      <w:pPr>
        <w:pStyle w:val="NormalWeb"/>
        <w:spacing w:before="0" w:beforeAutospacing="0" w:after="0" w:afterAutospacing="0"/>
        <w:ind w:firstLine="426"/>
        <w:jc w:val="both"/>
        <w:rPr>
          <w:sz w:val="20"/>
          <w:szCs w:val="20"/>
        </w:rPr>
      </w:pPr>
    </w:p>
    <w:p w:rsidR="00127584" w:rsidP="00195FB6">
      <w:pPr>
        <w:pStyle w:val="NormalWeb"/>
        <w:spacing w:before="0" w:beforeAutospacing="0" w:after="0" w:afterAutospacing="0"/>
        <w:ind w:firstLine="426"/>
        <w:jc w:val="both"/>
      </w:pPr>
      <w:r w:rsidRPr="00101141" w:rsidR="00182C75">
        <w:t>Rada Európskej únie s</w:t>
      </w:r>
      <w:r w:rsidRPr="00101141" w:rsidR="00233D36">
        <w:t xml:space="preserve">vojím rozhodnutím </w:t>
      </w:r>
      <w:r w:rsidRPr="00101141" w:rsidR="00182C75">
        <w:t xml:space="preserve">č. </w:t>
      </w:r>
      <w:r w:rsidRPr="00101141" w:rsidR="00101141">
        <w:t>2024</w:t>
      </w:r>
      <w:r w:rsidRPr="00101141" w:rsidR="00233D36">
        <w:t>/</w:t>
      </w:r>
      <w:r w:rsidR="00DD490D">
        <w:t>583 z 8</w:t>
      </w:r>
      <w:r w:rsidRPr="00101141" w:rsidR="00233D36">
        <w:t xml:space="preserve">. </w:t>
      </w:r>
      <w:r w:rsidRPr="00101141" w:rsidR="00101141">
        <w:t>februára 2024</w:t>
      </w:r>
      <w:r w:rsidRPr="00101141" w:rsidR="00233D36">
        <w:t xml:space="preserve"> rozhodla</w:t>
      </w:r>
      <w:r w:rsidR="00195FB6">
        <w:t xml:space="preserve"> </w:t>
      </w:r>
      <w:r w:rsidR="00233D36">
        <w:t>o</w:t>
      </w:r>
      <w:r w:rsidR="00101141">
        <w:t> </w:t>
      </w:r>
      <w:r w:rsidR="00286F74">
        <w:t>zriadení</w:t>
      </w:r>
      <w:r w:rsidR="00101141">
        <w:t xml:space="preserve"> </w:t>
      </w:r>
      <w:r w:rsidR="00981FE0">
        <w:t>vojenskej</w:t>
      </w:r>
      <w:r w:rsidR="00233D36">
        <w:t xml:space="preserve"> </w:t>
      </w:r>
      <w:r w:rsidRPr="00101141" w:rsidR="00233D36">
        <w:t xml:space="preserve">operácie </w:t>
      </w:r>
      <w:r w:rsidR="00A846AE">
        <w:t xml:space="preserve">Európskej únie </w:t>
      </w:r>
      <w:r w:rsidRPr="00101141" w:rsidR="00233D36">
        <w:t>v</w:t>
      </w:r>
      <w:r w:rsidR="00195FB6">
        <w:t xml:space="preserve"> regióne Červeného mora, </w:t>
      </w:r>
      <w:r w:rsidRPr="00101141" w:rsidR="00101141">
        <w:t>Adenského zálivu, Arabského mora a Perzského zálivu</w:t>
      </w:r>
      <w:r w:rsidRPr="00101141" w:rsidR="00233D36">
        <w:t xml:space="preserve"> </w:t>
      </w:r>
      <w:r w:rsidR="00A846AE">
        <w:t xml:space="preserve">s </w:t>
      </w:r>
      <w:r w:rsidRPr="00101141" w:rsidR="00182C75">
        <w:t xml:space="preserve">názvom </w:t>
      </w:r>
      <w:r w:rsidRPr="00101141" w:rsidR="0017162D">
        <w:t>EUNAVFOR ASPIDES</w:t>
      </w:r>
      <w:r w:rsidRPr="00101141" w:rsidR="00EC711C">
        <w:t xml:space="preserve"> (ďalej</w:t>
      </w:r>
      <w:r w:rsidRPr="00101141" w:rsidR="00EC711C">
        <w:t xml:space="preserve"> len „operácia“)</w:t>
      </w:r>
      <w:r w:rsidRPr="00101141" w:rsidR="00233D36">
        <w:t>.</w:t>
      </w:r>
      <w:r w:rsidR="00A846AE">
        <w:t xml:space="preserve"> </w:t>
      </w:r>
    </w:p>
    <w:p w:rsidR="00127584" w:rsidRPr="00127584" w:rsidP="00A846AE">
      <w:pPr>
        <w:pStyle w:val="NormalWeb"/>
        <w:spacing w:before="0" w:beforeAutospacing="0" w:after="0" w:afterAutospacing="0"/>
        <w:ind w:firstLine="567"/>
        <w:jc w:val="both"/>
        <w:rPr>
          <w:sz w:val="8"/>
          <w:szCs w:val="8"/>
        </w:rPr>
      </w:pPr>
    </w:p>
    <w:p w:rsidR="00127584" w:rsidP="00127584">
      <w:pPr>
        <w:pStyle w:val="NormalWeb"/>
        <w:spacing w:before="0" w:beforeAutospacing="0" w:after="0" w:afterAutospacing="0"/>
        <w:ind w:firstLine="567"/>
        <w:jc w:val="both"/>
      </w:pPr>
      <w:r w:rsidR="00A846AE">
        <w:t>Operácia následne zahájila svoju činnosť na základe Rozhodnutia</w:t>
      </w:r>
      <w:r w:rsidRPr="00B04ACE" w:rsidR="00A846AE">
        <w:t xml:space="preserve"> Rady Európskej únie č. 2024/632 z 19. februára 2024</w:t>
      </w:r>
      <w:r w:rsidR="00D62AFD">
        <w:t>, ktorým Rada Európskej únie schválila operačný plán a pravidlá nasadenia operácie,</w:t>
      </w:r>
      <w:r>
        <w:t xml:space="preserve"> a jej p</w:t>
      </w:r>
      <w:r w:rsidR="00233D36">
        <w:t>oslaním je</w:t>
      </w:r>
      <w:r w:rsidR="00250D53">
        <w:t xml:space="preserve"> v súlade s</w:t>
      </w:r>
      <w:r w:rsidR="00A846AE">
        <w:t xml:space="preserve"> normami </w:t>
      </w:r>
      <w:r w:rsidR="00A846AE">
        <w:t>medzinárodného práva,</w:t>
      </w:r>
      <w:r w:rsidR="00250D53">
        <w:t xml:space="preserve"> vrátane Dohovoru Organizácie Spojených národov o morskom práve,</w:t>
      </w:r>
      <w:r w:rsidR="00233D36">
        <w:t xml:space="preserve"> </w:t>
      </w:r>
      <w:r>
        <w:t xml:space="preserve">prispievať </w:t>
      </w:r>
      <w:r w:rsidR="00233D36">
        <w:t>k</w:t>
      </w:r>
      <w:r w:rsidR="00101141">
        <w:t> zabezp</w:t>
      </w:r>
      <w:r>
        <w:t>ečeniu slobody plavby civilných a obchodných</w:t>
      </w:r>
      <w:r w:rsidR="00101141">
        <w:t xml:space="preserve"> plavidiel v rámci etablovaných námorných komunikačných </w:t>
      </w:r>
      <w:r w:rsidR="00A846AE">
        <w:t>trás</w:t>
      </w:r>
      <w:r w:rsidR="00101141">
        <w:t xml:space="preserve"> </w:t>
      </w:r>
      <w:r w:rsidR="0099447D">
        <w:t>v jej operačnom priestore</w:t>
      </w:r>
      <w:r w:rsidR="00101141">
        <w:t xml:space="preserve">. </w:t>
      </w:r>
    </w:p>
    <w:p w:rsidR="00127584" w:rsidRPr="00127584" w:rsidP="00127584">
      <w:pPr>
        <w:pStyle w:val="NormalWeb"/>
        <w:spacing w:before="0" w:beforeAutospacing="0" w:after="0" w:afterAutospacing="0"/>
        <w:ind w:firstLine="567"/>
        <w:jc w:val="both"/>
        <w:rPr>
          <w:sz w:val="8"/>
          <w:szCs w:val="8"/>
        </w:rPr>
      </w:pPr>
    </w:p>
    <w:p w:rsidR="00F43B90" w:rsidP="00127584">
      <w:pPr>
        <w:pStyle w:val="NormalWeb"/>
        <w:spacing w:before="0" w:beforeAutospacing="0" w:after="0" w:afterAutospacing="0"/>
        <w:ind w:firstLine="567"/>
        <w:jc w:val="both"/>
      </w:pPr>
      <w:r w:rsidR="0099447D">
        <w:t>Európska únia tým</w:t>
      </w:r>
      <w:r w:rsidR="0099447D">
        <w:t xml:space="preserve">to spôsobom reaguje na </w:t>
      </w:r>
      <w:r w:rsidR="00DD490D">
        <w:t>rôznorodé</w:t>
      </w:r>
      <w:r w:rsidR="00101141">
        <w:t xml:space="preserve"> útoky </w:t>
      </w:r>
      <w:r w:rsidR="0099447D">
        <w:t xml:space="preserve">na civilné a obchodné plavidlá </w:t>
      </w:r>
      <w:r>
        <w:t xml:space="preserve">zo strany hnutia Húsijov </w:t>
      </w:r>
      <w:r w:rsidR="00A846AE">
        <w:t>vedené</w:t>
      </w:r>
      <w:r w:rsidR="00127584">
        <w:t xml:space="preserve"> z územia Jemenskej republiky, ktoré zásadne zhoršili </w:t>
      </w:r>
      <w:r w:rsidR="0099447D">
        <w:t>úroveň bezpečnosti medzinárodnej námornej dopravy. Tieto bezpečnostné riziká prinútili európske a glo</w:t>
      </w:r>
      <w:r w:rsidR="0099447D">
        <w:t xml:space="preserve">bálne prepravné spoločnosti k zmene námornej trasy </w:t>
      </w:r>
      <w:r w:rsidR="00127584">
        <w:t xml:space="preserve">vedúcej </w:t>
      </w:r>
      <w:r w:rsidR="0099447D">
        <w:t>cez Červené more a Suezský prieplav a</w:t>
      </w:r>
      <w:r w:rsidR="00127584">
        <w:t xml:space="preserve"> jej </w:t>
      </w:r>
      <w:r w:rsidR="0099447D">
        <w:t>odklon cez Mys dobrej nádeje. Táto situácia vedie k predĺženiu námorných obchodných trás, k následnému zvýšeniu nákladov na prepravu a narušeniu globálnych</w:t>
      </w:r>
      <w:r w:rsidR="0099447D">
        <w:t xml:space="preserve"> dodávateľských reťazcov. </w:t>
      </w:r>
    </w:p>
    <w:p w:rsidR="00F43B90" w:rsidRPr="00F43B90" w:rsidP="00F43B90">
      <w:pPr>
        <w:pStyle w:val="NormalWeb"/>
        <w:spacing w:before="0" w:beforeAutospacing="0" w:after="0" w:afterAutospacing="0"/>
        <w:ind w:firstLine="426"/>
        <w:jc w:val="both"/>
        <w:rPr>
          <w:sz w:val="8"/>
          <w:szCs w:val="8"/>
        </w:rPr>
      </w:pPr>
    </w:p>
    <w:p w:rsidR="00F43B90" w:rsidRPr="00F43B90" w:rsidP="00F43B90">
      <w:pPr>
        <w:pStyle w:val="NormalWeb"/>
        <w:spacing w:before="0" w:beforeAutospacing="0" w:after="0" w:afterAutospacing="0"/>
        <w:ind w:firstLine="426"/>
        <w:jc w:val="both"/>
        <w:rPr>
          <w:sz w:val="8"/>
          <w:szCs w:val="8"/>
        </w:rPr>
      </w:pPr>
      <w:r w:rsidRPr="0099447D" w:rsidR="00286F74">
        <w:t>Mandát operácie je</w:t>
      </w:r>
      <w:r w:rsidRPr="0099447D" w:rsidR="00454CED">
        <w:t xml:space="preserve"> v súlade s</w:t>
      </w:r>
      <w:r w:rsidRPr="0099447D" w:rsidR="00A854AC">
        <w:t> </w:t>
      </w:r>
      <w:r w:rsidRPr="0099447D" w:rsidR="00A846AE">
        <w:t>Rezolúciou</w:t>
      </w:r>
      <w:r w:rsidRPr="0099447D" w:rsidR="00A854AC">
        <w:t xml:space="preserve"> Bezpečnostnej rady O</w:t>
      </w:r>
      <w:r w:rsidRPr="0099447D" w:rsidR="00A846AE">
        <w:t>rganizácie Spojených národov</w:t>
      </w:r>
      <w:r w:rsidRPr="0099447D" w:rsidR="00A854AC">
        <w:t xml:space="preserve"> č. 2722 </w:t>
      </w:r>
      <w:r w:rsidRPr="0099447D" w:rsidR="00A846AE">
        <w:t>z 10. januára 2024</w:t>
      </w:r>
      <w:r w:rsidRPr="0099447D" w:rsidR="00A854AC">
        <w:t>, ktor</w:t>
      </w:r>
      <w:r w:rsidR="00EB6C79">
        <w:t>á</w:t>
      </w:r>
      <w:r w:rsidRPr="0099447D" w:rsidR="00A854AC">
        <w:t xml:space="preserve"> odsudzuje útoky Húsijov na </w:t>
      </w:r>
      <w:r w:rsidR="00127584">
        <w:t>civilné a obchodné</w:t>
      </w:r>
      <w:r w:rsidRPr="0099447D" w:rsidR="00A854AC">
        <w:t xml:space="preserve"> plavidlá a požaduje okamžité ukončenie všetkých</w:t>
      </w:r>
      <w:r w:rsidR="00A854AC">
        <w:t xml:space="preserve"> útokov. Ma</w:t>
      </w:r>
      <w:r w:rsidR="00A854AC">
        <w:t>ndát operácie má výhradne obranný charakter</w:t>
      </w:r>
      <w:r w:rsidR="00286F74">
        <w:t>,</w:t>
      </w:r>
      <w:r>
        <w:t xml:space="preserve"> operácia ne</w:t>
      </w:r>
      <w:r w:rsidR="00A854AC">
        <w:t>vykoná</w:t>
      </w:r>
      <w:r>
        <w:t>va odvetné údery na súši a</w:t>
      </w:r>
      <w:r w:rsidR="00A854AC">
        <w:t xml:space="preserve"> trvanie </w:t>
      </w:r>
      <w:r>
        <w:t xml:space="preserve">jej mandátu </w:t>
      </w:r>
      <w:r w:rsidR="00A854AC">
        <w:t xml:space="preserve">je </w:t>
      </w:r>
      <w:r w:rsidR="0099447D">
        <w:t>platné</w:t>
      </w:r>
      <w:r w:rsidR="00A854AC">
        <w:t xml:space="preserve"> na dobu 1</w:t>
      </w:r>
      <w:r>
        <w:t>2 mesiacov od zriadenia operácie</w:t>
      </w:r>
      <w:r w:rsidR="00A854AC">
        <w:t>.</w:t>
      </w:r>
      <w:r w:rsidR="00286F74">
        <w:t xml:space="preserve"> </w:t>
      </w:r>
    </w:p>
    <w:p w:rsidR="00F43B90" w:rsidRPr="00F43B90" w:rsidP="00F43B90">
      <w:pPr>
        <w:pStyle w:val="NormalWeb"/>
        <w:spacing w:before="0" w:beforeAutospacing="0" w:after="0" w:afterAutospacing="0"/>
        <w:ind w:firstLine="426"/>
        <w:jc w:val="both"/>
        <w:rPr>
          <w:sz w:val="8"/>
          <w:szCs w:val="8"/>
        </w:rPr>
      </w:pPr>
    </w:p>
    <w:p w:rsidR="00195FB6" w:rsidP="00195FB6">
      <w:pPr>
        <w:pStyle w:val="NormalWeb"/>
        <w:spacing w:before="0" w:beforeAutospacing="0" w:after="0" w:afterAutospacing="0"/>
        <w:ind w:firstLine="426"/>
        <w:jc w:val="both"/>
      </w:pPr>
      <w:r w:rsidR="002317F4">
        <w:t xml:space="preserve">Strategickou úlohou operácie je </w:t>
      </w:r>
      <w:r w:rsidRPr="00CB71D7" w:rsidR="002317F4">
        <w:t xml:space="preserve">sprevádzanie a ochrana </w:t>
      </w:r>
      <w:r w:rsidR="002317F4">
        <w:t xml:space="preserve">civilných a obchodných </w:t>
      </w:r>
      <w:r w:rsidRPr="00CB71D7" w:rsidR="002317F4">
        <w:t>plavidiel</w:t>
      </w:r>
      <w:r w:rsidR="002317F4">
        <w:t xml:space="preserve"> a po</w:t>
      </w:r>
      <w:r w:rsidR="002317F4">
        <w:t>silnenie</w:t>
      </w:r>
      <w:r w:rsidRPr="00CB71D7" w:rsidR="002317F4">
        <w:t xml:space="preserve"> a udržiavanie situačného povedomia v spolupráci s podobne zmýšľajúcimi posk</w:t>
      </w:r>
      <w:r w:rsidR="002317F4">
        <w:t xml:space="preserve">ytovateľmi námornej bezpečnosti. </w:t>
      </w:r>
    </w:p>
    <w:p w:rsidR="00195FB6" w:rsidRPr="00195FB6" w:rsidP="00195FB6">
      <w:pPr>
        <w:pStyle w:val="NormalWeb"/>
        <w:spacing w:before="0" w:beforeAutospacing="0" w:after="0" w:afterAutospacing="0"/>
        <w:ind w:firstLine="426"/>
        <w:jc w:val="both"/>
        <w:rPr>
          <w:sz w:val="8"/>
          <w:szCs w:val="8"/>
        </w:rPr>
      </w:pPr>
    </w:p>
    <w:p w:rsidR="000070AC" w:rsidP="00195FB6">
      <w:pPr>
        <w:pStyle w:val="NormalWeb"/>
        <w:spacing w:before="0" w:beforeAutospacing="0" w:after="0" w:afterAutospacing="0"/>
        <w:ind w:firstLine="426"/>
        <w:jc w:val="both"/>
      </w:pPr>
      <w:r>
        <w:t>Príspevok Slovenskej republiky v počte do 5 príslušníkov ozbrojených síl Slovenskej republiky bude v prípade schválenia predkladaného návrhu plni</w:t>
      </w:r>
      <w:r>
        <w:t>ť úlohy v operačnom veliteľstve operácie Európskej únie v</w:t>
      </w:r>
      <w:r w:rsidR="00195FB6">
        <w:t xml:space="preserve"> Grécku a v </w:t>
      </w:r>
      <w:r>
        <w:t xml:space="preserve">celom operačnom priestore operácie. </w:t>
      </w:r>
    </w:p>
    <w:p w:rsidR="000070AC" w:rsidRPr="000070AC" w:rsidP="000070AC">
      <w:pPr>
        <w:pStyle w:val="NormalWeb"/>
        <w:spacing w:before="0" w:beforeAutospacing="0" w:after="0" w:afterAutospacing="0"/>
        <w:ind w:firstLine="426"/>
        <w:jc w:val="both"/>
        <w:rPr>
          <w:sz w:val="8"/>
          <w:szCs w:val="8"/>
        </w:rPr>
      </w:pPr>
    </w:p>
    <w:p w:rsidR="000070AC" w:rsidRPr="00EB6C79" w:rsidP="002B3AD6">
      <w:pPr>
        <w:pStyle w:val="NormalWeb"/>
        <w:spacing w:before="0" w:beforeAutospacing="0" w:after="0" w:afterAutospacing="0"/>
        <w:ind w:firstLine="426"/>
        <w:jc w:val="both"/>
      </w:pPr>
      <w:r>
        <w:t xml:space="preserve">Vyslanie do 5 </w:t>
      </w:r>
      <w:r w:rsidRPr="00C70513">
        <w:t xml:space="preserve">príslušníkov ozbrojených síl Slovenskej republiky </w:t>
      </w:r>
      <w:r>
        <w:t xml:space="preserve">do veliteľstva operácie bude realizované bezprostredne po schválení predkladaného </w:t>
      </w:r>
      <w:r w:rsidRPr="000070AC">
        <w:t>náv</w:t>
      </w:r>
      <w:r w:rsidRPr="000070AC">
        <w:t>rhu</w:t>
      </w:r>
      <w:r w:rsidRPr="00EB6C79" w:rsidR="002B3AD6">
        <w:t>. Hoci aktuálny mandát operácie je platný na dobu 12 mesiacov od zriadenia operácie, vzhľadom na možný predpoklad jeho predĺženia, je dĺžka</w:t>
      </w:r>
      <w:r w:rsidRPr="00EB6C79">
        <w:t xml:space="preserve"> pôsobenia </w:t>
      </w:r>
      <w:r w:rsidRPr="00EB6C79" w:rsidR="002B3AD6">
        <w:t xml:space="preserve">príslušníkov ozbrojených síl Slovenskej republiky vo veliteľstve operácie </w:t>
      </w:r>
      <w:r w:rsidRPr="00EB6C79">
        <w:t>určená až do ukončenia mandát</w:t>
      </w:r>
      <w:r w:rsidRPr="00EB6C79">
        <w:t>u operácie.</w:t>
      </w:r>
    </w:p>
    <w:p w:rsidR="000070AC" w:rsidRPr="000070AC" w:rsidP="000070AC">
      <w:pPr>
        <w:pStyle w:val="NormalWeb"/>
        <w:spacing w:before="0" w:beforeAutospacing="0" w:after="0" w:afterAutospacing="0"/>
        <w:ind w:firstLine="426"/>
        <w:jc w:val="both"/>
        <w:rPr>
          <w:sz w:val="8"/>
          <w:szCs w:val="8"/>
        </w:rPr>
      </w:pPr>
    </w:p>
    <w:p w:rsidR="00233D36" w:rsidP="000070AC">
      <w:pPr>
        <w:pStyle w:val="NormalWeb"/>
        <w:spacing w:before="0" w:beforeAutospacing="0" w:after="0" w:afterAutospacing="0"/>
        <w:ind w:firstLine="426"/>
        <w:jc w:val="both"/>
      </w:pPr>
      <w:r w:rsidR="000070AC">
        <w:t>Návrh je predkladaný</w:t>
      </w:r>
      <w:r w:rsidRPr="007A31BF">
        <w:t xml:space="preserve"> v súlade s čl. 86 písm. </w:t>
      </w:r>
      <w:r w:rsidR="00D62AFD">
        <w:t>l</w:t>
      </w:r>
      <w:r w:rsidRPr="007A31BF">
        <w:t xml:space="preserve">) </w:t>
      </w:r>
      <w:r w:rsidRPr="002E573E">
        <w:t>Ústavy Slovenskej republiky, na základe ktorého podlieha súhlasu Národnej rady S</w:t>
      </w:r>
      <w:r>
        <w:t>lovenskej republiky</w:t>
      </w:r>
      <w:r w:rsidRPr="002E573E">
        <w:t xml:space="preserve"> každé vyslanie príslušníka ozbrojených síl S</w:t>
      </w:r>
      <w:r>
        <w:t>lovenskej republiky</w:t>
      </w:r>
      <w:r w:rsidRPr="002E573E">
        <w:t xml:space="preserve"> na plnenie úloh mimo územia S</w:t>
      </w:r>
      <w:r>
        <w:t>lo</w:t>
      </w:r>
      <w:r>
        <w:t>venskej republiky</w:t>
      </w:r>
      <w:r w:rsidRPr="002E573E">
        <w:t xml:space="preserve">, ak toto vyslanie nepatrí podľa Ústavy Slovenskej republiky do vymedzenej právomoci vlády Slovenskej republiky. </w:t>
      </w:r>
    </w:p>
    <w:p w:rsidR="00B835E4" w:rsidP="00D62AFD">
      <w:pPr>
        <w:pStyle w:val="NormalWeb"/>
        <w:spacing w:before="120" w:beforeAutospacing="0"/>
        <w:ind w:firstLine="425"/>
        <w:jc w:val="both"/>
      </w:pPr>
      <w:r>
        <w:t>Predkladaný návrh má vplyv na rozpočet verejnej správy.</w:t>
      </w:r>
      <w:r w:rsidR="005913F5">
        <w:t xml:space="preserve"> Rozpočtové krytie na zabezpečenie vyslania príslušníkov ozbrojených s</w:t>
      </w:r>
      <w:r w:rsidR="005913F5">
        <w:t xml:space="preserve">íl Slovenskej republiky do veliteľských štruktúr </w:t>
      </w:r>
      <w:r w:rsidR="00EB6C79">
        <w:t>operácie</w:t>
      </w:r>
      <w:r w:rsidR="005913F5">
        <w:t xml:space="preserve"> je zabezpečené v rámci rozpisu rozpočtu kapitoly Ministerstva obrany</w:t>
      </w:r>
      <w:r w:rsidR="00583AB2">
        <w:t xml:space="preserve"> Slovenskej republiky</w:t>
      </w:r>
      <w:r>
        <w:t>. Materiál súčasne nemá vplyv na podnikateľské prostredie, sociálne vplyvy, vplyvy na životné prostredie, vpl</w:t>
      </w:r>
      <w:r>
        <w:t xml:space="preserve">yvy na informatizáciu spoločnosti, vplyvy na služby verejnej správy pre občana ani vplyvy na manželstvo, rodičovstvo a rodinu. </w:t>
      </w:r>
    </w:p>
    <w:p w:rsidR="00B835E4" w:rsidP="00B835E4">
      <w:pPr>
        <w:pStyle w:val="NormalWeb"/>
        <w:spacing w:after="0"/>
        <w:ind w:firstLine="426"/>
        <w:jc w:val="both"/>
      </w:pPr>
      <w:r>
        <w:t>Materiál bol predmetom predbežného a medzirezortného pripomienkového konania a na rokovanie Bezpečnostnej rady a vlády Slovenske</w:t>
      </w:r>
      <w:r>
        <w:t xml:space="preserve">j republiky </w:t>
      </w:r>
      <w:r w:rsidR="00042FFC">
        <w:t>bol predložený</w:t>
      </w:r>
      <w:r>
        <w:t xml:space="preserve"> bez rozporov.</w:t>
      </w:r>
      <w:r w:rsidR="00042FFC">
        <w:t xml:space="preserve"> Vláda</w:t>
      </w:r>
      <w:r w:rsidR="00042FFC">
        <w:t xml:space="preserve"> </w:t>
      </w:r>
      <w:r w:rsidR="00042FFC">
        <w:t xml:space="preserve">Slovenskej </w:t>
      </w:r>
      <w:r w:rsidR="00042FFC">
        <w:t>republiky</w:t>
      </w:r>
      <w:r w:rsidR="00042FFC">
        <w:t xml:space="preserve"> </w:t>
      </w:r>
      <w:r w:rsidR="00EC1F2F">
        <w:t>n</w:t>
      </w:r>
      <w:r w:rsidR="00EC1F2F">
        <w:t>a s</w:t>
      </w:r>
      <w:r w:rsidR="00EC1F2F">
        <w:t xml:space="preserve">vojom 37. rokovaní 5. júna 2024 </w:t>
      </w:r>
      <w:r w:rsidR="00042FFC">
        <w:t>s</w:t>
      </w:r>
      <w:r w:rsidR="00042FFC">
        <w:t> </w:t>
      </w:r>
      <w:r w:rsidR="00042FFC">
        <w:t>uve</w:t>
      </w:r>
      <w:r w:rsidR="00042FFC">
        <w:t xml:space="preserve">deným </w:t>
      </w:r>
      <w:r w:rsidR="00042FFC">
        <w:t>materiálov vyslovila súhlas</w:t>
      </w:r>
      <w:r w:rsidR="00EC1F2F">
        <w:t>.</w:t>
      </w:r>
    </w:p>
    <w:sectPr w:rsidSect="00042FFC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05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981FE0">
      <w:rPr>
        <w:noProof/>
      </w:rPr>
      <w:t>2</w:t>
    </w:r>
    <w:r>
      <w:fldChar w:fldCharType="end"/>
    </w:r>
  </w:p>
  <w:p w:rsidR="00434A1E" w:rsidP="00434A1E">
    <w:pPr>
      <w:pStyle w:val="Footer"/>
      <w:jc w:val="cen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3D36"/>
    <w:rsid w:val="000070AC"/>
    <w:rsid w:val="00042FFC"/>
    <w:rsid w:val="00101141"/>
    <w:rsid w:val="00127584"/>
    <w:rsid w:val="001448BE"/>
    <w:rsid w:val="0017162D"/>
    <w:rsid w:val="00182C75"/>
    <w:rsid w:val="00195FB6"/>
    <w:rsid w:val="001A75B1"/>
    <w:rsid w:val="001C7235"/>
    <w:rsid w:val="001D60FC"/>
    <w:rsid w:val="001F44E3"/>
    <w:rsid w:val="002317F4"/>
    <w:rsid w:val="00233D36"/>
    <w:rsid w:val="00250D53"/>
    <w:rsid w:val="00286F74"/>
    <w:rsid w:val="002B3AD6"/>
    <w:rsid w:val="002E484A"/>
    <w:rsid w:val="002E573E"/>
    <w:rsid w:val="0039619B"/>
    <w:rsid w:val="003A7F2D"/>
    <w:rsid w:val="003C7C30"/>
    <w:rsid w:val="00434A1E"/>
    <w:rsid w:val="00454CED"/>
    <w:rsid w:val="004C3475"/>
    <w:rsid w:val="00531010"/>
    <w:rsid w:val="005610B0"/>
    <w:rsid w:val="00583AB2"/>
    <w:rsid w:val="00590B10"/>
    <w:rsid w:val="005913F5"/>
    <w:rsid w:val="005F07E5"/>
    <w:rsid w:val="006019CB"/>
    <w:rsid w:val="006C376D"/>
    <w:rsid w:val="006D46D0"/>
    <w:rsid w:val="007005EB"/>
    <w:rsid w:val="00700825"/>
    <w:rsid w:val="00713051"/>
    <w:rsid w:val="0074445A"/>
    <w:rsid w:val="00750236"/>
    <w:rsid w:val="007A31BF"/>
    <w:rsid w:val="007C24DB"/>
    <w:rsid w:val="007F05BE"/>
    <w:rsid w:val="00813B50"/>
    <w:rsid w:val="0084790B"/>
    <w:rsid w:val="00894093"/>
    <w:rsid w:val="0089553E"/>
    <w:rsid w:val="008B0F6B"/>
    <w:rsid w:val="008D309B"/>
    <w:rsid w:val="00964733"/>
    <w:rsid w:val="00981FE0"/>
    <w:rsid w:val="0099447D"/>
    <w:rsid w:val="009C7B16"/>
    <w:rsid w:val="00A05F5F"/>
    <w:rsid w:val="00A720E9"/>
    <w:rsid w:val="00A833A4"/>
    <w:rsid w:val="00A846AE"/>
    <w:rsid w:val="00A854AC"/>
    <w:rsid w:val="00B04ACE"/>
    <w:rsid w:val="00B7146E"/>
    <w:rsid w:val="00B835E4"/>
    <w:rsid w:val="00BB45CF"/>
    <w:rsid w:val="00BE672B"/>
    <w:rsid w:val="00C36FF9"/>
    <w:rsid w:val="00C70513"/>
    <w:rsid w:val="00C83BDC"/>
    <w:rsid w:val="00CB71D7"/>
    <w:rsid w:val="00CF0618"/>
    <w:rsid w:val="00D55EFE"/>
    <w:rsid w:val="00D62AFD"/>
    <w:rsid w:val="00D778AF"/>
    <w:rsid w:val="00DD490D"/>
    <w:rsid w:val="00E2471F"/>
    <w:rsid w:val="00EB6C79"/>
    <w:rsid w:val="00EC1F2F"/>
    <w:rsid w:val="00EC711C"/>
    <w:rsid w:val="00EE0F73"/>
    <w:rsid w:val="00F43B90"/>
    <w:rsid w:val="00F74B1D"/>
    <w:rsid w:val="00FA2C56"/>
    <w:rsid w:val="00FB07A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Calibri" w:hAnsi="Garamond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233D36"/>
    <w:pPr>
      <w:spacing w:after="200" w:line="276" w:lineRule="auto"/>
    </w:pPr>
    <w:rPr>
      <w:rFonts w:ascii="Calibri" w:hAnsi="Calibri"/>
      <w:sz w:val="22"/>
      <w:szCs w:val="22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CommentReference">
    <w:name w:val="annotation reference"/>
    <w:uiPriority w:val="99"/>
    <w:semiHidden/>
    <w:unhideWhenUsed/>
    <w:rsid w:val="007005EB"/>
    <w:rPr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7005EB"/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semiHidden/>
    <w:rsid w:val="007005EB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7005EB"/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rsid w:val="007005EB"/>
    <w:rPr>
      <w:rFonts w:ascii="Calibri" w:hAnsi="Calibri"/>
      <w:b/>
      <w:bCs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00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uiPriority w:val="99"/>
    <w:semiHidden/>
    <w:rsid w:val="007005EB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434A1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uiPriority w:val="99"/>
    <w:rsid w:val="00434A1E"/>
    <w:rPr>
      <w:rFonts w:ascii="Calibri" w:hAnsi="Calibri"/>
      <w:sz w:val="22"/>
      <w:szCs w:val="22"/>
      <w:lang w:eastAsia="en-US"/>
    </w:rPr>
  </w:style>
  <w:style w:type="paragraph" w:styleId="Footer">
    <w:name w:val="footer"/>
    <w:basedOn w:val="Normal"/>
    <w:link w:val="PtaChar"/>
    <w:uiPriority w:val="99"/>
    <w:unhideWhenUsed/>
    <w:rsid w:val="00434A1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rsid w:val="00434A1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8A3B69-AF1E-46A1-AAD4-5F7B53EEAEA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78EFB6E-661B-4C38-96EF-D405462CFC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73F431-4817-499C-91AF-CC20C48BD78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1B5DF41-1A9A-4E7B-862F-B86A83F7D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5B9B4E-72ED-473A-81F8-0752CAAE84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KOSTKOVA Jarmila</dc:creator>
  <cp:lastModifiedBy>GULA Peter</cp:lastModifiedBy>
  <cp:revision>4</cp:revision>
  <cp:lastPrinted>2024-03-27T14:48:00Z</cp:lastPrinted>
  <dcterms:created xsi:type="dcterms:W3CDTF">2024-05-29T13:00:00Z</dcterms:created>
  <dcterms:modified xsi:type="dcterms:W3CDTF">2024-06-04T13:30:00Z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COO.2145.1000.3.6181310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/>
  </property>
  <property fmtid="{D5CDD505-2E9C-101B-9397-08002B2CF9AE}" pid="8" name="FSC#SKEDITIONSLOVLEX@103.510:AttrStrDocPropVplyvNaZivotProstr">
    <vt:lpwstr/>
  </property>
  <property fmtid="{D5CDD505-2E9C-101B-9397-08002B2CF9AE}" pid="9" name="FSC#SKEDITIONSLOVLEX@103.510:AttrStrDocPropVplyvPodnikatelskeProstr">
    <vt:lpwstr/>
  </property>
  <property fmtid="{D5CDD505-2E9C-101B-9397-08002B2CF9AE}" pid="10" name="FSC#SKEDITIONSLOVLEX@103.510:AttrStrDocPropVplyvRozpocetVS">
    <vt:lpwstr/>
  </property>
  <property fmtid="{D5CDD505-2E9C-101B-9397-08002B2CF9AE}" pid="11" name="FSC#SKEDITIONSLOVLEX@103.510:AttrStrDocPropVplyvSocialny">
    <vt:lpwstr/>
  </property>
  <property fmtid="{D5CDD505-2E9C-101B-9397-08002B2CF9AE}" pid="12" name="FSC#SKEDITIONSLOVLEX@103.510:AttrStrListDocPropAltRiesenia">
    <vt:lpwstr/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/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/>
  </property>
  <property fmtid="{D5CDD505-2E9C-101B-9397-08002B2CF9AE}" pid="25" name="FSC#SKEDITIONSLOVLEX@103.510:AttrStrListDocPropProblematikaPPb">
    <vt:lpwstr/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/>
  </property>
  <property fmtid="{D5CDD505-2E9C-101B-9397-08002B2CF9AE}" pid="31" name="FSC#SKEDITIONSLOVLEX@103.510:AttrStrListDocPropTextKomunike">
    <vt:lpwstr/>
  </property>
  <property fmtid="{D5CDD505-2E9C-101B-9397-08002B2CF9AE}" pid="32" name="FSC#SKEDITIONSLOVLEX@103.510:AttrStrListDocPropTextPredklSpravy">
    <vt:lpwstr/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/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/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LP/2024/245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>Juraj Blanár</vt:lpwstr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>Minister zahraničných vecí a európskych záležitosti Slovenskej republiky, </vt:lpwstr>
  </property>
  <property fmtid="{D5CDD505-2E9C-101B-9397-08002B2CF9AE}" pid="116" name="FSC#SKEDITIONSLOVLEX@103.510:funkciaDalsiPredAkuzativ">
    <vt:lpwstr>Ministra zahraničných vecí a európskych záležitostí Slovenskej republiky, </vt:lpwstr>
  </property>
  <property fmtid="{D5CDD505-2E9C-101B-9397-08002B2CF9AE}" pid="117" name="FSC#SKEDITIONSLOVLEX@103.510:funkciaDalsiPredDativ">
    <vt:lpwstr>Ministrovi zahraničných vecí a európskych záležitostí Slovenskej republiky, </vt:lpwstr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podpredseda vlády a minister obrany SR</vt:lpwstr>
  </property>
  <property fmtid="{D5CDD505-2E9C-101B-9397-08002B2CF9AE}" pid="122" name="FSC#SKEDITIONSLOVLEX@103.510:funkciaZodpPredAkuzativ">
    <vt:lpwstr>podpredsedovi vlády a ministrovi obrany Slovenskej republiky</vt:lpwstr>
  </property>
  <property fmtid="{D5CDD505-2E9C-101B-9397-08002B2CF9AE}" pid="123" name="FSC#SKEDITIONSLOVLEX@103.510:funkciaZodpPredDativ">
    <vt:lpwstr>podpredsedu vlády a ministra obrany Slovenskej republiky</vt:lpwstr>
  </property>
  <property fmtid="{D5CDD505-2E9C-101B-9397-08002B2CF9AE}" pid="124" name="FSC#SKEDITIONSLOVLEX@103.510:legoblast">
    <vt:lpwstr>Nelegislatívna oblasť</vt:lpwstr>
  </property>
  <property fmtid="{D5CDD505-2E9C-101B-9397-08002B2CF9AE}" pid="125" name="FSC#SKEDITIONSLOVLEX@103.510:nazovpredpis">
    <vt:lpwstr> Návrh na vyslanie príslušníkov ozbrojených síl Slovenskej republiky do operačného veliteľstva vojenskej operácie Európskej únie EUNAVFOR ASPIDES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Návrh na vyslanie príslušníkov ozbrojených síl Slovenskej republiky do operačného veliteľstva vojenskej operácie Európskej únie EUNAVFOR ASPIDES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čl. 86 písm. l) Ústavy SR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Ing. Andrea Hepnerová</vt:lpwstr>
  </property>
  <property fmtid="{D5CDD505-2E9C-101B-9397-08002B2CF9AE}" pid="138" name="FSC#SKEDITIONSLOVLEX@103.510:predkladateliaObalSD">
    <vt:lpwstr>Robert Kaliňák
podpredseda vlády a minister obrany SR
Juraj Blanár
Minister zahraničných vecí a európskych záležitosti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SEOP-42-9/2024 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/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Nelegislatívny všeobecný materiál</vt:lpwstr>
  </property>
  <property fmtid="{D5CDD505-2E9C-101B-9397-08002B2CF9AE}" pid="145" name="FSC#SKEDITIONSLOVLEX@103.510:typsprievdok">
    <vt:lpwstr>Predkladacia správa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23. 5. 2024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obrany Slovenskej republiky</vt:lpwstr>
  </property>
  <property fmtid="{D5CDD505-2E9C-101B-9397-08002B2CF9AE}" pid="152" name="FSC#SKEDITIONSLOVLEX@103.510:zodppredkladatel">
    <vt:lpwstr>Robert Kaliňák</vt:lpwstr>
  </property>
  <property fmtid="{D5CDD505-2E9C-101B-9397-08002B2CF9AE}" pid="153" name="_dlc_DocId">
    <vt:lpwstr>WKX3UHSAJ2R6-2-769846</vt:lpwstr>
  </property>
  <property fmtid="{D5CDD505-2E9C-101B-9397-08002B2CF9AE}" pid="154" name="_dlc_DocIdItemGuid">
    <vt:lpwstr>518c2d05-62e2-4989-a159-1054e5214f78</vt:lpwstr>
  </property>
  <property fmtid="{D5CDD505-2E9C-101B-9397-08002B2CF9AE}" pid="155" name="_dlc_DocIdUrl">
    <vt:lpwstr>https://ovdmasv601/sites/DMS/_layouts/15/DocIdRedir.aspx?ID=WKX3UHSAJ2R6-2-769846, WKX3UHSAJ2R6-2-769846</vt:lpwstr>
  </property>
</Properties>
</file>