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ook w:val="01E0"/>
      </w:tblPr>
      <w:tblGrid>
        <w:gridCol w:w="8897"/>
      </w:tblGrid>
      <w:tr w:rsidTr="001A3BAE">
        <w:tblPrEx>
          <w:tblW w:w="0" w:type="auto"/>
          <w:tblLook w:val="01E0"/>
        </w:tblPrEx>
        <w:tc>
          <w:tcPr>
            <w:tcW w:w="8897" w:type="dxa"/>
            <w:shd w:val="clear" w:color="auto" w:fill="auto"/>
          </w:tcPr>
          <w:p w:rsidR="004E78F9" w:rsidRPr="00D147EE" w:rsidP="004E78F9">
            <w:pPr>
              <w:pStyle w:val="Default"/>
              <w:jc w:val="center"/>
            </w:pPr>
            <w:r w:rsidRPr="00D147EE">
              <w:rPr>
                <w:b/>
                <w:bCs/>
              </w:rPr>
              <w:t xml:space="preserve">Návrh na </w:t>
            </w:r>
            <w:r w:rsidR="008B3EA5">
              <w:rPr>
                <w:b/>
                <w:bCs/>
              </w:rPr>
              <w:t xml:space="preserve">vyslanie príslušníkov ozbrojených síl Slovenskej republiky do </w:t>
            </w:r>
            <w:r w:rsidR="00CB71D7">
              <w:rPr>
                <w:b/>
                <w:bCs/>
              </w:rPr>
              <w:t xml:space="preserve">operačného veliteľstva </w:t>
            </w:r>
            <w:r w:rsidR="00425E2B">
              <w:rPr>
                <w:b/>
                <w:bCs/>
              </w:rPr>
              <w:t xml:space="preserve">vojenskej operácie </w:t>
            </w:r>
            <w:r w:rsidR="00EB079C">
              <w:rPr>
                <w:b/>
                <w:bCs/>
              </w:rPr>
              <w:t xml:space="preserve">Európskej únie </w:t>
            </w:r>
            <w:r w:rsidR="003755CB">
              <w:rPr>
                <w:b/>
                <w:bCs/>
              </w:rPr>
              <w:t>EUNAVFOR</w:t>
            </w:r>
            <w:r w:rsidR="00711222">
              <w:rPr>
                <w:b/>
                <w:bCs/>
              </w:rPr>
              <w:t xml:space="preserve"> </w:t>
            </w:r>
            <w:r w:rsidR="00A15D06">
              <w:rPr>
                <w:b/>
                <w:bCs/>
              </w:rPr>
              <w:t>ASPIDES</w:t>
            </w:r>
          </w:p>
          <w:p w:rsidR="004E78F9" w:rsidRPr="00D147EE" w:rsidP="004E78F9">
            <w:pPr>
              <w:pStyle w:val="Default"/>
              <w:jc w:val="center"/>
              <w:rPr>
                <w:b/>
                <w:bCs/>
              </w:rPr>
            </w:pPr>
          </w:p>
          <w:p w:rsidR="00425E2B" w:rsidP="00425E2B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426" w:hanging="426"/>
              <w:jc w:val="both"/>
            </w:pPr>
            <w:r w:rsidRPr="00D147EE" w:rsidR="001A3BAE">
              <w:rPr>
                <w:u w:val="single"/>
              </w:rPr>
              <w:t>Politické aspekty a</w:t>
            </w:r>
            <w:r w:rsidRPr="00D147EE" w:rsidR="001A3BAE">
              <w:t> </w:t>
            </w:r>
            <w:r w:rsidRPr="00D147EE" w:rsidR="001A3BAE">
              <w:rPr>
                <w:u w:val="single"/>
              </w:rPr>
              <w:t>medzinárodné súvislosti návrhu</w:t>
            </w:r>
          </w:p>
          <w:p w:rsidR="00425E2B" w:rsidRPr="00B04ACE" w:rsidP="00425E2B">
            <w:pPr>
              <w:pStyle w:val="NormalWeb"/>
              <w:spacing w:before="0" w:beforeAutospacing="0" w:after="0" w:afterAutospacing="0"/>
              <w:jc w:val="both"/>
              <w:rPr>
                <w:sz w:val="12"/>
                <w:szCs w:val="12"/>
              </w:rPr>
            </w:pPr>
          </w:p>
          <w:p w:rsidR="009B66A4" w:rsidP="00425E2B">
            <w:pPr>
              <w:pStyle w:val="NormalWeb"/>
              <w:spacing w:before="0" w:beforeAutospacing="0" w:after="0" w:afterAutospacing="0"/>
              <w:ind w:firstLine="426"/>
              <w:jc w:val="both"/>
            </w:pPr>
            <w:r w:rsidR="001E2B40">
              <w:t>Rada Európskej únie svojím rozhodnutím č. 2024/583 z 8. fe</w:t>
            </w:r>
            <w:r w:rsidR="001E2B40">
              <w:t>bruára 2024 rozhodla</w:t>
            </w:r>
            <w:r w:rsidR="00A26FE2">
              <w:t xml:space="preserve"> o zriadení </w:t>
            </w:r>
            <w:r w:rsidR="00711222">
              <w:t xml:space="preserve">vojenskej operácie </w:t>
            </w:r>
            <w:r w:rsidR="00A26FE2">
              <w:t xml:space="preserve">Európskej únie na </w:t>
            </w:r>
            <w:r w:rsidR="00425E2B">
              <w:t xml:space="preserve">zaistenie námornej bezpečnosti a </w:t>
            </w:r>
            <w:r w:rsidR="00A26FE2">
              <w:t>slobody plavby v súvis</w:t>
            </w:r>
            <w:r w:rsidR="00425E2B">
              <w:t>losti s krízou v Červenom mori pod názvom EUNAVFOR ASPIDES (</w:t>
            </w:r>
            <w:r w:rsidR="00A26FE2">
              <w:t>ďalej len „operácia“).</w:t>
            </w:r>
            <w:r w:rsidR="00711222">
              <w:t xml:space="preserve"> </w:t>
            </w:r>
            <w:r w:rsidR="00A26FE2">
              <w:t>Operácia bola zriadená v reakcii na rastúci počet</w:t>
            </w:r>
            <w:r w:rsidR="00A26FE2">
              <w:t xml:space="preserve"> bezpečnostných incidentov</w:t>
            </w:r>
            <w:r w:rsidR="00425E2B">
              <w:t>,</w:t>
            </w:r>
            <w:r w:rsidR="00A26FE2">
              <w:t xml:space="preserve"> vrátane útokov, svojvoľných</w:t>
            </w:r>
            <w:r w:rsidR="00425E2B">
              <w:t>,</w:t>
            </w:r>
            <w:r w:rsidR="00A26FE2">
              <w:t xml:space="preserve"> alebo nezákonn</w:t>
            </w:r>
            <w:r w:rsidR="00425E2B">
              <w:t>e zadržaných a zabavených</w:t>
            </w:r>
            <w:r w:rsidR="00A26FE2">
              <w:t xml:space="preserve"> </w:t>
            </w:r>
            <w:r w:rsidR="00070976">
              <w:t xml:space="preserve">civilných a obchodných </w:t>
            </w:r>
            <w:r w:rsidR="00A26FE2">
              <w:t>plavidiel</w:t>
            </w:r>
            <w:r w:rsidR="007D3145">
              <w:t xml:space="preserve"> </w:t>
            </w:r>
            <w:r w:rsidR="00070976">
              <w:t>zo strany hnutia</w:t>
            </w:r>
            <w:r w:rsidR="007D3145">
              <w:t xml:space="preserve"> Húsijov</w:t>
            </w:r>
            <w:r w:rsidR="00A26FE2">
              <w:t xml:space="preserve">, </w:t>
            </w:r>
            <w:r w:rsidR="00070976">
              <w:t>ktoré týmto ohrozujú</w:t>
            </w:r>
            <w:r w:rsidR="00A26FE2">
              <w:t xml:space="preserve"> námornú bezpečnosť </w:t>
            </w:r>
            <w:r w:rsidRPr="009B66A4">
              <w:t>v regióne Červeného mora, Adenského zálivu, Arabského mora a</w:t>
            </w:r>
            <w:r w:rsidRPr="009B66A4">
              <w:t xml:space="preserve"> Perzského zálivu</w:t>
            </w:r>
            <w:r>
              <w:t>.</w:t>
            </w:r>
          </w:p>
          <w:p w:rsidR="00425E2B" w:rsidRPr="00425E2B" w:rsidP="009B66A4">
            <w:pPr>
              <w:pStyle w:val="NormalWeb"/>
              <w:spacing w:before="0" w:beforeAutospacing="0" w:after="0" w:afterAutospacing="0"/>
              <w:jc w:val="both"/>
              <w:rPr>
                <w:sz w:val="8"/>
                <w:szCs w:val="8"/>
              </w:rPr>
            </w:pPr>
          </w:p>
          <w:p w:rsidR="00425E2B" w:rsidP="00425E2B">
            <w:pPr>
              <w:pStyle w:val="NormalWeb"/>
              <w:spacing w:before="0" w:beforeAutospacing="0" w:after="0" w:afterAutospacing="0"/>
              <w:ind w:firstLine="426"/>
              <w:jc w:val="both"/>
            </w:pPr>
            <w:r w:rsidR="00070976">
              <w:t>Od</w:t>
            </w:r>
            <w:r w:rsidR="007D3145">
              <w:t xml:space="preserve"> prvého útoku Húsijov na civilné a obchodné </w:t>
            </w:r>
            <w:r w:rsidR="00070976">
              <w:t>plavidlá</w:t>
            </w:r>
            <w:r w:rsidR="007D3145">
              <w:t xml:space="preserve"> (19. november 2023) sa situácia v regióne významne zhoršila. Útoky Húsijov ohrozujú životy </w:t>
            </w:r>
            <w:r w:rsidR="00070976">
              <w:t>členov posádky</w:t>
            </w:r>
            <w:r w:rsidR="007D3145">
              <w:t xml:space="preserve">, </w:t>
            </w:r>
            <w:r w:rsidR="00070976">
              <w:t>ohrozujú</w:t>
            </w:r>
            <w:r w:rsidR="007D3145">
              <w:t xml:space="preserve"> námornú bezpečnosť, globáln</w:t>
            </w:r>
            <w:r w:rsidR="00070976">
              <w:t xml:space="preserve">y režim obchodu </w:t>
            </w:r>
            <w:r w:rsidR="007D3145">
              <w:t>vrátane dopadov na pot</w:t>
            </w:r>
            <w:r w:rsidR="007D3145">
              <w:t xml:space="preserve">ravinovú a energetickú bezpečnosť a sú v priamom konflikte so záujmami Slovenskej republiky a Európskej únie. </w:t>
            </w:r>
            <w:r w:rsidR="00F41D71">
              <w:t>Na svoje útoky využívajú rôzne spôsobilosti</w:t>
            </w:r>
            <w:r>
              <w:t>,</w:t>
            </w:r>
            <w:r w:rsidR="00F41D71">
              <w:t xml:space="preserve"> vrátane </w:t>
            </w:r>
            <w:r>
              <w:t xml:space="preserve">rakiet, bezpilotných prostriedkov, či </w:t>
            </w:r>
            <w:r w:rsidR="00F41D71">
              <w:t xml:space="preserve">vojenských vrtuľníkov. </w:t>
            </w:r>
          </w:p>
          <w:p w:rsidR="00425E2B" w:rsidRPr="00425E2B" w:rsidP="00425E2B">
            <w:pPr>
              <w:pStyle w:val="NormalWeb"/>
              <w:spacing w:before="0" w:beforeAutospacing="0" w:after="0" w:afterAutospacing="0"/>
              <w:ind w:firstLine="426"/>
              <w:jc w:val="both"/>
              <w:rPr>
                <w:sz w:val="8"/>
                <w:szCs w:val="8"/>
              </w:rPr>
            </w:pPr>
          </w:p>
          <w:p w:rsidR="00425E2B" w:rsidP="00425E2B">
            <w:pPr>
              <w:pStyle w:val="NormalWeb"/>
              <w:spacing w:before="0" w:beforeAutospacing="0" w:after="0" w:afterAutospacing="0"/>
              <w:ind w:firstLine="426"/>
              <w:jc w:val="both"/>
            </w:pPr>
            <w:r>
              <w:t>Útokmi</w:t>
            </w:r>
            <w:r w:rsidR="00F41D71">
              <w:t xml:space="preserve"> Húsijov na </w:t>
            </w:r>
            <w:r w:rsidR="00070976">
              <w:t>civilné a ob</w:t>
            </w:r>
            <w:r w:rsidR="00070976">
              <w:t>chodné plavidlá</w:t>
            </w:r>
            <w:r>
              <w:t xml:space="preserve"> sa </w:t>
            </w:r>
            <w:r w:rsidR="00F41D71">
              <w:t>úrov</w:t>
            </w:r>
            <w:r>
              <w:t>eň</w:t>
            </w:r>
            <w:r w:rsidR="00F41D71">
              <w:t xml:space="preserve"> bezpečnosti </w:t>
            </w:r>
            <w:r>
              <w:t xml:space="preserve">medzinárodnej </w:t>
            </w:r>
            <w:r w:rsidR="00F41D71">
              <w:t>námornej dopravy</w:t>
            </w:r>
            <w:r>
              <w:t xml:space="preserve"> výrazne zhoršila</w:t>
            </w:r>
            <w:r w:rsidR="00070976">
              <w:t>, čo</w:t>
            </w:r>
            <w:r w:rsidR="00F41D71">
              <w:t xml:space="preserve"> </w:t>
            </w:r>
            <w:r>
              <w:t>európske, ale aj globálne</w:t>
            </w:r>
            <w:r w:rsidR="00F41D71">
              <w:t xml:space="preserve"> prepravné spoločnosti </w:t>
            </w:r>
            <w:r w:rsidR="003977D1">
              <w:t xml:space="preserve">prinútilo k zmene </w:t>
            </w:r>
            <w:r>
              <w:t xml:space="preserve">námornej trasy </w:t>
            </w:r>
            <w:r w:rsidR="00F41D71">
              <w:t>cez Če</w:t>
            </w:r>
            <w:r w:rsidR="00070976">
              <w:t>rvené more a Suezský prieplav a</w:t>
            </w:r>
            <w:r>
              <w:t xml:space="preserve"> odklon </w:t>
            </w:r>
            <w:r w:rsidR="00070976">
              <w:t xml:space="preserve">námornej prepravy </w:t>
            </w:r>
            <w:r>
              <w:t>cez Mys</w:t>
            </w:r>
            <w:r w:rsidR="00F41D71">
              <w:t xml:space="preserve"> dobrej nádeje.</w:t>
            </w:r>
            <w:r w:rsidR="00F41D71">
              <w:t xml:space="preserve"> Táto situácia vedie k predĺženiu námorných obchodných trás prepájajúcich Európu </w:t>
            </w:r>
            <w:r w:rsidR="00070976">
              <w:t xml:space="preserve">s východnou Afrikou a </w:t>
            </w:r>
            <w:r w:rsidR="00F41D71">
              <w:t>Áziou, k</w:t>
            </w:r>
            <w:r>
              <w:t> následnému z</w:t>
            </w:r>
            <w:r w:rsidR="00F41D71">
              <w:t xml:space="preserve">výšeniu </w:t>
            </w:r>
            <w:r>
              <w:t>nákladov na prepravu</w:t>
            </w:r>
            <w:r w:rsidR="00F41D71">
              <w:t xml:space="preserve"> a narušeniu globálnych dodávateľských reťazcov.</w:t>
            </w:r>
          </w:p>
          <w:p w:rsidR="00425E2B" w:rsidRPr="00425E2B" w:rsidP="00425E2B">
            <w:pPr>
              <w:pStyle w:val="NormalWeb"/>
              <w:spacing w:before="0" w:beforeAutospacing="0" w:after="0" w:afterAutospacing="0"/>
              <w:ind w:firstLine="426"/>
              <w:jc w:val="both"/>
              <w:rPr>
                <w:sz w:val="8"/>
                <w:szCs w:val="8"/>
              </w:rPr>
            </w:pPr>
          </w:p>
          <w:p w:rsidR="001A3BAE" w:rsidP="00CB71D7">
            <w:pPr>
              <w:pStyle w:val="NormalWeb"/>
              <w:spacing w:before="0" w:beforeAutospacing="0" w:after="0" w:afterAutospacing="0"/>
              <w:ind w:firstLine="426"/>
              <w:jc w:val="both"/>
            </w:pPr>
            <w:r w:rsidR="00CB71D7">
              <w:t>Strategickou</w:t>
            </w:r>
            <w:r w:rsidR="00425E2B">
              <w:t xml:space="preserve"> </w:t>
            </w:r>
            <w:r w:rsidR="00CB71D7">
              <w:t xml:space="preserve">úlohou </w:t>
            </w:r>
            <w:r w:rsidR="00425E2B">
              <w:t>operácie</w:t>
            </w:r>
            <w:r w:rsidR="00CB71D7">
              <w:t xml:space="preserve"> je </w:t>
            </w:r>
            <w:r w:rsidRPr="00CB71D7" w:rsidR="00CB71D7">
              <w:t>sprevádzanie a ochrana</w:t>
            </w:r>
            <w:r w:rsidRPr="00CB71D7" w:rsidR="00CB71D7">
              <w:t xml:space="preserve"> </w:t>
            </w:r>
            <w:r w:rsidR="00070976">
              <w:t xml:space="preserve">civilných a obchodných </w:t>
            </w:r>
            <w:r w:rsidRPr="00CB71D7" w:rsidR="00CB71D7">
              <w:t>plavidiel</w:t>
            </w:r>
            <w:r w:rsidR="00070976">
              <w:t xml:space="preserve"> a </w:t>
            </w:r>
            <w:r w:rsidR="00CB71D7">
              <w:t>posilnenie</w:t>
            </w:r>
            <w:r w:rsidRPr="00CB71D7" w:rsidR="00CB71D7">
              <w:t xml:space="preserve"> a udržiavanie situačného povedomia v spolupráci s podobne zmýšľajúcimi posk</w:t>
            </w:r>
            <w:r w:rsidR="00CB71D7">
              <w:t xml:space="preserve">ytovateľmi námornej bezpečnosti. </w:t>
            </w:r>
            <w:r w:rsidR="00425E2B">
              <w:t xml:space="preserve">Operácia </w:t>
            </w:r>
            <w:r w:rsidR="005D1151">
              <w:t>má výhradne obranný</w:t>
            </w:r>
            <w:r w:rsidR="007D3145">
              <w:t xml:space="preserve"> charakter</w:t>
            </w:r>
            <w:r w:rsidR="00070976">
              <w:t xml:space="preserve">, </w:t>
            </w:r>
            <w:r w:rsidR="00A26FE2">
              <w:t xml:space="preserve">je </w:t>
            </w:r>
            <w:r w:rsidR="00CB71D7">
              <w:t xml:space="preserve">realizovaná </w:t>
            </w:r>
            <w:r w:rsidR="00070976">
              <w:t xml:space="preserve">na základe Rezolúcie Bezpečnostnej rady </w:t>
            </w:r>
            <w:r w:rsidR="005B1BE0">
              <w:t>Organi</w:t>
            </w:r>
            <w:r w:rsidR="005B1BE0">
              <w:t>zácie S</w:t>
            </w:r>
            <w:r w:rsidR="00070976">
              <w:t xml:space="preserve">pojených národov č. </w:t>
            </w:r>
            <w:r w:rsidR="005B1BE0">
              <w:t>2722 z 10. januára 2024</w:t>
            </w:r>
            <w:r w:rsidR="00070976">
              <w:t xml:space="preserve"> a je </w:t>
            </w:r>
            <w:r w:rsidR="00A26FE2">
              <w:t>v súlade s</w:t>
            </w:r>
            <w:r w:rsidR="00070976">
              <w:t xml:space="preserve"> ostatnými </w:t>
            </w:r>
            <w:r w:rsidR="00CB71D7">
              <w:t>normami medzinárodného</w:t>
            </w:r>
            <w:r w:rsidR="00A26FE2">
              <w:t xml:space="preserve"> pr</w:t>
            </w:r>
            <w:r w:rsidR="00CB71D7">
              <w:t>áva,</w:t>
            </w:r>
            <w:r w:rsidR="001624D0">
              <w:t xml:space="preserve"> vrátane Dohovoru Organizácie S</w:t>
            </w:r>
            <w:r w:rsidR="00A26FE2">
              <w:t>pojených národov o morskom práve</w:t>
            </w:r>
            <w:r w:rsidR="00CB71D7">
              <w:t>.</w:t>
            </w:r>
            <w:r w:rsidR="007D3145">
              <w:t xml:space="preserve"> </w:t>
            </w:r>
            <w:r w:rsidR="00CB71D7">
              <w:t>P</w:t>
            </w:r>
            <w:r w:rsidRPr="00CB71D7" w:rsidR="00CB71D7">
              <w:t xml:space="preserve">ravidlá nasadenia </w:t>
            </w:r>
            <w:r w:rsidR="00CB71D7">
              <w:t xml:space="preserve">spôsobilostí pre túto operáciu sú upravené v príslušnom operačnom </w:t>
            </w:r>
            <w:r w:rsidR="00CB71D7">
              <w:t xml:space="preserve">pláne, ktorý bol schválený </w:t>
            </w:r>
            <w:r w:rsidR="007D3145">
              <w:t>Rozhodnutím Rady Európskej únie č. 2024/632 z 19. februára 2024</w:t>
            </w:r>
            <w:r w:rsidR="00070976">
              <w:t>, ktorým bola operácia spustená</w:t>
            </w:r>
            <w:r w:rsidR="007D3145">
              <w:t>.</w:t>
            </w:r>
            <w:r w:rsidR="00F41D71">
              <w:t xml:space="preserve"> Konečným cieľom operácie </w:t>
            </w:r>
            <w:r w:rsidRPr="00F41D71" w:rsidR="00F41D71">
              <w:rPr>
                <w:iCs/>
                <w:color w:val="000000"/>
              </w:rPr>
              <w:t xml:space="preserve">je zníženie počtu útokov na komerčné plavidlá na úroveň, ktorá nepredstavuje obmedzenie pre slobodu plavby v operačnom priestore a umožňuje obnovu presunov medzi Áziou, </w:t>
            </w:r>
            <w:r w:rsidR="00070976">
              <w:rPr>
                <w:iCs/>
                <w:color w:val="000000"/>
              </w:rPr>
              <w:t xml:space="preserve">východnou Áziou, </w:t>
            </w:r>
            <w:r w:rsidRPr="00F41D71" w:rsidR="00F41D71">
              <w:rPr>
                <w:iCs/>
                <w:color w:val="000000"/>
              </w:rPr>
              <w:t>Perzským zálivom a Európou bez potreby úpravy trás.</w:t>
            </w:r>
          </w:p>
          <w:p w:rsidR="00CB71D7" w:rsidRPr="00D147EE" w:rsidP="00CB71D7">
            <w:pPr>
              <w:pStyle w:val="NormalWeb"/>
              <w:spacing w:before="0" w:beforeAutospacing="0" w:after="0" w:afterAutospacing="0"/>
              <w:ind w:firstLine="426"/>
              <w:jc w:val="both"/>
            </w:pPr>
          </w:p>
          <w:p w:rsidR="00CB71D7" w:rsidRPr="00CB71D7" w:rsidP="00CB71D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426" w:hanging="426"/>
              <w:jc w:val="both"/>
            </w:pPr>
            <w:r w:rsidRPr="00D147EE" w:rsidR="001A3BAE">
              <w:rPr>
                <w:u w:val="single"/>
              </w:rPr>
              <w:t xml:space="preserve">Vojensko-odborné </w:t>
            </w:r>
            <w:r w:rsidRPr="00D147EE" w:rsidR="001A3BAE">
              <w:rPr>
                <w:u w:val="single"/>
              </w:rPr>
              <w:t>aspekty návrhu</w:t>
            </w:r>
          </w:p>
          <w:p w:rsidR="00CB71D7" w:rsidRPr="00B04ACE" w:rsidP="00CB71D7">
            <w:pPr>
              <w:pStyle w:val="NormalWeb"/>
              <w:spacing w:before="0" w:beforeAutospacing="0" w:after="0" w:afterAutospacing="0"/>
              <w:ind w:left="426"/>
              <w:jc w:val="both"/>
              <w:rPr>
                <w:sz w:val="12"/>
                <w:szCs w:val="12"/>
              </w:rPr>
            </w:pPr>
            <w:r w:rsidRPr="00D147EE" w:rsidR="001A3BAE">
              <w:rPr>
                <w:u w:val="single"/>
              </w:rPr>
              <w:t xml:space="preserve"> </w:t>
            </w:r>
          </w:p>
          <w:p w:rsidR="00CB71D7" w:rsidP="00CB71D7">
            <w:pPr>
              <w:pStyle w:val="NormalWeb"/>
              <w:spacing w:before="0" w:beforeAutospacing="0" w:after="0" w:afterAutospacing="0"/>
              <w:ind w:firstLine="426"/>
              <w:jc w:val="both"/>
            </w:pPr>
            <w:r w:rsidR="00CD7B22">
              <w:t xml:space="preserve">Slovenská republika </w:t>
            </w:r>
            <w:r w:rsidR="00D36658">
              <w:t xml:space="preserve">má </w:t>
            </w:r>
            <w:r>
              <w:t>zámer</w:t>
            </w:r>
            <w:r w:rsidR="00D36658">
              <w:t xml:space="preserve"> prispieť</w:t>
            </w:r>
            <w:r w:rsidR="00CD7B22">
              <w:t xml:space="preserve"> </w:t>
            </w:r>
            <w:r>
              <w:t xml:space="preserve">do operácie </w:t>
            </w:r>
            <w:r w:rsidR="00CD7B22">
              <w:t>personálom</w:t>
            </w:r>
            <w:r w:rsidR="003D281F">
              <w:t xml:space="preserve"> v počte do 5 príslušníkov </w:t>
            </w:r>
            <w:r>
              <w:t>ozbrojených síl Slovenskej republiky</w:t>
            </w:r>
            <w:r w:rsidR="003D281F">
              <w:t xml:space="preserve">, ktorí budú vyslaní do operačného veliteľstva </w:t>
            </w:r>
            <w:r>
              <w:t>sídliaceho v Larise (</w:t>
            </w:r>
            <w:r w:rsidR="003D281F">
              <w:t>Grécko</w:t>
            </w:r>
            <w:r>
              <w:t>)</w:t>
            </w:r>
            <w:r w:rsidR="003D281F">
              <w:t xml:space="preserve">. Slovenská republika sa </w:t>
            </w:r>
            <w:r>
              <w:t xml:space="preserve">zároveň </w:t>
            </w:r>
            <w:r w:rsidR="003D281F">
              <w:t xml:space="preserve">podieľa </w:t>
            </w:r>
            <w:r w:rsidR="003D281F">
              <w:t xml:space="preserve">na financovaní operácie prostredníctvom </w:t>
            </w:r>
            <w:r w:rsidR="00070976">
              <w:t xml:space="preserve">príspevkov do </w:t>
            </w:r>
            <w:r w:rsidR="003D281F">
              <w:t>Európskeho mierového nástroja.</w:t>
            </w:r>
          </w:p>
          <w:p w:rsidR="00711222" w:rsidP="00CB71D7">
            <w:pPr>
              <w:pStyle w:val="NormalWeb"/>
              <w:spacing w:before="0" w:beforeAutospacing="0" w:after="200" w:afterAutospacing="0"/>
              <w:ind w:firstLine="426"/>
              <w:jc w:val="both"/>
            </w:pPr>
            <w:r w:rsidR="00070976">
              <w:rPr>
                <w:color w:val="000000"/>
              </w:rPr>
              <w:t>V</w:t>
            </w:r>
            <w:r w:rsidR="003D281F">
              <w:rPr>
                <w:color w:val="000000"/>
              </w:rPr>
              <w:t xml:space="preserve"> nadväznosti na aktiváciu príspevku </w:t>
            </w:r>
            <w:r w:rsidR="00CB71D7">
              <w:rPr>
                <w:color w:val="000000"/>
              </w:rPr>
              <w:t xml:space="preserve">Slovenskej republiky </w:t>
            </w:r>
            <w:r w:rsidR="003D281F">
              <w:rPr>
                <w:color w:val="000000"/>
              </w:rPr>
              <w:t>deklarovaného do vojenskej databázy EÚ</w:t>
            </w:r>
            <w:r>
              <w:rPr>
                <w:color w:val="000000"/>
              </w:rPr>
              <w:t xml:space="preserve"> </w:t>
            </w:r>
            <w:r w:rsidRPr="00D147EE">
              <w:t>sa týmto materiálom navrhuje</w:t>
            </w:r>
            <w:r>
              <w:t>:</w:t>
            </w:r>
          </w:p>
          <w:p w:rsidR="006A3069" w:rsidP="00035E1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426"/>
              <w:jc w:val="both"/>
              <w:rPr>
                <w:b/>
              </w:rPr>
            </w:pPr>
            <w:r w:rsidR="003D281F">
              <w:rPr>
                <w:b/>
              </w:rPr>
              <w:t>vyslanie do 5</w:t>
            </w:r>
            <w:r w:rsidRPr="008B3EA5" w:rsidR="007F7ADA">
              <w:rPr>
                <w:b/>
              </w:rPr>
              <w:t xml:space="preserve"> príslušníkov ozbrojených síl S</w:t>
            </w:r>
            <w:r w:rsidRPr="008B3EA5" w:rsidR="007F7ADA">
              <w:rPr>
                <w:b/>
              </w:rPr>
              <w:t>lovenskej republiky</w:t>
            </w:r>
            <w:r w:rsidR="00035E15">
              <w:rPr>
                <w:b/>
              </w:rPr>
              <w:t xml:space="preserve"> </w:t>
            </w:r>
            <w:r w:rsidRPr="00035E15">
              <w:rPr>
                <w:b/>
              </w:rPr>
              <w:t>do operačného veliteľstva operácie EUNAVFOR ASPIDES;</w:t>
            </w:r>
          </w:p>
          <w:p w:rsidR="00256023" w:rsidRPr="001624D0" w:rsidP="00256023">
            <w:pPr>
              <w:pStyle w:val="NormalWeb"/>
              <w:spacing w:before="0" w:beforeAutospacing="0" w:after="0" w:afterAutospacing="0"/>
              <w:ind w:left="426"/>
              <w:jc w:val="both"/>
              <w:rPr>
                <w:b/>
                <w:sz w:val="16"/>
                <w:szCs w:val="16"/>
              </w:rPr>
            </w:pPr>
          </w:p>
          <w:p w:rsidR="007F7ADA" w:rsidRPr="009228C3" w:rsidP="009228C3">
            <w:pPr>
              <w:pStyle w:val="NormalWeb"/>
              <w:numPr>
                <w:ilvl w:val="0"/>
                <w:numId w:val="13"/>
              </w:numPr>
              <w:spacing w:before="0" w:beforeAutospacing="0" w:after="200" w:afterAutospacing="0"/>
              <w:jc w:val="both"/>
              <w:rPr>
                <w:b/>
              </w:rPr>
            </w:pPr>
            <w:r w:rsidRPr="00B04ACE">
              <w:rPr>
                <w:bCs/>
              </w:rPr>
              <w:t xml:space="preserve">na plnenie úloh </w:t>
            </w:r>
            <w:r w:rsidRPr="00B04ACE" w:rsidR="00CB71D7">
              <w:rPr>
                <w:bCs/>
              </w:rPr>
              <w:t xml:space="preserve">vyplývajúcich z činnosti </w:t>
            </w:r>
            <w:r w:rsidR="009228C3">
              <w:rPr>
                <w:bCs/>
              </w:rPr>
              <w:t>operácie EUNAVFOR ASPIDES</w:t>
            </w:r>
            <w:r w:rsidR="00035E15">
              <w:rPr>
                <w:bCs/>
              </w:rPr>
              <w:t xml:space="preserve"> </w:t>
            </w:r>
            <w:r w:rsidR="00035E15">
              <w:t>podľa opisu funkčnej náplne pre danú pozíciu</w:t>
            </w:r>
            <w:r w:rsidR="006A3069">
              <w:rPr>
                <w:bCs/>
              </w:rPr>
              <w:t>;</w:t>
            </w:r>
          </w:p>
          <w:p w:rsidR="006A3069" w:rsidRPr="006A3069" w:rsidP="00035E15">
            <w:pPr>
              <w:pStyle w:val="NormalWeb"/>
              <w:numPr>
                <w:ilvl w:val="0"/>
                <w:numId w:val="13"/>
              </w:numPr>
              <w:spacing w:before="0" w:beforeAutospacing="0" w:after="200" w:afterAutospacing="0"/>
              <w:jc w:val="both"/>
              <w:rPr>
                <w:b/>
              </w:rPr>
            </w:pPr>
            <w:r w:rsidR="009228C3">
              <w:rPr>
                <w:bCs/>
              </w:rPr>
              <w:t>s pôsobnosť</w:t>
            </w:r>
            <w:r>
              <w:rPr>
                <w:bCs/>
              </w:rPr>
              <w:t xml:space="preserve">ou </w:t>
            </w:r>
            <w:r w:rsidR="00035E15">
              <w:rPr>
                <w:bCs/>
              </w:rPr>
              <w:t xml:space="preserve">na území Grécka, </w:t>
            </w:r>
            <w:r>
              <w:rPr>
                <w:bCs/>
              </w:rPr>
              <w:t xml:space="preserve">v </w:t>
            </w:r>
            <w:r w:rsidR="009228C3">
              <w:rPr>
                <w:bCs/>
              </w:rPr>
              <w:t>operačnom priestore operácie</w:t>
            </w:r>
            <w:r w:rsidR="00F720E2">
              <w:rPr>
                <w:bCs/>
              </w:rPr>
              <w:t xml:space="preserve"> EUNAVFO</w:t>
            </w:r>
            <w:r w:rsidR="00F720E2">
              <w:rPr>
                <w:bCs/>
              </w:rPr>
              <w:t>R ASPIDES</w:t>
            </w:r>
            <w:r w:rsidR="00035E15">
              <w:rPr>
                <w:bCs/>
              </w:rPr>
              <w:t xml:space="preserve"> a v súlade s </w:t>
            </w:r>
            <w:r w:rsidRPr="00035E15" w:rsidR="00035E15">
              <w:rPr>
                <w:bCs/>
              </w:rPr>
              <w:t>Rozhodnutím Rady Európskej únie č. 2024/632</w:t>
            </w:r>
            <w:r>
              <w:rPr>
                <w:bCs/>
              </w:rPr>
              <w:t>;</w:t>
            </w:r>
            <w:r w:rsidR="009228C3">
              <w:rPr>
                <w:bCs/>
              </w:rPr>
              <w:t xml:space="preserve"> </w:t>
            </w:r>
          </w:p>
          <w:p w:rsidR="009228C3" w:rsidRPr="00A64D49" w:rsidP="006A3069">
            <w:pPr>
              <w:pStyle w:val="NormalWeb"/>
              <w:numPr>
                <w:ilvl w:val="0"/>
                <w:numId w:val="13"/>
              </w:numPr>
              <w:spacing w:before="0" w:beforeAutospacing="0" w:after="200" w:afterAutospacing="0"/>
              <w:jc w:val="both"/>
              <w:rPr>
                <w:b/>
              </w:rPr>
            </w:pPr>
            <w:r w:rsidRPr="00A64D49" w:rsidR="006A3069">
              <w:rPr>
                <w:bCs/>
              </w:rPr>
              <w:t xml:space="preserve">s </w:t>
            </w:r>
            <w:r w:rsidRPr="005D1151" w:rsidR="006A3069">
              <w:rPr>
                <w:bCs/>
              </w:rPr>
              <w:t>vojenskou výzbrojou tvorenou krátkou ručnou zbraňou</w:t>
            </w:r>
            <w:r w:rsidRPr="005D1151" w:rsidR="005D1151">
              <w:rPr>
                <w:bCs/>
              </w:rPr>
              <w:t xml:space="preserve"> podľa charakteru a určenia definovaného na výkon danej pozície</w:t>
            </w:r>
            <w:r w:rsidRPr="005D1151" w:rsidR="006A3069">
              <w:rPr>
                <w:bCs/>
              </w:rPr>
              <w:t>;</w:t>
            </w:r>
          </w:p>
          <w:p w:rsidR="002B762E" w:rsidRPr="006A3069" w:rsidP="006A306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b/>
              </w:rPr>
            </w:pPr>
            <w:r w:rsidR="009228C3">
              <w:rPr>
                <w:bCs/>
              </w:rPr>
              <w:t xml:space="preserve">v termíne </w:t>
            </w:r>
            <w:r w:rsidRPr="006A3069" w:rsidR="009228C3">
              <w:rPr>
                <w:bCs/>
              </w:rPr>
              <w:t>odo dňa schválenia návrhu</w:t>
            </w:r>
            <w:r w:rsidRPr="009228C3" w:rsidR="009228C3">
              <w:rPr>
                <w:bCs/>
              </w:rPr>
              <w:t xml:space="preserve"> na vyslanie príslušníkov ozbrojen</w:t>
            </w:r>
            <w:r w:rsidRPr="009228C3" w:rsidR="009228C3">
              <w:rPr>
                <w:bCs/>
              </w:rPr>
              <w:t>ých síl Slovenskej republiky do operačného veliteľstva vojenskej operácie Európskej únie EUNAVFOR ASPIDES</w:t>
            </w:r>
            <w:r w:rsidR="009228C3">
              <w:rPr>
                <w:bCs/>
              </w:rPr>
              <w:t xml:space="preserve"> až do ukončenia mandátu operácie.</w:t>
            </w:r>
          </w:p>
          <w:p w:rsidR="006A3069" w:rsidRPr="006A3069" w:rsidP="006A3069">
            <w:pPr>
              <w:pStyle w:val="NormalWeb"/>
              <w:spacing w:before="0" w:beforeAutospacing="0" w:after="0" w:afterAutospacing="0"/>
              <w:ind w:left="720"/>
              <w:jc w:val="both"/>
              <w:rPr>
                <w:b/>
              </w:rPr>
            </w:pPr>
          </w:p>
          <w:p w:rsidR="001A3BAE" w:rsidRPr="00D147EE" w:rsidP="00B04ACE">
            <w:pPr>
              <w:pStyle w:val="NormalWeb"/>
              <w:numPr>
                <w:ilvl w:val="0"/>
                <w:numId w:val="11"/>
              </w:numPr>
              <w:spacing w:before="0" w:beforeAutospacing="0" w:after="200" w:afterAutospacing="0"/>
              <w:ind w:left="426" w:hanging="426"/>
              <w:jc w:val="both"/>
            </w:pPr>
            <w:r w:rsidRPr="00D147EE">
              <w:rPr>
                <w:u w:val="single"/>
              </w:rPr>
              <w:t>Právne aspekty návrhu</w:t>
            </w:r>
          </w:p>
          <w:p w:rsidR="00B04ACE" w:rsidRPr="00B04ACE" w:rsidP="00B04ACE">
            <w:pPr>
              <w:pStyle w:val="NormalWeb"/>
              <w:spacing w:before="0" w:beforeAutospacing="0" w:after="0" w:afterAutospacing="0"/>
              <w:ind w:firstLine="426"/>
              <w:jc w:val="both"/>
            </w:pPr>
            <w:r w:rsidRPr="00B04ACE">
              <w:t>Operácia je realizovaná na základe R</w:t>
            </w:r>
            <w:r w:rsidRPr="00B04ACE" w:rsidR="007F7ADA">
              <w:t xml:space="preserve">ozhodnutia </w:t>
            </w:r>
            <w:r w:rsidRPr="00B04ACE" w:rsidR="007B33BA">
              <w:t xml:space="preserve">Rady Európskej únie </w:t>
            </w:r>
            <w:r w:rsidRPr="00B04ACE">
              <w:t xml:space="preserve">č. 2024/583 z 8. februára </w:t>
            </w:r>
            <w:r w:rsidRPr="00B04ACE">
              <w:t>2024 o</w:t>
            </w:r>
            <w:r w:rsidR="0024101A">
              <w:t> zriadení operácie a Rozhodnutia</w:t>
            </w:r>
            <w:r w:rsidRPr="00B04ACE">
              <w:t xml:space="preserve"> Rady Európskej únie č. 2024/632 z 19. februára 2024 o spustení operácie.</w:t>
            </w:r>
          </w:p>
          <w:p w:rsidR="00B04ACE" w:rsidRPr="00B04ACE" w:rsidP="00B04ACE">
            <w:pPr>
              <w:pStyle w:val="NormalWeb"/>
              <w:spacing w:before="0" w:beforeAutospacing="0" w:after="0" w:afterAutospacing="0"/>
              <w:jc w:val="both"/>
              <w:rPr>
                <w:sz w:val="8"/>
                <w:szCs w:val="8"/>
              </w:rPr>
            </w:pPr>
          </w:p>
          <w:p w:rsidR="00B04ACE" w:rsidRPr="00B04ACE" w:rsidP="00B04ACE">
            <w:pPr>
              <w:pStyle w:val="NormalWeb"/>
              <w:spacing w:before="0" w:beforeAutospacing="0" w:after="0" w:afterAutospacing="0"/>
              <w:ind w:firstLine="426"/>
              <w:jc w:val="both"/>
            </w:pPr>
            <w:r w:rsidRPr="00B04ACE" w:rsidR="008B3EA5">
              <w:t>Materiál sa pre</w:t>
            </w:r>
            <w:r w:rsidR="005D1151">
              <w:t>dkladá v súlade s čl. 86 písm. l</w:t>
            </w:r>
            <w:r w:rsidRPr="00B04ACE" w:rsidR="008B3EA5">
              <w:t>) Ústavy Slovenskej republiky, na základe ktorého podlieha súhlasu Národnej rady Slovenskej repu</w:t>
            </w:r>
            <w:r w:rsidRPr="00B04ACE" w:rsidR="008B3EA5">
              <w:t>bliky každé vyslanie príslušník</w:t>
            </w:r>
            <w:r w:rsidRPr="00B04ACE" w:rsidR="007B33BA">
              <w:t>ov</w:t>
            </w:r>
            <w:r w:rsidRPr="00B04ACE" w:rsidR="008B3EA5">
              <w:t xml:space="preserve"> ozbrojených síl Slovenskej republiky na plnenie úloh mimo územia Slovenskej republiky, ak toto vyslanie nepatrí podľa Ústavy Slovenskej republiky do vymedzenej právomoci vlády Slovenskej republiky. </w:t>
            </w:r>
          </w:p>
          <w:p w:rsidR="00B04ACE" w:rsidRPr="00B04ACE" w:rsidP="00B04ACE">
            <w:pPr>
              <w:pStyle w:val="NormalWeb"/>
              <w:spacing w:before="0" w:beforeAutospacing="0" w:after="0" w:afterAutospacing="0"/>
              <w:ind w:firstLine="426"/>
              <w:jc w:val="both"/>
              <w:rPr>
                <w:sz w:val="8"/>
                <w:szCs w:val="8"/>
              </w:rPr>
            </w:pPr>
          </w:p>
          <w:p w:rsidR="001A3BAE" w:rsidRPr="00B04ACE" w:rsidP="00B04ACE">
            <w:pPr>
              <w:pStyle w:val="NormalWeb"/>
              <w:spacing w:before="0" w:beforeAutospacing="0" w:after="0" w:afterAutospacing="0"/>
              <w:ind w:firstLine="426"/>
              <w:jc w:val="both"/>
            </w:pPr>
            <w:r w:rsidRPr="00B04ACE">
              <w:t xml:space="preserve">Konkrétne náležitosti </w:t>
            </w:r>
            <w:r w:rsidRPr="00B04ACE">
              <w:t>súvisiace s </w:t>
            </w:r>
            <w:r w:rsidRPr="00B04ACE" w:rsidR="00686D21">
              <w:t>plnením úloh príslušníkov ozbrojených síl Slovenskej republiky v </w:t>
            </w:r>
            <w:r w:rsidRPr="00B04ACE">
              <w:t>operácii</w:t>
            </w:r>
            <w:r w:rsidRPr="00B04ACE" w:rsidR="003E1D1B">
              <w:t xml:space="preserve"> mimo územia S</w:t>
            </w:r>
            <w:r w:rsidRPr="00B04ACE" w:rsidR="001B63B3">
              <w:t>lovenskej republiky</w:t>
            </w:r>
            <w:r w:rsidRPr="00B04ACE" w:rsidR="003E1D1B">
              <w:t xml:space="preserve"> </w:t>
            </w:r>
            <w:r w:rsidRPr="00B04ACE" w:rsidR="007F7ADA">
              <w:t>budú</w:t>
            </w:r>
            <w:r w:rsidRPr="00B04ACE">
              <w:t xml:space="preserve"> upravené osobitným medzinárodným zmluv</w:t>
            </w:r>
            <w:r w:rsidRPr="00B04ACE" w:rsidR="006A21CB">
              <w:t>ným dokument</w:t>
            </w:r>
            <w:r w:rsidRPr="00B04ACE" w:rsidR="003755CB">
              <w:t>om/dokumentmi.</w:t>
            </w:r>
          </w:p>
          <w:p w:rsidR="001A3BAE" w:rsidP="001A3BAE">
            <w:pPr>
              <w:pStyle w:val="NormalWeb"/>
              <w:spacing w:before="120" w:beforeAutospacing="0" w:after="120" w:afterAutospacing="0"/>
              <w:ind w:firstLine="709"/>
              <w:jc w:val="both"/>
            </w:pPr>
            <w:r>
              <w:t> </w:t>
            </w:r>
          </w:p>
          <w:p w:rsidR="00AD5A17" w:rsidRPr="008A64BF" w:rsidP="00C8189D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</w:tr>
      <w:tr w:rsidTr="001A3BAE">
        <w:tblPrEx>
          <w:tblW w:w="0" w:type="auto"/>
          <w:tblLook w:val="01E0"/>
        </w:tblPrEx>
        <w:tc>
          <w:tcPr>
            <w:tcW w:w="8897" w:type="dxa"/>
            <w:shd w:val="clear" w:color="auto" w:fill="auto"/>
          </w:tcPr>
          <w:p w:rsidR="00A26FE2" w:rsidRPr="00D147EE" w:rsidP="004E78F9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Tr="001A3BAE">
        <w:tblPrEx>
          <w:tblW w:w="0" w:type="auto"/>
          <w:tblLook w:val="01E0"/>
        </w:tblPrEx>
        <w:tc>
          <w:tcPr>
            <w:tcW w:w="8897" w:type="dxa"/>
            <w:shd w:val="clear" w:color="auto" w:fill="auto"/>
          </w:tcPr>
          <w:p w:rsidR="00A26FE2" w:rsidRPr="00D147EE" w:rsidP="004E78F9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Tr="001A3BAE">
        <w:tblPrEx>
          <w:tblW w:w="0" w:type="auto"/>
          <w:tblLook w:val="01E0"/>
        </w:tblPrEx>
        <w:tc>
          <w:tcPr>
            <w:tcW w:w="8897" w:type="dxa"/>
            <w:shd w:val="clear" w:color="auto" w:fill="auto"/>
          </w:tcPr>
          <w:p w:rsidR="00A26FE2" w:rsidRPr="00D147EE" w:rsidP="004E78F9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Tr="001A3BAE">
        <w:tblPrEx>
          <w:tblW w:w="0" w:type="auto"/>
          <w:tblLook w:val="01E0"/>
        </w:tblPrEx>
        <w:tc>
          <w:tcPr>
            <w:tcW w:w="8897" w:type="dxa"/>
            <w:shd w:val="clear" w:color="auto" w:fill="auto"/>
          </w:tcPr>
          <w:p w:rsidR="00A26FE2" w:rsidRPr="00D147EE" w:rsidP="004E78F9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Tr="001A3BAE">
        <w:tblPrEx>
          <w:tblW w:w="0" w:type="auto"/>
          <w:tblLook w:val="01E0"/>
        </w:tblPrEx>
        <w:tc>
          <w:tcPr>
            <w:tcW w:w="8897" w:type="dxa"/>
            <w:shd w:val="clear" w:color="auto" w:fill="auto"/>
          </w:tcPr>
          <w:p w:rsidR="00A26FE2" w:rsidRPr="00D147EE" w:rsidP="004E78F9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Tr="001A3BAE">
        <w:tblPrEx>
          <w:tblW w:w="0" w:type="auto"/>
          <w:tblLook w:val="01E0"/>
        </w:tblPrEx>
        <w:tc>
          <w:tcPr>
            <w:tcW w:w="8897" w:type="dxa"/>
            <w:shd w:val="clear" w:color="auto" w:fill="auto"/>
          </w:tcPr>
          <w:p w:rsidR="00A26FE2" w:rsidRPr="00D147EE" w:rsidP="004E78F9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Tr="001A3BAE">
        <w:tblPrEx>
          <w:tblW w:w="0" w:type="auto"/>
          <w:tblLook w:val="01E0"/>
        </w:tblPrEx>
        <w:tc>
          <w:tcPr>
            <w:tcW w:w="8897" w:type="dxa"/>
            <w:shd w:val="clear" w:color="auto" w:fill="auto"/>
          </w:tcPr>
          <w:p w:rsidR="00A26FE2" w:rsidRPr="00D147EE" w:rsidP="004E78F9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:rsidR="004E78F9" w:rsidP="004E78F9">
      <w:pPr>
        <w:pStyle w:val="Default"/>
      </w:pPr>
    </w:p>
    <w:p w:rsidR="00AD5A17">
      <w:pPr>
        <w:rPr>
          <w:rFonts w:ascii="Garamond" w:hAnsi="Garamond"/>
        </w:rPr>
      </w:pPr>
    </w:p>
    <w:sectPr w:rsidSect="005F6813">
      <w:footerReference w:type="defaul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24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1F5C82">
      <w:rPr>
        <w:noProof/>
      </w:rPr>
      <w:t>2</w:t>
    </w:r>
    <w:r>
      <w:fldChar w:fldCharType="end"/>
    </w:r>
  </w:p>
  <w:p w:rsidR="00833FE4" w:rsidP="00833FE4">
    <w:pPr>
      <w:pStyle w:val="Footer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0DE8"/>
    <w:multiLevelType w:val="hybridMultilevel"/>
    <w:tmpl w:val="442C9DA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E1678D1"/>
    <w:multiLevelType w:val="hybridMultilevel"/>
    <w:tmpl w:val="55A8634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BA3875"/>
    <w:multiLevelType w:val="hybridMultilevel"/>
    <w:tmpl w:val="98A8C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65D04"/>
    <w:multiLevelType w:val="hybridMultilevel"/>
    <w:tmpl w:val="9F18E73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41A69"/>
    <w:multiLevelType w:val="hybridMultilevel"/>
    <w:tmpl w:val="C33EDA0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267A2"/>
    <w:multiLevelType w:val="hybridMultilevel"/>
    <w:tmpl w:val="F9C23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114C9"/>
    <w:multiLevelType w:val="hybridMultilevel"/>
    <w:tmpl w:val="EE5A769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52FC8"/>
    <w:multiLevelType w:val="hybridMultilevel"/>
    <w:tmpl w:val="A7223E4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247701"/>
    <w:multiLevelType w:val="hybridMultilevel"/>
    <w:tmpl w:val="B800712E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8BA05BA"/>
    <w:multiLevelType w:val="hybridMultilevel"/>
    <w:tmpl w:val="D624BEC6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9077256"/>
    <w:multiLevelType w:val="hybridMultilevel"/>
    <w:tmpl w:val="A5BA464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F502E32"/>
    <w:multiLevelType w:val="hybridMultilevel"/>
    <w:tmpl w:val="E1E6E3B0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710B7AC2"/>
    <w:multiLevelType w:val="hybridMultilevel"/>
    <w:tmpl w:val="F41C9388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A17"/>
    <w:rsid w:val="000048FF"/>
    <w:rsid w:val="00035E15"/>
    <w:rsid w:val="00040682"/>
    <w:rsid w:val="00042179"/>
    <w:rsid w:val="00056369"/>
    <w:rsid w:val="00070976"/>
    <w:rsid w:val="000769C3"/>
    <w:rsid w:val="00086546"/>
    <w:rsid w:val="00086EDD"/>
    <w:rsid w:val="00086F1E"/>
    <w:rsid w:val="00092689"/>
    <w:rsid w:val="000C1304"/>
    <w:rsid w:val="000C6CF5"/>
    <w:rsid w:val="000D59C4"/>
    <w:rsid w:val="000D699A"/>
    <w:rsid w:val="001437B9"/>
    <w:rsid w:val="00152FD3"/>
    <w:rsid w:val="001624D0"/>
    <w:rsid w:val="001A3BAE"/>
    <w:rsid w:val="001B63B3"/>
    <w:rsid w:val="001E2B40"/>
    <w:rsid w:val="001F5C82"/>
    <w:rsid w:val="00235C3D"/>
    <w:rsid w:val="0024101A"/>
    <w:rsid w:val="00256023"/>
    <w:rsid w:val="002B762E"/>
    <w:rsid w:val="002D3048"/>
    <w:rsid w:val="002D6474"/>
    <w:rsid w:val="0031401E"/>
    <w:rsid w:val="00324010"/>
    <w:rsid w:val="003755CB"/>
    <w:rsid w:val="003977D1"/>
    <w:rsid w:val="003A3E3A"/>
    <w:rsid w:val="003A4E9C"/>
    <w:rsid w:val="003C2DFF"/>
    <w:rsid w:val="003D281F"/>
    <w:rsid w:val="003E1D1B"/>
    <w:rsid w:val="003E4B29"/>
    <w:rsid w:val="00425E2B"/>
    <w:rsid w:val="00452367"/>
    <w:rsid w:val="004564F5"/>
    <w:rsid w:val="004E78F9"/>
    <w:rsid w:val="004F1130"/>
    <w:rsid w:val="00550309"/>
    <w:rsid w:val="00551A33"/>
    <w:rsid w:val="005965D9"/>
    <w:rsid w:val="005B1BE0"/>
    <w:rsid w:val="005D1151"/>
    <w:rsid w:val="005F6813"/>
    <w:rsid w:val="00627971"/>
    <w:rsid w:val="00627D92"/>
    <w:rsid w:val="0064488E"/>
    <w:rsid w:val="00657B0C"/>
    <w:rsid w:val="00675251"/>
    <w:rsid w:val="00681FC5"/>
    <w:rsid w:val="00686D21"/>
    <w:rsid w:val="006A21CB"/>
    <w:rsid w:val="006A3069"/>
    <w:rsid w:val="006B744D"/>
    <w:rsid w:val="006C1F30"/>
    <w:rsid w:val="006F7214"/>
    <w:rsid w:val="00711222"/>
    <w:rsid w:val="00757189"/>
    <w:rsid w:val="00797FEE"/>
    <w:rsid w:val="007B33BA"/>
    <w:rsid w:val="007D3145"/>
    <w:rsid w:val="007E1D7D"/>
    <w:rsid w:val="007F7ADA"/>
    <w:rsid w:val="00804F24"/>
    <w:rsid w:val="00833FE4"/>
    <w:rsid w:val="00877F7B"/>
    <w:rsid w:val="008A64BF"/>
    <w:rsid w:val="008B3EA5"/>
    <w:rsid w:val="008F23CE"/>
    <w:rsid w:val="008F3628"/>
    <w:rsid w:val="009058CB"/>
    <w:rsid w:val="00921AD2"/>
    <w:rsid w:val="009228C3"/>
    <w:rsid w:val="00933314"/>
    <w:rsid w:val="009B21AD"/>
    <w:rsid w:val="009B66A4"/>
    <w:rsid w:val="009E43C3"/>
    <w:rsid w:val="00A15D06"/>
    <w:rsid w:val="00A26FE2"/>
    <w:rsid w:val="00A333C5"/>
    <w:rsid w:val="00A64D49"/>
    <w:rsid w:val="00AA06FC"/>
    <w:rsid w:val="00AB19E0"/>
    <w:rsid w:val="00AD5A17"/>
    <w:rsid w:val="00AE6C8B"/>
    <w:rsid w:val="00B04ACE"/>
    <w:rsid w:val="00B16793"/>
    <w:rsid w:val="00B342F7"/>
    <w:rsid w:val="00BC35C1"/>
    <w:rsid w:val="00BC4756"/>
    <w:rsid w:val="00C1453B"/>
    <w:rsid w:val="00C37CB2"/>
    <w:rsid w:val="00C42A2D"/>
    <w:rsid w:val="00C625CA"/>
    <w:rsid w:val="00C642D7"/>
    <w:rsid w:val="00C704C7"/>
    <w:rsid w:val="00C8189D"/>
    <w:rsid w:val="00C93231"/>
    <w:rsid w:val="00CB0843"/>
    <w:rsid w:val="00CB71D7"/>
    <w:rsid w:val="00CD7B22"/>
    <w:rsid w:val="00CE5294"/>
    <w:rsid w:val="00CF0D7F"/>
    <w:rsid w:val="00D147EE"/>
    <w:rsid w:val="00D36658"/>
    <w:rsid w:val="00D5685A"/>
    <w:rsid w:val="00D61BF2"/>
    <w:rsid w:val="00D666F2"/>
    <w:rsid w:val="00D902AB"/>
    <w:rsid w:val="00DB175C"/>
    <w:rsid w:val="00DB3CA6"/>
    <w:rsid w:val="00E07AD4"/>
    <w:rsid w:val="00E5665A"/>
    <w:rsid w:val="00E64BA1"/>
    <w:rsid w:val="00E8456E"/>
    <w:rsid w:val="00EB079C"/>
    <w:rsid w:val="00EC5A10"/>
    <w:rsid w:val="00EE01A0"/>
    <w:rsid w:val="00EF069B"/>
    <w:rsid w:val="00EF7A9B"/>
    <w:rsid w:val="00F0122D"/>
    <w:rsid w:val="00F35173"/>
    <w:rsid w:val="00F41D71"/>
    <w:rsid w:val="00F66D32"/>
    <w:rsid w:val="00F720E2"/>
    <w:rsid w:val="00F939E8"/>
    <w:rsid w:val="00FC7F60"/>
    <w:rsid w:val="00FD0A00"/>
    <w:rsid w:val="00FD770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AB19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C8189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semiHidden/>
    <w:unhideWhenUsed/>
    <w:qFormat/>
    <w:rsid w:val="008B3EA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AD5A17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D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7AD4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AB19E0"/>
    <w:pPr>
      <w:ind w:left="283" w:hanging="283"/>
    </w:pPr>
  </w:style>
  <w:style w:type="paragraph" w:styleId="BodyText">
    <w:name w:val="Body Text"/>
    <w:basedOn w:val="Normal"/>
    <w:rsid w:val="00AB19E0"/>
    <w:pPr>
      <w:spacing w:after="120"/>
    </w:pPr>
  </w:style>
  <w:style w:type="character" w:customStyle="1" w:styleId="Nadpis2Char">
    <w:name w:val="Nadpis 2 Char"/>
    <w:link w:val="Heading2"/>
    <w:semiHidden/>
    <w:rsid w:val="00C818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C8189D"/>
    <w:pPr>
      <w:spacing w:before="100" w:beforeAutospacing="1" w:after="100" w:afterAutospacing="1"/>
    </w:pPr>
  </w:style>
  <w:style w:type="paragraph" w:customStyle="1" w:styleId="Default">
    <w:name w:val="Default"/>
    <w:rsid w:val="004E78F9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4Char">
    <w:name w:val="Nadpis 4 Char"/>
    <w:link w:val="Heading4"/>
    <w:semiHidden/>
    <w:rsid w:val="008B3EA5"/>
    <w:rPr>
      <w:rFonts w:ascii="Calibri" w:eastAsia="Times New Roman" w:hAnsi="Calibri" w:cs="Times New Roman"/>
      <w:b/>
      <w:bCs/>
      <w:sz w:val="28"/>
      <w:szCs w:val="28"/>
    </w:rPr>
  </w:style>
  <w:style w:type="character" w:styleId="CommentReference">
    <w:name w:val="annotation reference"/>
    <w:rsid w:val="00F41D71"/>
    <w:rPr>
      <w:sz w:val="16"/>
      <w:szCs w:val="16"/>
    </w:rPr>
  </w:style>
  <w:style w:type="paragraph" w:styleId="CommentText">
    <w:name w:val="annotation text"/>
    <w:basedOn w:val="Normal"/>
    <w:link w:val="TextkomentraChar"/>
    <w:rsid w:val="00F41D71"/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rsid w:val="00F41D71"/>
  </w:style>
  <w:style w:type="paragraph" w:styleId="CommentSubject">
    <w:name w:val="annotation subject"/>
    <w:basedOn w:val="CommentText"/>
    <w:next w:val="CommentText"/>
    <w:link w:val="PredmetkomentraChar"/>
    <w:rsid w:val="00F41D71"/>
    <w:rPr>
      <w:b/>
      <w:bCs/>
    </w:rPr>
  </w:style>
  <w:style w:type="character" w:customStyle="1" w:styleId="PredmetkomentraChar">
    <w:name w:val="Predmet komentára Char"/>
    <w:link w:val="CommentSubject"/>
    <w:rsid w:val="00F41D71"/>
    <w:rPr>
      <w:b/>
      <w:bCs/>
    </w:rPr>
  </w:style>
  <w:style w:type="paragraph" w:styleId="Header">
    <w:name w:val="header"/>
    <w:basedOn w:val="Normal"/>
    <w:link w:val="HlavikaChar"/>
    <w:rsid w:val="00833F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833FE4"/>
    <w:rPr>
      <w:sz w:val="24"/>
      <w:szCs w:val="24"/>
    </w:rPr>
  </w:style>
  <w:style w:type="paragraph" w:styleId="Footer">
    <w:name w:val="footer"/>
    <w:basedOn w:val="Normal"/>
    <w:link w:val="PtaChar"/>
    <w:uiPriority w:val="99"/>
    <w:rsid w:val="00833FE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833F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B9FAF6A-FB5A-46C6-B17F-41FC1A2BF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E3F14-17D1-4F87-870D-DD6A3609BA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4AB34A-0505-42EC-8F9F-B98F48164B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95C0C6-2409-4DD9-88DC-B3D01555324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0404E6-1866-49E9-908F-C37FF0F9C3B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OBRANY SR</vt:lpstr>
    </vt:vector>
  </TitlesOfParts>
  <Company>MOSR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SR</dc:title>
  <dc:creator>kostkovaj</dc:creator>
  <cp:lastModifiedBy>GULA Peter</cp:lastModifiedBy>
  <cp:revision>3</cp:revision>
  <cp:lastPrinted>2024-03-27T14:24:00Z</cp:lastPrinted>
  <dcterms:created xsi:type="dcterms:W3CDTF">2024-05-29T13:00:00Z</dcterms:created>
  <dcterms:modified xsi:type="dcterms:W3CDTF">2024-06-04T13:28:00Z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COO.2145.1000.3.6181311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/>
  </property>
  <property fmtid="{D5CDD505-2E9C-101B-9397-08002B2CF9AE}" pid="32" name="FSC#SKEDITIONSLOVLEX@103.510:AttrStrListDocPropTextPredklSpravy">
    <vt:lpwstr/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/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/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LP/2024/245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>Juraj Blanár</vt:lpwstr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>Minister zahraničných vecí a európskych záležitosti Slovenskej republiky, </vt:lpwstr>
  </property>
  <property fmtid="{D5CDD505-2E9C-101B-9397-08002B2CF9AE}" pid="116" name="FSC#SKEDITIONSLOVLEX@103.510:funkciaDalsiPredAkuzativ">
    <vt:lpwstr>Ministra zahraničných vecí a európskych záležitostí Slovenskej republiky, </vt:lpwstr>
  </property>
  <property fmtid="{D5CDD505-2E9C-101B-9397-08002B2CF9AE}" pid="117" name="FSC#SKEDITIONSLOVLEX@103.510:funkciaDalsiPredDativ">
    <vt:lpwstr>Ministrovi zahraničných vecí a európskych záležitostí Slovenskej republiky, </vt:lpwstr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podpredseda vlády a minister obrany SR</vt:lpwstr>
  </property>
  <property fmtid="{D5CDD505-2E9C-101B-9397-08002B2CF9AE}" pid="122" name="FSC#SKEDITIONSLOVLEX@103.510:funkciaZodpPredAkuzativ">
    <vt:lpwstr>podpredsedovi vlády a ministrovi obrany Slovenskej republiky</vt:lpwstr>
  </property>
  <property fmtid="{D5CDD505-2E9C-101B-9397-08002B2CF9AE}" pid="123" name="FSC#SKEDITIONSLOVLEX@103.510:funkciaZodpPredDativ">
    <vt:lpwstr>podpredsedu vlády a ministra obrany Slovenskej republiky</vt:lpwstr>
  </property>
  <property fmtid="{D5CDD505-2E9C-101B-9397-08002B2CF9AE}" pid="124" name="FSC#SKEDITIONSLOVLEX@103.510:legoblast">
    <vt:lpwstr>Nelegislatívna oblasť</vt:lpwstr>
  </property>
  <property fmtid="{D5CDD505-2E9C-101B-9397-08002B2CF9AE}" pid="125" name="FSC#SKEDITIONSLOVLEX@103.510:nazovpredpis">
    <vt:lpwstr> Návrh na vyslanie príslušníkov ozbrojených síl Slovenskej republiky do operačného veliteľstva vojenskej operácie Európskej únie EUNAVFOR ASPIDES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Návrh na vyslanie príslušníkov ozbrojených síl Slovenskej republiky do operačného veliteľstva vojenskej operácie Európskej únie EUNAVFOR ASPIDES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čl. 86 písm. l) Ústavy SR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Ing. Andrea Hepnerová</vt:lpwstr>
  </property>
  <property fmtid="{D5CDD505-2E9C-101B-9397-08002B2CF9AE}" pid="138" name="FSC#SKEDITIONSLOVLEX@103.510:predkladateliaObalSD">
    <vt:lpwstr>Robert Kaliňák
podpredseda vlády a minister obrany SR
Juraj Blanár
Minister zahraničných vecí a európskych záležitosti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SEOP-42-9/2024 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Nelegislatívny všeobecný materiál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23. 5. 2024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obrany Slovenskej republiky</vt:lpwstr>
  </property>
  <property fmtid="{D5CDD505-2E9C-101B-9397-08002B2CF9AE}" pid="152" name="FSC#SKEDITIONSLOVLEX@103.510:zodppredkladatel">
    <vt:lpwstr>Robert Kaliňák</vt:lpwstr>
  </property>
  <property fmtid="{D5CDD505-2E9C-101B-9397-08002B2CF9AE}" pid="153" name="_dlc_DocId">
    <vt:lpwstr>WKX3UHSAJ2R6-2-769850</vt:lpwstr>
  </property>
  <property fmtid="{D5CDD505-2E9C-101B-9397-08002B2CF9AE}" pid="154" name="_dlc_DocIdItemGuid">
    <vt:lpwstr>225b36ed-9c85-43d8-9796-6ce22fcc3df6</vt:lpwstr>
  </property>
  <property fmtid="{D5CDD505-2E9C-101B-9397-08002B2CF9AE}" pid="155" name="_dlc_DocIdUrl">
    <vt:lpwstr>https://ovdmasv601/sites/DMS/_layouts/15/DocIdRedir.aspx?ID=WKX3UHSAJ2R6-2-769850, WKX3UHSAJ2R6-2-769850</vt:lpwstr>
  </property>
</Properties>
</file>