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79" w:rsidRPr="00A929B7" w:rsidRDefault="00220C79" w:rsidP="00B71908">
      <w:pPr>
        <w:spacing w:line="276" w:lineRule="auto"/>
        <w:jc w:val="center"/>
        <w:rPr>
          <w:b/>
          <w:spacing w:val="30"/>
        </w:rPr>
      </w:pPr>
      <w:r w:rsidRPr="00A929B7">
        <w:rPr>
          <w:b/>
          <w:spacing w:val="30"/>
        </w:rPr>
        <w:t>DÔVODOVÁ SPRÁVA</w:t>
      </w:r>
    </w:p>
    <w:p w:rsidR="00220C79" w:rsidRPr="00A929B7" w:rsidRDefault="00220C79" w:rsidP="00B71908">
      <w:pPr>
        <w:spacing w:line="276" w:lineRule="auto"/>
        <w:ind w:firstLine="709"/>
        <w:jc w:val="both"/>
        <w:rPr>
          <w:b/>
        </w:rPr>
      </w:pPr>
    </w:p>
    <w:p w:rsidR="00220C79" w:rsidRPr="00A929B7" w:rsidRDefault="00E67E5D" w:rsidP="00B71908">
      <w:pPr>
        <w:spacing w:line="276" w:lineRule="auto"/>
        <w:jc w:val="both"/>
        <w:rPr>
          <w:b/>
        </w:rPr>
      </w:pPr>
      <w:r>
        <w:rPr>
          <w:b/>
        </w:rPr>
        <w:t>A. Všeobecná časť</w:t>
      </w:r>
    </w:p>
    <w:p w:rsidR="00B3532C" w:rsidRDefault="00B3532C" w:rsidP="00B71908">
      <w:pPr>
        <w:spacing w:line="276" w:lineRule="auto"/>
        <w:ind w:firstLine="708"/>
        <w:jc w:val="both"/>
      </w:pPr>
    </w:p>
    <w:p w:rsidR="00A4142B" w:rsidRPr="00BC13FD" w:rsidRDefault="00E61EAA" w:rsidP="00BC13FD">
      <w:pPr>
        <w:spacing w:line="276" w:lineRule="auto"/>
        <w:ind w:firstLine="708"/>
        <w:jc w:val="both"/>
      </w:pPr>
      <w:r w:rsidRPr="00CD4827">
        <w:t xml:space="preserve">Na rokovanie Národnej rady Slovenskej republiky sa predkladá návrh </w:t>
      </w:r>
      <w:r w:rsidR="00B71908">
        <w:rPr>
          <w:rStyle w:val="awspan"/>
        </w:rPr>
        <w:t>poslancov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Národnej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rady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Slovenskej</w:t>
      </w:r>
      <w:r>
        <w:rPr>
          <w:rStyle w:val="awspan"/>
          <w:spacing w:val="36"/>
        </w:rPr>
        <w:t xml:space="preserve"> </w:t>
      </w:r>
      <w:r w:rsidRPr="005F3E08">
        <w:rPr>
          <w:rStyle w:val="awspan"/>
        </w:rPr>
        <w:t>republiky</w:t>
      </w:r>
      <w:r w:rsidR="005F3E08" w:rsidRPr="005F3E08">
        <w:rPr>
          <w:rStyle w:val="awspan"/>
        </w:rPr>
        <w:t xml:space="preserve"> Adama Lučanského</w:t>
      </w:r>
      <w:r w:rsidR="00B71908" w:rsidRPr="005F3E08">
        <w:rPr>
          <w:rStyle w:val="awspan"/>
        </w:rPr>
        <w:t>, Milana Garaja</w:t>
      </w:r>
      <w:r w:rsidR="005F3E08" w:rsidRPr="005F3E08">
        <w:rPr>
          <w:rStyle w:val="awspan"/>
        </w:rPr>
        <w:t>, Andreja Danka</w:t>
      </w:r>
      <w:r w:rsidR="00B71908" w:rsidRPr="005F3E08">
        <w:rPr>
          <w:rStyle w:val="awspan"/>
        </w:rPr>
        <w:t xml:space="preserve"> a </w:t>
      </w:r>
      <w:r w:rsidR="005F3E08" w:rsidRPr="005F3E08">
        <w:rPr>
          <w:rStyle w:val="awspan"/>
        </w:rPr>
        <w:t>Rudolfa Huliaka</w:t>
      </w:r>
      <w:r w:rsidR="005F3E08" w:rsidRPr="005F3E08">
        <w:t xml:space="preserve"> </w:t>
      </w:r>
      <w:r w:rsidRPr="005F3E08">
        <w:t>na vydanie zákona,</w:t>
      </w:r>
      <w:r w:rsidRPr="00B71908">
        <w:t xml:space="preserve"> </w:t>
      </w:r>
      <w:r w:rsidR="00A4142B">
        <w:t xml:space="preserve">ktorým sa </w:t>
      </w:r>
      <w:r w:rsidR="00A4142B" w:rsidRPr="00A4142B">
        <w:rPr>
          <w:b/>
          <w:bCs/>
          <w:color w:val="0F0F0F"/>
        </w:rPr>
        <w:t>mení a dopĺňa zákon č. 211/2000 Z. z. o slobodnom prístupe k informáciám a o zmene a doplnení niektorých zákonov (zákon o slobode informácií) v znení neskorších predpisov</w:t>
      </w:r>
      <w:r w:rsidR="001433EF">
        <w:rPr>
          <w:b/>
          <w:bCs/>
          <w:color w:val="0F0F0F"/>
        </w:rPr>
        <w:t xml:space="preserve"> </w:t>
      </w:r>
      <w:r w:rsidR="001433EF">
        <w:rPr>
          <w:color w:val="0F0F0F"/>
        </w:rPr>
        <w:t>(ďalej aj ako „</w:t>
      </w:r>
      <w:r w:rsidR="001433EF" w:rsidRPr="00BC13FD">
        <w:rPr>
          <w:color w:val="0F0F0F"/>
        </w:rPr>
        <w:t>zákon č. 211/2000 Z. z.</w:t>
      </w:r>
      <w:r w:rsidR="001433EF">
        <w:rPr>
          <w:color w:val="0F0F0F"/>
        </w:rPr>
        <w:t>“)</w:t>
      </w:r>
      <w:r w:rsidRPr="00A4142B">
        <w:t>.</w:t>
      </w:r>
      <w:r w:rsidR="00BB4D18">
        <w:t xml:space="preserve"> </w:t>
      </w:r>
    </w:p>
    <w:p w:rsidR="00A4142B" w:rsidRPr="00BC13FD" w:rsidRDefault="00A4142B" w:rsidP="00BC13FD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t>Cieľom predkladaného návrhu je zavedenie mechanizmu, ktorý umožní povinným osobám efektívnejšie riadiť proces poskytovania informácií a zabezpečiť úhradu nákladov spojených s</w:t>
      </w:r>
      <w:r w:rsidR="00BC13FD" w:rsidRPr="00BC13FD">
        <w:rPr>
          <w:color w:val="0F0F0F"/>
        </w:rPr>
        <w:t xml:space="preserve"> rozsiahlym</w:t>
      </w:r>
      <w:r w:rsidRPr="00BC13FD">
        <w:rPr>
          <w:color w:val="0F0F0F"/>
        </w:rPr>
        <w:t xml:space="preserve"> vyhľadávaním a sprístupňovaním informácií. </w:t>
      </w:r>
      <w:r w:rsidR="00BC13FD" w:rsidRPr="00BC13FD">
        <w:rPr>
          <w:color w:val="0F0F0F"/>
        </w:rPr>
        <w:t xml:space="preserve"> </w:t>
      </w:r>
      <w:r w:rsidRPr="00BC13FD">
        <w:rPr>
          <w:color w:val="0F0F0F"/>
        </w:rPr>
        <w:t>Navrhovaná úprava zákona zavádza možnosť povinných osôb požadovať úhradu nákladov spojených s mimoriadne rozsiahlym vyhľadávaním informácií. Povinné osoby budú oprávnené požadovať úhradu nákladov za mimoriadne rozsiahle vyhľadávanie informácií, ktoré výrazne zaťaž</w:t>
      </w:r>
      <w:r w:rsidR="00FD7F10">
        <w:rPr>
          <w:color w:val="0F0F0F"/>
        </w:rPr>
        <w:t>uje</w:t>
      </w:r>
      <w:r w:rsidRPr="00BC13FD">
        <w:rPr>
          <w:color w:val="0F0F0F"/>
        </w:rPr>
        <w:t xml:space="preserve"> ich administratívne kapacity. </w:t>
      </w:r>
    </w:p>
    <w:p w:rsidR="00A4142B" w:rsidRPr="00BC13FD" w:rsidRDefault="00A4142B" w:rsidP="00BC13FD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t xml:space="preserve">Návrh zákona reaguje na </w:t>
      </w:r>
      <w:r w:rsidR="00BC13FD" w:rsidRPr="00BC13FD">
        <w:rPr>
          <w:color w:val="0F0F0F"/>
        </w:rPr>
        <w:t>dlhotrvajúce</w:t>
      </w:r>
      <w:r w:rsidRPr="00BC13FD">
        <w:rPr>
          <w:color w:val="0F0F0F"/>
        </w:rPr>
        <w:t xml:space="preserve"> problémy vznikajúce v prípadoch, keď sú povinné osoby zahlcované </w:t>
      </w:r>
      <w:r w:rsidR="00BC13FD" w:rsidRPr="00BC13FD">
        <w:rPr>
          <w:color w:val="0F0F0F"/>
        </w:rPr>
        <w:t xml:space="preserve">častými alebo </w:t>
      </w:r>
      <w:r w:rsidRPr="00BC13FD">
        <w:rPr>
          <w:color w:val="0F0F0F"/>
        </w:rPr>
        <w:t xml:space="preserve">nadmernými požiadavkami na </w:t>
      </w:r>
      <w:r w:rsidR="00BC13FD" w:rsidRPr="00BC13FD">
        <w:rPr>
          <w:color w:val="0F0F0F"/>
        </w:rPr>
        <w:t>sprístupnenie informácií</w:t>
      </w:r>
      <w:r w:rsidRPr="00BC13FD">
        <w:rPr>
          <w:color w:val="0F0F0F"/>
        </w:rPr>
        <w:t>. Povinné osoby sú niekedy konfrontované s požiadavkami, ktoré si vyžadujú mimoriadne rozsiahle vyhľadávanie informácií, čo výrazne zaťažuje ich administratívne kapacity a zdroje. Tento problém sa stáva obzvlášť závažným v kontexte rastúceho objemu dát a zvyšujúcich sa nárokov na transparentnosť a zodpovednosť verejnej správy.</w:t>
      </w:r>
    </w:p>
    <w:p w:rsidR="00A4142B" w:rsidRPr="00BC13FD" w:rsidRDefault="00A4142B" w:rsidP="00BC13FD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t>V súčasnosti zákon č. 211/2000 Z. z. neobsahuje dostatočne špecifikované mechanizmy, ktoré by umožňovali efektívne riadenie nákladov spojených s</w:t>
      </w:r>
      <w:r w:rsidR="00BC13FD" w:rsidRPr="00BC13FD">
        <w:rPr>
          <w:color w:val="0F0F0F"/>
        </w:rPr>
        <w:t xml:space="preserve"> vyhľadávaním a </w:t>
      </w:r>
      <w:r w:rsidRPr="00BC13FD">
        <w:rPr>
          <w:color w:val="0F0F0F"/>
        </w:rPr>
        <w:t xml:space="preserve">poskytovaním informácií. Povinné </w:t>
      </w:r>
      <w:r w:rsidR="000A44CD">
        <w:rPr>
          <w:color w:val="0F0F0F"/>
        </w:rPr>
        <w:t>osoby</w:t>
      </w:r>
      <w:r w:rsidRPr="00BC13FD">
        <w:rPr>
          <w:color w:val="0F0F0F"/>
        </w:rPr>
        <w:t xml:space="preserve"> sú tak často nútené sprístupňovať informácie bez nároku na úhradu nákladov, čo môže viesť k neefektívnemu využívaniu verejných zdrojov. Nadmerné požiadavky na informácie môžu navyše viesť k situáciám, keď je zaťaženie administratívnych kapacít povinných osôb také veľké, že to negatívne ovplyvňuje ich schopnosť plniť iné zákonom stanovené úlohy. </w:t>
      </w:r>
    </w:p>
    <w:p w:rsidR="00A4142B" w:rsidRPr="00BC13FD" w:rsidRDefault="00A4142B" w:rsidP="00881F27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t xml:space="preserve">Koncept možnosti účtovania nákladov za mimoriadne rozsiahle vyhľadávanie informácií je navrhnutý tak, aby chránil povinné osoby pred zneužívaním práva na informácie formou žiadostí, ktoré si vyžadujú neprimerane veľké úsilie a čas na spracovanie. Z dôvodu, že nie je možné </w:t>
      </w:r>
      <w:r w:rsidR="00EF3FF0" w:rsidRPr="00BC13FD">
        <w:rPr>
          <w:color w:val="0F0F0F"/>
        </w:rPr>
        <w:t xml:space="preserve">žiadnym spôsobom kvantifikovať množstvo žiadaných informácií, posúdenie toho, či </w:t>
      </w:r>
      <w:r w:rsidR="00BC13FD" w:rsidRPr="00BC13FD">
        <w:rPr>
          <w:color w:val="0F0F0F"/>
        </w:rPr>
        <w:t xml:space="preserve">si </w:t>
      </w:r>
      <w:r w:rsidR="00EF3FF0" w:rsidRPr="00BC13FD">
        <w:rPr>
          <w:color w:val="0F0F0F"/>
        </w:rPr>
        <w:t>predmetná žiadosť vyžaduje navrhované opatrenie úhrady nákladov závisí od</w:t>
      </w:r>
      <w:r w:rsidR="00BC13FD" w:rsidRPr="00BC13FD">
        <w:rPr>
          <w:color w:val="0F0F0F"/>
        </w:rPr>
        <w:t xml:space="preserve"> konkrétnej</w:t>
      </w:r>
      <w:r w:rsidR="00EF3FF0" w:rsidRPr="00BC13FD">
        <w:rPr>
          <w:color w:val="0F0F0F"/>
        </w:rPr>
        <w:t xml:space="preserve"> povinnej osoby, ktorej </w:t>
      </w:r>
      <w:r w:rsidR="00FD7F10">
        <w:rPr>
          <w:color w:val="0F0F0F"/>
        </w:rPr>
        <w:t xml:space="preserve">je </w:t>
      </w:r>
      <w:r w:rsidR="00EF3FF0" w:rsidRPr="00BC13FD">
        <w:rPr>
          <w:color w:val="0F0F0F"/>
        </w:rPr>
        <w:t xml:space="preserve">žiadosť </w:t>
      </w:r>
      <w:r w:rsidR="00FD7F10">
        <w:rPr>
          <w:color w:val="0F0F0F"/>
        </w:rPr>
        <w:t>určená</w:t>
      </w:r>
      <w:r w:rsidR="00EF3FF0" w:rsidRPr="00BC13FD">
        <w:rPr>
          <w:color w:val="0F0F0F"/>
        </w:rPr>
        <w:t>.</w:t>
      </w:r>
      <w:r w:rsidR="00BC13FD" w:rsidRPr="00BC13FD">
        <w:rPr>
          <w:color w:val="0F0F0F"/>
        </w:rPr>
        <w:t xml:space="preserve"> </w:t>
      </w:r>
    </w:p>
    <w:p w:rsidR="00A4142B" w:rsidRPr="00FD7F10" w:rsidRDefault="003878F8" w:rsidP="00BC13FD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t>Návrh zavedenia</w:t>
      </w:r>
      <w:r w:rsidR="00A4142B" w:rsidRPr="00BC13FD">
        <w:rPr>
          <w:color w:val="0F0F0F"/>
        </w:rPr>
        <w:t xml:space="preserve"> úhrady nákladov má aj preventívny charakter</w:t>
      </w:r>
      <w:r w:rsidR="00BC13FD" w:rsidRPr="00BC13FD">
        <w:rPr>
          <w:color w:val="0F0F0F"/>
        </w:rPr>
        <w:t xml:space="preserve"> v zamedzovaní</w:t>
      </w:r>
      <w:r w:rsidR="00A4142B" w:rsidRPr="00BC13FD">
        <w:rPr>
          <w:color w:val="0F0F0F"/>
        </w:rPr>
        <w:t xml:space="preserve"> podávani</w:t>
      </w:r>
      <w:r w:rsidR="00BC13FD" w:rsidRPr="00BC13FD">
        <w:rPr>
          <w:color w:val="0F0F0F"/>
        </w:rPr>
        <w:t>a</w:t>
      </w:r>
      <w:r w:rsidR="00A4142B" w:rsidRPr="00BC13FD">
        <w:rPr>
          <w:color w:val="0F0F0F"/>
        </w:rPr>
        <w:t xml:space="preserve"> </w:t>
      </w:r>
      <w:r w:rsidRPr="00BC13FD">
        <w:rPr>
          <w:color w:val="0F0F0F"/>
        </w:rPr>
        <w:t>zahlcujúcich</w:t>
      </w:r>
      <w:r w:rsidR="00A4142B" w:rsidRPr="00BC13FD">
        <w:rPr>
          <w:color w:val="0F0F0F"/>
        </w:rPr>
        <w:t xml:space="preserve"> alebo nadmerne rozsiahlych žiadostí, ktoré</w:t>
      </w:r>
      <w:r w:rsidRPr="00BC13FD">
        <w:rPr>
          <w:color w:val="0F0F0F"/>
        </w:rPr>
        <w:t xml:space="preserve"> spočívajú v neúmernom využívaní verejného subjektívneho práva </w:t>
      </w:r>
      <w:r w:rsidR="00BC13FD" w:rsidRPr="00BC13FD">
        <w:rPr>
          <w:color w:val="0F0F0F"/>
        </w:rPr>
        <w:t>so</w:t>
      </w:r>
      <w:r w:rsidR="00A4142B" w:rsidRPr="00BC13FD">
        <w:rPr>
          <w:color w:val="0F0F0F"/>
        </w:rPr>
        <w:t xml:space="preserve"> zameran</w:t>
      </w:r>
      <w:r w:rsidR="00BC13FD" w:rsidRPr="00BC13FD">
        <w:rPr>
          <w:color w:val="0F0F0F"/>
        </w:rPr>
        <w:t>ím</w:t>
      </w:r>
      <w:r w:rsidR="00A4142B" w:rsidRPr="00BC13FD">
        <w:rPr>
          <w:color w:val="0F0F0F"/>
        </w:rPr>
        <w:t xml:space="preserve"> na obmedzenie efektívnosti</w:t>
      </w:r>
      <w:r w:rsidR="00BC13FD" w:rsidRPr="00BC13FD">
        <w:rPr>
          <w:color w:val="0F0F0F"/>
        </w:rPr>
        <w:t xml:space="preserve"> či</w:t>
      </w:r>
      <w:r w:rsidRPr="00BC13FD">
        <w:rPr>
          <w:color w:val="0F0F0F"/>
        </w:rPr>
        <w:t xml:space="preserve"> </w:t>
      </w:r>
      <w:r w:rsidR="00FD7F10">
        <w:rPr>
          <w:color w:val="0F0F0F"/>
        </w:rPr>
        <w:t xml:space="preserve">administratívnu </w:t>
      </w:r>
      <w:r w:rsidRPr="00BC13FD">
        <w:rPr>
          <w:color w:val="0F0F0F"/>
        </w:rPr>
        <w:t>paralýzu</w:t>
      </w:r>
      <w:r w:rsidR="00A4142B" w:rsidRPr="00BC13FD">
        <w:rPr>
          <w:color w:val="0F0F0F"/>
        </w:rPr>
        <w:t xml:space="preserve"> povinných </w:t>
      </w:r>
      <w:r w:rsidRPr="00BC13FD">
        <w:rPr>
          <w:color w:val="0F0F0F"/>
        </w:rPr>
        <w:t>osôb</w:t>
      </w:r>
      <w:r w:rsidR="00A4142B" w:rsidRPr="00BC13FD">
        <w:rPr>
          <w:color w:val="0F0F0F"/>
        </w:rPr>
        <w:t xml:space="preserve">. Takéto opatrenie zároveň prispieva k </w:t>
      </w:r>
      <w:r w:rsidR="00A4142B" w:rsidRPr="00FD7F10">
        <w:rPr>
          <w:color w:val="0F0F0F"/>
        </w:rPr>
        <w:t xml:space="preserve">spravodlivejšiemu a vyváženejšiemu využívaniu práva na informácie, kde sú rešpektované legitímne záujmy žiadateľov aj povinných </w:t>
      </w:r>
      <w:r w:rsidRPr="00FD7F10">
        <w:rPr>
          <w:color w:val="0F0F0F"/>
        </w:rPr>
        <w:t>osôb</w:t>
      </w:r>
      <w:r w:rsidR="00A4142B" w:rsidRPr="00FD7F10">
        <w:rPr>
          <w:color w:val="0F0F0F"/>
        </w:rPr>
        <w:t>.</w:t>
      </w:r>
      <w:r w:rsidRPr="00FD7F10">
        <w:rPr>
          <w:color w:val="0F0F0F"/>
        </w:rPr>
        <w:t xml:space="preserve"> </w:t>
      </w:r>
    </w:p>
    <w:p w:rsidR="00EF3FF0" w:rsidRPr="00BC13FD" w:rsidRDefault="00EF3FF0" w:rsidP="00A4142B">
      <w:pPr>
        <w:spacing w:line="276" w:lineRule="auto"/>
        <w:jc w:val="both"/>
        <w:rPr>
          <w:color w:val="0F0F0F"/>
        </w:rPr>
      </w:pPr>
      <w:r w:rsidRPr="00FD7F10">
        <w:rPr>
          <w:color w:val="0F0F0F"/>
        </w:rPr>
        <w:tab/>
      </w:r>
      <w:r w:rsidR="003878F8" w:rsidRPr="00FD7F10">
        <w:rPr>
          <w:color w:val="0F0F0F"/>
        </w:rPr>
        <w:t xml:space="preserve">Navrhovaný </w:t>
      </w:r>
      <w:r w:rsidR="00A4142B" w:rsidRPr="00FD7F10">
        <w:rPr>
          <w:color w:val="0F0F0F"/>
        </w:rPr>
        <w:t xml:space="preserve">legislatívny krok </w:t>
      </w:r>
      <w:r w:rsidR="000A44CD" w:rsidRPr="00FD7F10">
        <w:rPr>
          <w:color w:val="0F0F0F"/>
        </w:rPr>
        <w:t>vychádza z pozitívnej českej praxe</w:t>
      </w:r>
      <w:r w:rsidR="00FD7F10" w:rsidRPr="00FD7F10">
        <w:rPr>
          <w:color w:val="0F0F0F"/>
        </w:rPr>
        <w:t>, kde sa</w:t>
      </w:r>
      <w:r w:rsidR="00025F5D">
        <w:rPr>
          <w:color w:val="0F0F0F"/>
        </w:rPr>
        <w:t xml:space="preserve"> obdobná</w:t>
      </w:r>
      <w:r w:rsidR="00FD7F10" w:rsidRPr="00FD7F10">
        <w:rPr>
          <w:color w:val="0F0F0F"/>
        </w:rPr>
        <w:t xml:space="preserve"> zákonná úprava premietla do </w:t>
      </w:r>
      <w:r w:rsidR="00025F5D">
        <w:rPr>
          <w:color w:val="0F0F0F"/>
        </w:rPr>
        <w:t>eliminácie</w:t>
      </w:r>
      <w:r w:rsidR="00FD7F10" w:rsidRPr="00FD7F10">
        <w:rPr>
          <w:color w:val="0F0F0F"/>
        </w:rPr>
        <w:t xml:space="preserve"> </w:t>
      </w:r>
      <w:r w:rsidR="00025F5D">
        <w:rPr>
          <w:color w:val="0F0F0F"/>
        </w:rPr>
        <w:t>zneužívania zákona o slobodnom prístupe k informáciám</w:t>
      </w:r>
      <w:r w:rsidR="00FD7F10" w:rsidRPr="00FD7F10">
        <w:rPr>
          <w:color w:val="0F0F0F"/>
        </w:rPr>
        <w:t>.</w:t>
      </w:r>
    </w:p>
    <w:p w:rsidR="00A4142B" w:rsidRPr="00BC13FD" w:rsidRDefault="003878F8" w:rsidP="00BC13FD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lastRenderedPageBreak/>
        <w:t>Návrhom</w:t>
      </w:r>
      <w:r w:rsidR="00A4142B" w:rsidRPr="00BC13FD">
        <w:rPr>
          <w:color w:val="0F0F0F"/>
        </w:rPr>
        <w:t xml:space="preserve"> sa </w:t>
      </w:r>
      <w:r w:rsidRPr="00BC13FD">
        <w:rPr>
          <w:color w:val="0F0F0F"/>
        </w:rPr>
        <w:t>zabezpečuje</w:t>
      </w:r>
      <w:r w:rsidR="00A4142B" w:rsidRPr="00BC13FD">
        <w:rPr>
          <w:color w:val="0F0F0F"/>
        </w:rPr>
        <w:t xml:space="preserve"> udržateľnosť a efektívnosť systému poskytovania informácií, čo je nevyhnutné pre </w:t>
      </w:r>
      <w:r w:rsidRPr="00BC13FD">
        <w:rPr>
          <w:color w:val="0F0F0F"/>
        </w:rPr>
        <w:t>zachovanie kontinuity riadneho fungovania</w:t>
      </w:r>
      <w:r w:rsidR="00A4142B" w:rsidRPr="00BC13FD">
        <w:rPr>
          <w:color w:val="0F0F0F"/>
        </w:rPr>
        <w:t xml:space="preserve"> verejnej správy. Zavedenie úhrady nákladov prinesie pozitívne efekty nielen pre povinné </w:t>
      </w:r>
      <w:r w:rsidRPr="00BC13FD">
        <w:rPr>
          <w:color w:val="0F0F0F"/>
        </w:rPr>
        <w:t>osoby</w:t>
      </w:r>
      <w:r w:rsidR="00A4142B" w:rsidRPr="00BC13FD">
        <w:rPr>
          <w:color w:val="0F0F0F"/>
        </w:rPr>
        <w:t>, ale aj pre samotných žiadateľov, ktorí budú mať lepší prehľad o nákladoch spojených s ich požiadavkami a budú motivovaní k formulovaniu jasných a konkrétnych žiadostí.</w:t>
      </w:r>
    </w:p>
    <w:p w:rsidR="00A4142B" w:rsidRPr="00BC13FD" w:rsidRDefault="00A4142B" w:rsidP="00BC13FD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t xml:space="preserve">Z hľadiska vplyvov na rozpočet verejnej správy sa očakáva, že zavedenie úhrady nákladov prinesie </w:t>
      </w:r>
      <w:r w:rsidR="003878F8" w:rsidRPr="00BC13FD">
        <w:rPr>
          <w:color w:val="0F0F0F"/>
        </w:rPr>
        <w:t>malé</w:t>
      </w:r>
      <w:r w:rsidRPr="00BC13FD">
        <w:rPr>
          <w:color w:val="0F0F0F"/>
        </w:rPr>
        <w:t xml:space="preserve"> príjmy, ktoré čiastočne pokryjú náklady spojené s administráciou a poskytovaním informácií. Tieto príjmy však nebudú kompenzovať všetky náklady, ktoré povinné </w:t>
      </w:r>
      <w:r w:rsidR="000A44CD">
        <w:rPr>
          <w:color w:val="0F0F0F"/>
        </w:rPr>
        <w:t>osoby</w:t>
      </w:r>
      <w:r w:rsidRPr="00BC13FD">
        <w:rPr>
          <w:color w:val="0F0F0F"/>
        </w:rPr>
        <w:t xml:space="preserve"> vynakladajú na poskytovanie informácií. Je preto nevyhnutné zohľadniť, že náklady spojené s poskytovaním informácií budú existovať, a to najmä z dôvodu dodatočných administratívnych úkonov spojených s vyhľadávaním a sprístupňovaním informácií.</w:t>
      </w:r>
      <w:r w:rsidR="00BC13FD" w:rsidRPr="00BC13FD">
        <w:rPr>
          <w:color w:val="0F0F0F"/>
        </w:rPr>
        <w:t xml:space="preserve"> </w:t>
      </w:r>
    </w:p>
    <w:p w:rsidR="00A4142B" w:rsidRPr="00BC13FD" w:rsidRDefault="00A4142B" w:rsidP="003878F8">
      <w:pPr>
        <w:spacing w:line="276" w:lineRule="auto"/>
        <w:ind w:firstLine="708"/>
        <w:jc w:val="both"/>
        <w:rPr>
          <w:color w:val="0F0F0F"/>
        </w:rPr>
      </w:pPr>
      <w:r w:rsidRPr="00BC13FD">
        <w:rPr>
          <w:color w:val="0F0F0F"/>
        </w:rPr>
        <w:t>Návrh zákona nemá žiaden vplyv na podnikateľské prostredie, informatizáciu spoločnosti</w:t>
      </w:r>
      <w:r w:rsidR="005F3E08" w:rsidRPr="00BC13FD">
        <w:rPr>
          <w:color w:val="0F0F0F"/>
        </w:rPr>
        <w:t>,</w:t>
      </w:r>
      <w:r w:rsidRPr="00BC13FD">
        <w:rPr>
          <w:color w:val="0F0F0F"/>
        </w:rPr>
        <w:t xml:space="preserve"> životné prostredie</w:t>
      </w:r>
      <w:r w:rsidR="005F3E08" w:rsidRPr="00BC13FD">
        <w:rPr>
          <w:color w:val="0F0F0F"/>
        </w:rPr>
        <w:t xml:space="preserve"> </w:t>
      </w:r>
      <w:r w:rsidR="005F3E08" w:rsidRPr="001433EF">
        <w:rPr>
          <w:color w:val="0F0F0F"/>
        </w:rPr>
        <w:t>a ani sociálne vplyvy</w:t>
      </w:r>
      <w:r w:rsidRPr="001433EF">
        <w:rPr>
          <w:color w:val="0F0F0F"/>
        </w:rPr>
        <w:t>.</w:t>
      </w:r>
      <w:r w:rsidRPr="00BC13FD">
        <w:rPr>
          <w:color w:val="0F0F0F"/>
        </w:rPr>
        <w:t xml:space="preserve"> Návrh zákona je v súlade s Ústavou Slovenskej republiky, ústavnými zákonmi a nálezmi Ústavného súdu Slovenskej republiky, medzinárodnými zmluvami a dokumentmi, ktorými je Slovenská republika viazaná, ako aj s právom Európskej únie.</w:t>
      </w:r>
      <w:r w:rsidR="003878F8" w:rsidRPr="00BC13FD">
        <w:rPr>
          <w:color w:val="0F0F0F"/>
        </w:rPr>
        <w:t xml:space="preserve"> </w:t>
      </w:r>
    </w:p>
    <w:p w:rsidR="00B3532C" w:rsidRDefault="00B3532C" w:rsidP="005F3E08">
      <w:pPr>
        <w:spacing w:line="276" w:lineRule="auto"/>
        <w:jc w:val="both"/>
      </w:pPr>
    </w:p>
    <w:p w:rsidR="00220C79" w:rsidRDefault="00220C79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C13FD" w:rsidRDefault="00BC13FD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881F27" w:rsidRDefault="00881F27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881F27" w:rsidRDefault="00881F27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881F27" w:rsidRDefault="00881F27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AB5A35" w:rsidRDefault="00AB5A35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750929" w:rsidRPr="00B26DCA" w:rsidRDefault="00750929" w:rsidP="00B26DCA">
      <w:pPr>
        <w:pStyle w:val="Normlnywebov"/>
        <w:spacing w:before="0" w:beforeAutospacing="0" w:after="120" w:afterAutospacing="0" w:line="276" w:lineRule="auto"/>
        <w:jc w:val="both"/>
      </w:pPr>
      <w:r w:rsidRPr="00B26DCA">
        <w:rPr>
          <w:b/>
        </w:rPr>
        <w:lastRenderedPageBreak/>
        <w:t>B. Osobitná časť</w:t>
      </w:r>
    </w:p>
    <w:p w:rsidR="00750929" w:rsidRPr="00B26DCA" w:rsidRDefault="00750929" w:rsidP="00B26DCA">
      <w:pPr>
        <w:spacing w:after="120" w:line="276" w:lineRule="auto"/>
        <w:jc w:val="both"/>
      </w:pPr>
    </w:p>
    <w:p w:rsidR="00750929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I</w:t>
      </w:r>
    </w:p>
    <w:p w:rsidR="00B71908" w:rsidRPr="00B26DCA" w:rsidRDefault="00B71908" w:rsidP="00B26DCA">
      <w:pPr>
        <w:spacing w:after="120" w:line="276" w:lineRule="auto"/>
        <w:jc w:val="both"/>
        <w:rPr>
          <w:b/>
        </w:rPr>
      </w:pPr>
    </w:p>
    <w:p w:rsidR="00750929" w:rsidRDefault="00B71908" w:rsidP="00B26DCA">
      <w:pPr>
        <w:spacing w:after="120" w:line="276" w:lineRule="auto"/>
        <w:jc w:val="both"/>
        <w:rPr>
          <w:b/>
        </w:rPr>
      </w:pPr>
      <w:r>
        <w:rPr>
          <w:b/>
        </w:rPr>
        <w:t>K bodu 1</w:t>
      </w:r>
    </w:p>
    <w:p w:rsidR="00B71908" w:rsidRDefault="00BC13FD" w:rsidP="005A62F5">
      <w:pPr>
        <w:spacing w:after="120" w:line="276" w:lineRule="auto"/>
        <w:jc w:val="both"/>
      </w:pPr>
      <w:r w:rsidRPr="00BC13FD">
        <w:t xml:space="preserve">Navrhuje sa </w:t>
      </w:r>
      <w:r w:rsidR="00EA5D7C">
        <w:t>vypustenie oznámenia predpokladanej výšky úhrady za sprístupnenie informácií povinnou osobou</w:t>
      </w:r>
      <w:r w:rsidR="00B71908" w:rsidRPr="00B26DCA">
        <w:t>.</w:t>
      </w:r>
      <w:r w:rsidR="00EA5D7C">
        <w:t xml:space="preserve"> Z praxe vyplýva, že povinné osoby pri potvrdení podania žiadosti nedokážu hodnoverne odhadnúť predpokladanú výšku úhrady za sprístupnenie informácií. Inštitút oznámenia úhrady</w:t>
      </w:r>
      <w:r w:rsidR="00AB5A35">
        <w:t xml:space="preserve"> nákladov</w:t>
      </w:r>
      <w:r w:rsidR="00EA5D7C">
        <w:t xml:space="preserve"> je však zachovaný novým odsekom 6.</w:t>
      </w:r>
      <w:r w:rsidR="00B71908" w:rsidRPr="00B26DCA">
        <w:t xml:space="preserve"> </w:t>
      </w:r>
    </w:p>
    <w:p w:rsidR="00B71908" w:rsidRPr="00B26DCA" w:rsidRDefault="00B71908" w:rsidP="00B71908">
      <w:pPr>
        <w:spacing w:after="120" w:line="276" w:lineRule="auto"/>
        <w:jc w:val="both"/>
      </w:pPr>
    </w:p>
    <w:p w:rsidR="00B71908" w:rsidRPr="00B26DCA" w:rsidRDefault="00B71908" w:rsidP="00B71908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2</w:t>
      </w:r>
    </w:p>
    <w:p w:rsidR="00EA5D7C" w:rsidRDefault="005A62F5" w:rsidP="005A62F5">
      <w:pPr>
        <w:spacing w:after="120" w:line="276" w:lineRule="auto"/>
        <w:jc w:val="both"/>
        <w:rPr>
          <w:bCs/>
        </w:rPr>
      </w:pPr>
      <w:r>
        <w:rPr>
          <w:bCs/>
        </w:rPr>
        <w:t>Dopĺňajú sa nové</w:t>
      </w:r>
      <w:r w:rsidR="00EA5D7C" w:rsidRPr="00EA5D7C">
        <w:rPr>
          <w:bCs/>
        </w:rPr>
        <w:t xml:space="preserve"> ustanoven</w:t>
      </w:r>
      <w:r>
        <w:rPr>
          <w:bCs/>
        </w:rPr>
        <w:t>ia</w:t>
      </w:r>
      <w:r w:rsidR="00EA5D7C" w:rsidRPr="00EA5D7C">
        <w:rPr>
          <w:bCs/>
        </w:rPr>
        <w:t>, ktoré stanovujú</w:t>
      </w:r>
      <w:r w:rsidR="00EA5D7C">
        <w:rPr>
          <w:bCs/>
        </w:rPr>
        <w:t xml:space="preserve"> samostatnú</w:t>
      </w:r>
      <w:r w:rsidR="00EA5D7C" w:rsidRPr="00EA5D7C">
        <w:rPr>
          <w:bCs/>
        </w:rPr>
        <w:t xml:space="preserve"> povinnosť povinných osôb písomne oznámiť žiadateľovi výšku úhrady za poskytnutie informácie a podmieniť poskytnutie </w:t>
      </w:r>
      <w:r w:rsidR="00AB5A35">
        <w:rPr>
          <w:bCs/>
        </w:rPr>
        <w:t xml:space="preserve">žiadanej </w:t>
      </w:r>
      <w:r w:rsidR="00EA5D7C" w:rsidRPr="00EA5D7C">
        <w:rPr>
          <w:bCs/>
        </w:rPr>
        <w:t xml:space="preserve">informácie zaplatením tejto úhrady. Ak žiadateľ do </w:t>
      </w:r>
      <w:r w:rsidR="001433EF">
        <w:rPr>
          <w:bCs/>
        </w:rPr>
        <w:t>7</w:t>
      </w:r>
      <w:r w:rsidR="00EA5D7C" w:rsidRPr="00EA5D7C">
        <w:rPr>
          <w:bCs/>
        </w:rPr>
        <w:t xml:space="preserve"> dní odo dňa doručenia oznámenia výšky požadovanej úhrady túto úhradu nezaplatí, povinná osoba žiadosť odloží.</w:t>
      </w:r>
      <w:r w:rsidR="001433EF">
        <w:rPr>
          <w:bCs/>
        </w:rPr>
        <w:t xml:space="preserve"> Odo dňa odoslania výzvy na zaplatenie požadovanej úhrady sa lehota podľa § 17 ods. 1 a ods. 2</w:t>
      </w:r>
      <w:r w:rsidR="001433EF" w:rsidRPr="001433EF">
        <w:rPr>
          <w:color w:val="0F0F0F"/>
        </w:rPr>
        <w:t xml:space="preserve"> </w:t>
      </w:r>
      <w:r w:rsidR="001433EF" w:rsidRPr="00BC13FD">
        <w:rPr>
          <w:color w:val="0F0F0F"/>
        </w:rPr>
        <w:t>zákon</w:t>
      </w:r>
      <w:r w:rsidR="001433EF">
        <w:rPr>
          <w:color w:val="0F0F0F"/>
        </w:rPr>
        <w:t>a</w:t>
      </w:r>
      <w:r w:rsidR="001433EF" w:rsidRPr="00BC13FD">
        <w:rPr>
          <w:color w:val="0F0F0F"/>
        </w:rPr>
        <w:t xml:space="preserve"> č. 211/2000 Z. z.</w:t>
      </w:r>
      <w:r w:rsidR="001433EF">
        <w:rPr>
          <w:bCs/>
        </w:rPr>
        <w:t xml:space="preserve"> prerušuje a neplynie až do dňa pripísania úhrady na účet povinnej osoby.</w:t>
      </w:r>
      <w:r w:rsidR="00EA5D7C" w:rsidRPr="00EA5D7C">
        <w:rPr>
          <w:bCs/>
        </w:rPr>
        <w:t xml:space="preserve"> </w:t>
      </w:r>
      <w:r w:rsidR="00EA5D7C">
        <w:rPr>
          <w:bCs/>
        </w:rPr>
        <w:t>Ú</w:t>
      </w:r>
      <w:r w:rsidR="00EA5D7C" w:rsidRPr="00EA5D7C">
        <w:rPr>
          <w:bCs/>
        </w:rPr>
        <w:t>prava</w:t>
      </w:r>
      <w:r w:rsidR="00EA5D7C">
        <w:rPr>
          <w:bCs/>
        </w:rPr>
        <w:t xml:space="preserve"> zaväzuje povinnú osobu k </w:t>
      </w:r>
      <w:r w:rsidR="00AB5A35">
        <w:rPr>
          <w:bCs/>
        </w:rPr>
        <w:t>reálnemu</w:t>
      </w:r>
      <w:r w:rsidR="00EA5D7C">
        <w:rPr>
          <w:bCs/>
        </w:rPr>
        <w:t xml:space="preserve"> vyčísleniu oprávnených nákladov, ktoré </w:t>
      </w:r>
      <w:r w:rsidR="00C0437D">
        <w:rPr>
          <w:bCs/>
        </w:rPr>
        <w:t>ustanovuje</w:t>
      </w:r>
      <w:r w:rsidR="00EA5D7C">
        <w:rPr>
          <w:bCs/>
        </w:rPr>
        <w:t xml:space="preserve"> </w:t>
      </w:r>
      <w:r w:rsidR="00EA5D7C" w:rsidRPr="00EA5D7C">
        <w:rPr>
          <w:bCs/>
        </w:rPr>
        <w:t>všeobecne záväzný právny predpis</w:t>
      </w:r>
      <w:r w:rsidR="00EA5D7C">
        <w:rPr>
          <w:bCs/>
        </w:rPr>
        <w:t xml:space="preserve"> vydaný </w:t>
      </w:r>
      <w:r w:rsidR="00EA5D7C" w:rsidRPr="00EA5D7C">
        <w:rPr>
          <w:bCs/>
        </w:rPr>
        <w:t>Ministerstvo</w:t>
      </w:r>
      <w:r w:rsidR="00EA5D7C">
        <w:rPr>
          <w:bCs/>
        </w:rPr>
        <w:t>m</w:t>
      </w:r>
      <w:r w:rsidR="00EA5D7C" w:rsidRPr="00EA5D7C">
        <w:rPr>
          <w:bCs/>
        </w:rPr>
        <w:t xml:space="preserve"> financií Slovenskej republiky</w:t>
      </w:r>
      <w:r w:rsidR="00C0437D">
        <w:rPr>
          <w:bCs/>
        </w:rPr>
        <w:t xml:space="preserve">. </w:t>
      </w:r>
    </w:p>
    <w:p w:rsidR="00EA5D7C" w:rsidRDefault="00EA5D7C" w:rsidP="001D0878">
      <w:pPr>
        <w:spacing w:after="120" w:line="276" w:lineRule="auto"/>
        <w:ind w:firstLine="708"/>
        <w:jc w:val="both"/>
        <w:rPr>
          <w:bCs/>
        </w:rPr>
      </w:pPr>
    </w:p>
    <w:p w:rsidR="000709D5" w:rsidRDefault="000709D5" w:rsidP="000709D5">
      <w:pPr>
        <w:spacing w:after="120" w:line="276" w:lineRule="auto"/>
        <w:jc w:val="both"/>
        <w:rPr>
          <w:b/>
        </w:rPr>
      </w:pPr>
      <w:r>
        <w:rPr>
          <w:b/>
        </w:rPr>
        <w:t>K bodu 3</w:t>
      </w:r>
    </w:p>
    <w:p w:rsidR="00FB7AF2" w:rsidRDefault="005A62F5" w:rsidP="000709D5">
      <w:pPr>
        <w:spacing w:after="120" w:line="276" w:lineRule="auto"/>
        <w:jc w:val="both"/>
        <w:rPr>
          <w:color w:val="0F0F0F"/>
        </w:rPr>
      </w:pPr>
      <w:r>
        <w:t xml:space="preserve">V súvislosti so zabezpečením potreby </w:t>
      </w:r>
      <w:r w:rsidRPr="005A62F5">
        <w:t xml:space="preserve">chrániť povinné osoby pred zneužívaním práva na </w:t>
      </w:r>
      <w:r w:rsidRPr="00BA6FF5">
        <w:t xml:space="preserve">informácie sa zavádza možnosť </w:t>
      </w:r>
      <w:r w:rsidR="00AB5A35" w:rsidRPr="00BA6FF5">
        <w:t>pre povinné</w:t>
      </w:r>
      <w:r w:rsidRPr="00BA6FF5">
        <w:t xml:space="preserve"> os</w:t>
      </w:r>
      <w:r w:rsidR="00AB5A35" w:rsidRPr="00BA6FF5">
        <w:t>oby</w:t>
      </w:r>
      <w:r w:rsidRPr="00BA6FF5">
        <w:t xml:space="preserve"> požadovať úhradu nákladov za mimoriadne rozsiahle vyhľadávanie informácií. </w:t>
      </w:r>
      <w:r w:rsidR="00881F27" w:rsidRPr="00BA6FF5">
        <w:rPr>
          <w:color w:val="0F0F0F"/>
        </w:rPr>
        <w:t>Mimoriadne rozsiahle vyhľadávanie informácií zahŕňa situácie, pri ktorých zhromažďovanie informácií bude pre povinnú osobu predstavovať v jej konkrétnych podmienkach časovo náročnú činnosť, ktorá sa objektívne vymyká bežnému poskytovaniu informácií touto povinnou osobou. V </w:t>
      </w:r>
      <w:r w:rsidR="00A2198A" w:rsidRPr="00BA6FF5">
        <w:rPr>
          <w:color w:val="0F0F0F"/>
        </w:rPr>
        <w:t>návrhu</w:t>
      </w:r>
      <w:r w:rsidR="00881F27" w:rsidRPr="00BA6FF5">
        <w:rPr>
          <w:color w:val="0F0F0F"/>
        </w:rPr>
        <w:t xml:space="preserve"> </w:t>
      </w:r>
      <w:r w:rsidR="00A2198A" w:rsidRPr="00BA6FF5">
        <w:rPr>
          <w:color w:val="0F0F0F"/>
        </w:rPr>
        <w:t>nejde</w:t>
      </w:r>
      <w:r w:rsidR="00881F27" w:rsidRPr="00BA6FF5">
        <w:rPr>
          <w:color w:val="0F0F0F"/>
        </w:rPr>
        <w:t xml:space="preserve"> len o prípad, kedy jedna žiadosť bude predstavovať náročnú činnosť, ktorá sa objektívne vymyká bežnému poskytovaniu informácií povinnou osobou, ale aj o prípady, kedy jeden žiadateľ</w:t>
      </w:r>
      <w:r w:rsidR="00A2198A" w:rsidRPr="00BA6FF5">
        <w:rPr>
          <w:color w:val="0F0F0F"/>
        </w:rPr>
        <w:t xml:space="preserve"> v priebehu </w:t>
      </w:r>
      <w:r w:rsidR="001433EF">
        <w:rPr>
          <w:color w:val="0F0F0F"/>
        </w:rPr>
        <w:t>30</w:t>
      </w:r>
      <w:r w:rsidR="00A2198A" w:rsidRPr="00BA6FF5">
        <w:rPr>
          <w:color w:val="0F0F0F"/>
        </w:rPr>
        <w:t xml:space="preserve"> dní</w:t>
      </w:r>
      <w:r w:rsidR="00881F27" w:rsidRPr="00BA6FF5">
        <w:rPr>
          <w:color w:val="0F0F0F"/>
        </w:rPr>
        <w:t xml:space="preserve"> žiada </w:t>
      </w:r>
      <w:r w:rsidR="00716C76" w:rsidRPr="00BA6FF5">
        <w:rPr>
          <w:color w:val="0F0F0F"/>
        </w:rPr>
        <w:t xml:space="preserve">niekoľkými žiadosťami </w:t>
      </w:r>
      <w:r w:rsidR="00881F27" w:rsidRPr="00BA6FF5">
        <w:rPr>
          <w:color w:val="0F0F0F"/>
        </w:rPr>
        <w:t>sprístupniť informácie</w:t>
      </w:r>
      <w:r w:rsidR="00716C76" w:rsidRPr="00BA6FF5">
        <w:rPr>
          <w:color w:val="0F0F0F"/>
        </w:rPr>
        <w:t xml:space="preserve">, ktoré javia všetky znaky šikanózneho uplatňovania práva na prístup k informáciám (napr. zahltenie </w:t>
      </w:r>
      <w:r w:rsidR="00635801">
        <w:rPr>
          <w:color w:val="0F0F0F"/>
        </w:rPr>
        <w:t>povinnej osoby</w:t>
      </w:r>
      <w:r w:rsidR="00716C76" w:rsidRPr="00BA6FF5">
        <w:rPr>
          <w:color w:val="0F0F0F"/>
        </w:rPr>
        <w:t xml:space="preserve"> veľkým počtom žiadostí v rámci informačného filibusteringu) alebo ktoré ako celok </w:t>
      </w:r>
      <w:r w:rsidR="00A2198A" w:rsidRPr="00BA6FF5">
        <w:rPr>
          <w:color w:val="0F0F0F"/>
        </w:rPr>
        <w:t>predstavujú náročnú činnosť, ktorá sa objektívne vymyká bežnému poskytovaniu informáci</w:t>
      </w:r>
      <w:r w:rsidR="00BA6FF5">
        <w:rPr>
          <w:color w:val="0F0F0F"/>
        </w:rPr>
        <w:t>í</w:t>
      </w:r>
      <w:r w:rsidR="00A2198A" w:rsidRPr="00BA6FF5">
        <w:rPr>
          <w:color w:val="0F0F0F"/>
        </w:rPr>
        <w:t xml:space="preserve">. </w:t>
      </w:r>
      <w:r w:rsidR="00025F5D">
        <w:rPr>
          <w:color w:val="0F0F0F"/>
        </w:rPr>
        <w:t>V takomto prípade ide</w:t>
      </w:r>
      <w:r w:rsidR="00A2198A" w:rsidRPr="00BA6FF5">
        <w:rPr>
          <w:color w:val="0F0F0F"/>
        </w:rPr>
        <w:t xml:space="preserve"> o úmyselné maliciózne konanie žiadateľa spočívajúce v aktívnom správaní, prostredníctvom ktorého </w:t>
      </w:r>
      <w:r w:rsidR="00AB5A35" w:rsidRPr="00BA6FF5">
        <w:rPr>
          <w:color w:val="0F0F0F"/>
        </w:rPr>
        <w:t xml:space="preserve">žiadateľ </w:t>
      </w:r>
      <w:r w:rsidR="00A2198A" w:rsidRPr="00BA6FF5">
        <w:rPr>
          <w:color w:val="0F0F0F"/>
        </w:rPr>
        <w:t>využíva medzeru alebo prílišnú všeobecnosť</w:t>
      </w:r>
      <w:r w:rsidR="00025F5D">
        <w:rPr>
          <w:color w:val="0F0F0F"/>
        </w:rPr>
        <w:t xml:space="preserve"> formulácie všeobecne záväzných pravidiel </w:t>
      </w:r>
      <w:r w:rsidR="00A2198A" w:rsidRPr="00BA6FF5">
        <w:rPr>
          <w:color w:val="0F0F0F"/>
        </w:rPr>
        <w:t>v platnej právnej úprave</w:t>
      </w:r>
      <w:r w:rsidR="00BA6FF5" w:rsidRPr="00BA6FF5">
        <w:rPr>
          <w:color w:val="0F0F0F"/>
        </w:rPr>
        <w:t xml:space="preserve"> a</w:t>
      </w:r>
      <w:r w:rsidR="00A2198A" w:rsidRPr="00BA6FF5">
        <w:rPr>
          <w:color w:val="0F0F0F"/>
        </w:rPr>
        <w:t xml:space="preserve"> postupuje formálne v jeho intenciách.</w:t>
      </w:r>
      <w:r w:rsidR="000A519F" w:rsidRPr="00BA6FF5">
        <w:rPr>
          <w:color w:val="0F0F0F"/>
        </w:rPr>
        <w:t xml:space="preserve"> </w:t>
      </w:r>
      <w:r w:rsidR="00BA6FF5" w:rsidRPr="00BA6FF5">
        <w:rPr>
          <w:color w:val="0F0F0F"/>
        </w:rPr>
        <w:t>V prípade viacerých žiadostí od jedného žiadateľa sa podľa navrhovaného bodu začne vyhľadávanie informácií spoplatňovať</w:t>
      </w:r>
      <w:r w:rsidR="00635801">
        <w:rPr>
          <w:color w:val="0F0F0F"/>
        </w:rPr>
        <w:t xml:space="preserve"> v momente</w:t>
      </w:r>
      <w:r w:rsidR="00BA6FF5" w:rsidRPr="00BA6FF5">
        <w:rPr>
          <w:color w:val="0F0F0F"/>
        </w:rPr>
        <w:t xml:space="preserve">, ak povinná osoba vyhodnotí, že žiadosti sú podávané </w:t>
      </w:r>
      <w:r w:rsidR="00BA6FF5">
        <w:rPr>
          <w:color w:val="0F0F0F"/>
        </w:rPr>
        <w:t>maliciózne</w:t>
      </w:r>
      <w:r w:rsidR="00BA6FF5" w:rsidRPr="00BA6FF5">
        <w:rPr>
          <w:color w:val="0F0F0F"/>
        </w:rPr>
        <w:t xml:space="preserve"> a v súvislosti s úmyslom zneužívať právo na informácie</w:t>
      </w:r>
      <w:r w:rsidR="00635801">
        <w:rPr>
          <w:color w:val="0F0F0F"/>
        </w:rPr>
        <w:t xml:space="preserve"> </w:t>
      </w:r>
      <w:r w:rsidR="00635801">
        <w:rPr>
          <w:color w:val="0F0F0F"/>
        </w:rPr>
        <w:lastRenderedPageBreak/>
        <w:t>podávaním žiadostí s cieľom zahltiť</w:t>
      </w:r>
      <w:r w:rsidR="00635801" w:rsidRPr="00BA6FF5">
        <w:rPr>
          <w:color w:val="0F0F0F"/>
        </w:rPr>
        <w:t xml:space="preserve"> </w:t>
      </w:r>
      <w:r w:rsidR="00635801">
        <w:rPr>
          <w:color w:val="0F0F0F"/>
        </w:rPr>
        <w:t>povinnú osobu</w:t>
      </w:r>
      <w:r w:rsidR="00635801" w:rsidRPr="00BA6FF5">
        <w:rPr>
          <w:color w:val="0F0F0F"/>
        </w:rPr>
        <w:t xml:space="preserve"> veľkým počtom žiadostí</w:t>
      </w:r>
      <w:r w:rsidR="00635801">
        <w:rPr>
          <w:color w:val="0F0F0F"/>
        </w:rPr>
        <w:t xml:space="preserve"> a tým ju prinútiť k </w:t>
      </w:r>
      <w:r w:rsidR="00635801" w:rsidRPr="00BA6FF5">
        <w:t>mimoriadne rozsiahle</w:t>
      </w:r>
      <w:r w:rsidR="00635801">
        <w:t>mu</w:t>
      </w:r>
      <w:r w:rsidR="00635801" w:rsidRPr="00BA6FF5">
        <w:t xml:space="preserve"> vyhľadávani</w:t>
      </w:r>
      <w:r w:rsidR="00635801">
        <w:t>u</w:t>
      </w:r>
      <w:r w:rsidR="00635801" w:rsidRPr="00BA6FF5">
        <w:t xml:space="preserve"> informácií</w:t>
      </w:r>
      <w:r w:rsidR="00635801">
        <w:t>.</w:t>
      </w:r>
    </w:p>
    <w:p w:rsidR="00BA6FF5" w:rsidRDefault="00BA6FF5" w:rsidP="000709D5">
      <w:pPr>
        <w:spacing w:after="120" w:line="276" w:lineRule="auto"/>
        <w:jc w:val="both"/>
        <w:rPr>
          <w:b/>
        </w:rPr>
      </w:pPr>
    </w:p>
    <w:p w:rsidR="00B71908" w:rsidRDefault="000709D5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bodu </w:t>
      </w:r>
      <w:r w:rsidR="00FB7AF2">
        <w:rPr>
          <w:b/>
        </w:rPr>
        <w:t>4</w:t>
      </w:r>
    </w:p>
    <w:p w:rsidR="00B71908" w:rsidRPr="000A44CD" w:rsidRDefault="00C0437D" w:rsidP="00B71908">
      <w:pPr>
        <w:spacing w:after="120" w:line="276" w:lineRule="auto"/>
        <w:jc w:val="both"/>
        <w:rPr>
          <w:bCs/>
        </w:rPr>
      </w:pPr>
      <w:r w:rsidRPr="000A44CD">
        <w:rPr>
          <w:bCs/>
        </w:rPr>
        <w:t>Navrhuje sa legislatívno-technická úprava, ktorá nahrádza pojem "obvodný úrad" pojmom "okresný úrad", v súlade s aktuálnou terminológiou používanou v slovenskom právnom poriadku.</w:t>
      </w:r>
    </w:p>
    <w:p w:rsidR="000A519F" w:rsidRPr="00B25B7A" w:rsidRDefault="000A519F" w:rsidP="00B71908">
      <w:pPr>
        <w:spacing w:after="120" w:line="276" w:lineRule="auto"/>
        <w:jc w:val="both"/>
        <w:rPr>
          <w:b/>
        </w:rPr>
      </w:pPr>
    </w:p>
    <w:p w:rsidR="00B71908" w:rsidRPr="00B26DCA" w:rsidRDefault="00B71908" w:rsidP="00B71908">
      <w:pPr>
        <w:spacing w:after="120" w:line="276" w:lineRule="auto"/>
        <w:jc w:val="both"/>
        <w:rPr>
          <w:b/>
        </w:rPr>
      </w:pPr>
      <w:r w:rsidRPr="00B25B7A">
        <w:rPr>
          <w:b/>
        </w:rPr>
        <w:t>K ČL. II</w:t>
      </w:r>
    </w:p>
    <w:p w:rsidR="00B71908" w:rsidRPr="00B26DCA" w:rsidRDefault="00B71908" w:rsidP="00B71908">
      <w:pPr>
        <w:spacing w:after="120" w:line="276" w:lineRule="auto"/>
        <w:jc w:val="both"/>
        <w:rPr>
          <w:rFonts w:eastAsia="Calibri"/>
          <w:b/>
        </w:rPr>
      </w:pPr>
    </w:p>
    <w:p w:rsidR="00B71908" w:rsidRPr="00B26DCA" w:rsidRDefault="00B71908" w:rsidP="00B71908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1</w:t>
      </w:r>
    </w:p>
    <w:p w:rsidR="00635801" w:rsidRDefault="00635801" w:rsidP="00635801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  <w:r w:rsidRPr="00333B5E">
        <w:rPr>
          <w:rStyle w:val="awspan"/>
        </w:rPr>
        <w:t xml:space="preserve">Navrhuje sa účinnosť návrhu zákona na 1. </w:t>
      </w:r>
      <w:r>
        <w:rPr>
          <w:rStyle w:val="awspan"/>
        </w:rPr>
        <w:t>decembra</w:t>
      </w:r>
      <w:r w:rsidRPr="00333B5E">
        <w:rPr>
          <w:rStyle w:val="awspan"/>
        </w:rPr>
        <w:t xml:space="preserve"> 202</w:t>
      </w:r>
      <w:r>
        <w:rPr>
          <w:rStyle w:val="awspan"/>
        </w:rPr>
        <w:t>4</w:t>
      </w:r>
      <w:r w:rsidRPr="00333B5E">
        <w:rPr>
          <w:rStyle w:val="awspan"/>
        </w:rPr>
        <w:t>.</w:t>
      </w:r>
    </w:p>
    <w:p w:rsidR="00B71908" w:rsidRDefault="00B71908" w:rsidP="00B71908">
      <w:pPr>
        <w:spacing w:after="120" w:line="276" w:lineRule="auto"/>
        <w:jc w:val="both"/>
      </w:pPr>
    </w:p>
    <w:p w:rsidR="00C55553" w:rsidRDefault="00C55553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0A44CD" w:rsidRDefault="000A44CD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55553" w:rsidRDefault="00C55553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776E85" w:rsidRDefault="00776E85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776E85" w:rsidRDefault="00776E85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A6FF5" w:rsidRDefault="00BA6FF5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55553" w:rsidRDefault="00C55553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10564F" w:rsidRDefault="0010564F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b/>
        </w:rPr>
        <w:t>A.1.</w:t>
      </w:r>
      <w:r w:rsidRPr="00FA3A21">
        <w:rPr>
          <w:rStyle w:val="awspan"/>
          <w:b/>
          <w:spacing w:val="37"/>
        </w:rPr>
        <w:t xml:space="preserve"> </w:t>
      </w:r>
      <w:r w:rsidRPr="00FA3A21">
        <w:rPr>
          <w:rStyle w:val="awspan"/>
          <w:b/>
        </w:rPr>
        <w:t>Názov</w:t>
      </w:r>
      <w:r w:rsidRPr="00FA3A21">
        <w:rPr>
          <w:rStyle w:val="awspan"/>
          <w:b/>
          <w:spacing w:val="37"/>
        </w:rPr>
        <w:t xml:space="preserve"> </w:t>
      </w:r>
      <w:r w:rsidRPr="004F4BDE">
        <w:rPr>
          <w:rStyle w:val="awspan"/>
          <w:b/>
        </w:rPr>
        <w:t>materiálu:</w:t>
      </w:r>
      <w:r w:rsidRPr="004F4BDE">
        <w:rPr>
          <w:rStyle w:val="awspan"/>
          <w:spacing w:val="37"/>
        </w:rPr>
        <w:t xml:space="preserve"> </w:t>
      </w:r>
      <w:r w:rsidRPr="00635801">
        <w:rPr>
          <w:rStyle w:val="awspan"/>
        </w:rPr>
        <w:t>Návrh</w:t>
      </w:r>
      <w:r w:rsidRPr="00635801">
        <w:rPr>
          <w:rStyle w:val="awspan"/>
          <w:spacing w:val="37"/>
        </w:rPr>
        <w:t xml:space="preserve"> </w:t>
      </w:r>
      <w:r w:rsidRPr="00635801">
        <w:rPr>
          <w:rStyle w:val="awspan"/>
        </w:rPr>
        <w:t>zákona,</w:t>
      </w:r>
      <w:r w:rsidRPr="00635801">
        <w:t xml:space="preserve"> </w:t>
      </w:r>
      <w:r w:rsidR="00635801" w:rsidRPr="00635801">
        <w:t>ktorým sa mení a dopĺňa zákon č. 211/2000 Z. z. o slobodnom prístupe k informáciám a o zmene a doplnení niektorých zákonov (zákon o slobode informácií) v znení neskorších predpisov</w:t>
      </w:r>
    </w:p>
    <w:p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862837" w:rsidRPr="00FA3A21" w:rsidTr="0086283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862837" w:rsidRPr="00FA3A21" w:rsidRDefault="00862837" w:rsidP="00A02747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862837" w:rsidRPr="00FA3A21" w:rsidRDefault="005A62F5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sociálnu exklúziu,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9F45AE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9F45AE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DB3AD8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9F45AE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Style w:val="awspan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DB3AD8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9F45AE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Style w:val="awspan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0709D5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 w:rsidR="00FA3A21">
        <w:rPr>
          <w:rFonts w:eastAsia="SimSun"/>
          <w:b/>
          <w:bCs/>
          <w:kern w:val="2"/>
          <w:lang w:eastAsia="ar-SA"/>
        </w:rPr>
        <w:t>:</w:t>
      </w:r>
    </w:p>
    <w:p w:rsidR="00A428E6" w:rsidRPr="00A929B7" w:rsidRDefault="00A428E6" w:rsidP="000709D5">
      <w:pPr>
        <w:spacing w:line="276" w:lineRule="auto"/>
        <w:ind w:firstLine="708"/>
        <w:jc w:val="both"/>
      </w:pPr>
      <w:r>
        <w:rPr>
          <w:rStyle w:val="awspan"/>
        </w:rPr>
        <w:t>Návrh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zákona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má</w:t>
      </w:r>
      <w:r>
        <w:rPr>
          <w:rStyle w:val="awspan"/>
          <w:spacing w:val="14"/>
        </w:rPr>
        <w:t xml:space="preserve"> </w:t>
      </w:r>
      <w:r w:rsidR="000A44CD">
        <w:rPr>
          <w:rStyle w:val="awspan"/>
          <w:spacing w:val="14"/>
        </w:rPr>
        <w:t xml:space="preserve">potenciálne veľmi mierne </w:t>
      </w:r>
      <w:r>
        <w:rPr>
          <w:rStyle w:val="awspan"/>
          <w:spacing w:val="14"/>
        </w:rPr>
        <w:t xml:space="preserve">pozitívne </w:t>
      </w:r>
      <w:r>
        <w:rPr>
          <w:rStyle w:val="awspan"/>
        </w:rPr>
        <w:t>vplyvy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rozpočet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správy</w:t>
      </w:r>
      <w:r w:rsidR="000A44CD">
        <w:t xml:space="preserve">, ktorý však nie je možné </w:t>
      </w:r>
      <w:r w:rsidR="00025F5D">
        <w:t xml:space="preserve">vopred </w:t>
      </w:r>
      <w:bookmarkStart w:id="0" w:name="_GoBack"/>
      <w:bookmarkEnd w:id="0"/>
      <w:r w:rsidR="000A44CD">
        <w:t>kvantifikovať.</w:t>
      </w:r>
      <w:r>
        <w:t xml:space="preserve"> </w:t>
      </w:r>
      <w:r w:rsidR="00DB3AD8">
        <w:t xml:space="preserve">Návrh nemá žiadne sociálne vplyvy ani vplyvy na služby verejnej správy pre občana najmä z dôvodu, že práva občanov nezneužívajúcich inštitút sprístupnenia informácií nebudú žiadnym spôsobom dotknuté alebo obmedzené. </w:t>
      </w:r>
    </w:p>
    <w:p w:rsidR="00FA3A21" w:rsidRPr="00FA3A21" w:rsidRDefault="00FA3A21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 w:rsidR="00FA3A21">
        <w:rPr>
          <w:rFonts w:eastAsia="SimSun"/>
          <w:b/>
          <w:bCs/>
          <w:kern w:val="2"/>
          <w:lang w:eastAsia="ar-SA"/>
        </w:rPr>
        <w:t>:</w:t>
      </w:r>
    </w:p>
    <w:p w:rsidR="00862837" w:rsidRPr="00FA3A21" w:rsidRDefault="00A428E6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</w:t>
      </w: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862837" w:rsidRPr="00FA3A21" w:rsidRDefault="00FA3A21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="00862837"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  <w:r w:rsidRPr="00FA3A21">
        <w:rPr>
          <w:rFonts w:eastAsia="SimSun"/>
          <w:kern w:val="2"/>
          <w:lang w:eastAsia="ar-SA"/>
        </w:rPr>
        <w:t>Bezpredmetné</w:t>
      </w:r>
      <w:r w:rsidRPr="00FA3A21">
        <w:rPr>
          <w:b/>
          <w:bCs/>
        </w:rPr>
        <w:br w:type="page"/>
      </w:r>
    </w:p>
    <w:p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lastRenderedPageBreak/>
        <w:t>Doložka zlučiteľnosti</w:t>
      </w:r>
    </w:p>
    <w:p w:rsidR="00220C79" w:rsidRPr="00117A7E" w:rsidRDefault="00220C79" w:rsidP="00474125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FA3A21">
        <w:rPr>
          <w:b/>
          <w:sz w:val="25"/>
          <w:szCs w:val="25"/>
        </w:rPr>
        <w:t>zákona</w:t>
      </w:r>
      <w:r w:rsidRPr="00117A7E">
        <w:rPr>
          <w:b/>
          <w:sz w:val="25"/>
          <w:szCs w:val="25"/>
        </w:rPr>
        <w:t xml:space="preserve"> s právom Európskej únie</w:t>
      </w: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A3A21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 w:rsidR="00B71908">
              <w:t>poslanci</w:t>
            </w:r>
            <w:r w:rsidRPr="00AD2AF1">
              <w:t xml:space="preserve"> Národnej rady Slovenskej republiky</w:t>
            </w:r>
            <w:r w:rsidR="004235F1">
              <w:t>.</w:t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  <w:shd w:val="clear" w:color="auto" w:fill="auto"/>
          </w:tcPr>
          <w:p w:rsidR="00220C79" w:rsidRPr="00635801" w:rsidRDefault="00220C79" w:rsidP="00FA3A21">
            <w:pPr>
              <w:tabs>
                <w:tab w:val="left" w:pos="360"/>
              </w:tabs>
              <w:jc w:val="both"/>
            </w:pPr>
            <w:r w:rsidRPr="00635801">
              <w:rPr>
                <w:b/>
              </w:rPr>
              <w:t xml:space="preserve">Názov návrhu </w:t>
            </w:r>
            <w:r w:rsidR="00FA3A21" w:rsidRPr="00635801">
              <w:rPr>
                <w:b/>
              </w:rPr>
              <w:t>zákona</w:t>
            </w:r>
            <w:r w:rsidRPr="00635801">
              <w:rPr>
                <w:b/>
              </w:rPr>
              <w:t>:</w:t>
            </w:r>
            <w:r w:rsidRPr="00635801">
              <w:t xml:space="preserve"> </w:t>
            </w:r>
            <w:r w:rsidR="00635801" w:rsidRPr="00635801">
              <w:t>Návrh zákona, ktorým sa mení a dopĺňa zákon č. 211/2000 Z. z. o slobodnom prístupe k informáciám a o zmene a doplnení niektorých zákonov (zákon o slobode informácií) v znení neskorších predpisov</w:t>
            </w:r>
            <w:r w:rsidR="004235F1" w:rsidRPr="00635801">
              <w:t>.</w:t>
            </w:r>
            <w:r w:rsidRPr="00635801">
              <w:fldChar w:fldCharType="begin"/>
            </w:r>
            <w:r w:rsidRPr="00635801">
              <w:instrText xml:space="preserve"> DOCPROPERTY  FSC#SKEDITIONSLOVLEX@103.510:plnynazovpredpis2  \* MERGEFORMAT </w:instrText>
            </w:r>
            <w:r w:rsidRPr="00635801">
              <w:fldChar w:fldCharType="end"/>
            </w:r>
            <w:r w:rsidRPr="00635801">
              <w:fldChar w:fldCharType="begin"/>
            </w:r>
            <w:r w:rsidRPr="00635801">
              <w:instrText xml:space="preserve"> DOCPROPERTY  FSC#SKEDITIONSLOVLEX@103.510:plnynazovpredpis3  \* MERGEFORMAT </w:instrText>
            </w:r>
            <w:r w:rsidRPr="00635801">
              <w:fldChar w:fldCharType="end"/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A3A21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="00A51090" w:rsidRPr="00AD2AF1">
              <w:rPr>
                <w:b/>
              </w:rPr>
              <w:t xml:space="preserve"> </w:t>
            </w:r>
            <w:r w:rsidR="00A51090" w:rsidRPr="00AD2AF1">
              <w:t xml:space="preserve">Je v súlade s právnou úpravou Európskej únie; </w:t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1D0878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:rsidR="00220C79" w:rsidRPr="00AD2AF1" w:rsidRDefault="00220C79" w:rsidP="001D0878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:rsidR="00220C79" w:rsidRPr="00AD2AF1" w:rsidRDefault="00220C79" w:rsidP="001D0878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:rsidR="00220C79" w:rsidRPr="00AD2AF1" w:rsidRDefault="00220C79" w:rsidP="00FD3A6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</w:tbl>
    <w:p w:rsidR="00750929" w:rsidRPr="00AD2AF1" w:rsidRDefault="00220C79" w:rsidP="00750929">
      <w:pPr>
        <w:jc w:val="both"/>
        <w:rPr>
          <w:b/>
          <w:bCs/>
        </w:rPr>
      </w:pPr>
      <w:r w:rsidRPr="00AD2AF1">
        <w:rPr>
          <w:rFonts w:ascii="Times" w:hAnsi="Times" w:cs="Times"/>
          <w:b/>
          <w:bCs/>
        </w:rPr>
        <w:t xml:space="preserve">Predmet návrhu </w:t>
      </w:r>
      <w:r w:rsidR="00FA3A21">
        <w:rPr>
          <w:rFonts w:ascii="Times" w:hAnsi="Times" w:cs="Times"/>
          <w:b/>
          <w:bCs/>
        </w:rPr>
        <w:t>zákona</w:t>
      </w:r>
      <w:r w:rsidRPr="00AD2AF1">
        <w:rPr>
          <w:rFonts w:ascii="Times" w:hAnsi="Times" w:cs="Times"/>
          <w:b/>
          <w:bCs/>
        </w:rPr>
        <w:t xml:space="preserve"> nie je v práve Európskej únie upravený, preto sa body 4 a 5 nevypĺňajú.</w:t>
      </w:r>
    </w:p>
    <w:p w:rsidR="00B3532C" w:rsidRDefault="00B3532C" w:rsidP="00750929">
      <w:pPr>
        <w:jc w:val="both"/>
      </w:pPr>
    </w:p>
    <w:p w:rsidR="0007620B" w:rsidRPr="00AD2AF1" w:rsidRDefault="0007620B" w:rsidP="00750929">
      <w:pPr>
        <w:jc w:val="both"/>
      </w:pPr>
    </w:p>
    <w:sectPr w:rsidR="0007620B" w:rsidRPr="00AD2AF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F9" w:rsidRDefault="00CE18F9">
      <w:r>
        <w:separator/>
      </w:r>
    </w:p>
  </w:endnote>
  <w:endnote w:type="continuationSeparator" w:id="0">
    <w:p w:rsidR="00CE18F9" w:rsidRDefault="00CE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78" w:rsidRDefault="001D0878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D0878" w:rsidRDefault="001D0878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78" w:rsidRDefault="001D0878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25F5D">
      <w:rPr>
        <w:rStyle w:val="slostrany"/>
        <w:noProof/>
      </w:rPr>
      <w:t>5</w:t>
    </w:r>
    <w:r>
      <w:rPr>
        <w:rStyle w:val="slostrany"/>
      </w:rPr>
      <w:fldChar w:fldCharType="end"/>
    </w:r>
  </w:p>
  <w:p w:rsidR="001D0878" w:rsidRDefault="001D0878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F9" w:rsidRDefault="00CE18F9">
      <w:r>
        <w:separator/>
      </w:r>
    </w:p>
  </w:footnote>
  <w:footnote w:type="continuationSeparator" w:id="0">
    <w:p w:rsidR="00CE18F9" w:rsidRDefault="00CE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5008"/>
    <w:multiLevelType w:val="multilevel"/>
    <w:tmpl w:val="F94C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2EE1"/>
    <w:multiLevelType w:val="hybridMultilevel"/>
    <w:tmpl w:val="3A565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D5E9D"/>
    <w:multiLevelType w:val="multilevel"/>
    <w:tmpl w:val="E7E8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45C37"/>
    <w:multiLevelType w:val="hybridMultilevel"/>
    <w:tmpl w:val="35F080D8"/>
    <w:lvl w:ilvl="0" w:tplc="E08ABF3E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61CD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657E27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68E8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21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ACC0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F328C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6E4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A7C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76"/>
    <w:rsid w:val="000001D1"/>
    <w:rsid w:val="000005B2"/>
    <w:rsid w:val="00000961"/>
    <w:rsid w:val="000009BE"/>
    <w:rsid w:val="00000A21"/>
    <w:rsid w:val="00001054"/>
    <w:rsid w:val="00001323"/>
    <w:rsid w:val="000017D8"/>
    <w:rsid w:val="000018E3"/>
    <w:rsid w:val="00001EB6"/>
    <w:rsid w:val="0000324E"/>
    <w:rsid w:val="00003771"/>
    <w:rsid w:val="00003934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5F5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ED5"/>
    <w:rsid w:val="00061F1E"/>
    <w:rsid w:val="00062F1A"/>
    <w:rsid w:val="0006312A"/>
    <w:rsid w:val="000638FA"/>
    <w:rsid w:val="00063E5F"/>
    <w:rsid w:val="0006549E"/>
    <w:rsid w:val="000655D8"/>
    <w:rsid w:val="00066455"/>
    <w:rsid w:val="000709D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620B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A0B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53D"/>
    <w:rsid w:val="000A390A"/>
    <w:rsid w:val="000A3A69"/>
    <w:rsid w:val="000A44CD"/>
    <w:rsid w:val="000A4C10"/>
    <w:rsid w:val="000A5189"/>
    <w:rsid w:val="000A519F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46B"/>
    <w:rsid w:val="000E554E"/>
    <w:rsid w:val="000E5652"/>
    <w:rsid w:val="000E6734"/>
    <w:rsid w:val="000E6BAB"/>
    <w:rsid w:val="000E71CC"/>
    <w:rsid w:val="000E7591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18DF"/>
    <w:rsid w:val="00102B52"/>
    <w:rsid w:val="00103412"/>
    <w:rsid w:val="00103740"/>
    <w:rsid w:val="0010379B"/>
    <w:rsid w:val="00103CE5"/>
    <w:rsid w:val="001045CC"/>
    <w:rsid w:val="00104A4D"/>
    <w:rsid w:val="00104F13"/>
    <w:rsid w:val="001051A0"/>
    <w:rsid w:val="00105461"/>
    <w:rsid w:val="0010564F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3EF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93D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97862"/>
    <w:rsid w:val="001A012F"/>
    <w:rsid w:val="001A0499"/>
    <w:rsid w:val="001A1747"/>
    <w:rsid w:val="001A17D0"/>
    <w:rsid w:val="001A2DD8"/>
    <w:rsid w:val="001A3151"/>
    <w:rsid w:val="001A3E8B"/>
    <w:rsid w:val="001A4441"/>
    <w:rsid w:val="001A4653"/>
    <w:rsid w:val="001A4845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3B64"/>
    <w:rsid w:val="001B3C38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878"/>
    <w:rsid w:val="001D0B2D"/>
    <w:rsid w:val="001D0C86"/>
    <w:rsid w:val="001D1D26"/>
    <w:rsid w:val="001D25FC"/>
    <w:rsid w:val="001D3E7E"/>
    <w:rsid w:val="001D3EE5"/>
    <w:rsid w:val="001D4797"/>
    <w:rsid w:val="001D4A1B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0BF8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C79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6676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5DF5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249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4EB"/>
    <w:rsid w:val="002C29C4"/>
    <w:rsid w:val="002C30C0"/>
    <w:rsid w:val="002C3D8A"/>
    <w:rsid w:val="002C496B"/>
    <w:rsid w:val="002C4D1F"/>
    <w:rsid w:val="002C53C5"/>
    <w:rsid w:val="002C611C"/>
    <w:rsid w:val="002C6962"/>
    <w:rsid w:val="002C7303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6825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4CF"/>
    <w:rsid w:val="00305D89"/>
    <w:rsid w:val="0030682A"/>
    <w:rsid w:val="00306965"/>
    <w:rsid w:val="003105EC"/>
    <w:rsid w:val="003126E0"/>
    <w:rsid w:val="00312AA9"/>
    <w:rsid w:val="00314026"/>
    <w:rsid w:val="003141C8"/>
    <w:rsid w:val="00314672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A8E"/>
    <w:rsid w:val="00364B02"/>
    <w:rsid w:val="003652F2"/>
    <w:rsid w:val="00365588"/>
    <w:rsid w:val="003655EB"/>
    <w:rsid w:val="003668DB"/>
    <w:rsid w:val="00366AE2"/>
    <w:rsid w:val="0036707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8F8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3F"/>
    <w:rsid w:val="003A1E8E"/>
    <w:rsid w:val="003A2C56"/>
    <w:rsid w:val="003A34BC"/>
    <w:rsid w:val="003A3A1E"/>
    <w:rsid w:val="003A3B88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0D6"/>
    <w:rsid w:val="003B5113"/>
    <w:rsid w:val="003B5D5E"/>
    <w:rsid w:val="003B650A"/>
    <w:rsid w:val="003B70D8"/>
    <w:rsid w:val="003B7113"/>
    <w:rsid w:val="003B7317"/>
    <w:rsid w:val="003B7799"/>
    <w:rsid w:val="003B7E32"/>
    <w:rsid w:val="003C04EE"/>
    <w:rsid w:val="003C0CC6"/>
    <w:rsid w:val="003C14E9"/>
    <w:rsid w:val="003C161D"/>
    <w:rsid w:val="003C1CC6"/>
    <w:rsid w:val="003C1F7B"/>
    <w:rsid w:val="003C2554"/>
    <w:rsid w:val="003C2D26"/>
    <w:rsid w:val="003C31B5"/>
    <w:rsid w:val="003C43C9"/>
    <w:rsid w:val="003C4CF4"/>
    <w:rsid w:val="003C59AC"/>
    <w:rsid w:val="003C6394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D7935"/>
    <w:rsid w:val="003E3194"/>
    <w:rsid w:val="003E33B0"/>
    <w:rsid w:val="003E366B"/>
    <w:rsid w:val="003E3BBB"/>
    <w:rsid w:val="003E4551"/>
    <w:rsid w:val="003E4934"/>
    <w:rsid w:val="003E496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607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35F1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DF6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5F68"/>
    <w:rsid w:val="004669D0"/>
    <w:rsid w:val="004670A8"/>
    <w:rsid w:val="00470C2C"/>
    <w:rsid w:val="00471B9D"/>
    <w:rsid w:val="004729F8"/>
    <w:rsid w:val="00473272"/>
    <w:rsid w:val="00474125"/>
    <w:rsid w:val="004744C3"/>
    <w:rsid w:val="0047467C"/>
    <w:rsid w:val="00474B41"/>
    <w:rsid w:val="00474F83"/>
    <w:rsid w:val="00475180"/>
    <w:rsid w:val="004751EC"/>
    <w:rsid w:val="004766F9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08D0"/>
    <w:rsid w:val="004A18B4"/>
    <w:rsid w:val="004A1F72"/>
    <w:rsid w:val="004A20F2"/>
    <w:rsid w:val="004A2625"/>
    <w:rsid w:val="004A297C"/>
    <w:rsid w:val="004A2E2E"/>
    <w:rsid w:val="004A3406"/>
    <w:rsid w:val="004A3A28"/>
    <w:rsid w:val="004A3A69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449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D7DFC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A40"/>
    <w:rsid w:val="004F0BB6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B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B7C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2C"/>
    <w:rsid w:val="00553352"/>
    <w:rsid w:val="005538FE"/>
    <w:rsid w:val="005554B6"/>
    <w:rsid w:val="00556ACF"/>
    <w:rsid w:val="00557344"/>
    <w:rsid w:val="00557DF3"/>
    <w:rsid w:val="00560CDA"/>
    <w:rsid w:val="0056101C"/>
    <w:rsid w:val="0056171B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4596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4DD7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2F5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249D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3E08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6B92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801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10A4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020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491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44E9"/>
    <w:rsid w:val="006A549A"/>
    <w:rsid w:val="006A5A0A"/>
    <w:rsid w:val="006A5B1B"/>
    <w:rsid w:val="006A604A"/>
    <w:rsid w:val="006A6264"/>
    <w:rsid w:val="006A64F4"/>
    <w:rsid w:val="006A6AEC"/>
    <w:rsid w:val="006A7F8F"/>
    <w:rsid w:val="006B0CC4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C71C0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4E8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00E"/>
    <w:rsid w:val="0070518B"/>
    <w:rsid w:val="00705194"/>
    <w:rsid w:val="00705A27"/>
    <w:rsid w:val="007064AA"/>
    <w:rsid w:val="00706907"/>
    <w:rsid w:val="00707278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6C76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01B5"/>
    <w:rsid w:val="00750929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B5D"/>
    <w:rsid w:val="00756C12"/>
    <w:rsid w:val="00756F02"/>
    <w:rsid w:val="007570E6"/>
    <w:rsid w:val="0075750E"/>
    <w:rsid w:val="00757645"/>
    <w:rsid w:val="00760AC7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5CA3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6E85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037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27E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837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1F27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97EE0"/>
    <w:rsid w:val="008A07E7"/>
    <w:rsid w:val="008A1391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5D1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C7DCF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17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983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97F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BB5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91B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2B8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34"/>
    <w:rsid w:val="009B7E94"/>
    <w:rsid w:val="009C0555"/>
    <w:rsid w:val="009C0678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EB5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45AE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747"/>
    <w:rsid w:val="00A02865"/>
    <w:rsid w:val="00A03110"/>
    <w:rsid w:val="00A031EE"/>
    <w:rsid w:val="00A03334"/>
    <w:rsid w:val="00A03531"/>
    <w:rsid w:val="00A03665"/>
    <w:rsid w:val="00A038DE"/>
    <w:rsid w:val="00A03B41"/>
    <w:rsid w:val="00A04A0A"/>
    <w:rsid w:val="00A052DE"/>
    <w:rsid w:val="00A058C3"/>
    <w:rsid w:val="00A070AC"/>
    <w:rsid w:val="00A073BB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38B"/>
    <w:rsid w:val="00A17679"/>
    <w:rsid w:val="00A1777C"/>
    <w:rsid w:val="00A17CEC"/>
    <w:rsid w:val="00A20F49"/>
    <w:rsid w:val="00A2146D"/>
    <w:rsid w:val="00A2198A"/>
    <w:rsid w:val="00A2232B"/>
    <w:rsid w:val="00A22B04"/>
    <w:rsid w:val="00A22D7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42B"/>
    <w:rsid w:val="00A41E79"/>
    <w:rsid w:val="00A41F2D"/>
    <w:rsid w:val="00A42262"/>
    <w:rsid w:val="00A42464"/>
    <w:rsid w:val="00A427B4"/>
    <w:rsid w:val="00A428E6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0466"/>
    <w:rsid w:val="00A51090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D61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5A35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AF1"/>
    <w:rsid w:val="00AD2C24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69B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00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08"/>
    <w:rsid w:val="00B23356"/>
    <w:rsid w:val="00B23E5F"/>
    <w:rsid w:val="00B24222"/>
    <w:rsid w:val="00B24302"/>
    <w:rsid w:val="00B248F9"/>
    <w:rsid w:val="00B24A7A"/>
    <w:rsid w:val="00B25929"/>
    <w:rsid w:val="00B25B7A"/>
    <w:rsid w:val="00B25C3F"/>
    <w:rsid w:val="00B26DCA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32C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1908"/>
    <w:rsid w:val="00B7268D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BA6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3A9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6FF5"/>
    <w:rsid w:val="00BA743C"/>
    <w:rsid w:val="00BB0A74"/>
    <w:rsid w:val="00BB138C"/>
    <w:rsid w:val="00BB2584"/>
    <w:rsid w:val="00BB2836"/>
    <w:rsid w:val="00BB2C2C"/>
    <w:rsid w:val="00BB4515"/>
    <w:rsid w:val="00BB48E6"/>
    <w:rsid w:val="00BB4D18"/>
    <w:rsid w:val="00BB4E93"/>
    <w:rsid w:val="00BB5ED3"/>
    <w:rsid w:val="00BB6A71"/>
    <w:rsid w:val="00BB7884"/>
    <w:rsid w:val="00BC0507"/>
    <w:rsid w:val="00BC13FD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523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37D"/>
    <w:rsid w:val="00C04A17"/>
    <w:rsid w:val="00C04CFD"/>
    <w:rsid w:val="00C04E17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2EBF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3C2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2A0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53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259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4F"/>
    <w:rsid w:val="00C84BBF"/>
    <w:rsid w:val="00C8503A"/>
    <w:rsid w:val="00C855F6"/>
    <w:rsid w:val="00C863AB"/>
    <w:rsid w:val="00C86933"/>
    <w:rsid w:val="00C86E8F"/>
    <w:rsid w:val="00C87028"/>
    <w:rsid w:val="00C87C14"/>
    <w:rsid w:val="00C904A3"/>
    <w:rsid w:val="00C90810"/>
    <w:rsid w:val="00C9227C"/>
    <w:rsid w:val="00C923DF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06CB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39"/>
    <w:rsid w:val="00CD1D8E"/>
    <w:rsid w:val="00CD1ED6"/>
    <w:rsid w:val="00CD402B"/>
    <w:rsid w:val="00CD5828"/>
    <w:rsid w:val="00CD67C6"/>
    <w:rsid w:val="00CE0864"/>
    <w:rsid w:val="00CE0CD9"/>
    <w:rsid w:val="00CE0E27"/>
    <w:rsid w:val="00CE1176"/>
    <w:rsid w:val="00CE14B3"/>
    <w:rsid w:val="00CE18F9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2872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4DB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3C9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4F3D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60B6"/>
    <w:rsid w:val="00D56E7D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BC7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3AD8"/>
    <w:rsid w:val="00DB4FBF"/>
    <w:rsid w:val="00DB5361"/>
    <w:rsid w:val="00DB640F"/>
    <w:rsid w:val="00DB64FC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9C"/>
    <w:rsid w:val="00DD62DE"/>
    <w:rsid w:val="00DD65D8"/>
    <w:rsid w:val="00DD6829"/>
    <w:rsid w:val="00DD6860"/>
    <w:rsid w:val="00DD6D4A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09E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4893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301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3A3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5678"/>
    <w:rsid w:val="00E56F6F"/>
    <w:rsid w:val="00E56FEA"/>
    <w:rsid w:val="00E57C01"/>
    <w:rsid w:val="00E57EEE"/>
    <w:rsid w:val="00E600FC"/>
    <w:rsid w:val="00E60192"/>
    <w:rsid w:val="00E60711"/>
    <w:rsid w:val="00E60EBB"/>
    <w:rsid w:val="00E612B8"/>
    <w:rsid w:val="00E61D4F"/>
    <w:rsid w:val="00E61EAA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67E5D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3B2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2D6"/>
    <w:rsid w:val="00E928E5"/>
    <w:rsid w:val="00E92C69"/>
    <w:rsid w:val="00E93F09"/>
    <w:rsid w:val="00E9464B"/>
    <w:rsid w:val="00E94A5E"/>
    <w:rsid w:val="00E95675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D7C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B69B4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176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3FF0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4ECA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2DE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541D"/>
    <w:rsid w:val="00F562C2"/>
    <w:rsid w:val="00F5723A"/>
    <w:rsid w:val="00F572EE"/>
    <w:rsid w:val="00F57654"/>
    <w:rsid w:val="00F60AD2"/>
    <w:rsid w:val="00F61089"/>
    <w:rsid w:val="00F6184B"/>
    <w:rsid w:val="00F6191C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262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2F5B"/>
    <w:rsid w:val="00FA3A21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AF2"/>
    <w:rsid w:val="00FB7C9C"/>
    <w:rsid w:val="00FB7E40"/>
    <w:rsid w:val="00FC091E"/>
    <w:rsid w:val="00FC0CEA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3A67"/>
    <w:rsid w:val="00FD4A61"/>
    <w:rsid w:val="00FD66FB"/>
    <w:rsid w:val="00FD75CE"/>
    <w:rsid w:val="00FD7F10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8A4"/>
    <w:rsid w:val="00FF3D69"/>
    <w:rsid w:val="00FF4D77"/>
    <w:rsid w:val="00FF5558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30DCC"/>
  <w15:docId w15:val="{CBC344DD-FE2F-8F4E-ACD7-EFFC6DEA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32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25276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rsid w:val="00125276"/>
    <w:pPr>
      <w:ind w:left="720"/>
    </w:pPr>
  </w:style>
  <w:style w:type="paragraph" w:styleId="Pta">
    <w:name w:val="footer"/>
    <w:basedOn w:val="Normlny"/>
    <w:rsid w:val="00B3532C"/>
    <w:pPr>
      <w:tabs>
        <w:tab w:val="center" w:pos="4536"/>
        <w:tab w:val="right" w:pos="9072"/>
      </w:tabs>
    </w:pPr>
  </w:style>
  <w:style w:type="character" w:styleId="slostrany">
    <w:name w:val="page number"/>
    <w:rsid w:val="00B3532C"/>
    <w:rPr>
      <w:rFonts w:cs="Times New Roman"/>
      <w:rtl w:val="0"/>
      <w:cs w:val="0"/>
    </w:rPr>
  </w:style>
  <w:style w:type="character" w:customStyle="1" w:styleId="awspan">
    <w:name w:val="awspan"/>
    <w:rsid w:val="007A6037"/>
  </w:style>
  <w:style w:type="paragraph" w:styleId="Textbubliny">
    <w:name w:val="Balloon Text"/>
    <w:basedOn w:val="Normlny"/>
    <w:link w:val="TextbublinyChar"/>
    <w:semiHidden/>
    <w:unhideWhenUsed/>
    <w:rsid w:val="00DE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E509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220C79"/>
    <w:pPr>
      <w:widowControl w:val="0"/>
      <w:autoSpaceDE w:val="0"/>
      <w:autoSpaceDN w:val="0"/>
      <w:adjustRightInd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220C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220C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74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4125"/>
    <w:rPr>
      <w:sz w:val="24"/>
      <w:szCs w:val="24"/>
    </w:rPr>
  </w:style>
  <w:style w:type="character" w:customStyle="1" w:styleId="awspan1">
    <w:name w:val="awspan1"/>
    <w:basedOn w:val="Predvolenpsmoodseku"/>
    <w:rsid w:val="00862837"/>
    <w:rPr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62837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762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62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Lučivjanský, Dávid, Mgr., PhD.</cp:lastModifiedBy>
  <cp:revision>48</cp:revision>
  <cp:lastPrinted>2019-08-19T06:17:00Z</cp:lastPrinted>
  <dcterms:created xsi:type="dcterms:W3CDTF">2019-09-26T17:58:00Z</dcterms:created>
  <dcterms:modified xsi:type="dcterms:W3CDTF">2024-05-24T12:03:00Z</dcterms:modified>
</cp:coreProperties>
</file>