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1CFD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 w:cs="Times New Roman"/>
          <w:color w:val="000000"/>
        </w:rPr>
      </w:pPr>
      <w:r w:rsidRPr="00FF13B0">
        <w:rPr>
          <w:rFonts w:eastAsia="Times New Roman" w:cs="Times New Roman"/>
          <w:b/>
          <w:smallCaps/>
          <w:color w:val="000000"/>
        </w:rPr>
        <w:t>DOLOŽKA</w:t>
      </w:r>
    </w:p>
    <w:p w14:paraId="7E18C2CA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 w:cs="Times New Roman"/>
          <w:color w:val="000000"/>
        </w:rPr>
      </w:pPr>
      <w:r w:rsidRPr="00FF13B0">
        <w:rPr>
          <w:rFonts w:eastAsia="Times New Roman" w:cs="Times New Roman"/>
          <w:b/>
          <w:color w:val="000000"/>
        </w:rPr>
        <w:t>vybraných vplyvov</w:t>
      </w:r>
    </w:p>
    <w:p w14:paraId="16F5B805" w14:textId="77777777" w:rsidR="00C77B16" w:rsidRPr="00FF13B0" w:rsidRDefault="00C7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Times New Roman"/>
          <w:color w:val="000000"/>
        </w:rPr>
      </w:pPr>
    </w:p>
    <w:p w14:paraId="6BA15C60" w14:textId="77777777" w:rsidR="00C77B16" w:rsidRPr="00FF13B0" w:rsidRDefault="00000000">
      <w:pPr>
        <w:jc w:val="both"/>
        <w:rPr>
          <w:rFonts w:cs="Times New Roman"/>
        </w:rPr>
      </w:pPr>
      <w:r w:rsidRPr="00FF13B0">
        <w:rPr>
          <w:rFonts w:cs="Times New Roman"/>
          <w:b/>
          <w:color w:val="000000"/>
        </w:rPr>
        <w:t xml:space="preserve">A.1. Názov materiálu: </w:t>
      </w:r>
      <w:r w:rsidRPr="00FF13B0">
        <w:rPr>
          <w:rFonts w:cs="Times New Roman"/>
        </w:rPr>
        <w:t>Návrh zákona, ktorým sa mení a dopĺňa zákon č. 461/2003 Z. z. o sociálnom poistení v znení neskorších predpisov a ktorým sa dopĺňa zákon č. 131/2002 Z. z. o vysokých školách a o zmene a doplnení niektorých zákonov v znení neskorších predpisov</w:t>
      </w:r>
    </w:p>
    <w:p w14:paraId="2861B06F" w14:textId="77777777" w:rsidR="00C77B16" w:rsidRPr="00FF13B0" w:rsidRDefault="00C77B16">
      <w:pPr>
        <w:jc w:val="both"/>
        <w:rPr>
          <w:rFonts w:cs="Times New Roman"/>
          <w:b/>
          <w:color w:val="000000"/>
        </w:rPr>
      </w:pPr>
    </w:p>
    <w:p w14:paraId="46BA58FB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 w:rsidRPr="00FF13B0">
        <w:rPr>
          <w:rFonts w:eastAsia="Times New Roman" w:cs="Times New Roman"/>
          <w:b/>
          <w:color w:val="000000"/>
        </w:rPr>
        <w:t>A.2. Vplyvy:</w:t>
      </w:r>
    </w:p>
    <w:p w14:paraId="75F47A09" w14:textId="77777777" w:rsidR="00C77B16" w:rsidRPr="00FF13B0" w:rsidRDefault="00C7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</w:p>
    <w:tbl>
      <w:tblPr>
        <w:tblStyle w:val="a"/>
        <w:tblW w:w="909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C77B16" w:rsidRPr="00FF13B0" w14:paraId="2447E103" w14:textId="77777777">
        <w:tc>
          <w:tcPr>
            <w:tcW w:w="5526" w:type="dxa"/>
            <w:vAlign w:val="center"/>
          </w:tcPr>
          <w:p w14:paraId="3EFA97D7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192" w:type="dxa"/>
            <w:vAlign w:val="center"/>
          </w:tcPr>
          <w:p w14:paraId="2E9FF497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Pozitívne</w:t>
            </w:r>
          </w:p>
        </w:tc>
        <w:tc>
          <w:tcPr>
            <w:tcW w:w="1181" w:type="dxa"/>
            <w:vAlign w:val="center"/>
          </w:tcPr>
          <w:p w14:paraId="49770465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Žiadne</w:t>
            </w:r>
          </w:p>
        </w:tc>
        <w:tc>
          <w:tcPr>
            <w:tcW w:w="1196" w:type="dxa"/>
            <w:vAlign w:val="center"/>
          </w:tcPr>
          <w:p w14:paraId="75F071BA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Negatívne</w:t>
            </w:r>
          </w:p>
        </w:tc>
      </w:tr>
      <w:tr w:rsidR="00C77B16" w:rsidRPr="00FF13B0" w14:paraId="7D7F0A84" w14:textId="77777777">
        <w:tc>
          <w:tcPr>
            <w:tcW w:w="5526" w:type="dxa"/>
            <w:vAlign w:val="center"/>
          </w:tcPr>
          <w:p w14:paraId="748FEE0D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14:paraId="50AC713E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02812F91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310A9190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 xml:space="preserve">       X </w:t>
            </w:r>
          </w:p>
        </w:tc>
      </w:tr>
      <w:tr w:rsidR="00C77B16" w:rsidRPr="00FF13B0" w14:paraId="7FD3D068" w14:textId="77777777">
        <w:tc>
          <w:tcPr>
            <w:tcW w:w="5526" w:type="dxa"/>
            <w:vAlign w:val="center"/>
          </w:tcPr>
          <w:p w14:paraId="0DC36C8E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14:paraId="1D284E24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2E4A8AA7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7CB5FEC2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6CFB4D5D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21C84B87" w14:textId="77777777">
        <w:tc>
          <w:tcPr>
            <w:tcW w:w="5526" w:type="dxa"/>
            <w:vAlign w:val="center"/>
          </w:tcPr>
          <w:p w14:paraId="7BEF2E13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3. Sociálne vplyvy</w:t>
            </w:r>
          </w:p>
        </w:tc>
        <w:tc>
          <w:tcPr>
            <w:tcW w:w="1192" w:type="dxa"/>
            <w:vAlign w:val="center"/>
          </w:tcPr>
          <w:p w14:paraId="21C77854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7C5FF7DE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08B4F930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0038DC9B" w14:textId="77777777">
        <w:tc>
          <w:tcPr>
            <w:tcW w:w="5526" w:type="dxa"/>
            <w:vAlign w:val="center"/>
          </w:tcPr>
          <w:p w14:paraId="1C065083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14:paraId="394B7C98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1FF7A63E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7AB155E3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69A7A261" w14:textId="77777777">
        <w:tc>
          <w:tcPr>
            <w:tcW w:w="5526" w:type="dxa"/>
            <w:vAlign w:val="center"/>
          </w:tcPr>
          <w:p w14:paraId="2073D298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 xml:space="preserve">– sociálnu </w:t>
            </w:r>
            <w:proofErr w:type="spellStart"/>
            <w:r w:rsidRPr="00FF13B0">
              <w:rPr>
                <w:rFonts w:eastAsia="Times New Roman" w:cs="Times New Roman"/>
                <w:color w:val="000000"/>
              </w:rPr>
              <w:t>exklúziu</w:t>
            </w:r>
            <w:proofErr w:type="spellEnd"/>
            <w:r w:rsidRPr="00FF13B0">
              <w:rPr>
                <w:rFonts w:eastAsia="Times New Roman" w:cs="Times New Roman"/>
                <w:color w:val="000000"/>
              </w:rPr>
              <w:t>,</w:t>
            </w:r>
          </w:p>
        </w:tc>
        <w:tc>
          <w:tcPr>
            <w:tcW w:w="1192" w:type="dxa"/>
            <w:vAlign w:val="center"/>
          </w:tcPr>
          <w:p w14:paraId="1662D21C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14:paraId="68234992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2CCA583B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1CB7077F" w14:textId="77777777">
        <w:tc>
          <w:tcPr>
            <w:tcW w:w="5526" w:type="dxa"/>
            <w:vAlign w:val="center"/>
          </w:tcPr>
          <w:p w14:paraId="5F0D3FFF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14:paraId="1A5D14E5" w14:textId="77777777" w:rsidR="00C77B16" w:rsidRPr="00FF13B0" w:rsidRDefault="00000000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 w:rsidRPr="00FF13B0">
              <w:rPr>
                <w:rFonts w:cs="Times New Roman"/>
              </w:rPr>
              <w:t>X</w:t>
            </w:r>
          </w:p>
        </w:tc>
        <w:tc>
          <w:tcPr>
            <w:tcW w:w="1181" w:type="dxa"/>
            <w:vAlign w:val="center"/>
          </w:tcPr>
          <w:p w14:paraId="7FF7674F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514344E6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159770F7" w14:textId="77777777">
        <w:tc>
          <w:tcPr>
            <w:tcW w:w="5526" w:type="dxa"/>
            <w:vAlign w:val="center"/>
          </w:tcPr>
          <w:p w14:paraId="34A741BE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14:paraId="0F91EF1E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6C8F043F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45A2E77D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4515C93B" w14:textId="77777777">
        <w:tc>
          <w:tcPr>
            <w:tcW w:w="5526" w:type="dxa"/>
            <w:vAlign w:val="center"/>
          </w:tcPr>
          <w:p w14:paraId="6DD5834D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14:paraId="331B1D6E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3244D390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1575038C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C77B16" w:rsidRPr="00FF13B0" w14:paraId="043D4B87" w14:textId="77777777">
        <w:tc>
          <w:tcPr>
            <w:tcW w:w="5526" w:type="dxa"/>
            <w:vAlign w:val="center"/>
          </w:tcPr>
          <w:p w14:paraId="6FD5BF30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6. Vplyvy na služby pre občana z toho</w:t>
            </w:r>
          </w:p>
          <w:p w14:paraId="76147DB5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- vplyvy služieb verejnej správy na občana</w:t>
            </w:r>
          </w:p>
          <w:p w14:paraId="0B2790E7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highlight w:val="yellow"/>
              </w:rPr>
            </w:pPr>
            <w:r w:rsidRPr="00FF13B0">
              <w:rPr>
                <w:rFonts w:eastAsia="Times New Roman" w:cs="Times New Roman"/>
                <w:color w:val="000000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14:paraId="07EEA30C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14:paraId="68F1AE84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  <w:p w14:paraId="1AC0EFC6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  <w:p w14:paraId="76BB2F08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06083747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</w:tr>
      <w:tr w:rsidR="00C77B16" w:rsidRPr="00FF13B0" w14:paraId="4E7E454E" w14:textId="77777777">
        <w:tc>
          <w:tcPr>
            <w:tcW w:w="5526" w:type="dxa"/>
            <w:vAlign w:val="center"/>
          </w:tcPr>
          <w:p w14:paraId="3E873E61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highlight w:val="yellow"/>
              </w:rPr>
            </w:pPr>
            <w:r w:rsidRPr="00FF13B0">
              <w:rPr>
                <w:rFonts w:eastAsia="Times New Roman" w:cs="Times New Roman"/>
                <w:color w:val="000000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14:paraId="6570DBE3" w14:textId="77777777" w:rsidR="00C77B16" w:rsidRPr="00FF13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 w:rsidRPr="00FF13B0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35B08CB3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14:paraId="511284D2" w14:textId="77777777" w:rsidR="00C77B16" w:rsidRPr="00FF13B0" w:rsidRDefault="00C7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</w:tr>
    </w:tbl>
    <w:p w14:paraId="5D359315" w14:textId="77777777" w:rsidR="00C77B16" w:rsidRPr="00FF13B0" w:rsidRDefault="00C7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Times New Roman"/>
          <w:color w:val="000000"/>
        </w:rPr>
      </w:pPr>
    </w:p>
    <w:p w14:paraId="6B586CFC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Times New Roman" w:cs="Times New Roman"/>
          <w:b/>
          <w:color w:val="000000"/>
        </w:rPr>
      </w:pPr>
      <w:r w:rsidRPr="00FF13B0">
        <w:rPr>
          <w:rFonts w:eastAsia="Times New Roman" w:cs="Times New Roman"/>
          <w:b/>
          <w:color w:val="000000"/>
        </w:rPr>
        <w:t>A.3. Poznámky</w:t>
      </w:r>
    </w:p>
    <w:p w14:paraId="3A59F004" w14:textId="4E468BB5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>Návrh zákona bude mať negatívny vplyv na rozpočet verejnej správy</w:t>
      </w:r>
      <w:r w:rsidR="009F7EDE">
        <w:rPr>
          <w:rFonts w:cs="Times New Roman"/>
        </w:rPr>
        <w:t>, avšak pozitívny vplyv na príjem Sociálnej poisťovne</w:t>
      </w:r>
      <w:r w:rsidRPr="00FF13B0">
        <w:rPr>
          <w:rFonts w:cs="Times New Roman"/>
        </w:rPr>
        <w:t>. Celková výška sociálnych odvodov bude predstavovať výdavky vo výške 7 až 8 miliónov eur ročne v priebehu nasledujúcich štyroch rokov. Sociálne odvody sú ale zároveň aj príjmom Sociálnej poisťovne a v konsolidovanej podobe bude z krátkodobého hľadiska negatívny dopad na rozpočet značne menší.</w:t>
      </w:r>
    </w:p>
    <w:p w14:paraId="275995A8" w14:textId="77777777" w:rsidR="00C77B16" w:rsidRPr="00FF13B0" w:rsidRDefault="00C77B16">
      <w:pPr>
        <w:widowControl/>
        <w:jc w:val="both"/>
        <w:rPr>
          <w:rFonts w:cs="Times New Roman"/>
        </w:rPr>
      </w:pPr>
    </w:p>
    <w:p w14:paraId="32CF1D75" w14:textId="7EA9BEAA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 xml:space="preserve">Hlavným kvantifikovaným konsolidovaným dopadom na rozpočet je z krátkodobého hľadiska rozšírenie nároku na čerpanie materského </w:t>
      </w:r>
      <w:proofErr w:type="spellStart"/>
      <w:r w:rsidRPr="00FF13B0">
        <w:rPr>
          <w:rFonts w:cs="Times New Roman"/>
        </w:rPr>
        <w:t>novopoistenými</w:t>
      </w:r>
      <w:proofErr w:type="spellEnd"/>
      <w:r w:rsidRPr="00FF13B0">
        <w:rPr>
          <w:rFonts w:cs="Times New Roman"/>
        </w:rPr>
        <w:t> doktorandkami a doktorandmi. Ostatné výdavky plynúce z nemocenského poistenia (ako napr. ošetrovné) kvantifikované nie sú. Z dlhodobého hľadiska je dôležitým dopadom opatrenia aj navýšenie starobných dôchodkov. Vzhľadom na časový horizont však tento dopad nie je kvantifikovateľný, nakoľko nie je možné určiť následný príjem</w:t>
      </w:r>
      <w:r w:rsidR="009F7EDE">
        <w:rPr>
          <w:rFonts w:cs="Times New Roman"/>
        </w:rPr>
        <w:t xml:space="preserve"> študentov a študentiek tretieho stupňa vysokoškolského štúdia po ukončení tohto stupňa štúdia</w:t>
      </w:r>
      <w:r w:rsidRPr="00FF13B0">
        <w:rPr>
          <w:rFonts w:cs="Times New Roman"/>
        </w:rPr>
        <w:t xml:space="preserve"> a prognózu na približne 30 rokov. </w:t>
      </w:r>
    </w:p>
    <w:p w14:paraId="4EA9D9A9" w14:textId="77777777" w:rsidR="00C77B16" w:rsidRPr="00FF13B0" w:rsidRDefault="00C77B16">
      <w:pPr>
        <w:widowControl/>
        <w:rPr>
          <w:rFonts w:cs="Times New Roman"/>
        </w:rPr>
      </w:pPr>
    </w:p>
    <w:p w14:paraId="650FFF29" w14:textId="77777777" w:rsidR="00C77B16" w:rsidRPr="00FF13B0" w:rsidRDefault="00000000">
      <w:pPr>
        <w:widowControl/>
        <w:jc w:val="both"/>
        <w:rPr>
          <w:rFonts w:cs="Times New Roman"/>
          <w:b/>
        </w:rPr>
      </w:pPr>
      <w:r w:rsidRPr="00FF13B0">
        <w:rPr>
          <w:rFonts w:cs="Times New Roman"/>
          <w:b/>
        </w:rPr>
        <w:t>Podrobnejšia kvantifikácia krátkodobého konsolidovaného dopadu:</w:t>
      </w:r>
    </w:p>
    <w:p w14:paraId="31BCAEC6" w14:textId="77777777" w:rsidR="00C77B16" w:rsidRPr="00FF13B0" w:rsidRDefault="00C77B16">
      <w:pPr>
        <w:widowControl/>
        <w:rPr>
          <w:rFonts w:cs="Times New Roman"/>
        </w:rPr>
      </w:pPr>
    </w:p>
    <w:p w14:paraId="2E89A478" w14:textId="7777777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>V súčasnosti (2024) je na Slovensku v dennej forme štúdia evidovaných 2850 doktorandov a doktorandiek, z toho 1315 mužov a 1535 žien. Pre potreby kvantifikácie dopadu v najbližších štyroch rokoch je tento počet považovaný za konštantný, a to aj napriek mierne klesajúcemu  trendu počtu študentov a študentiek tretieho stupňa štúdia.</w:t>
      </w:r>
    </w:p>
    <w:p w14:paraId="71774E75" w14:textId="77777777" w:rsidR="00C77B16" w:rsidRPr="00FF13B0" w:rsidRDefault="00C77B16">
      <w:pPr>
        <w:widowControl/>
        <w:rPr>
          <w:rFonts w:cs="Times New Roman"/>
        </w:rPr>
      </w:pPr>
    </w:p>
    <w:p w14:paraId="0909C78F" w14:textId="7777777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 xml:space="preserve">Dennej forme štúdia na doktorandskom stupni prislúcha štipendium, ktoré je závislé od úspešného zloženia prvej časti dizertačnej skúšky (tzv. </w:t>
      </w:r>
      <w:proofErr w:type="spellStart"/>
      <w:r w:rsidRPr="00FF13B0">
        <w:rPr>
          <w:rFonts w:cs="Times New Roman"/>
        </w:rPr>
        <w:t>minimové</w:t>
      </w:r>
      <w:proofErr w:type="spellEnd"/>
      <w:r w:rsidRPr="00FF13B0">
        <w:rPr>
          <w:rFonts w:cs="Times New Roman"/>
        </w:rPr>
        <w:t xml:space="preserve"> práce). Predpokladom pre výpočet je, že pomer študentov a študentiek pred a po zložení tejto práce je 2:1. Ide o relatívne malý rozdiel na úrovni 170 EUR na mesiac. </w:t>
      </w:r>
    </w:p>
    <w:p w14:paraId="57395F89" w14:textId="77777777" w:rsidR="00C77B16" w:rsidRPr="00FF13B0" w:rsidRDefault="00C77B16">
      <w:pPr>
        <w:widowControl/>
        <w:jc w:val="both"/>
        <w:rPr>
          <w:rFonts w:cs="Times New Roman"/>
        </w:rPr>
      </w:pPr>
    </w:p>
    <w:p w14:paraId="4F12F983" w14:textId="51046C0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>Pre kvantifikáciu dopadov na štátny rozpočet na ďalšie tri roky počítame s valorizáciou štipendia na úrovni 10 % ročne. Výšku valorizácie každoročne upravujú platové tabuľky akademických zamestnancov v zmysle § 54 ods. 18 zákona č. 131/2002 Z. z..</w:t>
      </w:r>
    </w:p>
    <w:p w14:paraId="25FB0244" w14:textId="77777777" w:rsidR="00C77B16" w:rsidRPr="00FF13B0" w:rsidRDefault="00C77B16">
      <w:pPr>
        <w:widowControl/>
        <w:rPr>
          <w:rFonts w:cs="Times New Roman"/>
        </w:rPr>
      </w:pPr>
    </w:p>
    <w:p w14:paraId="29929EDB" w14:textId="01E1DE3B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 xml:space="preserve">Novela zákona sa priamo dotkne len </w:t>
      </w:r>
      <w:r w:rsidRPr="00FF13B0">
        <w:rPr>
          <w:rFonts w:cs="Times New Roman"/>
          <w:highlight w:val="white"/>
        </w:rPr>
        <w:t>ne</w:t>
      </w:r>
      <w:r w:rsidRPr="00FF13B0">
        <w:rPr>
          <w:rFonts w:cs="Times New Roman"/>
        </w:rPr>
        <w:t>pracujúcich doktorandov a doktorandiek dennej formy štúdia. Pre výpočet odhadujeme, že v súčasnosti pracuje 20 % študentov a študentiek. Ako uvádza dôvodová správa, jednou z motivácií práce popri doktorandskom štúdiu je aj zabezpečenie si nemocenského a starobného poistenia a príslušných benefitov. Je predpoklad, že po schválení novely podiel pracujúcich študentov a študentiek tretieho stupňa klesne</w:t>
      </w:r>
      <w:r w:rsidR="009F7EDE">
        <w:rPr>
          <w:rFonts w:cs="Times New Roman"/>
        </w:rPr>
        <w:t> </w:t>
      </w:r>
      <w:r w:rsidRPr="00FF13B0">
        <w:rPr>
          <w:rFonts w:cs="Times New Roman"/>
        </w:rPr>
        <w:t>na</w:t>
      </w:r>
      <w:r w:rsidR="009F7EDE">
        <w:rPr>
          <w:rFonts w:cs="Times New Roman"/>
        </w:rPr>
        <w:t> </w:t>
      </w:r>
      <w:r w:rsidRPr="00FF13B0">
        <w:rPr>
          <w:rFonts w:cs="Times New Roman"/>
        </w:rPr>
        <w:t>15</w:t>
      </w:r>
      <w:r w:rsidR="009F7EDE">
        <w:rPr>
          <w:rFonts w:eastAsia="Aptos" w:cs="Times New Roman"/>
        </w:rPr>
        <w:t> </w:t>
      </w:r>
      <w:r w:rsidRPr="00FF13B0">
        <w:rPr>
          <w:rFonts w:cs="Times New Roman"/>
        </w:rPr>
        <w:t xml:space="preserve">%. </w:t>
      </w:r>
    </w:p>
    <w:p w14:paraId="78E4FB37" w14:textId="77777777" w:rsidR="00C77B16" w:rsidRPr="00FF13B0" w:rsidRDefault="00C77B16">
      <w:pPr>
        <w:widowControl/>
        <w:rPr>
          <w:rFonts w:cs="Times New Roman"/>
        </w:rPr>
      </w:pPr>
    </w:p>
    <w:p w14:paraId="03866E03" w14:textId="7777777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>Referenčnou populáciou pre študentov a študentky doktorandského štúdia sú pre potreby výpočtu osoby vo veku 26 – 30 rokov. V danej demografickej skupine je na celospoločenskej úrovni ročná pôrodnosť zhruba 100 narodených detí na 1000 žien (10 %). Predpokladáme, že rovnaký podiel, teda 10 %, prislúcha mužom v roli otcov v danej vekovej skupine. Pri výpočte ďalej pracujeme s predpokladom, že každá matka-doktorandka si uplatní nárok na materské a 45 % otcov-doktorandov si uplatní nárok na materské (pre otcov).</w:t>
      </w:r>
    </w:p>
    <w:p w14:paraId="57371479" w14:textId="77777777" w:rsidR="00C77B16" w:rsidRPr="00FF13B0" w:rsidRDefault="00C77B16">
      <w:pPr>
        <w:widowControl/>
        <w:rPr>
          <w:rFonts w:cs="Times New Roman"/>
        </w:rPr>
      </w:pPr>
    </w:p>
    <w:p w14:paraId="77194650" w14:textId="7777777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 xml:space="preserve">V zmysle uvedených výpočtov, počet </w:t>
      </w:r>
      <w:proofErr w:type="spellStart"/>
      <w:r w:rsidRPr="00FF13B0">
        <w:rPr>
          <w:rFonts w:cs="Times New Roman"/>
        </w:rPr>
        <w:t>novopoistených</w:t>
      </w:r>
      <w:proofErr w:type="spellEnd"/>
      <w:r w:rsidRPr="00FF13B0">
        <w:rPr>
          <w:rFonts w:cs="Times New Roman"/>
        </w:rPr>
        <w:t xml:space="preserve"> doktorandov a doktorandiek (spolu mužov i žien) v dennej forme štúdia nevykonávajúcich inú pracovnú činnosť bude 2346. Priemerný odvod starobného dôchodkového poistenia a nemocenského poistenia bude 247,5 eur v prvom roku platnosti opatrenia a 299,50 eur v treťom roku platnosti opatrenia (pri medziročnej valorizácii štipendií na úrovni 10 %). Na základe týchto údajov je možné vypočítať celkovú ročnú výšku odvodov plynúcich z tejto novely. </w:t>
      </w:r>
    </w:p>
    <w:p w14:paraId="1FAB5B88" w14:textId="77777777" w:rsidR="00C77B16" w:rsidRPr="00FF13B0" w:rsidRDefault="00C77B16">
      <w:pPr>
        <w:widowControl/>
        <w:rPr>
          <w:rFonts w:cs="Times New Roman"/>
        </w:rPr>
      </w:pPr>
    </w:p>
    <w:p w14:paraId="0BE33C9D" w14:textId="7777777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 xml:space="preserve">Na základe týchto predpokladov vyplýva, že z celkového počtu doktorandiek sa </w:t>
      </w:r>
      <w:proofErr w:type="spellStart"/>
      <w:r w:rsidRPr="00FF13B0">
        <w:rPr>
          <w:rFonts w:cs="Times New Roman"/>
        </w:rPr>
        <w:t>novopoisteným</w:t>
      </w:r>
      <w:proofErr w:type="spellEnd"/>
      <w:r w:rsidRPr="00FF13B0">
        <w:rPr>
          <w:rFonts w:cs="Times New Roman"/>
        </w:rPr>
        <w:t xml:space="preserve"> doktorandkám narodí 123 detí a </w:t>
      </w:r>
      <w:proofErr w:type="spellStart"/>
      <w:r w:rsidRPr="00FF13B0">
        <w:rPr>
          <w:rFonts w:cs="Times New Roman"/>
        </w:rPr>
        <w:t>novopoisteným</w:t>
      </w:r>
      <w:proofErr w:type="spellEnd"/>
      <w:r w:rsidRPr="00FF13B0">
        <w:rPr>
          <w:rFonts w:cs="Times New Roman"/>
        </w:rPr>
        <w:t xml:space="preserve"> doktorandom 112 detí ročne. </w:t>
      </w:r>
      <w:proofErr w:type="spellStart"/>
      <w:r w:rsidRPr="00FF13B0">
        <w:rPr>
          <w:rFonts w:cs="Times New Roman"/>
        </w:rPr>
        <w:t>Novopoistenyćh</w:t>
      </w:r>
      <w:proofErr w:type="spellEnd"/>
      <w:r w:rsidRPr="00FF13B0">
        <w:rPr>
          <w:rFonts w:cs="Times New Roman"/>
        </w:rPr>
        <w:t xml:space="preserve"> doktorandiek poberajúcich materské teda bude 123 a </w:t>
      </w:r>
      <w:proofErr w:type="spellStart"/>
      <w:r w:rsidRPr="00FF13B0">
        <w:rPr>
          <w:rFonts w:cs="Times New Roman"/>
        </w:rPr>
        <w:t>novopoistených</w:t>
      </w:r>
      <w:proofErr w:type="spellEnd"/>
      <w:r w:rsidRPr="00FF13B0">
        <w:rPr>
          <w:rFonts w:cs="Times New Roman"/>
        </w:rPr>
        <w:t xml:space="preserve"> doktorandov poberajúcich otcovské materské bude 50 ročne.</w:t>
      </w:r>
    </w:p>
    <w:p w14:paraId="2798FC19" w14:textId="77777777" w:rsidR="00C77B16" w:rsidRPr="00FF13B0" w:rsidRDefault="00C77B16">
      <w:pPr>
        <w:widowControl/>
        <w:rPr>
          <w:rFonts w:cs="Times New Roman"/>
        </w:rPr>
      </w:pPr>
    </w:p>
    <w:p w14:paraId="330C133D" w14:textId="77777777" w:rsidR="00C77B16" w:rsidRPr="00FF13B0" w:rsidRDefault="00000000">
      <w:pPr>
        <w:widowControl/>
        <w:jc w:val="both"/>
        <w:rPr>
          <w:rFonts w:cs="Times New Roman"/>
        </w:rPr>
      </w:pPr>
      <w:r w:rsidRPr="00FF13B0">
        <w:rPr>
          <w:rFonts w:cs="Times New Roman"/>
        </w:rPr>
        <w:t>Na základe týchto údajov je kvantifikácia dopadov na štátny rozpočet na 3+1 nasledujúce roky nasledovná:</w:t>
      </w:r>
    </w:p>
    <w:p w14:paraId="714AE1ED" w14:textId="77777777" w:rsidR="00C77B16" w:rsidRPr="00FF13B0" w:rsidRDefault="00C77B16">
      <w:pPr>
        <w:widowControl/>
        <w:spacing w:after="160" w:line="278" w:lineRule="auto"/>
        <w:rPr>
          <w:rFonts w:cs="Times New Roman"/>
        </w:rPr>
      </w:pPr>
    </w:p>
    <w:tbl>
      <w:tblPr>
        <w:tblStyle w:val="a0"/>
        <w:tblW w:w="90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5"/>
        <w:gridCol w:w="1368"/>
        <w:gridCol w:w="1276"/>
        <w:gridCol w:w="1275"/>
      </w:tblGrid>
      <w:tr w:rsidR="00FF13B0" w:rsidRPr="00FF13B0" w14:paraId="5F817648" w14:textId="77777777" w:rsidTr="00FF13B0">
        <w:trPr>
          <w:trHeight w:val="266"/>
        </w:trPr>
        <w:tc>
          <w:tcPr>
            <w:tcW w:w="5145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CA27F9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VÝDAVKY</w:t>
            </w:r>
          </w:p>
        </w:tc>
        <w:tc>
          <w:tcPr>
            <w:tcW w:w="1368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5BC28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2025</w:t>
            </w:r>
          </w:p>
        </w:tc>
        <w:tc>
          <w:tcPr>
            <w:tcW w:w="1276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202F76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2026</w:t>
            </w:r>
          </w:p>
        </w:tc>
        <w:tc>
          <w:tcPr>
            <w:tcW w:w="1275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C98F0B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2027</w:t>
            </w:r>
          </w:p>
        </w:tc>
      </w:tr>
      <w:tr w:rsidR="00FF13B0" w:rsidRPr="00FF13B0" w14:paraId="7BADA63F" w14:textId="77777777" w:rsidTr="00FF13B0">
        <w:trPr>
          <w:trHeight w:val="537"/>
        </w:trPr>
        <w:tc>
          <w:tcPr>
            <w:tcW w:w="51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38778" w14:textId="77777777" w:rsidR="00FF13B0" w:rsidRPr="00FF13B0" w:rsidRDefault="00FF13B0">
            <w:pPr>
              <w:widowControl/>
              <w:rPr>
                <w:rFonts w:cs="Times New Roman"/>
                <w:b/>
              </w:rPr>
            </w:pPr>
            <w:r w:rsidRPr="00FF13B0">
              <w:rPr>
                <w:rFonts w:cs="Times New Roman"/>
              </w:rPr>
              <w:t>Poistné a príspevok do poisťovní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4131C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6 966 465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DDC62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7 663 111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C72D2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8 429 422</w:t>
            </w:r>
          </w:p>
        </w:tc>
      </w:tr>
      <w:tr w:rsidR="00FF13B0" w:rsidRPr="00FF13B0" w14:paraId="77ED8D08" w14:textId="77777777" w:rsidTr="00FF13B0">
        <w:trPr>
          <w:trHeight w:val="537"/>
        </w:trPr>
        <w:tc>
          <w:tcPr>
            <w:tcW w:w="51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FB56C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</w:rPr>
              <w:t xml:space="preserve">Čerpanie materskej dovolenky </w:t>
            </w:r>
            <w:proofErr w:type="spellStart"/>
            <w:r w:rsidRPr="00FF13B0">
              <w:rPr>
                <w:rFonts w:cs="Times New Roman"/>
              </w:rPr>
              <w:t>novopoistenými</w:t>
            </w:r>
            <w:proofErr w:type="spellEnd"/>
            <w:r w:rsidRPr="00FF13B0">
              <w:rPr>
                <w:rFonts w:cs="Times New Roman"/>
              </w:rPr>
              <w:t xml:space="preserve"> doktorandkami (matka)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8F4C7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1 086 705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358D2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1 195 375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36B06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1 314 912</w:t>
            </w:r>
          </w:p>
        </w:tc>
      </w:tr>
      <w:tr w:rsidR="00FF13B0" w:rsidRPr="00FF13B0" w14:paraId="39EE799B" w14:textId="77777777" w:rsidTr="00FF13B0">
        <w:trPr>
          <w:trHeight w:val="537"/>
        </w:trPr>
        <w:tc>
          <w:tcPr>
            <w:tcW w:w="51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87386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</w:rPr>
              <w:t xml:space="preserve">Čerpanie materskej dovolenky </w:t>
            </w:r>
            <w:proofErr w:type="spellStart"/>
            <w:r w:rsidRPr="00FF13B0">
              <w:rPr>
                <w:rFonts w:cs="Times New Roman"/>
              </w:rPr>
              <w:t>novopoistenými</w:t>
            </w:r>
            <w:proofErr w:type="spellEnd"/>
            <w:r w:rsidRPr="00FF13B0">
              <w:rPr>
                <w:rFonts w:cs="Times New Roman"/>
              </w:rPr>
              <w:t xml:space="preserve"> doktorandmi (otec)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6CDDB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293 251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3EFE0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322 576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62962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354 834</w:t>
            </w:r>
          </w:p>
        </w:tc>
      </w:tr>
    </w:tbl>
    <w:p w14:paraId="238AD990" w14:textId="77777777" w:rsidR="00FF13B0" w:rsidRPr="00FF13B0" w:rsidRDefault="00FF13B0" w:rsidP="00FF13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 w:rsidRPr="00FF13B0">
        <w:rPr>
          <w:rFonts w:cs="Times New Roman"/>
        </w:rPr>
        <w:t>*Sumy sú uvádzané v eurách</w:t>
      </w:r>
    </w:p>
    <w:p w14:paraId="23DD524F" w14:textId="77777777" w:rsidR="00C77B16" w:rsidRPr="00FF13B0" w:rsidRDefault="00C77B16">
      <w:pPr>
        <w:widowControl/>
        <w:spacing w:after="160" w:line="278" w:lineRule="auto"/>
        <w:rPr>
          <w:rFonts w:cs="Times New Roman"/>
        </w:rPr>
      </w:pPr>
    </w:p>
    <w:p w14:paraId="7CAB5A04" w14:textId="77777777" w:rsidR="00C77B16" w:rsidRPr="00FF13B0" w:rsidRDefault="00C77B16">
      <w:pPr>
        <w:widowControl/>
        <w:spacing w:after="160" w:line="278" w:lineRule="auto"/>
        <w:rPr>
          <w:rFonts w:cs="Times New Roman"/>
        </w:rPr>
      </w:pPr>
    </w:p>
    <w:tbl>
      <w:tblPr>
        <w:tblStyle w:val="a1"/>
        <w:tblW w:w="90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5"/>
        <w:gridCol w:w="1368"/>
        <w:gridCol w:w="1276"/>
        <w:gridCol w:w="1275"/>
      </w:tblGrid>
      <w:tr w:rsidR="00FF13B0" w:rsidRPr="00FF13B0" w14:paraId="01333079" w14:textId="77777777" w:rsidTr="00FF13B0">
        <w:trPr>
          <w:trHeight w:val="266"/>
        </w:trPr>
        <w:tc>
          <w:tcPr>
            <w:tcW w:w="5145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949EE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lastRenderedPageBreak/>
              <w:t>PRÍJMY</w:t>
            </w:r>
          </w:p>
        </w:tc>
        <w:tc>
          <w:tcPr>
            <w:tcW w:w="1368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0784C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2025</w:t>
            </w:r>
          </w:p>
        </w:tc>
        <w:tc>
          <w:tcPr>
            <w:tcW w:w="1276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3C15E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2026</w:t>
            </w:r>
          </w:p>
        </w:tc>
        <w:tc>
          <w:tcPr>
            <w:tcW w:w="1275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E111C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2027</w:t>
            </w:r>
          </w:p>
        </w:tc>
      </w:tr>
      <w:tr w:rsidR="00FF13B0" w:rsidRPr="00FF13B0" w14:paraId="55B98F0E" w14:textId="77777777" w:rsidTr="00FF13B0">
        <w:trPr>
          <w:trHeight w:val="537"/>
        </w:trPr>
        <w:tc>
          <w:tcPr>
            <w:tcW w:w="51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74882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</w:rPr>
              <w:t>Príjem Sociálnej poisťovne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5050C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6 966 465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F633B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7 663 111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EA3A9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8 429 422</w:t>
            </w:r>
          </w:p>
        </w:tc>
      </w:tr>
    </w:tbl>
    <w:p w14:paraId="1393AE1A" w14:textId="77777777" w:rsidR="00FF13B0" w:rsidRPr="00FF13B0" w:rsidRDefault="00FF13B0" w:rsidP="00FF13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 w:rsidRPr="00FF13B0">
        <w:rPr>
          <w:rFonts w:cs="Times New Roman"/>
        </w:rPr>
        <w:t>*Sumy sú uvádzané v eurách</w:t>
      </w:r>
    </w:p>
    <w:p w14:paraId="4AB1E9AC" w14:textId="77777777" w:rsidR="00C77B16" w:rsidRPr="00FF13B0" w:rsidRDefault="00C77B16">
      <w:pPr>
        <w:widowControl/>
        <w:spacing w:after="160" w:line="278" w:lineRule="auto"/>
        <w:rPr>
          <w:rFonts w:cs="Times New Roman"/>
        </w:rPr>
      </w:pPr>
    </w:p>
    <w:tbl>
      <w:tblPr>
        <w:tblStyle w:val="a2"/>
        <w:tblW w:w="90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5"/>
        <w:gridCol w:w="1368"/>
        <w:gridCol w:w="1276"/>
        <w:gridCol w:w="1275"/>
      </w:tblGrid>
      <w:tr w:rsidR="00FF13B0" w:rsidRPr="00FF13B0" w14:paraId="5C31941D" w14:textId="77777777" w:rsidTr="00FF13B0">
        <w:trPr>
          <w:trHeight w:val="266"/>
        </w:trPr>
        <w:tc>
          <w:tcPr>
            <w:tcW w:w="5145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E404E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KONSOLIDOVANÝ DOPAD</w:t>
            </w:r>
          </w:p>
        </w:tc>
        <w:tc>
          <w:tcPr>
            <w:tcW w:w="1368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68B5F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2025</w:t>
            </w:r>
          </w:p>
        </w:tc>
        <w:tc>
          <w:tcPr>
            <w:tcW w:w="1276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9D70A2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2026</w:t>
            </w:r>
          </w:p>
        </w:tc>
        <w:tc>
          <w:tcPr>
            <w:tcW w:w="1275" w:type="dxa"/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6EEBD" w14:textId="77777777" w:rsidR="00FF13B0" w:rsidRPr="00FF13B0" w:rsidRDefault="00FF13B0">
            <w:pPr>
              <w:widowControl/>
              <w:rPr>
                <w:rFonts w:cs="Times New Roman"/>
              </w:rPr>
            </w:pPr>
            <w:r w:rsidRPr="00FF13B0">
              <w:rPr>
                <w:rFonts w:cs="Times New Roman"/>
                <w:b/>
              </w:rPr>
              <w:t>2027</w:t>
            </w:r>
          </w:p>
        </w:tc>
      </w:tr>
      <w:tr w:rsidR="00FF13B0" w:rsidRPr="00FF13B0" w14:paraId="20F0195F" w14:textId="77777777" w:rsidTr="00FF13B0">
        <w:trPr>
          <w:trHeight w:val="537"/>
        </w:trPr>
        <w:tc>
          <w:tcPr>
            <w:tcW w:w="51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BF300" w14:textId="27563B7E" w:rsidR="00FF13B0" w:rsidRPr="00FF13B0" w:rsidRDefault="00FF13B0">
            <w:pPr>
              <w:widowControl/>
              <w:rPr>
                <w:rFonts w:cs="Times New Roman"/>
                <w:bCs/>
              </w:rPr>
            </w:pPr>
            <w:r w:rsidRPr="00FF13B0">
              <w:rPr>
                <w:rFonts w:cs="Times New Roman"/>
                <w:bCs/>
              </w:rPr>
              <w:t>Súhrnné materské pre matky aj otcov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D413E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1 162 615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CD238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1 278 876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9A15C" w14:textId="77777777" w:rsidR="00FF13B0" w:rsidRPr="00FF13B0" w:rsidRDefault="00FF13B0" w:rsidP="00FF13B0">
            <w:pPr>
              <w:widowControl/>
              <w:jc w:val="right"/>
              <w:rPr>
                <w:rFonts w:cs="Times New Roman"/>
              </w:rPr>
            </w:pPr>
            <w:r w:rsidRPr="00FF13B0">
              <w:rPr>
                <w:rFonts w:cs="Times New Roman"/>
              </w:rPr>
              <w:t>1 406 764</w:t>
            </w:r>
          </w:p>
        </w:tc>
      </w:tr>
    </w:tbl>
    <w:p w14:paraId="360A07E9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 w:rsidRPr="00FF13B0">
        <w:rPr>
          <w:rFonts w:cs="Times New Roman"/>
        </w:rPr>
        <w:t>*Sumy sú uvádzané v eurách</w:t>
      </w:r>
    </w:p>
    <w:p w14:paraId="39DE4A8A" w14:textId="77777777" w:rsidR="00C77B16" w:rsidRPr="00FF13B0" w:rsidRDefault="00C77B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</w:p>
    <w:p w14:paraId="1FDE6242" w14:textId="77777777" w:rsidR="00C77B16" w:rsidRPr="00FF13B0" w:rsidRDefault="00C77B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</w:p>
    <w:p w14:paraId="316C3473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 w:rsidRPr="00FF13B0">
        <w:rPr>
          <w:rFonts w:eastAsia="Times New Roman" w:cs="Times New Roman"/>
          <w:b/>
          <w:color w:val="000000"/>
        </w:rPr>
        <w:t>A.4. Alternatívne riešenia</w:t>
      </w:r>
    </w:p>
    <w:p w14:paraId="68D69094" w14:textId="77777777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Times New Roman"/>
          <w:color w:val="000000"/>
        </w:rPr>
      </w:pPr>
      <w:r w:rsidRPr="00FF13B0">
        <w:rPr>
          <w:rFonts w:eastAsia="Times New Roman" w:cs="Times New Roman"/>
          <w:color w:val="000000"/>
        </w:rPr>
        <w:t xml:space="preserve">Bezpredmetné  </w:t>
      </w:r>
    </w:p>
    <w:p w14:paraId="0A755AFB" w14:textId="77777777" w:rsidR="00C77B16" w:rsidRPr="00FF13B0" w:rsidRDefault="00000000" w:rsidP="00FF13B0">
      <w:pPr>
        <w:widowControl/>
        <w:pBdr>
          <w:top w:val="nil"/>
          <w:left w:val="nil"/>
          <w:bottom w:val="nil"/>
          <w:right w:val="nil"/>
          <w:between w:val="nil"/>
        </w:pBdr>
        <w:spacing w:before="280"/>
        <w:ind w:left="567" w:hanging="567"/>
        <w:jc w:val="both"/>
        <w:rPr>
          <w:rFonts w:eastAsia="Times New Roman" w:cs="Times New Roman"/>
          <w:color w:val="000000"/>
        </w:rPr>
      </w:pPr>
      <w:r w:rsidRPr="00FF13B0">
        <w:rPr>
          <w:rFonts w:eastAsia="Times New Roman" w:cs="Times New Roman"/>
          <w:b/>
          <w:color w:val="000000"/>
        </w:rPr>
        <w:t xml:space="preserve">A.5. </w:t>
      </w:r>
      <w:r w:rsidRPr="00FF13B0">
        <w:rPr>
          <w:rFonts w:eastAsia="Times New Roman" w:cs="Times New Roman"/>
          <w:b/>
          <w:color w:val="000000"/>
        </w:rPr>
        <w:tab/>
        <w:t>Stanovisko gestorov</w:t>
      </w:r>
    </w:p>
    <w:p w14:paraId="3AF5EEA0" w14:textId="77777777" w:rsidR="00FF13B0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color w:val="000000"/>
        </w:rPr>
      </w:pPr>
      <w:r w:rsidRPr="00FF13B0">
        <w:rPr>
          <w:rFonts w:eastAsia="Times New Roman" w:cs="Times New Roman"/>
          <w:color w:val="000000"/>
        </w:rPr>
        <w:t>Bezpredmetné</w:t>
      </w:r>
    </w:p>
    <w:p w14:paraId="53300129" w14:textId="32351F13" w:rsidR="00C77B16" w:rsidRPr="00FF13B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Times New Roman"/>
          <w:color w:val="000000"/>
        </w:rPr>
      </w:pPr>
      <w:r w:rsidRPr="00FF13B0">
        <w:rPr>
          <w:rFonts w:cs="Times New Roman"/>
        </w:rPr>
        <w:br w:type="page"/>
      </w:r>
    </w:p>
    <w:p w14:paraId="73A961A6" w14:textId="77777777" w:rsidR="00C77B16" w:rsidRPr="00FF13B0" w:rsidRDefault="00000000">
      <w:pPr>
        <w:widowControl/>
        <w:spacing w:line="276" w:lineRule="auto"/>
        <w:jc w:val="center"/>
        <w:rPr>
          <w:rFonts w:eastAsia="Calibri" w:cs="Times New Roman"/>
        </w:rPr>
      </w:pPr>
      <w:r w:rsidRPr="00FF13B0">
        <w:rPr>
          <w:rFonts w:cs="Times New Roman"/>
          <w:b/>
          <w:smallCaps/>
        </w:rPr>
        <w:lastRenderedPageBreak/>
        <w:t>DOLOŽKA ZLUČITEĽNOSTI</w:t>
      </w:r>
    </w:p>
    <w:p w14:paraId="441422C1" w14:textId="77777777" w:rsidR="00C77B16" w:rsidRPr="00FF13B0" w:rsidRDefault="00000000">
      <w:pPr>
        <w:jc w:val="center"/>
        <w:rPr>
          <w:rFonts w:eastAsia="Calibri" w:cs="Times New Roman"/>
        </w:rPr>
      </w:pPr>
      <w:r w:rsidRPr="00FF13B0">
        <w:rPr>
          <w:rFonts w:cs="Times New Roman"/>
          <w:b/>
        </w:rPr>
        <w:t>právneho predpisu s právom Európskej únie</w:t>
      </w:r>
    </w:p>
    <w:p w14:paraId="53860CEB" w14:textId="77777777" w:rsidR="00C77B16" w:rsidRPr="00FF13B0" w:rsidRDefault="00C77B16">
      <w:pPr>
        <w:rPr>
          <w:rFonts w:eastAsia="Calibri" w:cs="Times New Roman"/>
        </w:rPr>
      </w:pPr>
    </w:p>
    <w:p w14:paraId="58AA8629" w14:textId="77777777" w:rsidR="00C77B16" w:rsidRPr="00FF13B0" w:rsidRDefault="00000000">
      <w:pPr>
        <w:ind w:left="3828" w:hanging="3828"/>
        <w:jc w:val="both"/>
        <w:rPr>
          <w:rFonts w:eastAsia="Calibri" w:cs="Times New Roman"/>
        </w:rPr>
      </w:pPr>
      <w:r w:rsidRPr="00FF13B0">
        <w:rPr>
          <w:rFonts w:cs="Times New Roman"/>
          <w:b/>
        </w:rPr>
        <w:t>1. Predkladateľ právneho predpisu:</w:t>
      </w:r>
      <w:r w:rsidRPr="00FF13B0">
        <w:rPr>
          <w:rFonts w:cs="Times New Roman"/>
        </w:rPr>
        <w:t xml:space="preserve"> </w:t>
      </w:r>
      <w:r w:rsidRPr="00FF13B0">
        <w:rPr>
          <w:rFonts w:cs="Times New Roman"/>
        </w:rPr>
        <w:tab/>
        <w:t xml:space="preserve">poslankyňa Národnej rady Slovenskej republiky Simona Petrík a poslanec Národnej rady Slovenskej republiky Dávid Dej </w:t>
      </w:r>
    </w:p>
    <w:p w14:paraId="20E9B73A" w14:textId="77777777" w:rsidR="00C77B16" w:rsidRPr="00FF13B0" w:rsidRDefault="00000000">
      <w:pPr>
        <w:tabs>
          <w:tab w:val="left" w:pos="360"/>
        </w:tabs>
        <w:ind w:left="360"/>
        <w:jc w:val="both"/>
        <w:rPr>
          <w:rFonts w:eastAsia="Calibri" w:cs="Times New Roman"/>
        </w:rPr>
      </w:pPr>
      <w:r w:rsidRPr="00FF13B0">
        <w:rPr>
          <w:rFonts w:cs="Times New Roman"/>
        </w:rPr>
        <w:t xml:space="preserve"> </w:t>
      </w:r>
    </w:p>
    <w:p w14:paraId="4126E7DD" w14:textId="77777777" w:rsidR="00C77B16" w:rsidRPr="00FF13B0" w:rsidRDefault="00000000">
      <w:pPr>
        <w:ind w:left="3828" w:hanging="3828"/>
        <w:jc w:val="both"/>
        <w:rPr>
          <w:rFonts w:cs="Times New Roman"/>
        </w:rPr>
      </w:pPr>
      <w:r w:rsidRPr="00FF13B0">
        <w:rPr>
          <w:rFonts w:cs="Times New Roman"/>
          <w:b/>
        </w:rPr>
        <w:t>2. Názov návrhu právneho predpisu:</w:t>
      </w:r>
      <w:r w:rsidRPr="00FF13B0">
        <w:rPr>
          <w:rFonts w:cs="Times New Roman"/>
        </w:rPr>
        <w:t xml:space="preserve"> Návrh zákona,</w:t>
      </w:r>
      <w:r w:rsidRPr="00FF13B0">
        <w:rPr>
          <w:rFonts w:cs="Times New Roman"/>
          <w:b/>
        </w:rPr>
        <w:t xml:space="preserve"> </w:t>
      </w:r>
      <w:r w:rsidRPr="00FF13B0">
        <w:rPr>
          <w:rFonts w:cs="Times New Roman"/>
        </w:rPr>
        <w:t>ktorým sa mení a dopĺňa zákon č. 461/2003 Z. z. o sociálnom poistení v znení neskorších predpisov a ktorým sa dopĺňa zákon č. 131/2002 Z. z. o vysokých školách a o zmene a doplnení niektorých zákonov v znení neskorších predpisov.</w:t>
      </w:r>
    </w:p>
    <w:p w14:paraId="0C99E12E" w14:textId="77777777" w:rsidR="00C77B16" w:rsidRPr="00FF13B0" w:rsidRDefault="00C77B16">
      <w:pPr>
        <w:ind w:left="3828" w:hanging="3828"/>
        <w:jc w:val="both"/>
        <w:rPr>
          <w:rFonts w:cs="Times New Roman"/>
          <w:b/>
        </w:rPr>
      </w:pPr>
    </w:p>
    <w:p w14:paraId="066057AA" w14:textId="77777777" w:rsidR="00C77B16" w:rsidRPr="00FF13B0" w:rsidRDefault="00000000">
      <w:pPr>
        <w:ind w:left="3828" w:hanging="3828"/>
        <w:jc w:val="both"/>
        <w:rPr>
          <w:rFonts w:cs="Times New Roman"/>
          <w:b/>
        </w:rPr>
      </w:pPr>
      <w:r w:rsidRPr="00FF13B0">
        <w:rPr>
          <w:rFonts w:cs="Times New Roman"/>
          <w:b/>
        </w:rPr>
        <w:t>3. Problematika návrhu právneho predpisu:</w:t>
      </w:r>
    </w:p>
    <w:p w14:paraId="390FBFD8" w14:textId="77777777" w:rsidR="00C77B16" w:rsidRPr="00FF13B0" w:rsidRDefault="00C77B16">
      <w:pPr>
        <w:ind w:left="3828" w:hanging="3828"/>
        <w:jc w:val="both"/>
        <w:rPr>
          <w:rFonts w:cs="Times New Roman"/>
        </w:rPr>
      </w:pPr>
    </w:p>
    <w:p w14:paraId="2C3F85F4" w14:textId="77777777" w:rsidR="00C77B16" w:rsidRPr="00FF13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 w:rsidRPr="00FF13B0">
        <w:rPr>
          <w:rFonts w:eastAsia="Times New Roman" w:cs="Times New Roman"/>
          <w:color w:val="000000"/>
        </w:rPr>
        <w:t>nie je upravená v práve Európskej únie,</w:t>
      </w:r>
    </w:p>
    <w:p w14:paraId="1C02BC3B" w14:textId="77777777" w:rsidR="00C77B16" w:rsidRPr="00FF13B0" w:rsidRDefault="00C77B16">
      <w:pPr>
        <w:jc w:val="both"/>
        <w:rPr>
          <w:rFonts w:cs="Times New Roman"/>
        </w:rPr>
      </w:pPr>
    </w:p>
    <w:p w14:paraId="2FFBEE10" w14:textId="77777777" w:rsidR="00C77B16" w:rsidRPr="00FF13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 w:rsidRPr="00FF13B0">
        <w:rPr>
          <w:rFonts w:eastAsia="Times New Roman" w:cs="Times New Roman"/>
          <w:color w:val="000000"/>
        </w:rPr>
        <w:t>nie je obsiahnutá v judikatúre Súdneho dvora Európskej únie.</w:t>
      </w:r>
    </w:p>
    <w:p w14:paraId="6EE8B25A" w14:textId="77777777" w:rsidR="00C77B16" w:rsidRPr="00FF13B0" w:rsidRDefault="00C77B16">
      <w:pPr>
        <w:jc w:val="both"/>
        <w:rPr>
          <w:rFonts w:cs="Times New Roman"/>
        </w:rPr>
      </w:pPr>
    </w:p>
    <w:p w14:paraId="700F1F07" w14:textId="77777777" w:rsidR="00C77B16" w:rsidRPr="00FF13B0" w:rsidRDefault="00000000">
      <w:pPr>
        <w:rPr>
          <w:rFonts w:cs="Times New Roman"/>
        </w:rPr>
      </w:pPr>
      <w:bookmarkStart w:id="0" w:name="_heading=h.gjdgxs" w:colFirst="0" w:colLast="0"/>
      <w:bookmarkEnd w:id="0"/>
      <w:r w:rsidRPr="00FF13B0">
        <w:rPr>
          <w:rFonts w:cs="Times New Roman"/>
          <w:b/>
        </w:rPr>
        <w:t>Vzhľadom na to, že problematika návrhu zákona nie je upravená v práve Európskej únie, je bezpredmetné vyjadrovať sa k bodom 4., 5. a 6.</w:t>
      </w:r>
    </w:p>
    <w:sectPr w:rsidR="00C77B16" w:rsidRPr="00FF13B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3553B"/>
    <w:multiLevelType w:val="multilevel"/>
    <w:tmpl w:val="FF68D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16"/>
    <w:rsid w:val="009F7EDE"/>
    <w:rsid w:val="00C77B16"/>
    <w:rsid w:val="00E44BFB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7C74"/>
  <w15:docId w15:val="{FF7DEBA5-B933-4396-AD5F-9308E2DC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0EE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/>
    <w:rsid w:val="00EA50E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EA50EE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EA50EE"/>
    <w:pPr>
      <w:ind w:left="720"/>
      <w:contextualSpacing/>
    </w:pPr>
    <w:rPr>
      <w:szCs w:val="21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QRi8qxsIQL/LYEZfsAdlf9uFA==">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Petrík, Simona (asistent)</dc:creator>
  <cp:lastModifiedBy>Krajči Pavol</cp:lastModifiedBy>
  <cp:revision>3</cp:revision>
  <dcterms:created xsi:type="dcterms:W3CDTF">2019-11-08T13:01:00Z</dcterms:created>
  <dcterms:modified xsi:type="dcterms:W3CDTF">2024-05-24T07:11:00Z</dcterms:modified>
</cp:coreProperties>
</file>