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71DE0" w14:textId="65B289D3" w:rsidR="003F1B2D" w:rsidRDefault="003F1B2D" w:rsidP="003F1B2D">
      <w:pPr>
        <w:ind w:firstLine="708"/>
        <w:jc w:val="center"/>
        <w:rPr>
          <w:b/>
          <w:bCs/>
        </w:rPr>
      </w:pPr>
      <w:r w:rsidRPr="009D652B">
        <w:rPr>
          <w:b/>
          <w:bCs/>
        </w:rPr>
        <w:t>D ô v o d o v á   s p r á v</w:t>
      </w:r>
      <w:r w:rsidR="001D2361">
        <w:rPr>
          <w:b/>
          <w:bCs/>
        </w:rPr>
        <w:t> </w:t>
      </w:r>
      <w:r w:rsidRPr="009D652B">
        <w:rPr>
          <w:b/>
          <w:bCs/>
        </w:rPr>
        <w:t>a</w:t>
      </w:r>
    </w:p>
    <w:p w14:paraId="7CAC4821" w14:textId="77777777" w:rsidR="001D2361" w:rsidRDefault="001D2361" w:rsidP="003F1B2D">
      <w:pPr>
        <w:ind w:firstLine="708"/>
        <w:jc w:val="center"/>
        <w:rPr>
          <w:b/>
          <w:bCs/>
        </w:rPr>
      </w:pPr>
    </w:p>
    <w:p w14:paraId="1371F1BF" w14:textId="77777777" w:rsidR="003F1B2D" w:rsidRPr="009D652B" w:rsidRDefault="003F1B2D" w:rsidP="003F1B2D">
      <w:pPr>
        <w:pStyle w:val="Odsekzoznamu"/>
        <w:numPr>
          <w:ilvl w:val="0"/>
          <w:numId w:val="5"/>
        </w:numPr>
        <w:jc w:val="both"/>
        <w:rPr>
          <w:b/>
          <w:bCs/>
        </w:rPr>
      </w:pPr>
      <w:r w:rsidRPr="009D652B">
        <w:rPr>
          <w:b/>
          <w:bCs/>
        </w:rPr>
        <w:t xml:space="preserve">Všeobecná časť </w:t>
      </w:r>
    </w:p>
    <w:p w14:paraId="1553D7EC" w14:textId="77777777" w:rsidR="003F1B2D" w:rsidRDefault="003F1B2D" w:rsidP="003F1B2D">
      <w:pPr>
        <w:spacing w:after="0"/>
        <w:ind w:firstLine="708"/>
        <w:jc w:val="both"/>
      </w:pPr>
      <w:r w:rsidRPr="009D652B">
        <w:t xml:space="preserve">Návrh zákona, </w:t>
      </w:r>
      <w:r w:rsidRPr="007C359C">
        <w:t>ktorým sa mení a dopĺňa z</w:t>
      </w:r>
      <w:r w:rsidRPr="007C359C">
        <w:rPr>
          <w:shd w:val="clear" w:color="auto" w:fill="FFFFFF"/>
        </w:rPr>
        <w:t>ákon č. 461/2003 Z. z. o sociálnom poistení</w:t>
      </w:r>
      <w:r w:rsidRPr="00F66A1E">
        <w:rPr>
          <w:b/>
          <w:bCs/>
          <w:shd w:val="clear" w:color="auto" w:fill="FFFFFF"/>
        </w:rPr>
        <w:t xml:space="preserve"> </w:t>
      </w:r>
      <w:r w:rsidRPr="009D652B">
        <w:t>v znení neskorších predpisov predkladajú na rokovanie Národnej rady Slovenskej republiky poslanci Národnej rady Slovenskej republiky Marián Viskupič a</w:t>
      </w:r>
      <w:r>
        <w:t> Vladimír Ledecký</w:t>
      </w:r>
      <w:r w:rsidRPr="009D652B">
        <w:t>.</w:t>
      </w:r>
    </w:p>
    <w:p w14:paraId="4C8F40AA" w14:textId="77777777" w:rsidR="003F1B2D" w:rsidRPr="009D652B" w:rsidRDefault="003F1B2D" w:rsidP="003F1B2D">
      <w:pPr>
        <w:spacing w:after="0"/>
        <w:ind w:firstLine="708"/>
        <w:jc w:val="both"/>
      </w:pPr>
    </w:p>
    <w:p w14:paraId="2EB0A1FC" w14:textId="77777777" w:rsidR="003F1B2D" w:rsidRDefault="003F1B2D" w:rsidP="003F1B2D">
      <w:pPr>
        <w:shd w:val="clear" w:color="auto" w:fill="FFFFFF"/>
        <w:spacing w:line="235" w:lineRule="atLeast"/>
        <w:ind w:firstLine="708"/>
        <w:jc w:val="both"/>
        <w:rPr>
          <w:rFonts w:eastAsia="Times New Roman"/>
          <w:color w:val="000000"/>
          <w:lang w:eastAsia="sk-SK"/>
        </w:rPr>
      </w:pPr>
      <w:r w:rsidRPr="009D652B">
        <w:rPr>
          <w:rFonts w:eastAsia="Times New Roman"/>
          <w:b/>
          <w:bCs/>
          <w:lang w:eastAsia="sk-SK"/>
        </w:rPr>
        <w:t xml:space="preserve">Cieľom predloženého návrhu </w:t>
      </w:r>
      <w:r w:rsidRPr="004857D3">
        <w:rPr>
          <w:rFonts w:eastAsia="Times New Roman"/>
          <w:b/>
          <w:bCs/>
          <w:lang w:eastAsia="sk-SK"/>
        </w:rPr>
        <w:t xml:space="preserve">zákona je zaviesť 180-dňovú </w:t>
      </w:r>
      <w:r w:rsidRPr="004857D3">
        <w:rPr>
          <w:rFonts w:eastAsia="Times New Roman"/>
          <w:b/>
          <w:bCs/>
          <w:color w:val="000000"/>
          <w:lang w:eastAsia="sk-SK"/>
        </w:rPr>
        <w:t>preklenovaciu lehotu počas ktorej by</w:t>
      </w:r>
      <w:r>
        <w:rPr>
          <w:rFonts w:eastAsia="Times New Roman"/>
          <w:b/>
          <w:bCs/>
          <w:color w:val="000000"/>
          <w:lang w:eastAsia="sk-SK"/>
        </w:rPr>
        <w:t xml:space="preserve"> naďalej</w:t>
      </w:r>
      <w:r w:rsidRPr="004857D3">
        <w:rPr>
          <w:rFonts w:eastAsia="Times New Roman"/>
          <w:b/>
          <w:bCs/>
          <w:color w:val="000000"/>
          <w:lang w:eastAsia="sk-SK"/>
        </w:rPr>
        <w:t xml:space="preserve"> trvala registrácia zamestnávateľa v Sociálnej poisťovni, aj keď by už nezamestnával žiadneho zamestnanca.</w:t>
      </w:r>
      <w:r>
        <w:rPr>
          <w:rFonts w:eastAsia="Times New Roman"/>
          <w:color w:val="000000"/>
          <w:lang w:eastAsia="sk-SK"/>
        </w:rPr>
        <w:t xml:space="preserve"> </w:t>
      </w:r>
    </w:p>
    <w:p w14:paraId="49430D6C" w14:textId="77777777" w:rsidR="003F1B2D" w:rsidRDefault="003F1B2D" w:rsidP="003F1B2D">
      <w:pPr>
        <w:shd w:val="clear" w:color="auto" w:fill="FFFFFF"/>
        <w:spacing w:line="235" w:lineRule="atLeast"/>
        <w:ind w:firstLine="708"/>
        <w:jc w:val="both"/>
        <w:rPr>
          <w:rFonts w:eastAsia="Times New Roman"/>
          <w:lang w:eastAsia="sk-SK"/>
        </w:rPr>
      </w:pPr>
      <w:r w:rsidRPr="00EE3CA5">
        <w:rPr>
          <w:rFonts w:eastAsia="Times New Roman"/>
          <w:color w:val="000000"/>
          <w:lang w:eastAsia="sk-SK"/>
        </w:rPr>
        <w:t xml:space="preserve">Podľa súčasného stavu </w:t>
      </w:r>
      <w:r>
        <w:rPr>
          <w:rFonts w:eastAsia="Times New Roman"/>
          <w:color w:val="000000"/>
          <w:lang w:eastAsia="sk-SK"/>
        </w:rPr>
        <w:t xml:space="preserve">sa </w:t>
      </w:r>
      <w:r w:rsidRPr="00EE3CA5">
        <w:rPr>
          <w:rFonts w:eastAsia="Times New Roman"/>
          <w:color w:val="000000"/>
          <w:lang w:eastAsia="sk-SK"/>
        </w:rPr>
        <w:t>registrácia zamestnávateľa v registri zamestnávateľov ukončuje v </w:t>
      </w:r>
      <w:r>
        <w:rPr>
          <w:rFonts w:eastAsia="Times New Roman"/>
          <w:color w:val="000000"/>
          <w:lang w:eastAsia="sk-SK"/>
        </w:rPr>
        <w:t>deň</w:t>
      </w:r>
      <w:r w:rsidRPr="00EE3CA5">
        <w:rPr>
          <w:rFonts w:eastAsia="Times New Roman"/>
          <w:color w:val="000000"/>
          <w:lang w:eastAsia="sk-SK"/>
        </w:rPr>
        <w:t>, keď zamestnávateľ prestane zamestnávať posledného zamestnanca. Akonáhle potom znova začne niekoho zamestnávať, musí sa zamestnávateľ registrovať nanovo, čo spôsobuje administratívnu záťaž</w:t>
      </w:r>
      <w:r>
        <w:rPr>
          <w:rFonts w:eastAsia="Times New Roman"/>
          <w:color w:val="000000"/>
          <w:lang w:eastAsia="sk-SK"/>
        </w:rPr>
        <w:t xml:space="preserve"> tak pre zamestnávateľa ako podnikateľský subjekt, ako aj pre Sociálnu poisťovňu. </w:t>
      </w:r>
    </w:p>
    <w:p w14:paraId="2C66D003" w14:textId="2D4AAEEB" w:rsidR="003F1B2D" w:rsidRDefault="003F1B2D" w:rsidP="003F1B2D">
      <w:pPr>
        <w:shd w:val="clear" w:color="auto" w:fill="FFFFFF"/>
        <w:spacing w:line="235" w:lineRule="atLeast"/>
        <w:ind w:firstLine="708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Podľa navrhovaného znenia by došlo k ukončeniu registrácie až po uplynutí 180-ich dní po tom, ako zamestnávateľ prestane zamestnávať posledného zamestnanca. </w:t>
      </w:r>
      <w:r w:rsidRPr="00EE3CA5">
        <w:rPr>
          <w:rFonts w:eastAsia="Times New Roman"/>
          <w:color w:val="000000"/>
          <w:lang w:eastAsia="sk-SK"/>
        </w:rPr>
        <w:t xml:space="preserve">Pomohlo by to najmä menším zamestnávateľov, ktorí striedavo zamestnávajú a potom zase ukončujú </w:t>
      </w:r>
      <w:r w:rsidR="00C72910">
        <w:rPr>
          <w:rFonts w:eastAsia="Times New Roman"/>
          <w:color w:val="000000"/>
          <w:lang w:eastAsia="sk-SK"/>
        </w:rPr>
        <w:t>pra</w:t>
      </w:r>
      <w:r w:rsidR="00415538">
        <w:rPr>
          <w:rFonts w:eastAsia="Times New Roman"/>
          <w:color w:val="000000"/>
          <w:lang w:eastAsia="sk-SK"/>
        </w:rPr>
        <w:t xml:space="preserve">covnoprávny vzťah s </w:t>
      </w:r>
      <w:r w:rsidRPr="00EE3CA5">
        <w:rPr>
          <w:rFonts w:eastAsia="Times New Roman"/>
          <w:color w:val="000000"/>
          <w:lang w:eastAsia="sk-SK"/>
        </w:rPr>
        <w:t>krátkodobými zamestnancami, napr. dohodármi.</w:t>
      </w:r>
      <w:r>
        <w:rPr>
          <w:rFonts w:eastAsia="Times New Roman"/>
          <w:color w:val="000000"/>
          <w:lang w:eastAsia="sk-SK"/>
        </w:rPr>
        <w:t xml:space="preserve"> Pôjde o zamestnancov zamestnávaných na rôzne sezónne, nárazové alebo výpomocné práce a podobne.</w:t>
      </w:r>
    </w:p>
    <w:p w14:paraId="7F46CC84" w14:textId="77777777" w:rsidR="003F1B2D" w:rsidRDefault="003F1B2D" w:rsidP="003F1B2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222222"/>
          <w:lang w:eastAsia="sk-SK"/>
        </w:rPr>
      </w:pPr>
      <w:r w:rsidRPr="00955AA4">
        <w:rPr>
          <w:rFonts w:eastAsia="Times New Roman"/>
          <w:color w:val="222222"/>
          <w:lang w:eastAsia="sk-SK"/>
        </w:rPr>
        <w:t xml:space="preserve">Zatiaľ čo na finančnej správe či v zdravotnej poisťovni zostáva zamestnávateľ registrovaný, aj keď práve nikoho nezamestnáva, v prípade Sociálnej poisťovne sa jeho registrácia ukončuje zakaždým, keď odhlási posledného zamestnanca. Aj keď od roku 2021 je proces jednoduchší a Sociálna poisťovňa už ukončuje registráciu zamestnávateľov automaticky, stále ide o byrokratickú záťaž pre </w:t>
      </w:r>
      <w:r>
        <w:rPr>
          <w:rFonts w:eastAsia="Times New Roman"/>
          <w:color w:val="222222"/>
          <w:lang w:eastAsia="sk-SK"/>
        </w:rPr>
        <w:t>podnikateľské subjekty.</w:t>
      </w:r>
      <w:r w:rsidRPr="00955AA4">
        <w:rPr>
          <w:rFonts w:eastAsia="Times New Roman"/>
          <w:color w:val="222222"/>
          <w:lang w:eastAsia="sk-SK"/>
        </w:rPr>
        <w:t xml:space="preserve"> Odhlásenie totiž prebehne aj vtedy, keď podnikateľ vie, že o pár dní príjme nového zamestnanca. Následne musí opäť registrovať svoju firmu ako zamestnávateľa, čo je zbytočná byrokracia. Z týchto d</w:t>
      </w:r>
      <w:r>
        <w:rPr>
          <w:rFonts w:eastAsia="Times New Roman"/>
          <w:color w:val="222222"/>
          <w:lang w:eastAsia="sk-SK"/>
        </w:rPr>
        <w:t>ô</w:t>
      </w:r>
      <w:r w:rsidRPr="00955AA4">
        <w:rPr>
          <w:rFonts w:eastAsia="Times New Roman"/>
          <w:color w:val="222222"/>
          <w:lang w:eastAsia="sk-SK"/>
        </w:rPr>
        <w:t>vodov navrhujeme, aby automatické odhl</w:t>
      </w:r>
      <w:r>
        <w:rPr>
          <w:rFonts w:eastAsia="Times New Roman"/>
          <w:color w:val="222222"/>
          <w:lang w:eastAsia="sk-SK"/>
        </w:rPr>
        <w:t>á</w:t>
      </w:r>
      <w:r w:rsidRPr="00955AA4">
        <w:rPr>
          <w:rFonts w:eastAsia="Times New Roman"/>
          <w:color w:val="222222"/>
          <w:lang w:eastAsia="sk-SK"/>
        </w:rPr>
        <w:t>senie prebehlo až po tom, čo zamestnávateľ 180 od odhl</w:t>
      </w:r>
      <w:r>
        <w:rPr>
          <w:rFonts w:eastAsia="Times New Roman"/>
          <w:color w:val="222222"/>
          <w:lang w:eastAsia="sk-SK"/>
        </w:rPr>
        <w:t>á</w:t>
      </w:r>
      <w:r w:rsidRPr="00955AA4">
        <w:rPr>
          <w:rFonts w:eastAsia="Times New Roman"/>
          <w:color w:val="222222"/>
          <w:lang w:eastAsia="sk-SK"/>
        </w:rPr>
        <w:t>senia posledn</w:t>
      </w:r>
      <w:r>
        <w:rPr>
          <w:rFonts w:eastAsia="Times New Roman"/>
          <w:color w:val="222222"/>
          <w:lang w:eastAsia="sk-SK"/>
        </w:rPr>
        <w:t>é</w:t>
      </w:r>
      <w:r w:rsidRPr="00955AA4">
        <w:rPr>
          <w:rFonts w:eastAsia="Times New Roman"/>
          <w:color w:val="222222"/>
          <w:lang w:eastAsia="sk-SK"/>
        </w:rPr>
        <w:t>ho zamestnanca, neprihl</w:t>
      </w:r>
      <w:r>
        <w:rPr>
          <w:rFonts w:eastAsia="Times New Roman"/>
          <w:color w:val="222222"/>
          <w:lang w:eastAsia="sk-SK"/>
        </w:rPr>
        <w:t>á</w:t>
      </w:r>
      <w:r w:rsidRPr="00955AA4">
        <w:rPr>
          <w:rFonts w:eastAsia="Times New Roman"/>
          <w:color w:val="222222"/>
          <w:lang w:eastAsia="sk-SK"/>
        </w:rPr>
        <w:t>sil žiadneho nového zamestnanca. Zavedením tento lehoty sa odstrá</w:t>
      </w:r>
      <w:r>
        <w:rPr>
          <w:rFonts w:eastAsia="Times New Roman"/>
          <w:color w:val="222222"/>
          <w:lang w:eastAsia="sk-SK"/>
        </w:rPr>
        <w:t>n</w:t>
      </w:r>
      <w:r w:rsidRPr="00955AA4">
        <w:rPr>
          <w:rFonts w:eastAsia="Times New Roman"/>
          <w:color w:val="222222"/>
          <w:lang w:eastAsia="sk-SK"/>
        </w:rPr>
        <w:t>i veľká väčšina opakovaných odhlásení a</w:t>
      </w:r>
      <w:r>
        <w:rPr>
          <w:rFonts w:eastAsia="Times New Roman"/>
          <w:color w:val="222222"/>
          <w:lang w:eastAsia="sk-SK"/>
        </w:rPr>
        <w:t> následných registrácií</w:t>
      </w:r>
      <w:r w:rsidRPr="00955AA4">
        <w:rPr>
          <w:rFonts w:eastAsia="Times New Roman"/>
          <w:color w:val="222222"/>
          <w:lang w:eastAsia="sk-SK"/>
        </w:rPr>
        <w:t>. Ukončenie registr</w:t>
      </w:r>
      <w:r>
        <w:rPr>
          <w:rFonts w:eastAsia="Times New Roman"/>
          <w:color w:val="222222"/>
          <w:lang w:eastAsia="sk-SK"/>
        </w:rPr>
        <w:t>á</w:t>
      </w:r>
      <w:r w:rsidRPr="00955AA4">
        <w:rPr>
          <w:rFonts w:eastAsia="Times New Roman"/>
          <w:color w:val="222222"/>
          <w:lang w:eastAsia="sk-SK"/>
        </w:rPr>
        <w:t>cie zamestnávateľa tak bude vykonané až vtedy, ak zamestnávateľ ne</w:t>
      </w:r>
      <w:r>
        <w:rPr>
          <w:rFonts w:eastAsia="Times New Roman"/>
          <w:color w:val="222222"/>
          <w:lang w:eastAsia="sk-SK"/>
        </w:rPr>
        <w:t xml:space="preserve">zamestnáva žiadneho </w:t>
      </w:r>
      <w:r w:rsidRPr="00955AA4">
        <w:rPr>
          <w:rFonts w:eastAsia="Times New Roman"/>
          <w:color w:val="222222"/>
          <w:lang w:eastAsia="sk-SK"/>
        </w:rPr>
        <w:t xml:space="preserve">zamestnanca </w:t>
      </w:r>
      <w:r>
        <w:rPr>
          <w:rFonts w:eastAsia="Times New Roman"/>
          <w:color w:val="222222"/>
          <w:lang w:eastAsia="sk-SK"/>
        </w:rPr>
        <w:t xml:space="preserve">aspoň nejakú </w:t>
      </w:r>
      <w:r w:rsidRPr="00955AA4">
        <w:rPr>
          <w:rFonts w:eastAsia="Times New Roman"/>
          <w:color w:val="222222"/>
          <w:lang w:eastAsia="sk-SK"/>
        </w:rPr>
        <w:t>si</w:t>
      </w:r>
      <w:r>
        <w:rPr>
          <w:rFonts w:eastAsia="Times New Roman"/>
          <w:color w:val="222222"/>
          <w:lang w:eastAsia="sk-SK"/>
        </w:rPr>
        <w:t>g</w:t>
      </w:r>
      <w:r w:rsidRPr="00955AA4">
        <w:rPr>
          <w:rFonts w:eastAsia="Times New Roman"/>
          <w:color w:val="222222"/>
          <w:lang w:eastAsia="sk-SK"/>
        </w:rPr>
        <w:t>ni</w:t>
      </w:r>
      <w:r>
        <w:rPr>
          <w:rFonts w:eastAsia="Times New Roman"/>
          <w:color w:val="222222"/>
          <w:lang w:eastAsia="sk-SK"/>
        </w:rPr>
        <w:t>f</w:t>
      </w:r>
      <w:r w:rsidRPr="00955AA4">
        <w:rPr>
          <w:rFonts w:eastAsia="Times New Roman"/>
          <w:color w:val="222222"/>
          <w:lang w:eastAsia="sk-SK"/>
        </w:rPr>
        <w:t>ikantnú dobu (180 dní).</w:t>
      </w:r>
    </w:p>
    <w:p w14:paraId="5A20E474" w14:textId="77777777" w:rsidR="003F1B2D" w:rsidRDefault="003F1B2D" w:rsidP="003F1B2D">
      <w:pPr>
        <w:shd w:val="clear" w:color="auto" w:fill="FFFFFF"/>
        <w:spacing w:after="0" w:line="240" w:lineRule="auto"/>
        <w:ind w:firstLine="708"/>
        <w:jc w:val="both"/>
        <w:rPr>
          <w:b/>
          <w:bCs/>
        </w:rPr>
      </w:pPr>
    </w:p>
    <w:p w14:paraId="3AE923C3" w14:textId="519071EE" w:rsidR="003F1B2D" w:rsidRPr="00E73182" w:rsidRDefault="003F1B2D" w:rsidP="003F1B2D">
      <w:pPr>
        <w:shd w:val="clear" w:color="auto" w:fill="FFFFFF"/>
        <w:spacing w:line="235" w:lineRule="atLeast"/>
        <w:ind w:firstLine="708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Predložený návrh zákona nebude mať vplyv na rozpočet verejnej správy</w:t>
      </w:r>
      <w:r>
        <w:rPr>
          <w:rFonts w:eastAsia="Times New Roman"/>
          <w:color w:val="000000"/>
          <w:lang w:eastAsia="sk-SK"/>
        </w:rPr>
        <w:t xml:space="preserve">. </w:t>
      </w:r>
      <w:r w:rsidRPr="00E73182">
        <w:rPr>
          <w:rFonts w:eastAsia="Times New Roman"/>
          <w:color w:val="000000"/>
          <w:lang w:eastAsia="sk-SK"/>
        </w:rPr>
        <w:t xml:space="preserve">Predložený návrh zákona bude mať </w:t>
      </w:r>
      <w:r>
        <w:rPr>
          <w:rFonts w:eastAsia="Times New Roman"/>
          <w:color w:val="000000"/>
          <w:lang w:eastAsia="sk-SK"/>
        </w:rPr>
        <w:t xml:space="preserve">pozitívny </w:t>
      </w:r>
      <w:r w:rsidRPr="00E73182">
        <w:rPr>
          <w:rFonts w:eastAsia="Times New Roman"/>
          <w:color w:val="000000"/>
          <w:lang w:eastAsia="sk-SK"/>
        </w:rPr>
        <w:t xml:space="preserve">vplyv na podnikateľské prostredie. Predložený návrh zákona </w:t>
      </w:r>
      <w:r>
        <w:rPr>
          <w:rFonts w:eastAsia="Times New Roman"/>
          <w:color w:val="000000"/>
          <w:lang w:eastAsia="sk-SK"/>
        </w:rPr>
        <w:t>nebu</w:t>
      </w:r>
      <w:r w:rsidRPr="00E73182">
        <w:rPr>
          <w:rFonts w:eastAsia="Times New Roman"/>
          <w:color w:val="000000"/>
          <w:lang w:eastAsia="sk-SK"/>
        </w:rPr>
        <w:t>de mať sociáln</w:t>
      </w:r>
      <w:r>
        <w:rPr>
          <w:rFonts w:eastAsia="Times New Roman"/>
          <w:color w:val="000000"/>
          <w:lang w:eastAsia="sk-SK"/>
        </w:rPr>
        <w:t>e</w:t>
      </w:r>
      <w:r w:rsidRPr="00E73182">
        <w:rPr>
          <w:rFonts w:eastAsia="Times New Roman"/>
          <w:color w:val="000000"/>
          <w:lang w:eastAsia="sk-SK"/>
        </w:rPr>
        <w:t xml:space="preserve"> vplyv</w:t>
      </w:r>
      <w:r>
        <w:rPr>
          <w:rFonts w:eastAsia="Times New Roman"/>
          <w:color w:val="000000"/>
          <w:lang w:eastAsia="sk-SK"/>
        </w:rPr>
        <w:t xml:space="preserve">y, ani vplyvy </w:t>
      </w:r>
      <w:r w:rsidRPr="00E73182">
        <w:rPr>
          <w:rFonts w:eastAsia="Times New Roman"/>
          <w:color w:val="000000"/>
          <w:lang w:eastAsia="sk-SK"/>
        </w:rPr>
        <w:t>na životné prostredie</w:t>
      </w:r>
      <w:r>
        <w:rPr>
          <w:rFonts w:eastAsia="Times New Roman"/>
          <w:color w:val="000000"/>
          <w:lang w:eastAsia="sk-SK"/>
        </w:rPr>
        <w:t xml:space="preserve"> a informatizáciu spoločnosti</w:t>
      </w:r>
      <w:r w:rsidRPr="00E73182">
        <w:rPr>
          <w:rFonts w:eastAsia="Times New Roman"/>
          <w:color w:val="000000"/>
          <w:lang w:eastAsia="sk-SK"/>
        </w:rPr>
        <w:t xml:space="preserve">. Návrh zákona </w:t>
      </w:r>
      <w:r>
        <w:rPr>
          <w:rFonts w:eastAsia="Times New Roman"/>
          <w:color w:val="000000"/>
          <w:lang w:eastAsia="sk-SK"/>
        </w:rPr>
        <w:t xml:space="preserve">taktiež </w:t>
      </w:r>
      <w:r w:rsidRPr="00E73182">
        <w:rPr>
          <w:rFonts w:eastAsia="Times New Roman"/>
          <w:color w:val="000000"/>
          <w:lang w:eastAsia="sk-SK"/>
        </w:rPr>
        <w:t>nebude mať vplyv na manželstvo, rodičovstvo a</w:t>
      </w:r>
      <w:r>
        <w:rPr>
          <w:rFonts w:eastAsia="Times New Roman"/>
          <w:color w:val="000000"/>
          <w:lang w:eastAsia="sk-SK"/>
        </w:rPr>
        <w:t> </w:t>
      </w:r>
      <w:r w:rsidRPr="00E73182">
        <w:rPr>
          <w:rFonts w:eastAsia="Times New Roman"/>
          <w:color w:val="000000"/>
          <w:lang w:eastAsia="sk-SK"/>
        </w:rPr>
        <w:t>rodinu</w:t>
      </w:r>
      <w:r>
        <w:rPr>
          <w:rFonts w:eastAsia="Times New Roman"/>
          <w:color w:val="000000"/>
          <w:lang w:eastAsia="sk-SK"/>
        </w:rPr>
        <w:t xml:space="preserve"> a ani na </w:t>
      </w:r>
      <w:r w:rsidRPr="00E73182">
        <w:rPr>
          <w:rFonts w:eastAsia="Times New Roman"/>
          <w:color w:val="000000"/>
          <w:lang w:eastAsia="sk-SK"/>
        </w:rPr>
        <w:t xml:space="preserve">služby verejnej správy pre občana. </w:t>
      </w:r>
    </w:p>
    <w:p w14:paraId="1D0DBFB7" w14:textId="77777777" w:rsidR="003F1B2D" w:rsidRPr="00E73182" w:rsidRDefault="003F1B2D" w:rsidP="003F1B2D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E73182">
        <w:rPr>
          <w:rFonts w:eastAsia="Times New Roman"/>
          <w:color w:val="000000"/>
          <w:lang w:eastAsia="sk-SK"/>
        </w:rPr>
        <w:t>Návrh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zákona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je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v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súlade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Ústavou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Slovenskej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republiky,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ústavnými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zákonmi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a ostatnými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všeobecne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záväznými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právnymi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predpismi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Slovenskej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republiky,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medzinárodnými zmluvami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a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inými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medzinárodnými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dokumentmi,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ktorými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je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Slovenská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republika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viazaná, ako aj s právom Európskej únie.</w:t>
      </w:r>
    </w:p>
    <w:p w14:paraId="33809B16" w14:textId="77777777" w:rsidR="003F1B2D" w:rsidRDefault="003F1B2D" w:rsidP="003F1B2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F01FD7E" w14:textId="77777777" w:rsidR="001D2361" w:rsidRDefault="001D2361" w:rsidP="003F1B2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A1742A3" w14:textId="77777777" w:rsidR="001D2361" w:rsidRDefault="001D2361" w:rsidP="003F1B2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7CA5908" w14:textId="77777777" w:rsidR="003F1B2D" w:rsidRPr="009D652B" w:rsidRDefault="003F1B2D" w:rsidP="003F1B2D">
      <w:pPr>
        <w:pStyle w:val="Odsekzoznamu"/>
        <w:numPr>
          <w:ilvl w:val="0"/>
          <w:numId w:val="5"/>
        </w:numPr>
        <w:jc w:val="both"/>
        <w:rPr>
          <w:b/>
          <w:bCs/>
        </w:rPr>
      </w:pPr>
      <w:r w:rsidRPr="009D652B">
        <w:rPr>
          <w:b/>
          <w:bCs/>
        </w:rPr>
        <w:lastRenderedPageBreak/>
        <w:t xml:space="preserve">Osobitná časť </w:t>
      </w:r>
    </w:p>
    <w:p w14:paraId="58C67108" w14:textId="77777777" w:rsidR="003F1B2D" w:rsidRDefault="003F1B2D" w:rsidP="003F1B2D">
      <w:pPr>
        <w:shd w:val="clear" w:color="auto" w:fill="FFFFFF"/>
        <w:spacing w:after="0" w:line="240" w:lineRule="auto"/>
        <w:ind w:left="372" w:firstLine="348"/>
        <w:jc w:val="both"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K čl. I</w:t>
      </w:r>
    </w:p>
    <w:p w14:paraId="4FEB13AD" w14:textId="77777777" w:rsidR="003F1B2D" w:rsidRDefault="003F1B2D" w:rsidP="003F1B2D">
      <w:pPr>
        <w:shd w:val="clear" w:color="auto" w:fill="FFFFFF"/>
        <w:spacing w:after="0" w:line="240" w:lineRule="auto"/>
        <w:ind w:left="372" w:firstLine="348"/>
        <w:jc w:val="both"/>
        <w:rPr>
          <w:b/>
          <w:bCs/>
          <w:kern w:val="2"/>
          <w14:ligatures w14:val="standardContextual"/>
        </w:rPr>
      </w:pPr>
    </w:p>
    <w:p w14:paraId="085EB08A" w14:textId="77777777" w:rsidR="003F1B2D" w:rsidRPr="009D652B" w:rsidRDefault="003F1B2D" w:rsidP="003F1B2D">
      <w:pPr>
        <w:shd w:val="clear" w:color="auto" w:fill="FFFFFF"/>
        <w:spacing w:after="0" w:line="240" w:lineRule="auto"/>
        <w:ind w:left="372" w:firstLine="348"/>
        <w:jc w:val="both"/>
        <w:rPr>
          <w:b/>
          <w:bCs/>
          <w:kern w:val="2"/>
          <w14:ligatures w14:val="standardContextual"/>
        </w:rPr>
      </w:pPr>
      <w:r w:rsidRPr="009D652B">
        <w:rPr>
          <w:b/>
          <w:bCs/>
          <w:kern w:val="2"/>
          <w14:ligatures w14:val="standardContextual"/>
        </w:rPr>
        <w:t>K bodu 1</w:t>
      </w:r>
    </w:p>
    <w:p w14:paraId="33A745B2" w14:textId="77777777" w:rsidR="003F1B2D" w:rsidRPr="009D652B" w:rsidRDefault="003F1B2D" w:rsidP="003F1B2D">
      <w:pPr>
        <w:shd w:val="clear" w:color="auto" w:fill="FFFFFF"/>
        <w:spacing w:after="0" w:line="240" w:lineRule="auto"/>
        <w:ind w:left="360"/>
        <w:jc w:val="both"/>
        <w:rPr>
          <w:kern w:val="2"/>
          <w14:ligatures w14:val="standardContextual"/>
        </w:rPr>
      </w:pPr>
    </w:p>
    <w:p w14:paraId="332993E8" w14:textId="77777777" w:rsidR="003F1B2D" w:rsidRPr="002E0751" w:rsidRDefault="003F1B2D" w:rsidP="003F1B2D">
      <w:pPr>
        <w:spacing w:line="240" w:lineRule="auto"/>
        <w:ind w:firstLine="708"/>
        <w:jc w:val="both"/>
        <w:rPr>
          <w:shd w:val="clear" w:color="auto" w:fill="FFFFFF"/>
        </w:rPr>
      </w:pPr>
      <w:r w:rsidRPr="002E0751">
        <w:rPr>
          <w:kern w:val="2"/>
          <w14:ligatures w14:val="standardContextual"/>
        </w:rPr>
        <w:t xml:space="preserve">V § 226 ods. 5, podľa ktorého v súčasnosti Sociálna poisťovňa ukončí registráciu </w:t>
      </w:r>
      <w:r w:rsidRPr="002E0751">
        <w:rPr>
          <w:shd w:val="clear" w:color="auto" w:fill="FFFFFF"/>
        </w:rPr>
        <w:t>zamestnávateľa v registri zamestnávateľov posledného zamestnanca tohto zamestnávateľa z registra poistencov a</w:t>
      </w:r>
      <w:r>
        <w:rPr>
          <w:shd w:val="clear" w:color="auto" w:fill="FFFFFF"/>
        </w:rPr>
        <w:t> </w:t>
      </w:r>
      <w:r w:rsidRPr="002E0751">
        <w:rPr>
          <w:shd w:val="clear" w:color="auto" w:fill="FFFFFF"/>
        </w:rPr>
        <w:t>sporiteľov</w:t>
      </w:r>
      <w:r>
        <w:rPr>
          <w:shd w:val="clear" w:color="auto" w:fill="FFFFFF"/>
        </w:rPr>
        <w:t>, sa súčasné z</w:t>
      </w:r>
      <w:r w:rsidRPr="002E0751">
        <w:rPr>
          <w:shd w:val="clear" w:color="auto" w:fill="FFFFFF"/>
        </w:rPr>
        <w:t>nenie upravuje tak, že Sociálna poisťovňa ukončí registráciu zamestnávateľa až po uplynutí 180 dní po tom, ako zamestnávateľ odhlási posledného zamestnanca z registra</w:t>
      </w:r>
      <w:r w:rsidRPr="00ED1FB6">
        <w:rPr>
          <w:shd w:val="clear" w:color="auto" w:fill="FFFFFF"/>
        </w:rPr>
        <w:t xml:space="preserve"> </w:t>
      </w:r>
      <w:r w:rsidRPr="002E0751">
        <w:rPr>
          <w:shd w:val="clear" w:color="auto" w:fill="FFFFFF"/>
        </w:rPr>
        <w:t>poistencov a</w:t>
      </w:r>
      <w:r>
        <w:rPr>
          <w:shd w:val="clear" w:color="auto" w:fill="FFFFFF"/>
        </w:rPr>
        <w:t> </w:t>
      </w:r>
      <w:r w:rsidRPr="002E0751">
        <w:rPr>
          <w:shd w:val="clear" w:color="auto" w:fill="FFFFFF"/>
        </w:rPr>
        <w:t>sporiteľov.</w:t>
      </w:r>
      <w:r>
        <w:rPr>
          <w:shd w:val="clear" w:color="auto" w:fill="FFFFFF"/>
        </w:rPr>
        <w:t xml:space="preserve"> Vznikne tak 180-dňové preklenovacie obdobie, v rámci ktorého registrácia zamestnávateľa nezanikne a v prípade opätovné zamestnania ďalšieho zamestnanca sa zamestnávateľ v Sociálnej poisťovni nemusí nanovo  registrovať.</w:t>
      </w:r>
    </w:p>
    <w:p w14:paraId="5D1C07BE" w14:textId="77777777" w:rsidR="003F1B2D" w:rsidRPr="009D652B" w:rsidRDefault="003F1B2D" w:rsidP="003F1B2D">
      <w:pPr>
        <w:shd w:val="clear" w:color="auto" w:fill="FFFFFF"/>
        <w:spacing w:after="0" w:line="240" w:lineRule="auto"/>
        <w:ind w:left="360" w:firstLine="348"/>
        <w:jc w:val="both"/>
        <w:rPr>
          <w:rFonts w:eastAsia="Times New Roman"/>
          <w:b/>
          <w:bCs/>
          <w:lang w:eastAsia="sk-SK"/>
        </w:rPr>
      </w:pPr>
      <w:r w:rsidRPr="009D652B">
        <w:rPr>
          <w:rFonts w:eastAsia="Times New Roman"/>
          <w:b/>
          <w:bCs/>
          <w:lang w:eastAsia="sk-SK"/>
        </w:rPr>
        <w:t>K bodu 2</w:t>
      </w:r>
    </w:p>
    <w:p w14:paraId="1761E369" w14:textId="77777777" w:rsidR="003F1B2D" w:rsidRDefault="003F1B2D" w:rsidP="003F1B2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215DEF64" w14:textId="77777777" w:rsidR="003F1B2D" w:rsidRDefault="003F1B2D" w:rsidP="003F1B2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C53F3C">
        <w:rPr>
          <w:rFonts w:eastAsia="Times New Roman"/>
          <w:lang w:eastAsia="sk-SK"/>
        </w:rPr>
        <w:t>Podľa súčasného znenia § 231 ods. 1 písm. a) má zamestnávateľ povinnosť prihlásiť sa do registra zamestnávateľov vedeného príslušnou pobočkou najneskôr v deň predchádzajúci dňu, v ktorom začne zamestnávať aspoň jedného zamestnanca. Navrhovaná novela zavádza z tejto povinnosti výnimku, že zamestnávateľ túto povinnosť nemá, ak nedošlo k ukončeniu registrácie z dôvodu plynutia 180-dňového preklenovacieho obdobia</w:t>
      </w:r>
      <w:r>
        <w:rPr>
          <w:rFonts w:eastAsia="Times New Roman"/>
          <w:lang w:eastAsia="sk-SK"/>
        </w:rPr>
        <w:t xml:space="preserve"> zavedeného v novelizačnom bode 1.</w:t>
      </w:r>
      <w:r w:rsidRPr="00C53F3C">
        <w:rPr>
          <w:rFonts w:eastAsia="Times New Roman"/>
          <w:lang w:eastAsia="sk-SK"/>
        </w:rPr>
        <w:t xml:space="preserve"> </w:t>
      </w:r>
    </w:p>
    <w:p w14:paraId="2BB5844E" w14:textId="77777777" w:rsidR="003F1B2D" w:rsidRPr="00C53F3C" w:rsidRDefault="003F1B2D" w:rsidP="003F1B2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6DA167EB" w14:textId="77777777" w:rsidR="003F1B2D" w:rsidRDefault="003F1B2D" w:rsidP="003F1B2D">
      <w:pPr>
        <w:shd w:val="clear" w:color="auto" w:fill="FFFFFF"/>
        <w:spacing w:after="0" w:line="240" w:lineRule="auto"/>
        <w:ind w:left="372" w:firstLine="348"/>
        <w:jc w:val="both"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K čl. II</w:t>
      </w:r>
    </w:p>
    <w:p w14:paraId="641C9C6D" w14:textId="77777777" w:rsidR="003F1B2D" w:rsidRDefault="003F1B2D" w:rsidP="003F1B2D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38A9FDC1" w14:textId="77777777" w:rsidR="003F1B2D" w:rsidRPr="009D652B" w:rsidRDefault="003F1B2D" w:rsidP="003F1B2D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ab/>
        <w:t xml:space="preserve">S ohľadom na predpokladanú dĺžku legislatívneho procesu sa navrhuje nadobudnutie účinnosti predloženého návrhu zákona na 1. októbra 2024. </w:t>
      </w:r>
    </w:p>
    <w:p w14:paraId="6C78AE20" w14:textId="77777777" w:rsidR="003F1B2D" w:rsidRPr="009D652B" w:rsidRDefault="003F1B2D" w:rsidP="003F1B2D">
      <w:pPr>
        <w:spacing w:after="0" w:line="240" w:lineRule="auto"/>
        <w:jc w:val="both"/>
        <w:rPr>
          <w:b/>
          <w:bCs/>
        </w:rPr>
      </w:pPr>
    </w:p>
    <w:sectPr w:rsidR="003F1B2D" w:rsidRPr="009D65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8FBE7" w14:textId="77777777" w:rsidR="00AF7077" w:rsidRDefault="00AF7077" w:rsidP="00ED5801">
      <w:pPr>
        <w:spacing w:after="0" w:line="240" w:lineRule="auto"/>
      </w:pPr>
      <w:r>
        <w:separator/>
      </w:r>
    </w:p>
  </w:endnote>
  <w:endnote w:type="continuationSeparator" w:id="0">
    <w:p w14:paraId="34C1CA76" w14:textId="77777777" w:rsidR="00AF7077" w:rsidRDefault="00AF7077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AB37B" w14:textId="1550D759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D15FA" w14:textId="77777777" w:rsidR="00AF7077" w:rsidRDefault="00AF7077" w:rsidP="00ED5801">
      <w:pPr>
        <w:spacing w:after="0" w:line="240" w:lineRule="auto"/>
      </w:pPr>
      <w:r>
        <w:separator/>
      </w:r>
    </w:p>
  </w:footnote>
  <w:footnote w:type="continuationSeparator" w:id="0">
    <w:p w14:paraId="0373B212" w14:textId="77777777" w:rsidR="00AF7077" w:rsidRDefault="00AF7077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6EDB"/>
    <w:multiLevelType w:val="hybridMultilevel"/>
    <w:tmpl w:val="15E69046"/>
    <w:lvl w:ilvl="0" w:tplc="443E499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1F03E9"/>
    <w:multiLevelType w:val="hybridMultilevel"/>
    <w:tmpl w:val="0050393A"/>
    <w:lvl w:ilvl="0" w:tplc="F668785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45356D4"/>
    <w:multiLevelType w:val="hybridMultilevel"/>
    <w:tmpl w:val="04D25190"/>
    <w:lvl w:ilvl="0" w:tplc="A648B09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314303">
    <w:abstractNumId w:val="0"/>
  </w:num>
  <w:num w:numId="2" w16cid:durableId="19474313">
    <w:abstractNumId w:val="2"/>
  </w:num>
  <w:num w:numId="3" w16cid:durableId="496850244">
    <w:abstractNumId w:val="1"/>
  </w:num>
  <w:num w:numId="4" w16cid:durableId="1445349711">
    <w:abstractNumId w:val="2"/>
  </w:num>
  <w:num w:numId="5" w16cid:durableId="2096702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67352"/>
    <w:rsid w:val="000713B3"/>
    <w:rsid w:val="00074968"/>
    <w:rsid w:val="00082B94"/>
    <w:rsid w:val="00082CCE"/>
    <w:rsid w:val="00083040"/>
    <w:rsid w:val="00083CA6"/>
    <w:rsid w:val="00094927"/>
    <w:rsid w:val="00096EF0"/>
    <w:rsid w:val="000A3C72"/>
    <w:rsid w:val="000B1B08"/>
    <w:rsid w:val="000B5F7C"/>
    <w:rsid w:val="000F20BD"/>
    <w:rsid w:val="000F2ECC"/>
    <w:rsid w:val="00131D67"/>
    <w:rsid w:val="0013526D"/>
    <w:rsid w:val="001358C5"/>
    <w:rsid w:val="0014328A"/>
    <w:rsid w:val="00143C60"/>
    <w:rsid w:val="00144279"/>
    <w:rsid w:val="00144EB2"/>
    <w:rsid w:val="00151342"/>
    <w:rsid w:val="00163DD8"/>
    <w:rsid w:val="001661C8"/>
    <w:rsid w:val="00174DF4"/>
    <w:rsid w:val="00175EC2"/>
    <w:rsid w:val="00181767"/>
    <w:rsid w:val="00192FA7"/>
    <w:rsid w:val="001A2554"/>
    <w:rsid w:val="001A40FD"/>
    <w:rsid w:val="001B0C52"/>
    <w:rsid w:val="001B7D0D"/>
    <w:rsid w:val="001D2361"/>
    <w:rsid w:val="001D3795"/>
    <w:rsid w:val="001D7269"/>
    <w:rsid w:val="001F43D7"/>
    <w:rsid w:val="002069DD"/>
    <w:rsid w:val="002208E7"/>
    <w:rsid w:val="0022794D"/>
    <w:rsid w:val="00232EED"/>
    <w:rsid w:val="0024500F"/>
    <w:rsid w:val="00261704"/>
    <w:rsid w:val="0026570C"/>
    <w:rsid w:val="0028089F"/>
    <w:rsid w:val="002944A8"/>
    <w:rsid w:val="00295513"/>
    <w:rsid w:val="002A2721"/>
    <w:rsid w:val="002B5F56"/>
    <w:rsid w:val="002C0060"/>
    <w:rsid w:val="002D304D"/>
    <w:rsid w:val="002D3FD8"/>
    <w:rsid w:val="002E5F36"/>
    <w:rsid w:val="0031070D"/>
    <w:rsid w:val="0035448D"/>
    <w:rsid w:val="003954E1"/>
    <w:rsid w:val="003B3659"/>
    <w:rsid w:val="003D1347"/>
    <w:rsid w:val="003D1D47"/>
    <w:rsid w:val="003E2A47"/>
    <w:rsid w:val="003F1B2D"/>
    <w:rsid w:val="00405BE7"/>
    <w:rsid w:val="00415538"/>
    <w:rsid w:val="00424849"/>
    <w:rsid w:val="00445409"/>
    <w:rsid w:val="00454013"/>
    <w:rsid w:val="00490BFF"/>
    <w:rsid w:val="004D282A"/>
    <w:rsid w:val="004E21F5"/>
    <w:rsid w:val="004F49BF"/>
    <w:rsid w:val="004F4FC4"/>
    <w:rsid w:val="00521E79"/>
    <w:rsid w:val="005302E5"/>
    <w:rsid w:val="005441AF"/>
    <w:rsid w:val="005461FA"/>
    <w:rsid w:val="00547A34"/>
    <w:rsid w:val="00565F37"/>
    <w:rsid w:val="00567CAE"/>
    <w:rsid w:val="005937AC"/>
    <w:rsid w:val="00604889"/>
    <w:rsid w:val="00606C1B"/>
    <w:rsid w:val="006073E1"/>
    <w:rsid w:val="00622A1A"/>
    <w:rsid w:val="00633794"/>
    <w:rsid w:val="00636103"/>
    <w:rsid w:val="0065539E"/>
    <w:rsid w:val="00665FC4"/>
    <w:rsid w:val="00671C1A"/>
    <w:rsid w:val="00685B70"/>
    <w:rsid w:val="006A6574"/>
    <w:rsid w:val="006D60AE"/>
    <w:rsid w:val="006E3EAE"/>
    <w:rsid w:val="006E48FD"/>
    <w:rsid w:val="006E66A8"/>
    <w:rsid w:val="00713A36"/>
    <w:rsid w:val="00720F54"/>
    <w:rsid w:val="00725458"/>
    <w:rsid w:val="00734A30"/>
    <w:rsid w:val="00735BF8"/>
    <w:rsid w:val="0074768C"/>
    <w:rsid w:val="007536FF"/>
    <w:rsid w:val="00777385"/>
    <w:rsid w:val="00783EE4"/>
    <w:rsid w:val="007A1161"/>
    <w:rsid w:val="007A42E6"/>
    <w:rsid w:val="007B13F5"/>
    <w:rsid w:val="007B1B0B"/>
    <w:rsid w:val="007B4B40"/>
    <w:rsid w:val="007C2047"/>
    <w:rsid w:val="007E7389"/>
    <w:rsid w:val="007F233B"/>
    <w:rsid w:val="0081271F"/>
    <w:rsid w:val="00813170"/>
    <w:rsid w:val="00814306"/>
    <w:rsid w:val="00822B85"/>
    <w:rsid w:val="00823801"/>
    <w:rsid w:val="0084015C"/>
    <w:rsid w:val="00843B7E"/>
    <w:rsid w:val="00852CB5"/>
    <w:rsid w:val="008559B5"/>
    <w:rsid w:val="00863D94"/>
    <w:rsid w:val="00871000"/>
    <w:rsid w:val="008A0292"/>
    <w:rsid w:val="008D2616"/>
    <w:rsid w:val="008D38B2"/>
    <w:rsid w:val="008E538F"/>
    <w:rsid w:val="008F602C"/>
    <w:rsid w:val="009141ED"/>
    <w:rsid w:val="00926F35"/>
    <w:rsid w:val="00942D27"/>
    <w:rsid w:val="009473E3"/>
    <w:rsid w:val="009536E3"/>
    <w:rsid w:val="009623D7"/>
    <w:rsid w:val="00980CE6"/>
    <w:rsid w:val="00984AEB"/>
    <w:rsid w:val="00994269"/>
    <w:rsid w:val="009A4576"/>
    <w:rsid w:val="009A7EBA"/>
    <w:rsid w:val="009B5786"/>
    <w:rsid w:val="009D24AD"/>
    <w:rsid w:val="009F7788"/>
    <w:rsid w:val="00A03AF5"/>
    <w:rsid w:val="00A17B95"/>
    <w:rsid w:val="00A25ABB"/>
    <w:rsid w:val="00A40CE6"/>
    <w:rsid w:val="00A45A59"/>
    <w:rsid w:val="00A61E7B"/>
    <w:rsid w:val="00A914F6"/>
    <w:rsid w:val="00AD5684"/>
    <w:rsid w:val="00AD7374"/>
    <w:rsid w:val="00AE39A7"/>
    <w:rsid w:val="00AE6176"/>
    <w:rsid w:val="00AE64D6"/>
    <w:rsid w:val="00AF2FEB"/>
    <w:rsid w:val="00AF7077"/>
    <w:rsid w:val="00B14A8A"/>
    <w:rsid w:val="00B32FF1"/>
    <w:rsid w:val="00B43564"/>
    <w:rsid w:val="00B504F9"/>
    <w:rsid w:val="00B520D0"/>
    <w:rsid w:val="00B52105"/>
    <w:rsid w:val="00B74BA6"/>
    <w:rsid w:val="00B81F9E"/>
    <w:rsid w:val="00B935BA"/>
    <w:rsid w:val="00BA46A6"/>
    <w:rsid w:val="00BB254B"/>
    <w:rsid w:val="00BB59BF"/>
    <w:rsid w:val="00BC0402"/>
    <w:rsid w:val="00BD0A69"/>
    <w:rsid w:val="00BD27E1"/>
    <w:rsid w:val="00BF303E"/>
    <w:rsid w:val="00BF3269"/>
    <w:rsid w:val="00C21011"/>
    <w:rsid w:val="00C363FF"/>
    <w:rsid w:val="00C367C9"/>
    <w:rsid w:val="00C410A0"/>
    <w:rsid w:val="00C47548"/>
    <w:rsid w:val="00C51938"/>
    <w:rsid w:val="00C568F0"/>
    <w:rsid w:val="00C61AE4"/>
    <w:rsid w:val="00C6333E"/>
    <w:rsid w:val="00C72910"/>
    <w:rsid w:val="00C811F2"/>
    <w:rsid w:val="00C9310A"/>
    <w:rsid w:val="00CA2A54"/>
    <w:rsid w:val="00CD17DE"/>
    <w:rsid w:val="00CE1BC7"/>
    <w:rsid w:val="00CE2CFF"/>
    <w:rsid w:val="00CF0CF0"/>
    <w:rsid w:val="00D05B18"/>
    <w:rsid w:val="00D06198"/>
    <w:rsid w:val="00D13469"/>
    <w:rsid w:val="00D134CD"/>
    <w:rsid w:val="00D22433"/>
    <w:rsid w:val="00D32208"/>
    <w:rsid w:val="00D438FC"/>
    <w:rsid w:val="00D47B8B"/>
    <w:rsid w:val="00D74C6F"/>
    <w:rsid w:val="00D77666"/>
    <w:rsid w:val="00D86E5C"/>
    <w:rsid w:val="00DA4CA3"/>
    <w:rsid w:val="00DA5842"/>
    <w:rsid w:val="00DA7AEF"/>
    <w:rsid w:val="00DD0327"/>
    <w:rsid w:val="00DD15D9"/>
    <w:rsid w:val="00DD220B"/>
    <w:rsid w:val="00DE0A66"/>
    <w:rsid w:val="00DE6291"/>
    <w:rsid w:val="00DF2228"/>
    <w:rsid w:val="00E020A2"/>
    <w:rsid w:val="00E13359"/>
    <w:rsid w:val="00E52D7A"/>
    <w:rsid w:val="00E67D16"/>
    <w:rsid w:val="00ED5801"/>
    <w:rsid w:val="00EE1417"/>
    <w:rsid w:val="00EF1942"/>
    <w:rsid w:val="00F07B57"/>
    <w:rsid w:val="00F17BFB"/>
    <w:rsid w:val="00F51936"/>
    <w:rsid w:val="00F55700"/>
    <w:rsid w:val="00F716FC"/>
    <w:rsid w:val="00F744B3"/>
    <w:rsid w:val="00F900C3"/>
    <w:rsid w:val="00F90457"/>
    <w:rsid w:val="00F92F89"/>
    <w:rsid w:val="00FA30B8"/>
    <w:rsid w:val="00FB3F3A"/>
    <w:rsid w:val="00FC03A8"/>
    <w:rsid w:val="00FC1AD6"/>
    <w:rsid w:val="00FC45AE"/>
    <w:rsid w:val="00FC4BAD"/>
    <w:rsid w:val="00FE67F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5461F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EB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A2A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2A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2A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A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581</Words>
  <Characters>3667</Characters>
  <Application>Microsoft Office Word</Application>
  <DocSecurity>0</DocSecurity>
  <Lines>70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34</cp:revision>
  <cp:lastPrinted>2020-12-17T09:22:00Z</cp:lastPrinted>
  <dcterms:created xsi:type="dcterms:W3CDTF">2024-04-16T20:35:00Z</dcterms:created>
  <dcterms:modified xsi:type="dcterms:W3CDTF">2024-05-23T15:23:00Z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adf0f1d4662391daa5f068b1cc79c6536df3244a2f5d85b65c56ff407103a42c</vt:lpwstr>
  </property>
</Properties>
</file>