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Dôvodová správa</w:t>
      </w:r>
      <w:r w:rsidDel="00000000" w:rsidR="00000000" w:rsidRPr="00000000">
        <w:rPr>
          <w:rtl w:val="0"/>
        </w:rPr>
      </w:r>
    </w:p>
    <w:p w:rsidR="00000000" w:rsidDel="00000000" w:rsidP="00000000" w:rsidRDefault="00000000" w:rsidRPr="00000000" w14:paraId="00000002">
      <w:pPr>
        <w:spacing w:after="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Všeobecná časť</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ktorým sa mení a dopĺňa zákon č. 461/2003 Z. z. o sociálnom poistení v znení neskorších predpisov (ďalej len „návrh zákona“) predkladajú na rokovanie Národnej rady Slovenskej republiky poslanci a poslankyne Národnej rady Slovenskej republiky Dávid Dej, Darina Luščíková, Simona Petrík a Štefan Kišš.</w:t>
      </w:r>
    </w:p>
    <w:p w:rsidR="00000000" w:rsidDel="00000000" w:rsidP="00000000" w:rsidRDefault="00000000" w:rsidRPr="00000000" w14:paraId="00000006">
      <w:pPr>
        <w:ind w:left="0" w:firstLine="0"/>
        <w:jc w:val="both"/>
        <w:rPr>
          <w:rFonts w:ascii="Times New Roman" w:cs="Times New Roman" w:eastAsia="Times New Roman" w:hAnsi="Times New Roman"/>
          <w:strike w:val="1"/>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Cieľom návrhu je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zvýšenie disponibilných príjmov pracujúcich študentov a študentiek a pracujúcich dôchodcov a dôchodkýň</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superscript"/>
        </w:rPr>
        <w:footnoteReference w:customMarkFollows="0" w:id="0"/>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čím sa čiastočne dosiahne zvýšenie zamestnanosti uvedených skupín obyvateľstva najmä vzhľadom na výrazne veľký počet neobsadených pracovných miest v mnohých odvetviach národného hospodárstva. Podporným cieľom je menší rozsah práce „načierno“. Navrhuje sa preto </w:t>
      </w:r>
      <w:r w:rsidDel="00000000" w:rsidR="00000000" w:rsidRPr="00000000">
        <w:rPr>
          <w:rFonts w:ascii="Times New Roman" w:cs="Times New Roman" w:eastAsia="Times New Roman" w:hAnsi="Times New Roman"/>
          <w:b w:val="1"/>
          <w:i w:val="0"/>
          <w:smallCaps w:val="0"/>
          <w:strike w:val="0"/>
          <w:sz w:val="24"/>
          <w:szCs w:val="24"/>
          <w:u w:val="none"/>
          <w:shd w:fill="auto" w:val="clear"/>
          <w:vertAlign w:val="baseline"/>
          <w:rtl w:val="0"/>
        </w:rPr>
        <w:t xml:space="preserve">zvýšenie odvodovej odpočítateľnej položky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pre študentov pracujúcich na základe dohody o brigádnickej práci študentov (ďalej len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DoBPŠ</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 dôchodcov v právnom vzťahu na základe dohody o vykonaní práce alebo dohody o pracovnej činnosti.</w:t>
      </w:r>
    </w:p>
    <w:p w:rsidR="00000000" w:rsidDel="00000000" w:rsidP="00000000" w:rsidRDefault="00000000" w:rsidRPr="00000000" w14:paraId="00000008">
      <w:pPr>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09">
      <w:pPr>
        <w:ind w:left="0" w:firstLine="720"/>
        <w:jc w:val="both"/>
        <w:rPr>
          <w:rFonts w:ascii="Times New Roman" w:cs="Times New Roman" w:eastAsia="Times New Roman" w:hAnsi="Times New Roman"/>
          <w:sz w:val="24"/>
          <w:szCs w:val="24"/>
        </w:rPr>
      </w:pPr>
      <w:bookmarkStart w:colFirst="0" w:colLast="0" w:name="_heading=h.1fob9te" w:id="2"/>
      <w:bookmarkEnd w:id="2"/>
      <w:r w:rsidDel="00000000" w:rsidR="00000000" w:rsidRPr="00000000">
        <w:rPr>
          <w:rFonts w:ascii="Times New Roman" w:cs="Times New Roman" w:eastAsia="Times New Roman" w:hAnsi="Times New Roman"/>
          <w:sz w:val="24"/>
          <w:szCs w:val="24"/>
          <w:rtl w:val="0"/>
        </w:rPr>
        <w:t xml:space="preserve">Predkladaný návrh novely zákona si taktiež kladie za cieľ podporiť dynamiku slovenskej ekonomiky prostredníctvom motivácie študentov a dôchodcov k zamestnaniu sa a aktívnej účasti na trhu práce. Navrhovaná legislatívna úprava reaguje na zmeny v ekonomickom prostredí, čím sa zvyšuje relevancia a efektívnosť daného právneho predpisu.</w:t>
      </w:r>
    </w:p>
    <w:p w:rsidR="00000000" w:rsidDel="00000000" w:rsidP="00000000" w:rsidRDefault="00000000" w:rsidRPr="00000000" w14:paraId="0000000A">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Táto legislatívna zmena umožní znížiť vymeriavací základ odvodu starobného dôchodkového a invalidného poistenia na strane dohodárov a zároveň starobného dôchodkového, invalidného odvodu a odvodu do rezervného fondu solidarity na strane zamestnávateľa. Výsledkom bude zvýšenie disponibilného príjmu študentov a dôchodcov a tým zvýšenie ich životnej úrovne.  Zároveň sa zvýši motivácia zamestnávateľov zamestnávať študentov a dôchodcov legálnou formou, nakoľko náklady na zamestnanca budú nižšie, čo sa pozitívne odrazí najmä na zvýšení bezpečnosti a kvalite pracovných podmienok dohodárov a dohodárok zaručených Zákonníkom práce. Zvýšenie zamestnávania prostredníctvom legálnej formy je zároveň prínosom pre verejné financie, nakoľko zvýšený základ dane zamestnancov na dohody bude znamenať vyšší výber dane z príjmu zo závislej činnosti.</w:t>
      </w:r>
    </w:p>
    <w:p w:rsidR="00000000" w:rsidDel="00000000" w:rsidP="00000000" w:rsidRDefault="00000000" w:rsidRPr="00000000" w14:paraId="0000000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Úprava má rovnako potenciál prispieť k preklenutiu problémov s nízkou mierou zamestnanosti  napr. v segmente potravinárstva, cestovného ruchu, maloobchodu či gastropriemyslu a hotelierstva, kde  je akútny nedostatok pracovnej sily. Všeobecne má návrh dopomôcť k čiastočnému riešeniu problematiky chýbajúcej pracovnej sily. Zamestnávatelia hovoria až o 90-tisíc neobsadených pracovných miest naprieč ekonomikou. Zvýšením motivácie študentov a dôchodcov sa zamestnať možno čiastočne doplniť trh práce a tým pomôcť výkonnosti ekonomiky.</w:t>
      </w:r>
    </w:p>
    <w:p w:rsidR="00000000" w:rsidDel="00000000" w:rsidP="00000000" w:rsidRDefault="00000000" w:rsidRPr="00000000" w14:paraId="00000012">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roku 2023 požiadalo o predčasný dôchodok až  47 tisíc žiadateľov, pričom pred zmenou legislatívnych podmienok to bolo okolo 14,5 tisíc žiadateľov ročne.  Mnohé firmy tak prišli o 10 až 15% svojich zamestnancov. Významné organizácie, ktoré združujú firmy, podnikateľov a zamestnávateľov na Slovensku, upozorňujú na akútny nedostatok zamestnancov naprieč odvetviami.  Len od decembra 2023 do marca 2024 stúpol počet predčasných dôchodcov takmer dvojnásobne z 15 tis, na 29 tis.</w:t>
      </w:r>
    </w:p>
    <w:p w:rsidR="00000000" w:rsidDel="00000000" w:rsidP="00000000" w:rsidRDefault="00000000" w:rsidRPr="00000000" w14:paraId="0000001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1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AZZZ za nedostatok súčasnej legislatívy nepovažuje len samotný odchod zamestnancov do predčasného dôchodku po 40 odpracovaných rokoch, ale aj podmienky poberania starobného dôchodku v súbehu so zárobkovou činnosťou. </w:t>
      </w:r>
    </w:p>
    <w:p w:rsidR="00000000" w:rsidDel="00000000" w:rsidP="00000000" w:rsidRDefault="00000000" w:rsidRPr="00000000" w14:paraId="00000016">
      <w:pPr>
        <w:spacing w:after="1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Združenie podnikateľov Slovenska (ZPS) taktiež poukazuje na nepremyslenú sociálnu politiku, ktorá motivuje ľudí, aby odišli z trhu práce, miesto toho, aby naopak vytvárala motivačné podmienky. </w:t>
      </w:r>
    </w:p>
    <w:p w:rsidR="00000000" w:rsidDel="00000000" w:rsidP="00000000" w:rsidRDefault="00000000" w:rsidRPr="00000000" w14:paraId="00000017">
      <w:pPr>
        <w:spacing w:after="1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Súčasná právna úprava umožňuje predčasným dôchodcom pracovať a súčasne poberať predčasný dôchodok avšak len do výšky 2400 eur ročne. Po presiahnutí tejto hranice sa zastaví výplata predčasného dôchodku. Takáto výška príjmu preto nemotivuje poberateľov dôchodku naďalej zostať v pracovnom procese.</w:t>
      </w:r>
    </w:p>
    <w:p w:rsidR="00000000" w:rsidDel="00000000" w:rsidP="00000000" w:rsidRDefault="00000000" w:rsidRPr="00000000" w14:paraId="0000001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Podľa údajov Sociálnej poisťovne k 31. decembru 2024 bolo pracujúcich dôchodcov takmer 261 tisíc, z čoho bolo 155 608 starobných penzistov (z celkového počtu 1 118 242), čo je viac ako 7% poberateľov starobného dôchodku.  K rovnakému dátumu pracovala takmer polovica invalidných dôchodcov -  103 961 (z celkového počtu 220 349). Privyrobiť si sa v decembri 2023 rozhodlo 1 280 predčasných penzistov z počtu 15 427.</w:t>
      </w:r>
    </w:p>
    <w:p w:rsidR="00000000" w:rsidDel="00000000" w:rsidP="00000000" w:rsidRDefault="00000000" w:rsidRPr="00000000" w14:paraId="00000019">
      <w:pPr>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A">
      <w:pPr>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Odvodovú odpočítateľnú položku v hodnote 200 Eur môžu zamestnanci na dohodu využívať od 1. januára 2015. Za uvedené obdobie stúpla priemerná mzda v národnom hospodárstve zo sumy 883 Eur v roku 2015 na sumu 1430 Eur v roku 2023, teda o 62%. Výška odvodovej odpočítateľnej položky však nezohľadňovala nárast priemernej mzdy a ani infláciu, ktorá medzi rokmi 2015 a 2023 dosiahla výšku až 34%.</w:t>
      </w:r>
    </w:p>
    <w:p w:rsidR="00000000" w:rsidDel="00000000" w:rsidP="00000000" w:rsidRDefault="00000000" w:rsidRPr="00000000" w14:paraId="0000001B">
      <w:pP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C">
      <w:pPr>
        <w:spacing w:after="1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 uvedeného dôvodu poslankyne a poslanci navrhujú zmeniť právnu úpravu tak, aby výška odvodovej odpočítateľnej položky bola </w:t>
      </w:r>
      <w:r w:rsidDel="00000000" w:rsidR="00000000" w:rsidRPr="00000000">
        <w:rPr>
          <w:rFonts w:ascii="Times New Roman" w:cs="Times New Roman" w:eastAsia="Times New Roman" w:hAnsi="Times New Roman"/>
          <w:b w:val="1"/>
          <w:sz w:val="24"/>
          <w:szCs w:val="24"/>
          <w:highlight w:val="white"/>
          <w:rtl w:val="0"/>
        </w:rPr>
        <w:t xml:space="preserve">naviazaná na všeobecný vymeriavací základ a predstavovala sumu vo výške 20% jednej dvanástiny všeobecného vymeriavacieho základu </w:t>
      </w:r>
      <w:r w:rsidDel="00000000" w:rsidR="00000000" w:rsidRPr="00000000">
        <w:rPr>
          <w:rFonts w:ascii="Times New Roman" w:cs="Times New Roman" w:eastAsia="Times New Roman" w:hAnsi="Times New Roman"/>
          <w:sz w:val="24"/>
          <w:szCs w:val="24"/>
          <w:highlight w:val="white"/>
          <w:rtl w:val="0"/>
        </w:rPr>
        <w:t xml:space="preserve">každoročne zverejňovaného Sociálnou poisťovňou, daného ako súčin hodnoty priemernej mesačnej mzdy v národnom hospodárstve spred dvoch rokov a čísla 12. V zmysle uvedených skutočností, berúc ohľad na návrh účinnosti zákona ku 1.1.2025,  </w:t>
      </w:r>
      <w:r w:rsidDel="00000000" w:rsidR="00000000" w:rsidRPr="00000000">
        <w:rPr>
          <w:rFonts w:ascii="Times New Roman" w:cs="Times New Roman" w:eastAsia="Times New Roman" w:hAnsi="Times New Roman"/>
          <w:b w:val="1"/>
          <w:sz w:val="24"/>
          <w:szCs w:val="24"/>
          <w:highlight w:val="white"/>
          <w:rtl w:val="0"/>
        </w:rPr>
        <w:t xml:space="preserve">výška odpočítateľnej položky pre rok 2025 by tak predstavovala sumu 286 Eur</w:t>
      </w:r>
      <w:r w:rsidDel="00000000" w:rsidR="00000000" w:rsidRPr="00000000">
        <w:rPr>
          <w:rFonts w:ascii="Times New Roman" w:cs="Times New Roman" w:eastAsia="Times New Roman" w:hAnsi="Times New Roman"/>
          <w:sz w:val="24"/>
          <w:szCs w:val="24"/>
          <w:highlight w:val="white"/>
          <w:rtl w:val="0"/>
        </w:rPr>
        <w:t xml:space="preserve"> (20% z 1430 Eur). Týmto spôsobom sa zabezpečí automatické reflektovanie vývoja v národnej ekonomike. </w:t>
      </w:r>
    </w:p>
    <w:p w:rsidR="00000000" w:rsidDel="00000000" w:rsidP="00000000" w:rsidRDefault="00000000" w:rsidRPr="00000000" w14:paraId="0000001D">
      <w:pPr>
        <w:spacing w:after="1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Na základe dostupných údajov o mesačných nákladoch študentov vysokej školy sú vyčíslené približné mesačné náklady na život okolo 450 eur. Priemerné náklady študenta na život sa pohybujú v rozsahu 200 až 700 EUR mesačne v rôznych špecifických závislostiach. Tieto náklady zahŕňajú ubytovanie, stravu, dopravu, študijné materiály a ďalšie osobné výdavky. </w:t>
      </w:r>
    </w:p>
    <w:p w:rsidR="00000000" w:rsidDel="00000000" w:rsidP="00000000" w:rsidRDefault="00000000" w:rsidRPr="00000000" w14:paraId="0000001E">
      <w:pPr>
        <w:spacing w:after="160" w:lineRule="auto"/>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highlight w:val="white"/>
          <w:rtl w:val="0"/>
        </w:rPr>
        <w:t xml:space="preserve">Študenti a študentky často pracujú v troch hlavných segmentoch: gastronómia, maloobchod a cestovný ruch. Práve v týchto odvetviach majú zamestnávatelia, najmä v letných mesiacoch a sezónne aj v zime, problémy zohnať pracovnú silu. Viacero z týchto pracovných činností zároveň nie je možné vykonávať na dohodu o pracovnej činnosti na výkon sezónnej práce. A práve v tomto kontexte je nevyhnutné poukázať opätovne na dôležitosť legálnej práce. Tá pre študentov prináša niekoľko základných výhod, ktoré zahŕňajú bezpečnosť a dodržiavanie pracovných podmienok, adekvátne pracovné odevy, a najmä garanciu vyplatenia mzdy. Tieto výhody sú dôležité nielen pre zabezpečenie študentov, ale aj pre ich motiváciu k práci a získavanie cenných pracovných skúseností. Tú práve zamestnávatelia často obchádzajú, a to z dôvodu zníženia nákladov a zníženia administratívnej záťaže. Zamestnávanie študentov bez pracovnej zmluvy umožňuje firmám vyhnúť sa plateniu povinných odvodov, daní a dodržiavaniu pracovných podmienok stanovených zákonom.</w:t>
      </w:r>
      <w:r w:rsidDel="00000000" w:rsidR="00000000" w:rsidRPr="00000000">
        <w:rPr>
          <w:rtl w:val="0"/>
        </w:rPr>
      </w:r>
    </w:p>
    <w:p w:rsidR="00000000" w:rsidDel="00000000" w:rsidP="00000000" w:rsidRDefault="00000000" w:rsidRPr="00000000" w14:paraId="0000001F">
      <w:pPr>
        <w:spacing w:after="160" w:lineRule="auto"/>
        <w:ind w:firstLine="720"/>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Zvýšenie odpočítateľnej položky bude mať vplyv na výšku priznaného príjmu študentov a dôchodcov. Naviazaním výpočtu odvodovej odpočítateľnej položky na výšku všeobecného vymeriavacieho základu spred dvoch rokov, dôjde k jej každoročnej spravodlivej valorizácii a umožní tak lepšie reflektovať infláciu a ekonomickú realitu v krajine.  </w:t>
      </w:r>
      <w:r w:rsidDel="00000000" w:rsidR="00000000" w:rsidRPr="00000000">
        <w:rPr>
          <w:rtl w:val="0"/>
        </w:rPr>
      </w:r>
    </w:p>
    <w:p w:rsidR="00000000" w:rsidDel="00000000" w:rsidP="00000000" w:rsidRDefault="00000000" w:rsidRPr="00000000" w14:paraId="0000002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predpokladá negatívny vplyv na rozpočet verejnej správy, pozitívne vplyvy na podnikateľské prostredie, pozitívne sociálne vplyvy, nepredpokladá vplyvy na životné prostredie, vplyvy na služby verejnej správy pre občana, vplyvy na informatizáciu spoločnosti a ani vplyvy na manželstvo, rodičovstvo a rodinu.</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jc w:val="both"/>
        <w:rPr>
          <w:shd w:fill="auto" w:val="clear"/>
        </w:rPr>
      </w:pPr>
      <w:r w:rsidDel="00000000" w:rsidR="00000000" w:rsidRPr="00000000">
        <w:rPr>
          <w:rtl w:val="0"/>
        </w:rPr>
      </w:r>
    </w:p>
    <w:p w:rsidR="00000000" w:rsidDel="00000000" w:rsidP="00000000" w:rsidRDefault="00000000" w:rsidRPr="00000000" w14:paraId="00000028">
      <w:pPr>
        <w:jc w:val="both"/>
        <w:rPr>
          <w:shd w:fill="auto" w:val="clear"/>
        </w:rPr>
      </w:pPr>
      <w:r w:rsidDel="00000000" w:rsidR="00000000" w:rsidRPr="00000000">
        <w:rPr>
          <w:rtl w:val="0"/>
        </w:rPr>
      </w:r>
    </w:p>
    <w:p w:rsidR="00000000" w:rsidDel="00000000" w:rsidP="00000000" w:rsidRDefault="00000000" w:rsidRPr="00000000" w14:paraId="00000029">
      <w:pPr>
        <w:jc w:val="both"/>
        <w:rPr>
          <w:shd w:fill="auto" w:val="clear"/>
        </w:rPr>
      </w:pPr>
      <w:r w:rsidDel="00000000" w:rsidR="00000000" w:rsidRPr="00000000">
        <w:rPr>
          <w:rFonts w:ascii="Times New Roman" w:cs="Times New Roman" w:eastAsia="Times New Roman" w:hAnsi="Times New Roman"/>
          <w:b w:val="1"/>
          <w:sz w:val="24"/>
          <w:szCs w:val="24"/>
          <w:rtl w:val="0"/>
        </w:rPr>
        <w:t xml:space="preserve">B. Osobitná časť </w:t>
      </w:r>
      <w:r w:rsidDel="00000000" w:rsidR="00000000" w:rsidRPr="00000000">
        <w:rPr>
          <w:rtl w:val="0"/>
        </w:rPr>
      </w:r>
    </w:p>
    <w:p w:rsidR="00000000" w:rsidDel="00000000" w:rsidP="00000000" w:rsidRDefault="00000000" w:rsidRPr="00000000" w14:paraId="0000002A">
      <w:pPr>
        <w:jc w:val="both"/>
        <w:rPr>
          <w:shd w:fill="auto" w:val="clear"/>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K čl. I</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1</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nadväznosti na zmenu výšky odvodovej odpočítateľnej položky podľa § 138a sa primerane upravuje úhrnná výška príjmu za kalendárny rok, ktorá je rozhodujúca pre </w:t>
      </w:r>
      <w:r w:rsidDel="00000000" w:rsidR="00000000" w:rsidRPr="00000000">
        <w:rPr>
          <w:rFonts w:ascii="Times New Roman" w:cs="Times New Roman" w:eastAsia="Times New Roman" w:hAnsi="Times New Roman"/>
          <w:sz w:val="24"/>
          <w:szCs w:val="24"/>
          <w:highlight w:val="white"/>
          <w:rtl w:val="0"/>
        </w:rPr>
        <w:t xml:space="preserve">nárok na výplatu predčasného starobného dôchodku zamestnanca. V súčasnosti platí, že nárok na výplatu predčasného starobného dôchodku zaniká odo dňa jeho splátky splatnej v mesiaci nasledujúcom po mesiaci, v ktorom úhrn príjmu z tejto dohody v príslušnom kalendárnom roku presiahol sumu 2 400 eur. Návrhom zákona sa táto pevne stanovená suma </w:t>
      </w:r>
      <w:r w:rsidDel="00000000" w:rsidR="00000000" w:rsidRPr="00000000">
        <w:rPr>
          <w:rFonts w:ascii="Times New Roman" w:cs="Times New Roman" w:eastAsia="Times New Roman" w:hAnsi="Times New Roman"/>
          <w:sz w:val="24"/>
          <w:szCs w:val="24"/>
          <w:rtl w:val="0"/>
        </w:rPr>
        <w:t xml:space="preserve">„2400 eur“ mení na výpočet naviazaný na všeobecný vymeriavací základ v súlade s navrhovanou úpravou odvodovej odpočítateľnej položky podľa § 138a.</w:t>
      </w: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 bodu 2</w:t>
      </w:r>
    </w:p>
    <w:p w:rsidR="00000000" w:rsidDel="00000000" w:rsidP="00000000" w:rsidRDefault="00000000" w:rsidRPr="00000000" w14:paraId="00000031">
      <w:pPr>
        <w:spacing w:after="1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cieľom zvýšenia disponibilných príjmov zamestnancov </w:t>
      </w:r>
      <w:r w:rsidDel="00000000" w:rsidR="00000000" w:rsidRPr="00000000">
        <w:rPr>
          <w:rFonts w:ascii="Times New Roman" w:cs="Times New Roman" w:eastAsia="Times New Roman" w:hAnsi="Times New Roman"/>
          <w:sz w:val="24"/>
          <w:szCs w:val="24"/>
          <w:highlight w:val="white"/>
          <w:rtl w:val="0"/>
        </w:rPr>
        <w:t xml:space="preserve">v pracovnoprávnom vzťahu na základe dohody určenej podľa § 227a, t. j. </w:t>
      </w:r>
      <w:r w:rsidDel="00000000" w:rsidR="00000000" w:rsidRPr="00000000">
        <w:rPr>
          <w:rFonts w:ascii="Times New Roman" w:cs="Times New Roman" w:eastAsia="Times New Roman" w:hAnsi="Times New Roman"/>
          <w:sz w:val="24"/>
          <w:szCs w:val="24"/>
          <w:rtl w:val="0"/>
        </w:rPr>
        <w:t xml:space="preserve">pracujúcich študentov a študentiek a pracujúcich dôchodcov a dôchodkýň, sa </w:t>
      </w:r>
      <w:r w:rsidDel="00000000" w:rsidR="00000000" w:rsidRPr="00000000">
        <w:rPr>
          <w:rFonts w:ascii="Times New Roman" w:cs="Times New Roman" w:eastAsia="Times New Roman" w:hAnsi="Times New Roman"/>
          <w:sz w:val="24"/>
          <w:szCs w:val="24"/>
          <w:highlight w:val="white"/>
          <w:rtl w:val="0"/>
        </w:rPr>
        <w:t xml:space="preserve">upravuje výška odvodovej odpočítateľnej položky. Navrhuje sa, aby bola výška odvodovej odpočítateľnej položky pre týchto zamestnancov naviazaná na všeobecný vymeriavací základ, a to vo výške 20% jednej dvanástiny všeobecného vymeriavacieho základu </w:t>
      </w:r>
      <w:r w:rsidDel="00000000" w:rsidR="00000000" w:rsidRPr="00000000">
        <w:rPr>
          <w:rFonts w:ascii="Times New Roman" w:cs="Times New Roman" w:eastAsia="Times New Roman" w:hAnsi="Times New Roman"/>
          <w:sz w:val="24"/>
          <w:szCs w:val="24"/>
          <w:rtl w:val="0"/>
        </w:rPr>
        <w:t xml:space="preserve">platného v kalendárnom roku, ktorý dva roky predchádza kalendárnemu roku, za ktorý sa platí poistné</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Zároveň sa ustanovuje pravidlo, že ak je vymeriavací základ zamestnanca za kalendárny mesiac nižší ako výška odvodovej odpočítateľnej položky, odvodová odpočítateľná položka je vo výške tohto vymeriavacieho základu.</w:t>
      </w:r>
    </w:p>
    <w:p w:rsidR="00000000" w:rsidDel="00000000" w:rsidP="00000000" w:rsidRDefault="00000000" w:rsidRPr="00000000" w14:paraId="00000032">
      <w:pPr>
        <w:spacing w:after="1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webkit-standard" w:cs="-webkit-standard" w:eastAsia="-webkit-standard" w:hAnsi="-webkit-standard"/>
          <w:sz w:val="20"/>
          <w:szCs w:val="20"/>
          <w:u w:val="single"/>
        </w:rPr>
      </w:pPr>
      <w:r w:rsidDel="00000000" w:rsidR="00000000" w:rsidRPr="00000000">
        <w:rPr>
          <w:rFonts w:ascii="Times New Roman" w:cs="Times New Roman" w:eastAsia="Times New Roman" w:hAnsi="Times New Roman"/>
          <w:b w:val="1"/>
          <w:sz w:val="24"/>
          <w:szCs w:val="24"/>
          <w:u w:val="single"/>
          <w:rtl w:val="0"/>
        </w:rPr>
        <w:t xml:space="preserve">K Čl. II</w:t>
      </w: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 ohľadom na predpokladaný priebeh legislatívneho procesu sa navrhuje nadobudnutie účinnosti návrhu zákona 1. januára 2025.</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webkit-standard"/>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sz w:val="20"/>
          <w:szCs w:val="20"/>
          <w:u w:val="none"/>
          <w:shd w:fill="auto" w:val="clear"/>
          <w:vertAlign w:val="baseline"/>
          <w:rtl w:val="0"/>
        </w:rPr>
        <w:t xml:space="preserve">Týka sa dohôd o vykonaní práce alebo dohody o pracovnej činnosti s osobami, ktoré majú priznaný starobný dôchodok, predčasný starobný dôchodok, invalidný dôchodok,výsluhový dôchodok a dovŕšil</w:t>
      </w:r>
      <w:r w:rsidDel="00000000" w:rsidR="00000000" w:rsidRPr="00000000">
        <w:rPr>
          <w:rFonts w:ascii="Times New Roman" w:cs="Times New Roman" w:eastAsia="Times New Roman" w:hAnsi="Times New Roman"/>
          <w:sz w:val="20"/>
          <w:szCs w:val="20"/>
          <w:rtl w:val="0"/>
        </w:rPr>
        <w:t xml:space="preserve">i</w:t>
      </w:r>
      <w:r w:rsidDel="00000000" w:rsidR="00000000" w:rsidRPr="00000000">
        <w:rPr>
          <w:rFonts w:ascii="Times New Roman" w:cs="Times New Roman" w:eastAsia="Times New Roman" w:hAnsi="Times New Roman"/>
          <w:i w:val="0"/>
          <w:smallCaps w:val="0"/>
          <w:strike w:val="0"/>
          <w:sz w:val="20"/>
          <w:szCs w:val="20"/>
          <w:u w:val="none"/>
          <w:shd w:fill="auto" w:val="clear"/>
          <w:vertAlign w:val="baseline"/>
          <w:rtl w:val="0"/>
        </w:rPr>
        <w:t xml:space="preserve"> dôchodkový vek alebo výsluhový invalidný dôchodok.</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y" w:default="1">
    <w:name w:val="Normal"/>
  </w:style>
  <w:style w:type="paragraph" w:styleId="Nadpis1">
    <w:name w:val="heading 1"/>
    <w:basedOn w:val="Normlny"/>
    <w:next w:val="Normlny"/>
    <w:pPr>
      <w:keepNext w:val="1"/>
      <w:keepLines w:val="1"/>
      <w:spacing w:after="120" w:before="400"/>
      <w:outlineLvl w:val="0"/>
    </w:pPr>
    <w:rPr>
      <w:sz w:val="40"/>
      <w:szCs w:val="40"/>
    </w:rPr>
  </w:style>
  <w:style w:type="paragraph" w:styleId="Nadpis2">
    <w:name w:val="heading 2"/>
    <w:basedOn w:val="Normlny"/>
    <w:next w:val="Normlny"/>
    <w:pPr>
      <w:keepNext w:val="1"/>
      <w:keepLines w:val="1"/>
      <w:spacing w:after="120" w:before="360"/>
      <w:outlineLvl w:val="1"/>
    </w:pPr>
    <w:rPr>
      <w:sz w:val="32"/>
      <w:szCs w:val="32"/>
    </w:rPr>
  </w:style>
  <w:style w:type="paragraph" w:styleId="Nadpis3">
    <w:name w:val="heading 3"/>
    <w:basedOn w:val="Normlny"/>
    <w:next w:val="Normlny"/>
    <w:pPr>
      <w:keepNext w:val="1"/>
      <w:keepLines w:val="1"/>
      <w:spacing w:after="80" w:before="320"/>
      <w:outlineLvl w:val="2"/>
    </w:pPr>
    <w:rPr>
      <w:color w:val="434343"/>
      <w:sz w:val="28"/>
      <w:szCs w:val="28"/>
    </w:rPr>
  </w:style>
  <w:style w:type="paragraph" w:styleId="Nadpis4">
    <w:name w:val="heading 4"/>
    <w:basedOn w:val="Normlny"/>
    <w:next w:val="Normlny"/>
    <w:pPr>
      <w:keepNext w:val="1"/>
      <w:keepLines w:val="1"/>
      <w:spacing w:after="80" w:before="280"/>
      <w:outlineLvl w:val="3"/>
    </w:pPr>
    <w:rPr>
      <w:color w:val="666666"/>
      <w:sz w:val="24"/>
      <w:szCs w:val="24"/>
    </w:rPr>
  </w:style>
  <w:style w:type="paragraph" w:styleId="Nadpis5">
    <w:name w:val="heading 5"/>
    <w:basedOn w:val="Normlny"/>
    <w:next w:val="Normlny"/>
    <w:pPr>
      <w:keepNext w:val="1"/>
      <w:keepLines w:val="1"/>
      <w:spacing w:after="80" w:before="240"/>
      <w:outlineLvl w:val="4"/>
    </w:pPr>
    <w:rPr>
      <w:color w:val="666666"/>
    </w:rPr>
  </w:style>
  <w:style w:type="paragraph" w:styleId="Nadpis6">
    <w:name w:val="heading 6"/>
    <w:basedOn w:val="Normlny"/>
    <w:next w:val="Normlny"/>
    <w:pPr>
      <w:keepNext w:val="1"/>
      <w:keepLines w:val="1"/>
      <w:spacing w:after="80" w:before="240"/>
      <w:outlineLvl w:val="5"/>
    </w:pPr>
    <w:rPr>
      <w:i w:val="1"/>
      <w:color w:val="666666"/>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ov">
    <w:name w:val="Title"/>
    <w:basedOn w:val="Normlny"/>
    <w:next w:val="Normlny"/>
    <w:pPr>
      <w:keepNext w:val="1"/>
      <w:keepLines w:val="1"/>
      <w:spacing w:after="60"/>
    </w:pPr>
    <w:rPr>
      <w:sz w:val="52"/>
      <w:szCs w:val="52"/>
    </w:rPr>
  </w:style>
  <w:style w:type="paragraph" w:styleId="Podtitul">
    <w:name w:val="Subtitle"/>
    <w:basedOn w:val="Normlny"/>
    <w:next w:val="Normlny"/>
    <w:pPr>
      <w:keepNext w:val="1"/>
      <w:keepLines w:val="1"/>
      <w:spacing w:after="320"/>
    </w:pPr>
    <w:rPr>
      <w:color w:val="666666"/>
      <w:sz w:val="30"/>
      <w:szCs w:val="30"/>
    </w:rPr>
  </w:style>
  <w:style w:type="paragraph" w:styleId="Normlnywebov">
    <w:name w:val="Normal (Web)"/>
    <w:basedOn w:val="Normlny"/>
    <w:uiPriority w:val="99"/>
    <w:semiHidden w:val="1"/>
    <w:unhideWhenUsed w:val="1"/>
    <w:rsid w:val="00730BB3"/>
    <w:pPr>
      <w:spacing w:after="100" w:afterAutospacing="1" w:before="100" w:beforeAutospacing="1" w:line="240" w:lineRule="auto"/>
    </w:pPr>
    <w:rPr>
      <w:rFonts w:ascii="Times New Roman" w:cs="Times New Roman" w:eastAsia="Times New Roman" w:hAnsi="Times New Roman"/>
      <w:sz w:val="24"/>
      <w:szCs w:val="24"/>
    </w:rPr>
  </w:style>
  <w:style w:type="paragraph" w:styleId="Textpoznmkypodiarou">
    <w:name w:val="footnote text"/>
    <w:basedOn w:val="Normlny"/>
    <w:link w:val="TextpoznmkypodiarouChar"/>
    <w:uiPriority w:val="99"/>
    <w:semiHidden w:val="1"/>
    <w:unhideWhenUsed w:val="1"/>
    <w:rsid w:val="00966A46"/>
    <w:pPr>
      <w:spacing w:line="240" w:lineRule="auto"/>
    </w:pPr>
    <w:rPr>
      <w:sz w:val="20"/>
      <w:szCs w:val="20"/>
    </w:rPr>
  </w:style>
  <w:style w:type="character" w:styleId="TextpoznmkypodiarouChar" w:customStyle="1">
    <w:name w:val="Text poznámky pod čiarou Char"/>
    <w:basedOn w:val="Predvolenpsmoodseku"/>
    <w:link w:val="Textpoznmkypodiarou"/>
    <w:uiPriority w:val="99"/>
    <w:semiHidden w:val="1"/>
    <w:rsid w:val="00966A46"/>
    <w:rPr>
      <w:sz w:val="20"/>
      <w:szCs w:val="20"/>
    </w:rPr>
  </w:style>
  <w:style w:type="character" w:styleId="Odkaznapoznmkupodiarou">
    <w:name w:val="footnote reference"/>
    <w:basedOn w:val="Predvolenpsmoodseku"/>
    <w:uiPriority w:val="99"/>
    <w:semiHidden w:val="1"/>
    <w:unhideWhenUsed w:val="1"/>
    <w:rsid w:val="00966A46"/>
    <w:rPr>
      <w:vertAlign w:val="superscript"/>
    </w:rPr>
  </w:style>
  <w:style w:type="character" w:styleId="Odkaznakomentr">
    <w:name w:val="annotation reference"/>
    <w:basedOn w:val="Predvolenpsmoodseku"/>
    <w:uiPriority w:val="99"/>
    <w:semiHidden w:val="1"/>
    <w:unhideWhenUsed w:val="1"/>
    <w:rsid w:val="00E00491"/>
    <w:rPr>
      <w:sz w:val="16"/>
      <w:szCs w:val="16"/>
    </w:rPr>
  </w:style>
  <w:style w:type="paragraph" w:styleId="Textkomentra">
    <w:name w:val="annotation text"/>
    <w:basedOn w:val="Normlny"/>
    <w:link w:val="TextkomentraChar"/>
    <w:uiPriority w:val="99"/>
    <w:semiHidden w:val="1"/>
    <w:unhideWhenUsed w:val="1"/>
    <w:rsid w:val="00E00491"/>
    <w:pPr>
      <w:spacing w:line="240" w:lineRule="auto"/>
    </w:pPr>
    <w:rPr>
      <w:sz w:val="20"/>
      <w:szCs w:val="20"/>
    </w:rPr>
  </w:style>
  <w:style w:type="character" w:styleId="TextkomentraChar" w:customStyle="1">
    <w:name w:val="Text komentára Char"/>
    <w:basedOn w:val="Predvolenpsmoodseku"/>
    <w:link w:val="Textkomentra"/>
    <w:uiPriority w:val="99"/>
    <w:semiHidden w:val="1"/>
    <w:rsid w:val="00E00491"/>
    <w:rPr>
      <w:sz w:val="20"/>
      <w:szCs w:val="20"/>
    </w:rPr>
  </w:style>
  <w:style w:type="paragraph" w:styleId="Predmetkomentra">
    <w:name w:val="annotation subject"/>
    <w:basedOn w:val="Textkomentra"/>
    <w:next w:val="Textkomentra"/>
    <w:link w:val="PredmetkomentraChar"/>
    <w:uiPriority w:val="99"/>
    <w:semiHidden w:val="1"/>
    <w:unhideWhenUsed w:val="1"/>
    <w:rsid w:val="00E00491"/>
    <w:rPr>
      <w:b w:val="1"/>
      <w:bCs w:val="1"/>
    </w:rPr>
  </w:style>
  <w:style w:type="character" w:styleId="PredmetkomentraChar" w:customStyle="1">
    <w:name w:val="Predmet komentára Char"/>
    <w:basedOn w:val="TextkomentraChar"/>
    <w:link w:val="Predmetkomentra"/>
    <w:uiPriority w:val="99"/>
    <w:semiHidden w:val="1"/>
    <w:rsid w:val="00E00491"/>
    <w:rPr>
      <w:b w:val="1"/>
      <w:bCs w:val="1"/>
      <w:sz w:val="20"/>
      <w:szCs w:val="20"/>
    </w:rPr>
  </w:style>
  <w:style w:type="paragraph" w:styleId="Revzia">
    <w:name w:val="Revision"/>
    <w:hidden w:val="1"/>
    <w:uiPriority w:val="99"/>
    <w:semiHidden w:val="1"/>
    <w:rsid w:val="00E00491"/>
    <w:pPr>
      <w:spacing w:line="240" w:lineRule="auto"/>
    </w:pPr>
  </w:style>
  <w:style w:type="paragraph" w:styleId="Textbubliny">
    <w:name w:val="Balloon Text"/>
    <w:basedOn w:val="Normlny"/>
    <w:link w:val="TextbublinyChar"/>
    <w:uiPriority w:val="99"/>
    <w:semiHidden w:val="1"/>
    <w:unhideWhenUsed w:val="1"/>
    <w:rsid w:val="00E00491"/>
    <w:pPr>
      <w:spacing w:line="240" w:lineRule="auto"/>
    </w:pPr>
    <w:rPr>
      <w:rFonts w:ascii="Segoe UI" w:cs="Segoe UI" w:hAnsi="Segoe UI"/>
      <w:sz w:val="18"/>
      <w:szCs w:val="18"/>
    </w:rPr>
  </w:style>
  <w:style w:type="character" w:styleId="TextbublinyChar" w:customStyle="1">
    <w:name w:val="Text bubliny Char"/>
    <w:basedOn w:val="Predvolenpsmoodseku"/>
    <w:link w:val="Textbubliny"/>
    <w:uiPriority w:val="99"/>
    <w:semiHidden w:val="1"/>
    <w:rsid w:val="00E00491"/>
    <w:rPr>
      <w:rFonts w:ascii="Segoe UI" w:cs="Segoe UI" w:hAnsi="Segoe UI"/>
      <w:sz w:val="18"/>
      <w:szCs w:val="18"/>
    </w:rPr>
  </w:style>
  <w:style w:type="paragraph" w:styleId="govuk-body" w:customStyle="1">
    <w:name w:val="govuk-body"/>
    <w:basedOn w:val="Normlny"/>
    <w:rsid w:val="004C5D0D"/>
    <w:pPr>
      <w:spacing w:after="100" w:afterAutospacing="1" w:before="100" w:beforeAutospacing="1" w:line="240" w:lineRule="auto"/>
    </w:pPr>
    <w:rPr>
      <w:rFonts w:ascii="Times New Roman" w:cs="Times New Roman" w:eastAsia="Times New Roman" w:hAnsi="Times New Roman"/>
      <w:sz w:val="24"/>
      <w:szCs w:val="24"/>
    </w:rPr>
  </w:style>
  <w:style w:type="character" w:styleId="Siln">
    <w:name w:val="Strong"/>
    <w:basedOn w:val="Predvolenpsmoodseku"/>
    <w:uiPriority w:val="22"/>
    <w:qFormat w:val="1"/>
    <w:rsid w:val="004C5D0D"/>
    <w:rPr>
      <w:b w:val="1"/>
      <w:bCs w:val="1"/>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oe4yKt2GgY/3wiAH9+tZkptRLQ==">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2024-05-23T06:38:00Z</dcterms:created>
  <dc:creator>Luščíková, Darina</dc:creator>
</cp:coreProperties>
</file>