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NÁRODNÁ RADA SLOVENSKEJ REPUBLIKY </w:t>
      </w:r>
    </w:p>
    <w:p w:rsidR="00000000" w:rsidDel="00000000" w:rsidP="00000000" w:rsidRDefault="00000000" w:rsidRPr="00000000" w14:paraId="00000002">
      <w:pPr>
        <w:pBdr>
          <w:bottom w:color="000000" w:space="3" w:sz="12" w:val="single"/>
        </w:pBdr>
        <w:spacing w:after="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IX. volebné obdobie</w:t>
      </w:r>
    </w:p>
    <w:p w:rsidR="00000000" w:rsidDel="00000000" w:rsidP="00000000" w:rsidRDefault="00000000" w:rsidRPr="00000000" w14:paraId="00000003">
      <w:pPr>
        <w:spacing w:after="0" w:lineRule="auto"/>
        <w:jc w:val="center"/>
        <w:rPr>
          <w:rFonts w:ascii="Times New Roman" w:cs="Times New Roman" w:eastAsia="Times New Roman" w:hAnsi="Times New Roman"/>
          <w:sz w:val="24"/>
          <w:szCs w:val="24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before="12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before="12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Návrh </w:t>
      </w:r>
    </w:p>
    <w:p w:rsidR="00000000" w:rsidDel="00000000" w:rsidP="00000000" w:rsidRDefault="00000000" w:rsidRPr="00000000" w14:paraId="00000006">
      <w:pPr>
        <w:spacing w:after="0" w:before="12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before="12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mallCaps w:val="1"/>
          <w:sz w:val="24"/>
          <w:szCs w:val="24"/>
          <w:rtl w:val="0"/>
        </w:rPr>
        <w:t xml:space="preserve">ZÁKON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before="12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before="12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z ... 2024,</w:t>
      </w:r>
    </w:p>
    <w:p w:rsidR="00000000" w:rsidDel="00000000" w:rsidP="00000000" w:rsidRDefault="00000000" w:rsidRPr="00000000" w14:paraId="0000000A">
      <w:pPr>
        <w:spacing w:after="0" w:before="12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="240" w:lineRule="auto"/>
        <w:jc w:val="center"/>
        <w:rPr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ktorým sa mení zákon č. 461/2003 Z. z. o sociálnom poistení v znení neskorších predpisov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Národná rada Slovenskej republiky sa uzniesla na tomto zákone:</w:t>
      </w:r>
    </w:p>
    <w:p w:rsidR="00000000" w:rsidDel="00000000" w:rsidP="00000000" w:rsidRDefault="00000000" w:rsidRPr="00000000" w14:paraId="0000000E">
      <w:pPr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Čl. I</w:t>
      </w:r>
    </w:p>
    <w:p w:rsidR="00000000" w:rsidDel="00000000" w:rsidP="00000000" w:rsidRDefault="00000000" w:rsidRPr="00000000" w14:paraId="00000010">
      <w:pPr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0" w:line="240" w:lineRule="auto"/>
        <w:ind w:firstLine="426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Zákon č. 461/2003 Z. z. o sociálnom poistení v znení zákona č. 551/2003 Z. z., zákona č. 600/2003 Z. z., zákona č. 5/2004 Z. z., zákona č. 43/2004 Z. z., zákona č. 186/2004 Z. z., zákona č. 365/2004 Z. z., zákona č. 391/2004 Z. z., zákona č. 439/2004 Z. z., zákona č. 523/2004 Z. z., zákona č. 721/2004 Z. z., zákona č. 82/2005 Z. z., zákona č. 244/2005 Z. z., zákona č. 351/2005 Z. z., zákona č. 534/2005 Z. z., zákona č. 584/2005 Z. z., zákona č. 310/2006 Z. z., nálezu Ústavného súdu Slovenskej republiky č. 460/2006 Z. z., zákona č. 529/2006 Z. z., uznesenia Ústavného súdu Slovenskej republiky č. 566/2006 Z. z., zákona č. 592/2006 Z. z., zákona č. 677/2006 Z. z., zákona č. 274/2007 Z. z., zákona č. 519/2007 Z. z., zákona č. 555/2007 Z. z., zákona č. 659/2007 Z. z., nálezu Ústavného súdu Slovenskej republiky č. 204/2008 Z. z., zákona č. 434/2008 Z. z., zákona č. 449/2008 Z. z., zákona č. 599/2008 Z. z., zákona č. 108/2009 Z. z., zákona č. 192/2009 Z. z., zákona č. 200/2009 Z. z., zákona č. 285/2009 Z. z., zákona č. 571/2009 Z. z., zákona č. 572/2009 Z. z., zákona č. 52/2010 Z. z., zákona č. 151/2010 Z. z., zákona č. 403/2010 Z. z., zákona č. 543/2010 Z. z., zákona č. 125/2011 Z. z., zákona č. 223/2011 Z. z., zákona č. 250/2011 Z. z., zákona č. 334/2011 Z. z., zákona č. 348/2011 Z. z., zákona č. 521/2011 Z. z., zákona č. 69/2012 Z. z., zákona č. 252/2012 Z. z., zákona č. 413/2012 Z. z., zákona č. 96/2013 Z. z., zákona č. 338/2013 Z. z., zákona č. 352/2013 Z. z., zákona č. 183/2014 Z. z., zákona č. 195/2014 Z. z., zákona č. 204/2014 Z. z., zákona č. 240/2014 Z. z., zákona č. 298/2014 Z. z., zákona č. 25/2015 Z. z., zákona č. 32/2015 Z. z., zákona č. 61/2015 Z. z., zákona č. 77/2015 Z. z., zákona č. 87/2015 Z. z., zákona č. 112/2015 Z. z., zákona č. 140/2015 Z. z., zákona č. 176/2015 Z. z., zákona č. 336/2015 Z. z., zákona č. 378/2015 Z. z., zákona č. 407/2015 Z. z., zákona č. 440/2015 Z. z., zákona č. 125/2016 Z. z., zákona č. 285/2016 Z. z., zákona č. 310/2016 Z. z., zákona č. 355/2016 Z. z., zákona č. 2/2017 Z. z., zákona č. 85/2017 Z. z., zákona č. 184/2017 Z. z., zákona č. 264/2017 Z. z., zákona č. 266/2017 Z. z., zákona č. 279/2017 Z. z., zákona č. 63/2018 Z. z., zákona č. 87/2018 Z. z., zákona č. 177/2018 Z. z., zákona č. 191/2018 Z. z., zákona č. 282/2018 Z. z., zákona č. 314/2018 Z. z., zákona č. 317/2018 Z. z., zákona č. 366/2018 Z. z., č. 368/2018 Z. z., zákona č. 35/2019 Z. z., zákona č. 83/2019 Z. z., zákona 105/2019 Z. z., zákona č. 221/2019 Z. z., zákona č. 225/2019 Z. z., zákona č. 231/2019 Z. z., zákona č. 321/2019 Z. z., zákona č. 381/2019 Z. z., zákona č. 382/2019 Z. z., zákona č. 385/2019 Z. z., zákona č. 390/2019 Z. z., zákona č. 393/2019 Z. z., zákona č. 466/2019 Z. z., zákona č. 467/2019 Z. z., zákona č. 46/2020 Z. z., zákona č. 63/2020 Z. z., zákona č. 66/2020 Z. z., zákona č. 68/2020 Z. z., zákona č. 95/2020 Z. z., zákona č. 125/2020 Z. z., zákona č. 127/2020 Z. z., zákona č. 157/2020 Z. z., zákona č. 198/2020 Z. z., zákona č. 258/2020 Z. z., zákona č. 275/2020 Z. z., zákona č. 296/2020 Z. z., zákona č. 330/2020 Z. z., zákona č. 365/2020 Z. z., zákona č. 372/2020 Z. z., nálezu Ústavného súdu Slovenskej republiky č. 388/2020 Z. z., zákona č. 426/2020 Z. z., zákona č. 126/2021 Z. z., zákona č. 130/2021 Z. z., zákona č. 215/2021 Z. z., zákona č. 265/2021 Z. z., zákona č. 283/2021 Z. z., zákona č. 355/2021 Z. z., zákona č. 397/2021 Z. z., zákona č. 412/2021 Z. z., zákona č. 431/2021 Z. z., zákona č. 454/2021 Z. z., zákona č. 92/2022 Z. z., zákona č. 125/2022 Z. z., zákona č. 248/2022 Z. z., zákona č. 249/2022 Z. z., zákona č. 350/2022 Z. z., zákona č. 352/2022 Z. z., zákona č. 399/2022 Z. z., zákona č. 421/2022 Z. z., zákona č. 518/2022 Z. z., zákona č. 65/2023 Z. z., zákona č. 71/2023 Z. z., zákona č. 182/2023 Z. z., zákona č. 203/2023 Z. z., zákona č. 210/2023 Z. z., zákona č. 273/2023 Z. z., zákona č. 274/2023 Z. z., zákona č. 275/2023 Z. z., zákona č. 530/2023 Z. z., zákona č. 28/2024 Z. z. a zákona č. 87/2024 Z. z. sa mení takto: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51" w:right="0" w:hanging="425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V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§ 67 ods. 7 sa slová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„sumu 2 400 eur“ nahrádzajú slovami „20 % všeobecného vymeriavacieho základu platného v kalendárnom roku, ktorý dva roky predchádza kalendárnemu roku, za ktorý sa platí poistné“.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51" w:right="0" w:hanging="425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§ 138a vrátane nadpisu znie: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„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§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138a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40" w:lineRule="auto"/>
        <w:ind w:left="426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Odvodová odpočítateľná položka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51" w:right="0" w:firstLine="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Odvodová odpočítateľná položka za kalendárny mesiac je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vo výške 2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0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 % jednej dvanástiny všeobecného vymeriavacieho základu platného v kalendárnom roku, ktorý dva roky predchádza kalendárnemu roku, za ktorý sa platí poistné.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Ak vymeriavací základ zamestnanca v pracovnoprávnom vzťahu na základe dohody určenej podľa § 227a je za kalendárny mesiac nižší ako výška odvodovej odpočítateľnej položky podľa prvej vety, odvodová odpočítateľná položka je vo výške tohto vymeriavacieho základu.“.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Čl. II</w:t>
      </w:r>
    </w:p>
    <w:p w:rsidR="00000000" w:rsidDel="00000000" w:rsidP="00000000" w:rsidRDefault="00000000" w:rsidRPr="00000000" w14:paraId="0000001C">
      <w:pPr>
        <w:ind w:left="709" w:firstLine="142.00000000000003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Tento zákon nadobúda účinnosť 1. januára 2025.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</w:r>
    </w:p>
    <w:sectPr>
      <w:footerReference r:id="rId7" w:type="default"/>
      <w:pgSz w:h="16838" w:w="11906" w:orient="portrait"/>
      <w:pgMar w:bottom="1417" w:top="1417" w:left="1417" w:right="1417" w:header="0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1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1146" w:hanging="360"/>
      </w:pPr>
      <w:rPr/>
    </w:lvl>
    <w:lvl w:ilvl="1">
      <w:start w:val="1"/>
      <w:numFmt w:val="lowerLetter"/>
      <w:lvlText w:val="%2."/>
      <w:lvlJc w:val="left"/>
      <w:pPr>
        <w:ind w:left="1866" w:hanging="360"/>
      </w:pPr>
      <w:rPr/>
    </w:lvl>
    <w:lvl w:ilvl="2">
      <w:start w:val="1"/>
      <w:numFmt w:val="lowerRoman"/>
      <w:lvlText w:val="%3."/>
      <w:lvlJc w:val="right"/>
      <w:pPr>
        <w:ind w:left="2586" w:hanging="180"/>
      </w:pPr>
      <w:rPr/>
    </w:lvl>
    <w:lvl w:ilvl="3">
      <w:start w:val="1"/>
      <w:numFmt w:val="decimal"/>
      <w:lvlText w:val="%4."/>
      <w:lvlJc w:val="left"/>
      <w:pPr>
        <w:ind w:left="3306" w:hanging="360"/>
      </w:pPr>
      <w:rPr/>
    </w:lvl>
    <w:lvl w:ilvl="4">
      <w:start w:val="1"/>
      <w:numFmt w:val="lowerLetter"/>
      <w:lvlText w:val="%5."/>
      <w:lvlJc w:val="left"/>
      <w:pPr>
        <w:ind w:left="4026" w:hanging="360"/>
      </w:pPr>
      <w:rPr/>
    </w:lvl>
    <w:lvl w:ilvl="5">
      <w:start w:val="1"/>
      <w:numFmt w:val="lowerRoman"/>
      <w:lvlText w:val="%6."/>
      <w:lvlJc w:val="right"/>
      <w:pPr>
        <w:ind w:left="4746" w:hanging="180"/>
      </w:pPr>
      <w:rPr/>
    </w:lvl>
    <w:lvl w:ilvl="6">
      <w:start w:val="1"/>
      <w:numFmt w:val="decimal"/>
      <w:lvlText w:val="%7."/>
      <w:lvlJc w:val="left"/>
      <w:pPr>
        <w:ind w:left="5466" w:hanging="360"/>
      </w:pPr>
      <w:rPr/>
    </w:lvl>
    <w:lvl w:ilvl="7">
      <w:start w:val="1"/>
      <w:numFmt w:val="lowerLetter"/>
      <w:lvlText w:val="%8."/>
      <w:lvlJc w:val="left"/>
      <w:pPr>
        <w:ind w:left="6186" w:hanging="360"/>
      </w:pPr>
      <w:rPr/>
    </w:lvl>
    <w:lvl w:ilvl="8">
      <w:start w:val="1"/>
      <w:numFmt w:val="lowerRoman"/>
      <w:lvlText w:val="%9."/>
      <w:lvlJc w:val="right"/>
      <w:pPr>
        <w:ind w:left="6906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sk-SK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lny" w:default="1">
    <w:name w:val="Normal"/>
    <w:qFormat w:val="1"/>
    <w:rsid w:val="00905FD0"/>
    <w:pPr>
      <w:suppressAutoHyphens w:val="1"/>
      <w:spacing w:after="160" w:line="259" w:lineRule="auto"/>
    </w:pPr>
    <w:rPr>
      <w:sz w:val="22"/>
      <w:szCs w:val="22"/>
    </w:rPr>
  </w:style>
  <w:style w:type="character" w:styleId="Predvolenpsmoodseku" w:default="1">
    <w:name w:val="Default Paragraph Font"/>
    <w:uiPriority w:val="1"/>
    <w:semiHidden w:val="1"/>
    <w:unhideWhenUsed w:val="1"/>
  </w:style>
  <w:style w:type="table" w:styleId="Normlnatabuka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zoznamu" w:default="1">
    <w:name w:val="No List"/>
    <w:uiPriority w:val="99"/>
    <w:semiHidden w:val="1"/>
    <w:unhideWhenUsed w:val="1"/>
  </w:style>
  <w:style w:type="character" w:styleId="PtaChar" w:customStyle="1">
    <w:name w:val="Päta Char"/>
    <w:basedOn w:val="Predvolenpsmoodseku"/>
    <w:link w:val="Pta"/>
    <w:uiPriority w:val="99"/>
    <w:qFormat w:val="1"/>
    <w:rsid w:val="00905FD0"/>
  </w:style>
  <w:style w:type="paragraph" w:styleId="Odsekzoznamu">
    <w:name w:val="List Paragraph"/>
    <w:basedOn w:val="Normlny"/>
    <w:link w:val="OdsekzoznamuChar"/>
    <w:uiPriority w:val="34"/>
    <w:qFormat w:val="1"/>
    <w:rsid w:val="00905FD0"/>
    <w:pPr>
      <w:spacing w:after="0" w:line="240" w:lineRule="auto"/>
      <w:ind w:left="708"/>
    </w:pPr>
    <w:rPr>
      <w:rFonts w:ascii="Arial" w:cs="Times New Roman" w:eastAsia="Times New Roman" w:hAnsi="Arial"/>
      <w:sz w:val="24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 w:val="1"/>
    <w:rsid w:val="00905FD0"/>
    <w:pPr>
      <w:tabs>
        <w:tab w:val="center" w:pos="4536"/>
        <w:tab w:val="right" w:pos="9072"/>
      </w:tabs>
      <w:spacing w:after="0" w:line="240" w:lineRule="auto"/>
    </w:pPr>
    <w:rPr>
      <w:sz w:val="24"/>
      <w:szCs w:val="24"/>
    </w:rPr>
  </w:style>
  <w:style w:type="character" w:styleId="PtaChar1" w:customStyle="1">
    <w:name w:val="Päta Char1"/>
    <w:basedOn w:val="Predvolenpsmoodseku"/>
    <w:uiPriority w:val="99"/>
    <w:semiHidden w:val="1"/>
    <w:rsid w:val="00905FD0"/>
    <w:rPr>
      <w:sz w:val="22"/>
      <w:szCs w:val="22"/>
    </w:rPr>
  </w:style>
  <w:style w:type="paragraph" w:styleId="Bezriadkovania">
    <w:name w:val="No Spacing"/>
    <w:uiPriority w:val="1"/>
    <w:qFormat w:val="1"/>
    <w:rsid w:val="00905FD0"/>
    <w:rPr>
      <w:rFonts w:cs="Times New Roman" w:eastAsia="Times New Roman"/>
      <w:sz w:val="22"/>
      <w:szCs w:val="22"/>
    </w:rPr>
  </w:style>
  <w:style w:type="paragraph" w:styleId="Zkladntext">
    <w:name w:val="Body Text"/>
    <w:basedOn w:val="Normlny"/>
    <w:link w:val="ZkladntextChar"/>
    <w:uiPriority w:val="99"/>
    <w:rsid w:val="00905FD0"/>
    <w:pPr>
      <w:widowControl w:val="0"/>
      <w:suppressAutoHyphens w:val="0"/>
      <w:autoSpaceDE w:val="0"/>
      <w:autoSpaceDN w:val="0"/>
      <w:adjustRightInd w:val="0"/>
      <w:spacing w:after="0" w:line="240" w:lineRule="auto"/>
      <w:jc w:val="both"/>
    </w:pPr>
    <w:rPr>
      <w:rFonts w:ascii="Times New Roman" w:cs="Times New Roman" w:eastAsia="Times New Roman" w:hAnsi="Times New Roman"/>
      <w:sz w:val="24"/>
      <w:szCs w:val="24"/>
      <w:lang w:eastAsia="cs-CZ"/>
    </w:rPr>
  </w:style>
  <w:style w:type="character" w:styleId="ZkladntextChar" w:customStyle="1">
    <w:name w:val="Základný text Char"/>
    <w:basedOn w:val="Predvolenpsmoodseku"/>
    <w:link w:val="Zkladntext"/>
    <w:uiPriority w:val="99"/>
    <w:rsid w:val="00905FD0"/>
    <w:rPr>
      <w:rFonts w:ascii="Times New Roman" w:cs="Times New Roman" w:eastAsia="Times New Roman" w:hAnsi="Times New Roman"/>
      <w:lang w:eastAsia="cs-CZ"/>
    </w:rPr>
  </w:style>
  <w:style w:type="paragraph" w:styleId="Default" w:customStyle="1">
    <w:name w:val="Default"/>
    <w:uiPriority w:val="99"/>
    <w:rsid w:val="00905FD0"/>
    <w:pPr>
      <w:widowControl w:val="0"/>
      <w:autoSpaceDE w:val="0"/>
      <w:autoSpaceDN w:val="0"/>
      <w:adjustRightInd w:val="0"/>
    </w:pPr>
    <w:rPr>
      <w:rFonts w:ascii="Liberation Serif" w:cs="Liberation Serif" w:eastAsia="Times New Roman" w:hAnsi="Liberation Serif"/>
      <w:color w:val="000000"/>
      <w:kern w:val="2"/>
      <w:lang w:bidi="hi-IN" w:eastAsia="sk-SK"/>
    </w:rPr>
  </w:style>
  <w:style w:type="character" w:styleId="Hypertextovprepojenie">
    <w:name w:val="Hyperlink"/>
    <w:basedOn w:val="Predvolenpsmoodseku"/>
    <w:uiPriority w:val="99"/>
    <w:rsid w:val="00905FD0"/>
    <w:rPr>
      <w:rFonts w:cs="Times New Roman"/>
      <w:color w:val="0000ff"/>
      <w:u w:val="single"/>
      <w:rtl w:val="0"/>
      <w:cs w:val="0"/>
    </w:rPr>
  </w:style>
  <w:style w:type="paragraph" w:styleId="Revzia">
    <w:name w:val="Revision"/>
    <w:hidden w:val="1"/>
    <w:uiPriority w:val="99"/>
    <w:semiHidden w:val="1"/>
    <w:rsid w:val="00E16FC4"/>
    <w:rPr>
      <w:sz w:val="22"/>
      <w:szCs w:val="22"/>
    </w:rPr>
  </w:style>
  <w:style w:type="character" w:styleId="Odkaznakomentr">
    <w:name w:val="annotation reference"/>
    <w:basedOn w:val="Predvolenpsmoodseku"/>
    <w:uiPriority w:val="99"/>
    <w:semiHidden w:val="1"/>
    <w:unhideWhenUsed w:val="1"/>
    <w:rsid w:val="00BA123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 w:val="1"/>
    <w:rsid w:val="00BA123F"/>
    <w:pPr>
      <w:spacing w:line="240" w:lineRule="auto"/>
    </w:pPr>
    <w:rPr>
      <w:sz w:val="20"/>
      <w:szCs w:val="20"/>
    </w:rPr>
  </w:style>
  <w:style w:type="character" w:styleId="TextkomentraChar" w:customStyle="1">
    <w:name w:val="Text komentára Char"/>
    <w:basedOn w:val="Predvolenpsmoodseku"/>
    <w:link w:val="Textkomentra"/>
    <w:uiPriority w:val="99"/>
    <w:rsid w:val="00BA123F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 w:val="1"/>
    <w:unhideWhenUsed w:val="1"/>
    <w:rsid w:val="00BA123F"/>
    <w:rPr>
      <w:b w:val="1"/>
      <w:bCs w:val="1"/>
    </w:rPr>
  </w:style>
  <w:style w:type="character" w:styleId="PredmetkomentraChar" w:customStyle="1">
    <w:name w:val="Predmet komentára Char"/>
    <w:basedOn w:val="TextkomentraChar"/>
    <w:link w:val="Predmetkomentra"/>
    <w:uiPriority w:val="99"/>
    <w:semiHidden w:val="1"/>
    <w:rsid w:val="00BA123F"/>
    <w:rPr>
      <w:b w:val="1"/>
      <w:bCs w:val="1"/>
      <w:sz w:val="20"/>
      <w:szCs w:val="20"/>
    </w:rPr>
  </w:style>
  <w:style w:type="character" w:styleId="Nevyrieenzmienka">
    <w:name w:val="Unresolved Mention"/>
    <w:basedOn w:val="Predvolenpsmoodseku"/>
    <w:uiPriority w:val="99"/>
    <w:semiHidden w:val="1"/>
    <w:unhideWhenUsed w:val="1"/>
    <w:rsid w:val="006175E8"/>
    <w:rPr>
      <w:color w:val="605e5c"/>
      <w:shd w:color="auto" w:fill="e1dfdd" w:val="clear"/>
    </w:rPr>
  </w:style>
  <w:style w:type="character" w:styleId="OdsekzoznamuChar" w:customStyle="1">
    <w:name w:val="Odsek zoznamu Char"/>
    <w:link w:val="Odsekzoznamu"/>
    <w:uiPriority w:val="34"/>
    <w:locked w:val="1"/>
    <w:rsid w:val="00324393"/>
    <w:rPr>
      <w:rFonts w:ascii="Arial" w:cs="Times New Roman" w:eastAsia="Times New Roman" w:hAnsi="Arial"/>
      <w:szCs w:val="20"/>
      <w:lang w:eastAsia="cs-CZ"/>
    </w:rPr>
  </w:style>
  <w:style w:type="table" w:styleId="Mriekatabuky">
    <w:name w:val="Table Grid"/>
    <w:basedOn w:val="Normlnatabuka"/>
    <w:uiPriority w:val="59"/>
    <w:rsid w:val="00324393"/>
    <w:rPr>
      <w:rFonts w:ascii="Arial Narrow" w:cs="Times New Roman" w:eastAsia="Times New Roman" w:hAnsi="Arial Narrow"/>
      <w:sz w:val="22"/>
      <w:szCs w:val="36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PouitHypertextovPrepojenie">
    <w:name w:val="FollowedHyperlink"/>
    <w:basedOn w:val="Predvolenpsmoodseku"/>
    <w:uiPriority w:val="99"/>
    <w:semiHidden w:val="1"/>
    <w:unhideWhenUsed w:val="1"/>
    <w:rsid w:val="00C15A39"/>
    <w:rPr>
      <w:color w:val="954f72" w:themeColor="followedHyperlink"/>
      <w:u w:val="single"/>
    </w:rPr>
  </w:style>
  <w:style w:type="paragraph" w:styleId="Normlnywebov">
    <w:name w:val="Normal (Web)"/>
    <w:basedOn w:val="Normlny"/>
    <w:uiPriority w:val="99"/>
    <w:unhideWhenUsed w:val="1"/>
    <w:rsid w:val="002A2CA8"/>
    <w:pPr>
      <w:suppressAutoHyphens w:val="0"/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sk-SK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PAwIz+L+rm9eFjFpDun8OcYWZgA==">CgMxLjA4AHIhMURrRDBBOWJZMTNoOXZYSHBJS05pallkMHRDOE5tank4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2024-05-22T18:04:00Z</dcterms:created>
</cp:coreProperties>
</file>