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NÁRODNÁ RADA SLOVENSKEJ REPUBLIKY </w:t>
      </w:r>
    </w:p>
    <w:p w:rsidR="00000000" w:rsidDel="00000000" w:rsidP="00000000" w:rsidRDefault="00000000" w:rsidRPr="00000000" w14:paraId="00000002">
      <w:pPr>
        <w:pBdr>
          <w:bottom w:color="000000" w:space="3" w:sz="12" w:val="single"/>
        </w:pBd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IX. volebné obdobie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12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12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Návrh </w:t>
      </w:r>
    </w:p>
    <w:p w:rsidR="00000000" w:rsidDel="00000000" w:rsidP="00000000" w:rsidRDefault="00000000" w:rsidRPr="00000000" w14:paraId="00000006">
      <w:pPr>
        <w:spacing w:after="0" w:before="12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12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ZÁKON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12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12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 ... 2024,</w:t>
      </w:r>
    </w:p>
    <w:p w:rsidR="00000000" w:rsidDel="00000000" w:rsidP="00000000" w:rsidRDefault="00000000" w:rsidRPr="00000000" w14:paraId="0000000A">
      <w:pPr>
        <w:spacing w:after="0" w:before="12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ktorým sa mení zákon č. 461/2003 Z. z. o sociálnom poistení v znení neskorších predpisov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Národná rada Slovenskej republiky sa uzniesla na tomto zákone:</w:t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Čl. I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42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Zákon č. 461/2003 Z. z. o sociálnom poistení v znení zákona č. 551/2003 Z. z., zákona č. 600/2003 Z. z., zákona č. 5/2004 Z. z., zákona č. 43/2004 Z. z., zákona č. 186/2004 Z. z., zákona č. 365/2004 Z. z., zákona č. 391/2004 Z. z., zákona č. 439/2004 Z. z., zákona č. 523/2004 Z. z., zákona č. 721/2004 Z. z., zákona č. 82/2005 Z. z., zákona č. 244/2005 Z. z., zákona č. 351/2005 Z. z., zákona č. 534/2005 Z. z., zákona č. 584/2005 Z. z., zákona č. 310/2006 Z. z., nálezu Ústavného súdu Slovenskej republiky č. 460/2006 Z. z., zákona č. 529/2006 Z. z., uznesenia Ústavného súdu Slovenskej republiky č. 566/2006 Z. z., zákona č. 592/2006 Z. z., zákona č. 677/2006 Z. z., zákona č. 274/2007 Z. z., zákona č. 519/2007 Z. z., zákona č. 555/2007 Z. z., zákona č. 659/2007 Z. z., nálezu Ústavného súdu Slovenskej republiky č. 204/2008 Z. z., zákona č. 434/2008 Z. z., zákona č. 449/2008 Z. z., zákona č. 599/2008 Z. z., zákona č. 108/2009 Z. z., zákona č. 192/2009 Z. z., zákona č. 200/2009 Z. z., zákona č. 285/2009 Z. z., zákona č. 571/2009 Z. z., zákona č. 572/2009 Z. z., zákona č. 52/2010 Z. z., zákona č. 151/2010 Z. z., zákona č. 403/2010 Z. z., zákona č. 543/2010 Z. z., zákona č. 125/2011 Z. z., zákona č. 223/2011 Z. z., zákona č. 250/2011 Z. z., zákona č. 334/2011 Z. z., zákona č. 348/2011 Z. z., zákona č. 521/2011 Z. z., zákona č. 69/2012 Z. z., zákona č. 252/2012 Z. z., zákona č. 413/2012 Z. z., zákona č. 96/2013 Z. z., zákona č. 338/2013 Z. z., zákona č. 352/2013 Z. z., zákona č. 183/2014 Z. z., zákona č. 195/2014 Z. z., zákona č. 204/2014 Z. z., zákona č. 240/2014 Z. z., zákona č. 298/2014 Z. z., zákona č. 25/2015 Z. z., zákona č. 32/2015 Z. z., zákona č. 61/2015 Z. z., zákona č. 77/2015 Z. z., zákona č. 87/2015 Z. z., zákona č. 112/2015 Z. z., zákona č. 140/2015 Z. z., zákona č. 176/2015 Z. z., zákona č. 336/2015 Z. z., zákona č. 378/2015 Z. z., zákona č. 407/2015 Z. z., zákona č. 440/2015 Z. z., zákona č. 125/2016 Z. z., zákona č. 285/2016 Z. z., zákona č. 310/2016 Z. z., zákona č. 355/2016 Z. z., zákona č. 2/2017 Z. z., zákona č. 85/2017 Z. z., zákona č. 184/2017 Z. z., zákona č. 264/2017 Z. z., zákona č. 266/2017 Z. z., zákona č. 279/2017 Z. z., zákona č. 63/2018 Z. z., zákona č. 87/2018 Z. z., zákona č. 177/2018 Z. z., zákona č. 191/2018 Z. z., zákona č. 282/2018 Z. z., zákona č. 314/2018 Z. z., zákona č. 317/2018 Z. z., zákona č. 366/2018 Z. z., č. 368/2018 Z. z., zákona č. 35/2019 Z. z., zákona č. 83/2019 Z. z., zákona 105/2019 Z. z., zákona č. 221/2019 Z. z., zákona č. 225/2019 Z. z., zákona č. 231/2019 Z. z., zákona č. 321/2019 Z. z., zákona č. 381/2019 Z. z., zákona č. 382/2019 Z. z., zákona č. 385/2019 Z. z., zákona č. 390/2019 Z. z., zákona č. 393/2019 Z. z., zákona č. 466/2019 Z. z., zákona č. 467/2019 Z. z., zákona č. 46/2020 Z. z., zákona č. 63/2020 Z. z., zákona č. 66/2020 Z. z., zákona č. 68/2020 Z. z., zákona č. 95/2020 Z. z., zákona č. 125/2020 Z. z., zákona č. 127/2020 Z. z., zákona č. 157/2020 Z. z., zákona č. 198/2020 Z. z., zákona č. 258/2020 Z. z., zákona č. 275/2020 Z. z., zákona č. 296/2020 Z. z., zákona č. 330/2020 Z. z., zákona č. 365/2020 Z. z., zákona č. 372/2020 Z. z., nálezu Ústavného súdu Slovenskej republiky č. 388/2020 Z. z., zákona č. 426/2020 Z. z., zákona č. 126/2021 Z. z., zákona č. 130/2021 Z. z., zákona č. 215/2021 Z. z., zákona č. 265/2021 Z. z., zákona č. 283/2021 Z. z., zákona č. 355/2021 Z. z., zákona č. 397/2021 Z. z., zákona č. 412/2021 Z. z., zákona č. 431/2021 Z. z., zákona č. 454/2021 Z. z., zákona č. 92/2022 Z. z., zákona č. 125/2022 Z. z., zákona č. 248/2022 Z. z., zákona č. 249/2022 Z. z., zákona č. 350/2022 Z. z., zákona č. 352/2022 Z. z., zákona č. 399/2022 Z. z., zákona č. 421/2022 Z. z., zákona č. 518/2022 Z. z., zákona č. 65/2023 Z. z., zákona č. 71/2023 Z. z., zákona č. 182/2023 Z. z., zákona č. 203/2023 Z. z., zákona č. 210/2023 Z. z., zákona č. 273/2023 Z. z., zákona č. 274/2023 Z. z., zákona č. 275/2023 Z. z., zákona č. 530/2023 Z. z., zákona č. 28/2024 Z. z. a zákona č. 87/2024 Z. z. sa mení takto: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67 ods. 7 sa slová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„sumu 2 400 eur“ nahrádzajú slovami „20 % všeobecného vymeriavacieho základu platného v kalendárnom roku, ktorý dva roky predchádza kalendárnemu roku, za ktorý sa platí poistné“.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 138a vrátane nadpisu znie: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§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138a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426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Odvodová odpočítateľná položka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Odvodová odpočítateľná položka za kalendárny mesiac je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vo výške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% jednej dvanástiny všeobecného vymeriavacieho základu platného v kalendárnom roku, ktorý dva roky predchádza kalendárnemu roku, za ktorý sa platí poistné.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Ak vymeriavací základ zamestnanca v pracovnoprávnom vzťahu na základe dohody určenej podľa § 227a je za kalendárny mesiac nižší ako výška odvodovej odpočítateľnej položky podľa prvej vety, odvodová odpočítateľná položka je vo výške tohto vymeriavacieho základu.“.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Čl. II</w:t>
      </w:r>
    </w:p>
    <w:p w:rsidR="00000000" w:rsidDel="00000000" w:rsidP="00000000" w:rsidRDefault="00000000" w:rsidRPr="00000000" w14:paraId="0000001C">
      <w:pPr>
        <w:ind w:left="709" w:firstLine="142.00000000000003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Tento zákon nadobúda účinnosť 1. januára 2025.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17" w:top="1417" w:left="1417" w:right="1417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146" w:hanging="360"/>
      </w:pPr>
      <w:rPr/>
    </w:lvl>
    <w:lvl w:ilvl="1">
      <w:start w:val="1"/>
      <w:numFmt w:val="lowerLetter"/>
      <w:lvlText w:val="%2."/>
      <w:lvlJc w:val="left"/>
      <w:pPr>
        <w:ind w:left="1866" w:hanging="360"/>
      </w:pPr>
      <w:rPr/>
    </w:lvl>
    <w:lvl w:ilvl="2">
      <w:start w:val="1"/>
      <w:numFmt w:val="lowerRoman"/>
      <w:lvlText w:val="%3."/>
      <w:lvlJc w:val="right"/>
      <w:pPr>
        <w:ind w:left="2586" w:hanging="180"/>
      </w:pPr>
      <w:rPr/>
    </w:lvl>
    <w:lvl w:ilvl="3">
      <w:start w:val="1"/>
      <w:numFmt w:val="decimal"/>
      <w:lvlText w:val="%4."/>
      <w:lvlJc w:val="left"/>
      <w:pPr>
        <w:ind w:left="3306" w:hanging="360"/>
      </w:pPr>
      <w:rPr/>
    </w:lvl>
    <w:lvl w:ilvl="4">
      <w:start w:val="1"/>
      <w:numFmt w:val="lowerLetter"/>
      <w:lvlText w:val="%5."/>
      <w:lvlJc w:val="left"/>
      <w:pPr>
        <w:ind w:left="4026" w:hanging="360"/>
      </w:pPr>
      <w:rPr/>
    </w:lvl>
    <w:lvl w:ilvl="5">
      <w:start w:val="1"/>
      <w:numFmt w:val="lowerRoman"/>
      <w:lvlText w:val="%6."/>
      <w:lvlJc w:val="right"/>
      <w:pPr>
        <w:ind w:left="4746" w:hanging="180"/>
      </w:pPr>
      <w:rPr/>
    </w:lvl>
    <w:lvl w:ilvl="6">
      <w:start w:val="1"/>
      <w:numFmt w:val="decimal"/>
      <w:lvlText w:val="%7."/>
      <w:lvlJc w:val="left"/>
      <w:pPr>
        <w:ind w:left="5466" w:hanging="360"/>
      </w:pPr>
      <w:rPr/>
    </w:lvl>
    <w:lvl w:ilvl="7">
      <w:start w:val="1"/>
      <w:numFmt w:val="lowerLetter"/>
      <w:lvlText w:val="%8."/>
      <w:lvlJc w:val="left"/>
      <w:pPr>
        <w:ind w:left="6186" w:hanging="360"/>
      </w:pPr>
      <w:rPr/>
    </w:lvl>
    <w:lvl w:ilvl="8">
      <w:start w:val="1"/>
      <w:numFmt w:val="lowerRoman"/>
      <w:lvlText w:val="%9."/>
      <w:lvlJc w:val="right"/>
      <w:pPr>
        <w:ind w:left="69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k-SK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y" w:default="1">
    <w:name w:val="Normal"/>
    <w:qFormat w:val="1"/>
    <w:rsid w:val="00905FD0"/>
    <w:pPr>
      <w:suppressAutoHyphens w:val="1"/>
      <w:spacing w:after="160" w:line="259" w:lineRule="auto"/>
    </w:pPr>
    <w:rPr>
      <w:sz w:val="22"/>
      <w:szCs w:val="22"/>
    </w:rPr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character" w:styleId="PtaChar" w:customStyle="1">
    <w:name w:val="Päta Char"/>
    <w:basedOn w:val="Predvolenpsmoodseku"/>
    <w:link w:val="Pta"/>
    <w:uiPriority w:val="99"/>
    <w:qFormat w:val="1"/>
    <w:rsid w:val="00905FD0"/>
  </w:style>
  <w:style w:type="paragraph" w:styleId="Odsekzoznamu">
    <w:name w:val="List Paragraph"/>
    <w:basedOn w:val="Normlny"/>
    <w:link w:val="OdsekzoznamuChar"/>
    <w:uiPriority w:val="34"/>
    <w:qFormat w:val="1"/>
    <w:rsid w:val="00905FD0"/>
    <w:pPr>
      <w:spacing w:after="0" w:line="240" w:lineRule="auto"/>
      <w:ind w:left="708"/>
    </w:pPr>
    <w:rPr>
      <w:rFonts w:ascii="Arial" w:cs="Times New Roman" w:eastAsia="Times New Roman" w:hAnsi="Arial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 w:val="1"/>
    <w:rsid w:val="00905FD0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styleId="PtaChar1" w:customStyle="1">
    <w:name w:val="Päta Char1"/>
    <w:basedOn w:val="Predvolenpsmoodseku"/>
    <w:uiPriority w:val="99"/>
    <w:semiHidden w:val="1"/>
    <w:rsid w:val="00905FD0"/>
    <w:rPr>
      <w:sz w:val="22"/>
      <w:szCs w:val="22"/>
    </w:rPr>
  </w:style>
  <w:style w:type="paragraph" w:styleId="Bezriadkovania">
    <w:name w:val="No Spacing"/>
    <w:uiPriority w:val="1"/>
    <w:qFormat w:val="1"/>
    <w:rsid w:val="00905FD0"/>
    <w:rPr>
      <w:rFonts w:cs="Times New Roman" w:eastAsia="Times New Roman"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905FD0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ZkladntextChar" w:customStyle="1">
    <w:name w:val="Základný text Char"/>
    <w:basedOn w:val="Predvolenpsmoodseku"/>
    <w:link w:val="Zkladntext"/>
    <w:uiPriority w:val="99"/>
    <w:rsid w:val="00905FD0"/>
    <w:rPr>
      <w:rFonts w:ascii="Times New Roman" w:cs="Times New Roman" w:eastAsia="Times New Roman" w:hAnsi="Times New Roman"/>
      <w:lang w:eastAsia="cs-CZ"/>
    </w:rPr>
  </w:style>
  <w:style w:type="paragraph" w:styleId="Default" w:customStyle="1">
    <w:name w:val="Default"/>
    <w:uiPriority w:val="99"/>
    <w:rsid w:val="00905FD0"/>
    <w:pPr>
      <w:widowControl w:val="0"/>
      <w:autoSpaceDE w:val="0"/>
      <w:autoSpaceDN w:val="0"/>
      <w:adjustRightInd w:val="0"/>
    </w:pPr>
    <w:rPr>
      <w:rFonts w:ascii="Liberation Serif" w:cs="Liberation Serif" w:eastAsia="Times New Roman" w:hAnsi="Liberation Serif"/>
      <w:color w:val="000000"/>
      <w:kern w:val="2"/>
      <w:lang w:bidi="hi-IN" w:eastAsia="sk-SK"/>
    </w:rPr>
  </w:style>
  <w:style w:type="character" w:styleId="Hypertextovprepojenie">
    <w:name w:val="Hyperlink"/>
    <w:basedOn w:val="Predvolenpsmoodseku"/>
    <w:uiPriority w:val="99"/>
    <w:rsid w:val="00905FD0"/>
    <w:rPr>
      <w:rFonts w:cs="Times New Roman"/>
      <w:color w:val="0000ff"/>
      <w:u w:val="single"/>
      <w:rtl w:val="0"/>
      <w:cs w:val="0"/>
    </w:rPr>
  </w:style>
  <w:style w:type="paragraph" w:styleId="Revzia">
    <w:name w:val="Revision"/>
    <w:hidden w:val="1"/>
    <w:uiPriority w:val="99"/>
    <w:semiHidden w:val="1"/>
    <w:rsid w:val="00E16FC4"/>
    <w:rPr>
      <w:sz w:val="22"/>
      <w:szCs w:val="22"/>
    </w:rPr>
  </w:style>
  <w:style w:type="character" w:styleId="Odkaznakomentr">
    <w:name w:val="annotation reference"/>
    <w:basedOn w:val="Predvolenpsmoodseku"/>
    <w:uiPriority w:val="99"/>
    <w:semiHidden w:val="1"/>
    <w:unhideWhenUsed w:val="1"/>
    <w:rsid w:val="00BA12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 w:val="1"/>
    <w:rsid w:val="00BA123F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BA12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 w:val="1"/>
    <w:unhideWhenUsed w:val="1"/>
    <w:rsid w:val="00BA123F"/>
    <w:rPr>
      <w:b w:val="1"/>
      <w:bCs w:val="1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 w:val="1"/>
    <w:rsid w:val="00BA123F"/>
    <w:rPr>
      <w:b w:val="1"/>
      <w:bCs w:val="1"/>
      <w:sz w:val="20"/>
      <w:szCs w:val="20"/>
    </w:rPr>
  </w:style>
  <w:style w:type="character" w:styleId="Nevyrieenzmienka">
    <w:name w:val="Unresolved Mention"/>
    <w:basedOn w:val="Predvolenpsmoodseku"/>
    <w:uiPriority w:val="99"/>
    <w:semiHidden w:val="1"/>
    <w:unhideWhenUsed w:val="1"/>
    <w:rsid w:val="006175E8"/>
    <w:rPr>
      <w:color w:val="605e5c"/>
      <w:shd w:color="auto" w:fill="e1dfdd" w:val="clear"/>
    </w:rPr>
  </w:style>
  <w:style w:type="character" w:styleId="OdsekzoznamuChar" w:customStyle="1">
    <w:name w:val="Odsek zoznamu Char"/>
    <w:link w:val="Odsekzoznamu"/>
    <w:uiPriority w:val="34"/>
    <w:locked w:val="1"/>
    <w:rsid w:val="00324393"/>
    <w:rPr>
      <w:rFonts w:ascii="Arial" w:cs="Times New Roman" w:eastAsia="Times New Roman" w:hAnsi="Arial"/>
      <w:szCs w:val="20"/>
      <w:lang w:eastAsia="cs-CZ"/>
    </w:rPr>
  </w:style>
  <w:style w:type="table" w:styleId="Mriekatabuky">
    <w:name w:val="Table Grid"/>
    <w:basedOn w:val="Normlnatabuka"/>
    <w:uiPriority w:val="59"/>
    <w:rsid w:val="00324393"/>
    <w:rPr>
      <w:rFonts w:ascii="Arial Narrow" w:cs="Times New Roman" w:eastAsia="Times New Roman" w:hAnsi="Arial Narrow"/>
      <w:sz w:val="22"/>
      <w:szCs w:val="36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ouitHypertextovPrepojenie">
    <w:name w:val="FollowedHyperlink"/>
    <w:basedOn w:val="Predvolenpsmoodseku"/>
    <w:uiPriority w:val="99"/>
    <w:semiHidden w:val="1"/>
    <w:unhideWhenUsed w:val="1"/>
    <w:rsid w:val="00C15A39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unhideWhenUsed w:val="1"/>
    <w:rsid w:val="002A2CA8"/>
    <w:pPr>
      <w:suppressAutoHyphens w:val="0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sk-SK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AwIz+L+rm9eFjFpDun8OcYWZgA==">CgMxLjA4AHIhMURrRDBBOWJZMTNoOXZYSHBJS05pallkMHRDOE5tank4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2024-05-22T18:04:00Z</dcterms:created>
</cp:coreProperties>
</file>