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3A0D4" w14:textId="19D66E38" w:rsidR="00D5000B" w:rsidRPr="005B1C8E" w:rsidRDefault="00B128CD" w:rsidP="00030255">
      <w:pPr>
        <w:spacing w:after="0"/>
        <w:ind w:firstLine="708"/>
        <w:jc w:val="center"/>
        <w:rPr>
          <w:rFonts w:ascii="Book Antiqua" w:hAnsi="Book Antiqua"/>
          <w:b/>
        </w:rPr>
      </w:pPr>
      <w:r w:rsidRPr="005B1C8E">
        <w:rPr>
          <w:rFonts w:ascii="Book Antiqua" w:hAnsi="Book Antiqua"/>
          <w:b/>
        </w:rPr>
        <w:t>D</w:t>
      </w:r>
      <w:r w:rsidR="00FA64E1" w:rsidRPr="005B1C8E">
        <w:rPr>
          <w:rFonts w:ascii="Book Antiqua" w:hAnsi="Book Antiqua"/>
          <w:b/>
        </w:rPr>
        <w:t xml:space="preserve"> </w:t>
      </w:r>
      <w:r w:rsidRPr="005B1C8E">
        <w:rPr>
          <w:rFonts w:ascii="Book Antiqua" w:hAnsi="Book Antiqua"/>
          <w:b/>
        </w:rPr>
        <w:t>ô</w:t>
      </w:r>
      <w:r w:rsidR="00FA64E1" w:rsidRPr="005B1C8E">
        <w:rPr>
          <w:rFonts w:ascii="Book Antiqua" w:hAnsi="Book Antiqua"/>
          <w:b/>
        </w:rPr>
        <w:t xml:space="preserve"> </w:t>
      </w:r>
      <w:r w:rsidRPr="005B1C8E">
        <w:rPr>
          <w:rFonts w:ascii="Book Antiqua" w:hAnsi="Book Antiqua"/>
          <w:b/>
        </w:rPr>
        <w:t>v</w:t>
      </w:r>
      <w:r w:rsidR="00FA64E1" w:rsidRPr="005B1C8E">
        <w:rPr>
          <w:rFonts w:ascii="Book Antiqua" w:hAnsi="Book Antiqua"/>
          <w:b/>
        </w:rPr>
        <w:t> </w:t>
      </w:r>
      <w:r w:rsidRPr="005B1C8E">
        <w:rPr>
          <w:rFonts w:ascii="Book Antiqua" w:hAnsi="Book Antiqua"/>
          <w:b/>
        </w:rPr>
        <w:t>o</w:t>
      </w:r>
      <w:r w:rsidR="00FA64E1" w:rsidRPr="005B1C8E">
        <w:rPr>
          <w:rFonts w:ascii="Book Antiqua" w:hAnsi="Book Antiqua"/>
          <w:b/>
        </w:rPr>
        <w:t> </w:t>
      </w:r>
      <w:r w:rsidRPr="005B1C8E">
        <w:rPr>
          <w:rFonts w:ascii="Book Antiqua" w:hAnsi="Book Antiqua"/>
          <w:b/>
        </w:rPr>
        <w:t>d</w:t>
      </w:r>
      <w:r w:rsidR="00FA64E1" w:rsidRPr="005B1C8E">
        <w:rPr>
          <w:rFonts w:ascii="Book Antiqua" w:hAnsi="Book Antiqua"/>
          <w:b/>
        </w:rPr>
        <w:t xml:space="preserve"> </w:t>
      </w:r>
      <w:r w:rsidRPr="005B1C8E">
        <w:rPr>
          <w:rFonts w:ascii="Book Antiqua" w:hAnsi="Book Antiqua"/>
          <w:b/>
        </w:rPr>
        <w:t>o</w:t>
      </w:r>
      <w:r w:rsidR="00FA64E1" w:rsidRPr="005B1C8E">
        <w:rPr>
          <w:rFonts w:ascii="Book Antiqua" w:hAnsi="Book Antiqua"/>
          <w:b/>
        </w:rPr>
        <w:t> </w:t>
      </w:r>
      <w:r w:rsidRPr="005B1C8E">
        <w:rPr>
          <w:rFonts w:ascii="Book Antiqua" w:hAnsi="Book Antiqua"/>
          <w:b/>
        </w:rPr>
        <w:t>v</w:t>
      </w:r>
      <w:r w:rsidR="00FA64E1" w:rsidRPr="005B1C8E">
        <w:rPr>
          <w:rFonts w:ascii="Book Antiqua" w:hAnsi="Book Antiqua"/>
          <w:b/>
        </w:rPr>
        <w:t> </w:t>
      </w:r>
      <w:r w:rsidRPr="005B1C8E">
        <w:rPr>
          <w:rFonts w:ascii="Book Antiqua" w:hAnsi="Book Antiqua"/>
          <w:b/>
        </w:rPr>
        <w:t>á</w:t>
      </w:r>
      <w:r w:rsidR="00FA64E1" w:rsidRPr="005B1C8E">
        <w:rPr>
          <w:rFonts w:ascii="Book Antiqua" w:hAnsi="Book Antiqua"/>
          <w:b/>
        </w:rPr>
        <w:t xml:space="preserve"> </w:t>
      </w:r>
      <w:r w:rsidRPr="005B1C8E">
        <w:rPr>
          <w:rFonts w:ascii="Book Antiqua" w:hAnsi="Book Antiqua"/>
          <w:b/>
        </w:rPr>
        <w:t xml:space="preserve"> </w:t>
      </w:r>
      <w:r w:rsidR="00FA64E1" w:rsidRPr="005B1C8E">
        <w:rPr>
          <w:rFonts w:ascii="Book Antiqua" w:hAnsi="Book Antiqua"/>
          <w:b/>
        </w:rPr>
        <w:t xml:space="preserve"> </w:t>
      </w:r>
      <w:r w:rsidRPr="005B1C8E">
        <w:rPr>
          <w:rFonts w:ascii="Book Antiqua" w:hAnsi="Book Antiqua"/>
          <w:b/>
        </w:rPr>
        <w:t>s</w:t>
      </w:r>
      <w:r w:rsidR="00FA64E1" w:rsidRPr="005B1C8E">
        <w:rPr>
          <w:rFonts w:ascii="Book Antiqua" w:hAnsi="Book Antiqua"/>
          <w:b/>
        </w:rPr>
        <w:t> </w:t>
      </w:r>
      <w:r w:rsidRPr="005B1C8E">
        <w:rPr>
          <w:rFonts w:ascii="Book Antiqua" w:hAnsi="Book Antiqua"/>
          <w:b/>
        </w:rPr>
        <w:t>p</w:t>
      </w:r>
      <w:r w:rsidR="00FA64E1" w:rsidRPr="005B1C8E">
        <w:rPr>
          <w:rFonts w:ascii="Book Antiqua" w:hAnsi="Book Antiqua"/>
          <w:b/>
        </w:rPr>
        <w:t xml:space="preserve"> </w:t>
      </w:r>
      <w:r w:rsidRPr="005B1C8E">
        <w:rPr>
          <w:rFonts w:ascii="Book Antiqua" w:hAnsi="Book Antiqua"/>
          <w:b/>
        </w:rPr>
        <w:t>r</w:t>
      </w:r>
      <w:r w:rsidR="00FA64E1" w:rsidRPr="005B1C8E">
        <w:rPr>
          <w:rFonts w:ascii="Book Antiqua" w:hAnsi="Book Antiqua"/>
          <w:b/>
        </w:rPr>
        <w:t xml:space="preserve"> </w:t>
      </w:r>
      <w:r w:rsidRPr="005B1C8E">
        <w:rPr>
          <w:rFonts w:ascii="Book Antiqua" w:hAnsi="Book Antiqua"/>
          <w:b/>
        </w:rPr>
        <w:t>á</w:t>
      </w:r>
      <w:r w:rsidR="00FA64E1" w:rsidRPr="005B1C8E">
        <w:rPr>
          <w:rFonts w:ascii="Book Antiqua" w:hAnsi="Book Antiqua"/>
          <w:b/>
        </w:rPr>
        <w:t xml:space="preserve"> </w:t>
      </w:r>
      <w:r w:rsidRPr="005B1C8E">
        <w:rPr>
          <w:rFonts w:ascii="Book Antiqua" w:hAnsi="Book Antiqua"/>
          <w:b/>
        </w:rPr>
        <w:t>v</w:t>
      </w:r>
      <w:r w:rsidR="00FA64E1" w:rsidRPr="005B1C8E">
        <w:rPr>
          <w:rFonts w:ascii="Book Antiqua" w:hAnsi="Book Antiqua"/>
          <w:b/>
        </w:rPr>
        <w:t xml:space="preserve"> </w:t>
      </w:r>
      <w:r w:rsidRPr="005B1C8E">
        <w:rPr>
          <w:rFonts w:ascii="Book Antiqua" w:hAnsi="Book Antiqua"/>
          <w:b/>
        </w:rPr>
        <w:t xml:space="preserve">a </w:t>
      </w:r>
    </w:p>
    <w:p w14:paraId="1870210F" w14:textId="77777777" w:rsidR="00D41D9E" w:rsidRPr="005B1C8E" w:rsidRDefault="00D41D9E" w:rsidP="00F14A3A">
      <w:pPr>
        <w:spacing w:before="120" w:after="120" w:line="240" w:lineRule="auto"/>
        <w:ind w:firstLine="708"/>
        <w:jc w:val="both"/>
        <w:rPr>
          <w:rFonts w:ascii="Book Antiqua" w:hAnsi="Book Antiqua"/>
        </w:rPr>
      </w:pPr>
    </w:p>
    <w:p w14:paraId="4346B6DA" w14:textId="377AC715" w:rsidR="00B22748" w:rsidRPr="005B1C8E" w:rsidRDefault="00B128CD" w:rsidP="00A03257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b/>
        </w:rPr>
      </w:pPr>
      <w:r w:rsidRPr="005B1C8E">
        <w:rPr>
          <w:rFonts w:ascii="Book Antiqua" w:hAnsi="Book Antiqua"/>
          <w:b/>
        </w:rPr>
        <w:t>Všeobecná časť</w:t>
      </w:r>
    </w:p>
    <w:p w14:paraId="4046E142" w14:textId="47BDE3B7" w:rsidR="00C745DA" w:rsidRPr="005B1C8E" w:rsidRDefault="005B77F9" w:rsidP="00F14A3A">
      <w:pPr>
        <w:pStyle w:val="Nadpis1"/>
        <w:spacing w:before="120" w:beforeAutospacing="0" w:after="120" w:afterAutospacing="0" w:line="276" w:lineRule="auto"/>
        <w:ind w:right="185"/>
        <w:jc w:val="both"/>
        <w:rPr>
          <w:rFonts w:ascii="Book Antiqua" w:hAnsi="Book Antiqua"/>
          <w:b w:val="0"/>
          <w:bCs w:val="0"/>
          <w:sz w:val="22"/>
          <w:szCs w:val="22"/>
        </w:rPr>
      </w:pPr>
      <w:r w:rsidRPr="005B1C8E">
        <w:rPr>
          <w:rFonts w:ascii="Book Antiqua" w:hAnsi="Book Antiqua"/>
          <w:sz w:val="22"/>
          <w:szCs w:val="22"/>
        </w:rPr>
        <w:tab/>
      </w:r>
      <w:r w:rsidR="00B128CD" w:rsidRPr="005B1C8E">
        <w:rPr>
          <w:rFonts w:ascii="Book Antiqua" w:hAnsi="Book Antiqua"/>
          <w:b w:val="0"/>
          <w:bCs w:val="0"/>
          <w:sz w:val="22"/>
          <w:szCs w:val="22"/>
        </w:rPr>
        <w:t>Návrh zákona</w:t>
      </w:r>
      <w:r w:rsidR="00A62F49" w:rsidRPr="005B1C8E">
        <w:rPr>
          <w:rFonts w:ascii="Book Antiqua" w:hAnsi="Book Antiqua"/>
          <w:b w:val="0"/>
          <w:bCs w:val="0"/>
          <w:sz w:val="22"/>
          <w:szCs w:val="22"/>
        </w:rPr>
        <w:t>,</w:t>
      </w:r>
      <w:r w:rsidRPr="005B1C8E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C745DA" w:rsidRPr="005B1C8E">
        <w:rPr>
          <w:rFonts w:ascii="Book Antiqua" w:hAnsi="Book Antiqua"/>
          <w:b w:val="0"/>
          <w:bCs w:val="0"/>
          <w:sz w:val="22"/>
          <w:szCs w:val="22"/>
        </w:rPr>
        <w:t xml:space="preserve">ktorým sa mení a dopĺňa </w:t>
      </w:r>
      <w:r w:rsidR="00C745DA" w:rsidRPr="005B1C8E">
        <w:rPr>
          <w:rFonts w:ascii="Book Antiqua" w:hAnsi="Book Antiqua"/>
          <w:b w:val="0"/>
          <w:bCs w:val="0"/>
          <w:sz w:val="22"/>
          <w:szCs w:val="22"/>
          <w:shd w:val="clear" w:color="auto" w:fill="FFFFFF"/>
        </w:rPr>
        <w:t>zákon č. </w:t>
      </w:r>
      <w:r w:rsidR="00DB7896">
        <w:rPr>
          <w:rFonts w:ascii="Book Antiqua" w:hAnsi="Book Antiqua"/>
          <w:b w:val="0"/>
          <w:bCs w:val="0"/>
          <w:sz w:val="22"/>
          <w:szCs w:val="22"/>
          <w:shd w:val="clear" w:color="auto" w:fill="FFFFFF"/>
        </w:rPr>
        <w:t>300/2005</w:t>
      </w:r>
      <w:r w:rsidR="00C745DA" w:rsidRPr="005B1C8E">
        <w:rPr>
          <w:rFonts w:ascii="Book Antiqua" w:hAnsi="Book Antiqua"/>
          <w:b w:val="0"/>
          <w:bCs w:val="0"/>
          <w:sz w:val="22"/>
          <w:szCs w:val="22"/>
          <w:shd w:val="clear" w:color="auto" w:fill="FFFFFF"/>
        </w:rPr>
        <w:t xml:space="preserve"> Z. z. </w:t>
      </w:r>
      <w:r w:rsidR="00DB7896">
        <w:rPr>
          <w:rFonts w:ascii="Book Antiqua" w:hAnsi="Book Antiqua"/>
          <w:b w:val="0"/>
          <w:bCs w:val="0"/>
          <w:sz w:val="22"/>
          <w:szCs w:val="22"/>
          <w:shd w:val="clear" w:color="auto" w:fill="FFFFFF"/>
        </w:rPr>
        <w:t>Trestný zákon</w:t>
      </w:r>
      <w:r w:rsidR="00C745DA" w:rsidRPr="005B1C8E">
        <w:rPr>
          <w:rFonts w:ascii="Book Antiqua" w:hAnsi="Book Antiqua"/>
          <w:b w:val="0"/>
          <w:bCs w:val="0"/>
          <w:sz w:val="22"/>
          <w:szCs w:val="22"/>
          <w:shd w:val="clear" w:color="auto" w:fill="FFFFFF"/>
        </w:rPr>
        <w:t xml:space="preserve"> v znení</w:t>
      </w:r>
      <w:r w:rsidR="00C745DA" w:rsidRPr="005B1C8E">
        <w:rPr>
          <w:rFonts w:ascii="Book Antiqua" w:hAnsi="Book Antiqua"/>
          <w:b w:val="0"/>
          <w:bCs w:val="0"/>
          <w:sz w:val="22"/>
          <w:szCs w:val="22"/>
        </w:rPr>
        <w:t xml:space="preserve"> neskorších predpisov</w:t>
      </w:r>
      <w:r w:rsidR="004A1CEC" w:rsidRPr="005B1C8E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B128CD" w:rsidRPr="005B1C8E">
        <w:rPr>
          <w:rFonts w:ascii="Book Antiqua" w:hAnsi="Book Antiqua"/>
          <w:b w:val="0"/>
          <w:bCs w:val="0"/>
          <w:sz w:val="22"/>
          <w:szCs w:val="22"/>
        </w:rPr>
        <w:t>predklad</w:t>
      </w:r>
      <w:r w:rsidR="00503AAA" w:rsidRPr="005B1C8E">
        <w:rPr>
          <w:rFonts w:ascii="Book Antiqua" w:hAnsi="Book Antiqua"/>
          <w:b w:val="0"/>
          <w:bCs w:val="0"/>
          <w:sz w:val="22"/>
          <w:szCs w:val="22"/>
        </w:rPr>
        <w:t>á</w:t>
      </w:r>
      <w:r w:rsidR="00BE2F6E" w:rsidRPr="005B1C8E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B128CD" w:rsidRPr="005B1C8E">
        <w:rPr>
          <w:rFonts w:ascii="Book Antiqua" w:hAnsi="Book Antiqua"/>
          <w:b w:val="0"/>
          <w:bCs w:val="0"/>
          <w:sz w:val="22"/>
          <w:szCs w:val="22"/>
        </w:rPr>
        <w:t xml:space="preserve">na rokovanie Národnej rady Slovenskej republiky </w:t>
      </w:r>
      <w:r w:rsidR="00DB7896">
        <w:rPr>
          <w:rFonts w:ascii="Book Antiqua" w:hAnsi="Book Antiqua"/>
          <w:b w:val="0"/>
          <w:bCs w:val="0"/>
          <w:sz w:val="22"/>
          <w:szCs w:val="22"/>
        </w:rPr>
        <w:t xml:space="preserve">skupina </w:t>
      </w:r>
      <w:r w:rsidR="002A5FFF" w:rsidRPr="005B1C8E">
        <w:rPr>
          <w:rFonts w:ascii="Book Antiqua" w:hAnsi="Book Antiqua"/>
          <w:b w:val="0"/>
          <w:bCs w:val="0"/>
          <w:sz w:val="22"/>
          <w:szCs w:val="22"/>
        </w:rPr>
        <w:t>poslanc</w:t>
      </w:r>
      <w:r w:rsidR="00DB7896">
        <w:rPr>
          <w:rFonts w:ascii="Book Antiqua" w:hAnsi="Book Antiqua"/>
          <w:b w:val="0"/>
          <w:bCs w:val="0"/>
          <w:sz w:val="22"/>
          <w:szCs w:val="22"/>
        </w:rPr>
        <w:t>ov</w:t>
      </w:r>
      <w:r w:rsidR="00BE2F6E" w:rsidRPr="005B1C8E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4A1CEC" w:rsidRPr="005B1C8E">
        <w:rPr>
          <w:rFonts w:ascii="Book Antiqua" w:hAnsi="Book Antiqua"/>
          <w:b w:val="0"/>
          <w:bCs w:val="0"/>
          <w:sz w:val="22"/>
          <w:szCs w:val="22"/>
        </w:rPr>
        <w:t>Ná</w:t>
      </w:r>
      <w:r w:rsidR="00B128CD" w:rsidRPr="005B1C8E">
        <w:rPr>
          <w:rFonts w:ascii="Book Antiqua" w:hAnsi="Book Antiqua"/>
          <w:b w:val="0"/>
          <w:bCs w:val="0"/>
          <w:sz w:val="22"/>
          <w:szCs w:val="22"/>
        </w:rPr>
        <w:t>rodnej rady Slovenskej republik</w:t>
      </w:r>
      <w:r w:rsidR="00DB7896">
        <w:rPr>
          <w:rFonts w:ascii="Book Antiqua" w:hAnsi="Book Antiqua"/>
          <w:b w:val="0"/>
          <w:bCs w:val="0"/>
          <w:sz w:val="22"/>
          <w:szCs w:val="22"/>
        </w:rPr>
        <w:t>y.</w:t>
      </w:r>
    </w:p>
    <w:p w14:paraId="1073C268" w14:textId="554A118D" w:rsidR="00B1232E" w:rsidRDefault="00635E61" w:rsidP="00DB7896">
      <w:pPr>
        <w:spacing w:before="120" w:after="120"/>
        <w:jc w:val="both"/>
        <w:rPr>
          <w:rFonts w:ascii="Book Antiqua" w:eastAsia="Calibri" w:hAnsi="Book Antiqua"/>
        </w:rPr>
      </w:pPr>
      <w:r w:rsidRPr="005B1C8E">
        <w:rPr>
          <w:rFonts w:ascii="Book Antiqua" w:hAnsi="Book Antiqua"/>
        </w:rPr>
        <w:tab/>
      </w:r>
      <w:r w:rsidR="00B1232E">
        <w:rPr>
          <w:rFonts w:ascii="Book Antiqua" w:eastAsia="Calibri" w:hAnsi="Book Antiqua"/>
        </w:rPr>
        <w:t>1.m</w:t>
      </w:r>
      <w:r w:rsidR="00B1232E" w:rsidRPr="00DB7896">
        <w:rPr>
          <w:rFonts w:ascii="Book Antiqua" w:eastAsia="Calibri" w:hAnsi="Book Antiqua"/>
        </w:rPr>
        <w:t>ája 2024 si Slovenská republika pripomínala 20. výročie vstupu do Európskej únie</w:t>
      </w:r>
      <w:r w:rsidR="00B1232E">
        <w:rPr>
          <w:rFonts w:ascii="Book Antiqua" w:eastAsia="Calibri" w:hAnsi="Book Antiqua"/>
        </w:rPr>
        <w:t xml:space="preserve">, do spoločenstva vyspelých demokratických krajín Európy. Poslanci hnutia Slovensko sú euro-realisti a úspešný projekt Európske únie nechcú búrať, ale to, čo je dobré zachovať a čo nefunguje ako má, opraviť. Je potrebné sa však postaviť proti extrémizmu, dezinformáciám </w:t>
      </w:r>
      <w:r w:rsidR="007B15FC">
        <w:rPr>
          <w:rFonts w:ascii="Book Antiqua" w:eastAsia="Calibri" w:hAnsi="Book Antiqua"/>
        </w:rPr>
        <w:t>či</w:t>
      </w:r>
      <w:r w:rsidR="00B1232E">
        <w:rPr>
          <w:rFonts w:ascii="Book Antiqua" w:eastAsia="Calibri" w:hAnsi="Book Antiqua"/>
        </w:rPr>
        <w:t> hoaxom a pomenovať, ak je miera akceptovania</w:t>
      </w:r>
      <w:r w:rsidR="000B5A0B">
        <w:rPr>
          <w:rFonts w:ascii="Book Antiqua" w:eastAsia="Calibri" w:hAnsi="Book Antiqua"/>
        </w:rPr>
        <w:t xml:space="preserve"> a spoločenskej tolerancie</w:t>
      </w:r>
      <w:r w:rsidR="00B1232E">
        <w:rPr>
          <w:rFonts w:ascii="Book Antiqua" w:eastAsia="Calibri" w:hAnsi="Book Antiqua"/>
        </w:rPr>
        <w:t xml:space="preserve"> prekročená.</w:t>
      </w:r>
    </w:p>
    <w:p w14:paraId="6AEF5D77" w14:textId="77777777" w:rsidR="00D73A59" w:rsidRDefault="00DB7896" w:rsidP="000B5A0B">
      <w:pPr>
        <w:spacing w:before="120" w:after="12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Vlajka Európskej únie je jeden z najvýznamnejších symbolov Európskej únie; symbolizuje jednotu, mier a solidaritu medzi členskými štátmi. Jej ochrana je znakom rešpektu k európskym hodnotám a súčasne záväzkom voči spoločnému projektu európskej integrácie. </w:t>
      </w:r>
      <w:r w:rsidR="00B1232E">
        <w:rPr>
          <w:rFonts w:ascii="Book Antiqua" w:hAnsi="Book Antiqua"/>
        </w:rPr>
        <w:t>Pálenie vlajky</w:t>
      </w:r>
      <w:r w:rsidR="000B5A0B">
        <w:rPr>
          <w:rFonts w:ascii="Book Antiqua" w:hAnsi="Book Antiqua"/>
        </w:rPr>
        <w:t xml:space="preserve">, či už ide o vlajku Slovenskej republiky alebo Európskej únie je čin, ktorý je vnímaný ako urážka a nedostatok rešpektu voči týmto hodnotám, podnecuje napätie a konflikty, narúša verejný poriadok, vyvoláva nepokoj a v neposlednom rade znevažuje demokraciu. </w:t>
      </w:r>
    </w:p>
    <w:p w14:paraId="35B87D15" w14:textId="1D7D4019" w:rsidR="00DB7896" w:rsidRPr="000B5A0B" w:rsidRDefault="000B5A0B" w:rsidP="000B5A0B">
      <w:pPr>
        <w:spacing w:before="120" w:after="12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V súčasnosti je hanobenie štátnych symbolov Slovenskej republiky posudzované ako Trestný čin výtržníctva (§ 364 Trestného zákona), ale hanobenie symbolov Európskej únie nie je </w:t>
      </w:r>
      <w:r w:rsidR="007B15FC">
        <w:rPr>
          <w:rFonts w:ascii="Book Antiqua" w:hAnsi="Book Antiqua"/>
        </w:rPr>
        <w:t xml:space="preserve">trestnoprávne </w:t>
      </w:r>
      <w:r>
        <w:rPr>
          <w:rFonts w:ascii="Book Antiqua" w:hAnsi="Book Antiqua"/>
        </w:rPr>
        <w:t xml:space="preserve">explicitne upravené. V minulosti boli činy za pálenie vlajky Európskej únie posudzované ako trestný čin </w:t>
      </w:r>
      <w:r w:rsidR="00D73A59">
        <w:rPr>
          <w:rFonts w:ascii="Book Antiqua" w:hAnsi="Book Antiqua"/>
        </w:rPr>
        <w:t>výtržníctva</w:t>
      </w:r>
      <w:r>
        <w:rPr>
          <w:rFonts w:ascii="Book Antiqua" w:hAnsi="Book Antiqua"/>
        </w:rPr>
        <w:t xml:space="preserve">, ale neskôr boli preklasifikované len ako priestupok. Sme však toho názoru, že </w:t>
      </w:r>
      <w:r w:rsidR="00DB7896">
        <w:rPr>
          <w:rFonts w:ascii="Book Antiqua" w:hAnsi="Book Antiqua"/>
        </w:rPr>
        <w:t>je dôležité chrániť symboly, ktoré predstavujú hodnoty, na ktorých je založená spoločnosť.</w:t>
      </w:r>
      <w:r w:rsidR="00B1232E">
        <w:rPr>
          <w:rFonts w:ascii="Book Antiqua" w:hAnsi="Book Antiqua"/>
        </w:rPr>
        <w:t xml:space="preserve"> </w:t>
      </w:r>
    </w:p>
    <w:p w14:paraId="0DFC14B9" w14:textId="325BB23F" w:rsidR="000B5A0B" w:rsidRDefault="000B5A0B" w:rsidP="00F14A3A">
      <w:pPr>
        <w:spacing w:before="120" w:after="120"/>
        <w:ind w:firstLine="284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0B5A0B">
        <w:rPr>
          <w:rFonts w:ascii="Book Antiqua" w:hAnsi="Book Antiqua"/>
          <w:b/>
          <w:bCs/>
        </w:rPr>
        <w:t xml:space="preserve">V predkladanom návrhu zákona zavádzame do Trestného zákona nový trestný čin, a to Trestný čin hanobenia štátnych symbolov Slovenskej republiky a symbolov Európskej únie. </w:t>
      </w:r>
      <w:r>
        <w:rPr>
          <w:rFonts w:ascii="Book Antiqua" w:hAnsi="Book Antiqua"/>
        </w:rPr>
        <w:t xml:space="preserve">Navrhovaná právna úprava je vo veľkej miere </w:t>
      </w:r>
      <w:r w:rsidR="00D73A59">
        <w:rPr>
          <w:rFonts w:ascii="Book Antiqua" w:hAnsi="Book Antiqua"/>
        </w:rPr>
        <w:t xml:space="preserve">inšpirovaná Nemeckom. Štátnymi symbolmi Slovenskej republiky sú štátny znak, štátna vlajka, štátna pečať a štátna hymna. Za symboly Európskej únie sa považuje vlajka a hymna. Horná hranica trestnej sadzby sa navrhuje 3 roky, obdobne ako pri trestnom čine výtržníctva.  </w:t>
      </w:r>
    </w:p>
    <w:p w14:paraId="7474D4FF" w14:textId="77FBB282" w:rsidR="00D41D9E" w:rsidRPr="005B1C8E" w:rsidRDefault="00503AAA" w:rsidP="00F14A3A">
      <w:pPr>
        <w:spacing w:before="120" w:after="120"/>
        <w:ind w:firstLine="284"/>
        <w:jc w:val="both"/>
        <w:rPr>
          <w:rFonts w:ascii="Book Antiqua" w:hAnsi="Book Antiqua"/>
        </w:rPr>
      </w:pPr>
      <w:r w:rsidRPr="005B1C8E">
        <w:rPr>
          <w:rFonts w:ascii="Book Antiqua" w:hAnsi="Book Antiqua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14FEBDC0" w14:textId="51870D32" w:rsidR="00503AAA" w:rsidRPr="005B1C8E" w:rsidRDefault="00B128CD" w:rsidP="00F14A3A">
      <w:pPr>
        <w:spacing w:before="120" w:after="120"/>
        <w:ind w:firstLine="284"/>
        <w:jc w:val="both"/>
        <w:rPr>
          <w:rFonts w:ascii="Book Antiqua" w:hAnsi="Book Antiqua"/>
        </w:rPr>
      </w:pPr>
      <w:r w:rsidRPr="005B1C8E">
        <w:rPr>
          <w:rFonts w:ascii="Book Antiqua" w:hAnsi="Book Antiqua"/>
        </w:rPr>
        <w:tab/>
      </w:r>
      <w:r w:rsidR="00503AAA" w:rsidRPr="005B1C8E">
        <w:rPr>
          <w:rFonts w:ascii="Book Antiqua" w:hAnsi="Book Antiqua"/>
        </w:rPr>
        <w:t xml:space="preserve">Návrh zákona </w:t>
      </w:r>
      <w:r w:rsidR="008D0DF0">
        <w:rPr>
          <w:rFonts w:ascii="Book Antiqua" w:hAnsi="Book Antiqua"/>
        </w:rPr>
        <w:t>predpokladá pozitívne sociálne vplyvy. Návrh zákona ne</w:t>
      </w:r>
      <w:r w:rsidR="00503AAA" w:rsidRPr="005B1C8E">
        <w:rPr>
          <w:rFonts w:ascii="Book Antiqua" w:hAnsi="Book Antiqua"/>
        </w:rPr>
        <w:t>bude mať</w:t>
      </w:r>
      <w:r w:rsidR="00C745DA" w:rsidRPr="005B1C8E">
        <w:rPr>
          <w:rFonts w:ascii="Book Antiqua" w:hAnsi="Book Antiqua"/>
        </w:rPr>
        <w:t xml:space="preserve"> </w:t>
      </w:r>
      <w:r w:rsidR="00503AAA" w:rsidRPr="005B1C8E">
        <w:rPr>
          <w:rFonts w:ascii="Book Antiqua" w:hAnsi="Book Antiqua"/>
        </w:rPr>
        <w:t xml:space="preserve">vplyv na rozpočet verejnej správy, </w:t>
      </w:r>
      <w:r w:rsidR="00F14A3A" w:rsidRPr="005B1C8E">
        <w:rPr>
          <w:rFonts w:ascii="Book Antiqua" w:hAnsi="Book Antiqua"/>
        </w:rPr>
        <w:t xml:space="preserve">na podnikateľské prostredie, </w:t>
      </w:r>
      <w:r w:rsidR="00C745DA" w:rsidRPr="005B1C8E">
        <w:rPr>
          <w:rFonts w:ascii="Book Antiqua" w:hAnsi="Book Antiqua"/>
        </w:rPr>
        <w:t xml:space="preserve">vplyvy na manželstvo, rodičovstvo a rodinu, </w:t>
      </w:r>
      <w:r w:rsidR="00503AAA" w:rsidRPr="005B1C8E">
        <w:rPr>
          <w:rFonts w:ascii="Book Antiqua" w:hAnsi="Book Antiqua"/>
        </w:rPr>
        <w:t>vplyvy na životné prostredie, vplyvy na informatizáciu spoločnosti</w:t>
      </w:r>
      <w:r w:rsidR="00F14A3A" w:rsidRPr="005B1C8E">
        <w:rPr>
          <w:rFonts w:ascii="Book Antiqua" w:hAnsi="Book Antiqua"/>
        </w:rPr>
        <w:t xml:space="preserve"> alebo</w:t>
      </w:r>
      <w:r w:rsidR="00503AAA" w:rsidRPr="005B1C8E">
        <w:rPr>
          <w:rFonts w:ascii="Book Antiqua" w:hAnsi="Book Antiqua"/>
        </w:rPr>
        <w:t xml:space="preserve"> </w:t>
      </w:r>
      <w:r w:rsidR="005B77F9" w:rsidRPr="005B1C8E">
        <w:rPr>
          <w:rFonts w:ascii="Book Antiqua" w:hAnsi="Book Antiqua"/>
        </w:rPr>
        <w:t>vplyvy na</w:t>
      </w:r>
      <w:r w:rsidR="00503AAA" w:rsidRPr="005B1C8E">
        <w:rPr>
          <w:rFonts w:ascii="Book Antiqua" w:hAnsi="Book Antiqua"/>
        </w:rPr>
        <w:t xml:space="preserve"> služby verejnej správy pre občana</w:t>
      </w:r>
      <w:r w:rsidR="00F14A3A" w:rsidRPr="005B1C8E">
        <w:rPr>
          <w:rFonts w:ascii="Book Antiqua" w:hAnsi="Book Antiqua"/>
        </w:rPr>
        <w:t xml:space="preserve">. </w:t>
      </w:r>
    </w:p>
    <w:p w14:paraId="0E453D54" w14:textId="77777777" w:rsidR="00F14A3A" w:rsidRPr="005B1C8E" w:rsidRDefault="00F14A3A" w:rsidP="00F14A3A">
      <w:pPr>
        <w:spacing w:before="120" w:after="120" w:line="240" w:lineRule="auto"/>
        <w:rPr>
          <w:rFonts w:ascii="Book Antiqua" w:hAnsi="Book Antiqua"/>
          <w:b/>
        </w:rPr>
      </w:pPr>
      <w:r w:rsidRPr="005B1C8E">
        <w:rPr>
          <w:rFonts w:ascii="Book Antiqua" w:hAnsi="Book Antiqua"/>
          <w:b/>
        </w:rPr>
        <w:br w:type="page"/>
      </w:r>
    </w:p>
    <w:p w14:paraId="59024426" w14:textId="6B2BE6E1" w:rsidR="00D41D9E" w:rsidRPr="005B1C8E" w:rsidRDefault="00B128CD" w:rsidP="003472EC">
      <w:pPr>
        <w:spacing w:after="0"/>
        <w:jc w:val="both"/>
        <w:rPr>
          <w:rFonts w:ascii="Book Antiqua" w:hAnsi="Book Antiqua"/>
          <w:b/>
        </w:rPr>
      </w:pPr>
      <w:r w:rsidRPr="005B1C8E">
        <w:rPr>
          <w:rFonts w:ascii="Book Antiqua" w:hAnsi="Book Antiqua"/>
          <w:b/>
        </w:rPr>
        <w:lastRenderedPageBreak/>
        <w:t>B. Osobitná časť</w:t>
      </w:r>
    </w:p>
    <w:p w14:paraId="46FD38AD" w14:textId="77777777" w:rsidR="00D41D9E" w:rsidRPr="005B1C8E" w:rsidRDefault="00D41D9E" w:rsidP="00F14A3A">
      <w:pPr>
        <w:spacing w:after="0"/>
        <w:jc w:val="both"/>
        <w:rPr>
          <w:rFonts w:ascii="Book Antiqua" w:hAnsi="Book Antiqua"/>
        </w:rPr>
      </w:pPr>
    </w:p>
    <w:p w14:paraId="67A88FC5" w14:textId="2B3BF757" w:rsidR="00CE4CFF" w:rsidRDefault="00B128CD" w:rsidP="00F14A3A">
      <w:pPr>
        <w:spacing w:before="120" w:after="120"/>
        <w:rPr>
          <w:rFonts w:ascii="Book Antiqua" w:hAnsi="Book Antiqua"/>
          <w:b/>
        </w:rPr>
      </w:pPr>
      <w:r w:rsidRPr="005B1C8E">
        <w:rPr>
          <w:rFonts w:ascii="Book Antiqua" w:hAnsi="Book Antiqua"/>
          <w:b/>
        </w:rPr>
        <w:t>K čl. I</w:t>
      </w:r>
    </w:p>
    <w:p w14:paraId="3CD50769" w14:textId="2477A695" w:rsidR="000C0C36" w:rsidRPr="000C0C36" w:rsidRDefault="000C0C36" w:rsidP="00F14A3A">
      <w:pPr>
        <w:spacing w:before="120" w:after="120"/>
        <w:rPr>
          <w:rFonts w:ascii="Book Antiqua" w:hAnsi="Book Antiqua"/>
          <w:bCs/>
          <w:u w:val="single"/>
        </w:rPr>
      </w:pPr>
      <w:r w:rsidRPr="000C0C36">
        <w:rPr>
          <w:rFonts w:ascii="Book Antiqua" w:hAnsi="Book Antiqua"/>
          <w:bCs/>
          <w:u w:val="single"/>
        </w:rPr>
        <w:t>K bodu 1</w:t>
      </w:r>
    </w:p>
    <w:p w14:paraId="0057B415" w14:textId="78731508" w:rsidR="000C0C36" w:rsidRPr="000C0C36" w:rsidRDefault="000C0C36" w:rsidP="000C0C36">
      <w:pPr>
        <w:spacing w:before="120" w:after="1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Z dôvodu zadefinovania nového trestného činu (bod 2 návrhu zákona) je potrebné vypustiť hanobenie štátnych symbolov Slovenskej republiky spod § 364 Trestného zákona – trestného činu výtržníctva.</w:t>
      </w:r>
    </w:p>
    <w:p w14:paraId="1AB37203" w14:textId="663692D5" w:rsidR="000C0C36" w:rsidRDefault="000C0C36" w:rsidP="000C0C36">
      <w:pPr>
        <w:spacing w:before="120" w:after="120"/>
        <w:rPr>
          <w:rFonts w:ascii="Book Antiqua" w:hAnsi="Book Antiqua"/>
          <w:bCs/>
          <w:u w:val="single"/>
        </w:rPr>
      </w:pPr>
      <w:r w:rsidRPr="000C0C36">
        <w:rPr>
          <w:rFonts w:ascii="Book Antiqua" w:hAnsi="Book Antiqua"/>
          <w:bCs/>
          <w:u w:val="single"/>
        </w:rPr>
        <w:t xml:space="preserve">K bodu </w:t>
      </w:r>
      <w:r>
        <w:rPr>
          <w:rFonts w:ascii="Book Antiqua" w:hAnsi="Book Antiqua"/>
          <w:bCs/>
          <w:u w:val="single"/>
        </w:rPr>
        <w:t>2</w:t>
      </w:r>
    </w:p>
    <w:p w14:paraId="73CBF1A6" w14:textId="002981AF" w:rsidR="0092591B" w:rsidRDefault="0092591B" w:rsidP="000C0C36">
      <w:pPr>
        <w:spacing w:before="120" w:after="1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Vyčlenením hanobenia štátnych symbolov spod skutkovej podstaty trestného činu výtržníctva vzniká priestor pre </w:t>
      </w:r>
      <w:proofErr w:type="spellStart"/>
      <w:r>
        <w:rPr>
          <w:rFonts w:ascii="Book Antiqua" w:hAnsi="Book Antiqua"/>
          <w:bCs/>
        </w:rPr>
        <w:t>vyprecizovanie</w:t>
      </w:r>
      <w:proofErr w:type="spellEnd"/>
      <w:r>
        <w:rPr>
          <w:rFonts w:ascii="Book Antiqua" w:hAnsi="Book Antiqua"/>
          <w:bCs/>
        </w:rPr>
        <w:t xml:space="preserve"> a lepšie zadefinovanie konania</w:t>
      </w:r>
      <w:r w:rsidR="00CB766D">
        <w:rPr>
          <w:rFonts w:ascii="Book Antiqua" w:hAnsi="Book Antiqua"/>
          <w:bCs/>
        </w:rPr>
        <w:t>,</w:t>
      </w:r>
      <w:r>
        <w:rPr>
          <w:rFonts w:ascii="Book Antiqua" w:hAnsi="Book Antiqua"/>
          <w:bCs/>
        </w:rPr>
        <w:t xml:space="preserve"> pri ktorom páchatelia hanobia štátne symboly. Najrozšírenejším príkladom hanobenia štátnych symbolov je </w:t>
      </w:r>
      <w:r w:rsidR="00E61017">
        <w:rPr>
          <w:rFonts w:ascii="Book Antiqua" w:hAnsi="Book Antiqua"/>
          <w:bCs/>
        </w:rPr>
        <w:t>tak ako vo svete, tak aj na Slovensku</w:t>
      </w:r>
      <w:r w:rsidR="007E5E50">
        <w:rPr>
          <w:rFonts w:ascii="Book Antiqua" w:hAnsi="Book Antiqua"/>
          <w:bCs/>
        </w:rPr>
        <w:t>,</w:t>
      </w:r>
      <w:r w:rsidR="00E61017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 xml:space="preserve">pálenie vlajky. </w:t>
      </w:r>
    </w:p>
    <w:p w14:paraId="249E4C64" w14:textId="69B3DB61" w:rsidR="00E61017" w:rsidRDefault="00E61017" w:rsidP="000C0C36">
      <w:pPr>
        <w:spacing w:before="120" w:after="1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Potrestanie páchateľov hanobenia štátnych symbolov je však z dôvodu absencie judikatúry ako aj z dôvodu súčasnej právnej úpravy, pomerne zložité a komplikované. V súčasnosti je problematické určiť</w:t>
      </w:r>
      <w:r w:rsidR="007E5E50">
        <w:rPr>
          <w:rFonts w:ascii="Book Antiqua" w:hAnsi="Book Antiqua"/>
          <w:bCs/>
        </w:rPr>
        <w:t>,</w:t>
      </w:r>
      <w:r>
        <w:rPr>
          <w:rFonts w:ascii="Book Antiqua" w:hAnsi="Book Antiqua"/>
          <w:bCs/>
        </w:rPr>
        <w:t xml:space="preserve"> či sa za hanobenie štátneho symbolu považuje len štátny symbol Slovenskej republiky</w:t>
      </w:r>
      <w:r w:rsidR="007E5E50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>alebo napríklad aj symboly Európskej únie. V aplikačnej praxi taktiež nie</w:t>
      </w:r>
      <w:r w:rsidR="00DF0823">
        <w:rPr>
          <w:rFonts w:ascii="Book Antiqua" w:hAnsi="Book Antiqua"/>
          <w:bCs/>
        </w:rPr>
        <w:t xml:space="preserve"> je zhoda na tom, aké konanie</w:t>
      </w:r>
      <w:r>
        <w:rPr>
          <w:rFonts w:ascii="Book Antiqua" w:hAnsi="Book Antiqua"/>
          <w:bCs/>
        </w:rPr>
        <w:t xml:space="preserve"> vo vzťahu k štát</w:t>
      </w:r>
      <w:r w:rsidR="00DF0823">
        <w:rPr>
          <w:rFonts w:ascii="Book Antiqua" w:hAnsi="Book Antiqua"/>
          <w:bCs/>
        </w:rPr>
        <w:t>nym symbolom možno považovať za konanie sankcionované Trestným zákonom alebo zákonom o priestupkoch.</w:t>
      </w:r>
    </w:p>
    <w:p w14:paraId="2BBC2396" w14:textId="73B057CE" w:rsidR="000C0C36" w:rsidRDefault="00AB788B" w:rsidP="000C0C36">
      <w:pPr>
        <w:spacing w:before="120" w:after="1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Novo navrhovaný trestný čin</w:t>
      </w:r>
      <w:r w:rsidR="000C0C36">
        <w:rPr>
          <w:rFonts w:ascii="Book Antiqua" w:hAnsi="Book Antiqua"/>
          <w:bCs/>
        </w:rPr>
        <w:t xml:space="preserve"> Hanobenia štátnych symbolov Slovenskej republiky a symbolov Európskej únie, ktorý sa zavádza a</w:t>
      </w:r>
      <w:r>
        <w:rPr>
          <w:rFonts w:ascii="Book Antiqua" w:hAnsi="Book Antiqua"/>
          <w:bCs/>
        </w:rPr>
        <w:t>ko nový § 364a Trestného zákona</w:t>
      </w:r>
      <w:r w:rsidR="007E5E50">
        <w:rPr>
          <w:rFonts w:ascii="Book Antiqua" w:hAnsi="Book Antiqua"/>
          <w:bCs/>
        </w:rPr>
        <w:t>,</w:t>
      </w:r>
      <w:r>
        <w:rPr>
          <w:rFonts w:ascii="Book Antiqua" w:hAnsi="Book Antiqua"/>
          <w:bCs/>
        </w:rPr>
        <w:t xml:space="preserve"> odstráni všetky vyššie uvedené aplikačné problémy. </w:t>
      </w:r>
    </w:p>
    <w:p w14:paraId="1B24C765" w14:textId="790C5F17" w:rsidR="000C0C36" w:rsidRDefault="00AB788B" w:rsidP="000C0C36">
      <w:pPr>
        <w:spacing w:before="120" w:after="1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Z dôvodov uvedených vo všeobecnej časti dôvodovej správy sa explicitne navrhuje poskytnutie rovnakej ochrany štátnym symbolom Slovenskej republiky ako aj symbolom Európskej únie, konkrétne vlajke EÚ a hymne EÚ. </w:t>
      </w:r>
    </w:p>
    <w:p w14:paraId="7F19CEFF" w14:textId="7305F799" w:rsidR="00DF0823" w:rsidRDefault="00AB788B" w:rsidP="000C0C36">
      <w:pPr>
        <w:spacing w:before="120" w:after="120"/>
        <w:jc w:val="both"/>
        <w:rPr>
          <w:rFonts w:ascii="Book Antiqua" w:hAnsi="Book Antiqua"/>
        </w:rPr>
      </w:pPr>
      <w:r>
        <w:rPr>
          <w:rFonts w:ascii="Book Antiqua" w:hAnsi="Book Antiqua"/>
          <w:bCs/>
        </w:rPr>
        <w:t>Za účelom odstránenia aplikačných problé</w:t>
      </w:r>
      <w:r w:rsidR="00DF0823">
        <w:rPr>
          <w:rFonts w:ascii="Book Antiqua" w:hAnsi="Book Antiqua"/>
          <w:bCs/>
        </w:rPr>
        <w:t>mov sa navrhuje rozšírenie množiny</w:t>
      </w:r>
      <w:r>
        <w:rPr>
          <w:rFonts w:ascii="Book Antiqua" w:hAnsi="Book Antiqua"/>
          <w:bCs/>
        </w:rPr>
        <w:t xml:space="preserve"> konaní, ktorých </w:t>
      </w:r>
      <w:r w:rsidR="00072A48">
        <w:rPr>
          <w:rFonts w:ascii="Book Antiqua" w:hAnsi="Book Antiqua"/>
          <w:bCs/>
        </w:rPr>
        <w:t>cieľom</w:t>
      </w:r>
      <w:r>
        <w:rPr>
          <w:rFonts w:ascii="Book Antiqua" w:hAnsi="Book Antiqua"/>
          <w:bCs/>
        </w:rPr>
        <w:t xml:space="preserve"> je </w:t>
      </w:r>
      <w:r w:rsidR="00072A48">
        <w:rPr>
          <w:rFonts w:ascii="Book Antiqua" w:hAnsi="Book Antiqua"/>
        </w:rPr>
        <w:t>urážka alebo vyjadrenie pohŕdania voči</w:t>
      </w:r>
      <w:r>
        <w:rPr>
          <w:rFonts w:ascii="Book Antiqua" w:hAnsi="Book Antiqua"/>
        </w:rPr>
        <w:t xml:space="preserve"> hodnotám</w:t>
      </w:r>
      <w:r w:rsidR="007E5E50">
        <w:rPr>
          <w:rFonts w:ascii="Book Antiqua" w:hAnsi="Book Antiqua"/>
        </w:rPr>
        <w:t>,</w:t>
      </w:r>
      <w:r w:rsidR="00072A48">
        <w:rPr>
          <w:rFonts w:ascii="Book Antiqua" w:hAnsi="Book Antiqua"/>
        </w:rPr>
        <w:t xml:space="preserve"> ktoré vyššie uvedené symboly predstavujú. Prakticky ide o pomenovanie tých konaní, prostredníctvom ktorých dochádza k hanobeniu symbolov. </w:t>
      </w:r>
      <w:r w:rsidR="00206173">
        <w:rPr>
          <w:rFonts w:ascii="Book Antiqua" w:hAnsi="Book Antiqua"/>
        </w:rPr>
        <w:t>Rozlíšiť a</w:t>
      </w:r>
      <w:r w:rsidR="007E5E50">
        <w:rPr>
          <w:rFonts w:ascii="Book Antiqua" w:hAnsi="Book Antiqua"/>
        </w:rPr>
        <w:t> </w:t>
      </w:r>
      <w:r w:rsidR="00206173">
        <w:rPr>
          <w:rFonts w:ascii="Book Antiqua" w:hAnsi="Book Antiqua"/>
        </w:rPr>
        <w:t>posúdiť</w:t>
      </w:r>
      <w:r w:rsidR="007E5E50">
        <w:rPr>
          <w:rFonts w:ascii="Book Antiqua" w:hAnsi="Book Antiqua"/>
        </w:rPr>
        <w:t>,</w:t>
      </w:r>
      <w:r w:rsidR="00206173">
        <w:rPr>
          <w:rFonts w:ascii="Book Antiqua" w:hAnsi="Book Antiqua"/>
        </w:rPr>
        <w:t xml:space="preserve"> či sa na konanie spočívajúce v poškodení, zneužití</w:t>
      </w:r>
      <w:r w:rsidR="00206173" w:rsidRPr="00206173">
        <w:rPr>
          <w:rFonts w:ascii="Book Antiqua" w:hAnsi="Book Antiqua"/>
        </w:rPr>
        <w:t xml:space="preserve"> al</w:t>
      </w:r>
      <w:r w:rsidR="00206173">
        <w:rPr>
          <w:rFonts w:ascii="Book Antiqua" w:hAnsi="Book Antiqua"/>
        </w:rPr>
        <w:t>ebo znevážení štátneho</w:t>
      </w:r>
      <w:r w:rsidR="00206173" w:rsidRPr="00206173">
        <w:rPr>
          <w:rFonts w:ascii="Book Antiqua" w:hAnsi="Book Antiqua"/>
        </w:rPr>
        <w:t xml:space="preserve"> symbol</w:t>
      </w:r>
      <w:r w:rsidR="00206173">
        <w:rPr>
          <w:rFonts w:ascii="Book Antiqua" w:hAnsi="Book Antiqua"/>
        </w:rPr>
        <w:t>u</w:t>
      </w:r>
      <w:r w:rsidR="00206173" w:rsidRPr="00206173">
        <w:rPr>
          <w:rFonts w:ascii="Book Antiqua" w:hAnsi="Book Antiqua"/>
        </w:rPr>
        <w:t xml:space="preserve"> </w:t>
      </w:r>
      <w:r w:rsidR="00206173">
        <w:rPr>
          <w:rFonts w:ascii="Book Antiqua" w:hAnsi="Book Antiqua"/>
        </w:rPr>
        <w:t xml:space="preserve">má uplatniť </w:t>
      </w:r>
      <w:r w:rsidR="007E5E50">
        <w:rPr>
          <w:rFonts w:ascii="Book Antiqua" w:hAnsi="Book Antiqua"/>
        </w:rPr>
        <w:t xml:space="preserve">zákon č. 300/200 Z. z. </w:t>
      </w:r>
      <w:r w:rsidR="00206173">
        <w:rPr>
          <w:rFonts w:ascii="Book Antiqua" w:hAnsi="Book Antiqua"/>
        </w:rPr>
        <w:t>Trestný zákon</w:t>
      </w:r>
      <w:r w:rsidR="007E5E50">
        <w:rPr>
          <w:rFonts w:ascii="Book Antiqua" w:hAnsi="Book Antiqua"/>
        </w:rPr>
        <w:t xml:space="preserve"> v znení neskorších predpisov</w:t>
      </w:r>
      <w:r w:rsidR="00206173">
        <w:rPr>
          <w:rFonts w:ascii="Book Antiqua" w:hAnsi="Book Antiqua"/>
        </w:rPr>
        <w:t xml:space="preserve"> alebo zákon</w:t>
      </w:r>
      <w:r w:rsidR="007E5E50">
        <w:rPr>
          <w:rFonts w:ascii="Book Antiqua" w:hAnsi="Book Antiqua"/>
        </w:rPr>
        <w:t xml:space="preserve"> Slovenskej národnej rady</w:t>
      </w:r>
      <w:r w:rsidR="00206173">
        <w:rPr>
          <w:rFonts w:ascii="Book Antiqua" w:hAnsi="Book Antiqua"/>
        </w:rPr>
        <w:t xml:space="preserve"> č. 372/1990 Z. z. o</w:t>
      </w:r>
      <w:r w:rsidR="007E5E50">
        <w:rPr>
          <w:rFonts w:ascii="Book Antiqua" w:hAnsi="Book Antiqua"/>
        </w:rPr>
        <w:t> </w:t>
      </w:r>
      <w:r w:rsidR="00206173">
        <w:rPr>
          <w:rFonts w:ascii="Book Antiqua" w:hAnsi="Book Antiqua"/>
        </w:rPr>
        <w:t>priestupkoch</w:t>
      </w:r>
      <w:r w:rsidR="007E5E50">
        <w:rPr>
          <w:rFonts w:ascii="Book Antiqua" w:hAnsi="Book Antiqua"/>
        </w:rPr>
        <w:t xml:space="preserve"> v znení neskorších predpisov</w:t>
      </w:r>
      <w:r w:rsidR="00206173">
        <w:rPr>
          <w:rFonts w:ascii="Book Antiqua" w:hAnsi="Book Antiqua"/>
        </w:rPr>
        <w:t xml:space="preserve">, bude zrejmé vďaka tomu, že na vyvodenie trestnoprávnej zodpovednosti bude nutný hrubý spôsob konania páchateľa. </w:t>
      </w:r>
    </w:p>
    <w:p w14:paraId="4E886860" w14:textId="4DCEE552" w:rsidR="00634AC6" w:rsidRDefault="00634AC6" w:rsidP="00634AC6">
      <w:pPr>
        <w:shd w:val="clear" w:color="auto" w:fill="FFFFFF"/>
        <w:spacing w:before="120" w:after="1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Ďalším zo znakov tohto trestného činu je, že je spáchaný verejne alebo na mieste verejnosti prístupnom. V zmysle § 122 ods. 2 Trestného zákona je trestný čin spáchaný verejne</w:t>
      </w:r>
      <w:r w:rsidRPr="00634AC6">
        <w:rPr>
          <w:rFonts w:ascii="Book Antiqua" w:hAnsi="Book Antiqua"/>
          <w:bCs/>
        </w:rPr>
        <w:t>, ak je spáchaný</w:t>
      </w:r>
    </w:p>
    <w:p w14:paraId="2DCF0383" w14:textId="77777777" w:rsidR="00634AC6" w:rsidRDefault="00634AC6" w:rsidP="00A03257">
      <w:pPr>
        <w:pStyle w:val="Odsekzoznamu"/>
        <w:numPr>
          <w:ilvl w:val="0"/>
          <w:numId w:val="2"/>
        </w:numPr>
        <w:shd w:val="clear" w:color="auto" w:fill="FFFFFF"/>
        <w:spacing w:before="120" w:after="120"/>
        <w:contextualSpacing w:val="0"/>
        <w:jc w:val="both"/>
        <w:rPr>
          <w:rFonts w:ascii="Book Antiqua" w:hAnsi="Book Antiqua"/>
          <w:bCs/>
        </w:rPr>
      </w:pPr>
      <w:r w:rsidRPr="00634AC6">
        <w:rPr>
          <w:rFonts w:ascii="Book Antiqua" w:hAnsi="Book Antiqua"/>
          <w:bCs/>
        </w:rPr>
        <w:t>obsahom tlačoviny alebo rozširovaním spisu, filmom, rozhlasom, televíziou, použitím počítačovej siete alebo iným obdobne účinným spôsobom, alebo</w:t>
      </w:r>
    </w:p>
    <w:p w14:paraId="4D20C246" w14:textId="04F200ED" w:rsidR="00634AC6" w:rsidRPr="00634AC6" w:rsidRDefault="00634AC6" w:rsidP="00A03257">
      <w:pPr>
        <w:pStyle w:val="Odsekzoznamu"/>
        <w:numPr>
          <w:ilvl w:val="0"/>
          <w:numId w:val="2"/>
        </w:numPr>
        <w:shd w:val="clear" w:color="auto" w:fill="FFFFFF"/>
        <w:spacing w:before="120" w:after="120"/>
        <w:contextualSpacing w:val="0"/>
        <w:jc w:val="both"/>
        <w:rPr>
          <w:rFonts w:ascii="Book Antiqua" w:hAnsi="Book Antiqua"/>
          <w:bCs/>
        </w:rPr>
      </w:pPr>
      <w:r w:rsidRPr="00634AC6">
        <w:rPr>
          <w:rFonts w:ascii="Book Antiqua" w:hAnsi="Book Antiqua"/>
          <w:bCs/>
        </w:rPr>
        <w:t>pred viac ako dvoma súčasne prítomnými osobami.</w:t>
      </w:r>
    </w:p>
    <w:p w14:paraId="3687808D" w14:textId="5B0BEE28" w:rsidR="007E723D" w:rsidRPr="00634AC6" w:rsidRDefault="007E723D" w:rsidP="00F14A3A">
      <w:pPr>
        <w:spacing w:before="120" w:after="120" w:line="240" w:lineRule="auto"/>
        <w:jc w:val="both"/>
        <w:rPr>
          <w:rFonts w:ascii="Book Antiqua" w:hAnsi="Book Antiqua"/>
          <w:bCs/>
        </w:rPr>
      </w:pPr>
    </w:p>
    <w:p w14:paraId="2A35E9EA" w14:textId="3325AFF2" w:rsidR="00D41D9E" w:rsidRPr="005B1C8E" w:rsidRDefault="00B128CD" w:rsidP="00F14A3A">
      <w:pPr>
        <w:spacing w:before="120" w:after="120" w:line="240" w:lineRule="auto"/>
        <w:rPr>
          <w:rFonts w:ascii="Book Antiqua" w:hAnsi="Book Antiqua"/>
          <w:b/>
        </w:rPr>
      </w:pPr>
      <w:r w:rsidRPr="005B1C8E">
        <w:rPr>
          <w:rFonts w:ascii="Book Antiqua" w:hAnsi="Book Antiqua"/>
          <w:b/>
        </w:rPr>
        <w:lastRenderedPageBreak/>
        <w:t>K čl. I</w:t>
      </w:r>
      <w:r w:rsidR="00365291" w:rsidRPr="005B1C8E">
        <w:rPr>
          <w:rFonts w:ascii="Book Antiqua" w:hAnsi="Book Antiqua"/>
          <w:b/>
        </w:rPr>
        <w:t>I</w:t>
      </w:r>
    </w:p>
    <w:p w14:paraId="715B7144" w14:textId="103467D1" w:rsidR="00D41D9E" w:rsidRPr="005B1C8E" w:rsidRDefault="00B128CD" w:rsidP="00F14A3A">
      <w:pPr>
        <w:spacing w:before="120" w:after="120" w:line="240" w:lineRule="auto"/>
        <w:ind w:firstLine="708"/>
        <w:jc w:val="both"/>
        <w:rPr>
          <w:rFonts w:ascii="Book Antiqua" w:hAnsi="Book Antiqua"/>
        </w:rPr>
      </w:pPr>
      <w:r w:rsidRPr="005B1C8E">
        <w:rPr>
          <w:rFonts w:ascii="Book Antiqua" w:hAnsi="Book Antiqua"/>
        </w:rPr>
        <w:t xml:space="preserve">Navrhuje sa nadobudnutie účinnosti </w:t>
      </w:r>
      <w:r w:rsidR="007B15FC">
        <w:rPr>
          <w:rFonts w:ascii="Book Antiqua" w:hAnsi="Book Antiqua"/>
        </w:rPr>
        <w:t>návrhu</w:t>
      </w:r>
      <w:r w:rsidRPr="005B1C8E">
        <w:rPr>
          <w:rFonts w:ascii="Book Antiqua" w:hAnsi="Book Antiqua"/>
        </w:rPr>
        <w:t xml:space="preserve"> zákona na 1</w:t>
      </w:r>
      <w:r w:rsidR="007B15FC">
        <w:rPr>
          <w:rFonts w:ascii="Book Antiqua" w:hAnsi="Book Antiqua"/>
        </w:rPr>
        <w:t>5</w:t>
      </w:r>
      <w:r w:rsidRPr="005B1C8E">
        <w:rPr>
          <w:rFonts w:ascii="Book Antiqua" w:hAnsi="Book Antiqua"/>
        </w:rPr>
        <w:t xml:space="preserve">. </w:t>
      </w:r>
      <w:r w:rsidR="007B15FC">
        <w:rPr>
          <w:rFonts w:ascii="Book Antiqua" w:hAnsi="Book Antiqua"/>
        </w:rPr>
        <w:t>októbra</w:t>
      </w:r>
      <w:r w:rsidR="008A323F" w:rsidRPr="005B1C8E">
        <w:rPr>
          <w:rFonts w:ascii="Book Antiqua" w:hAnsi="Book Antiqua"/>
        </w:rPr>
        <w:t xml:space="preserve"> 202</w:t>
      </w:r>
      <w:r w:rsidR="00C745DA" w:rsidRPr="005B1C8E">
        <w:rPr>
          <w:rFonts w:ascii="Book Antiqua" w:hAnsi="Book Antiqua"/>
        </w:rPr>
        <w:t>4</w:t>
      </w:r>
      <w:r w:rsidRPr="005B1C8E">
        <w:rPr>
          <w:rFonts w:ascii="Book Antiqua" w:hAnsi="Book Antiqua"/>
        </w:rPr>
        <w:t>.</w:t>
      </w:r>
    </w:p>
    <w:p w14:paraId="3B759447" w14:textId="28C63AD1" w:rsidR="008B2FFF" w:rsidRPr="005B1C8E" w:rsidRDefault="008B2FFF" w:rsidP="00F14A3A">
      <w:pPr>
        <w:spacing w:before="120" w:after="120" w:line="240" w:lineRule="auto"/>
        <w:ind w:firstLine="708"/>
        <w:jc w:val="both"/>
        <w:rPr>
          <w:rFonts w:ascii="Book Antiqua" w:hAnsi="Book Antiqua"/>
        </w:rPr>
      </w:pPr>
    </w:p>
    <w:p w14:paraId="53CFA0B7" w14:textId="77777777" w:rsidR="00F1012A" w:rsidRPr="005B1C8E" w:rsidRDefault="00F1012A" w:rsidP="00F14A3A">
      <w:pPr>
        <w:spacing w:before="120" w:after="120" w:line="240" w:lineRule="auto"/>
        <w:ind w:firstLine="708"/>
        <w:jc w:val="both"/>
        <w:rPr>
          <w:rFonts w:ascii="Book Antiqua" w:hAnsi="Book Antiqua"/>
        </w:rPr>
      </w:pPr>
    </w:p>
    <w:p w14:paraId="6B799B7E" w14:textId="77777777" w:rsidR="00F1012A" w:rsidRPr="005B1C8E" w:rsidRDefault="00F1012A" w:rsidP="00F14A3A">
      <w:pPr>
        <w:spacing w:before="120" w:after="120" w:line="240" w:lineRule="auto"/>
        <w:ind w:firstLine="708"/>
        <w:jc w:val="both"/>
        <w:rPr>
          <w:rFonts w:ascii="Book Antiqua" w:hAnsi="Book Antiqua"/>
        </w:rPr>
      </w:pPr>
    </w:p>
    <w:p w14:paraId="1F97FC5B" w14:textId="66192B4A" w:rsidR="00386D04" w:rsidRDefault="00386D04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  <w:bookmarkStart w:id="0" w:name="_Hlk132295872"/>
      <w:bookmarkEnd w:id="0"/>
    </w:p>
    <w:p w14:paraId="6E9E9929" w14:textId="02C5CD7D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7968F4C5" w14:textId="2994C885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4BDD55A1" w14:textId="7D81A527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71A9C579" w14:textId="1A26B665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5A2FF4C4" w14:textId="75143726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23949F86" w14:textId="35236411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29C2B48C" w14:textId="54CC0689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3223A75D" w14:textId="446751C5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4AB8BF84" w14:textId="72889D60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7E0A63D5" w14:textId="1A3B8547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7874AFAF" w14:textId="73AC98D2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3F6FADA5" w14:textId="5875CA93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39E96197" w14:textId="39BD4DF8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2E64F48B" w14:textId="27724B31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66BB6240" w14:textId="06617ECD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654A2A9A" w14:textId="0EC4C9E2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2E819D9F" w14:textId="180D9D3A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5D558B37" w14:textId="013CAE92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1001B816" w14:textId="51749D5C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01C5A11A" w14:textId="5F53AE68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2856AD87" w14:textId="21BB0B85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1FB5B686" w14:textId="7368AFCE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122D58DE" w14:textId="7AEFBAD8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59DFFAA3" w14:textId="663262C0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36033AA4" w14:textId="37A54A10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5B171CDB" w14:textId="527FA429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05C99FDA" w14:textId="78411068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731F4BD5" w14:textId="1CF87753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03067ACE" w14:textId="17CBE377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03E20794" w14:textId="09F985FA" w:rsidR="00A03257" w:rsidRDefault="00A03257">
      <w:pPr>
        <w:spacing w:after="0" w:line="240" w:lineRule="auto"/>
        <w:rPr>
          <w:rFonts w:ascii="Book Antiqua" w:hAnsi="Book Antiqua"/>
          <w:b/>
          <w:bCs/>
          <w:caps/>
          <w:spacing w:val="30"/>
        </w:rPr>
      </w:pPr>
    </w:p>
    <w:p w14:paraId="41B6BC4A" w14:textId="77777777" w:rsidR="006D6D66" w:rsidRDefault="006D6D66">
      <w:pPr>
        <w:spacing w:after="0" w:line="240" w:lineRule="auto"/>
        <w:rPr>
          <w:rFonts w:ascii="Book Antiqua" w:hAnsi="Book Antiqua"/>
          <w:b/>
          <w:bCs/>
          <w:caps/>
          <w:spacing w:val="30"/>
          <w:lang w:eastAsia="sk-SK"/>
        </w:rPr>
      </w:pPr>
      <w:r>
        <w:rPr>
          <w:rFonts w:ascii="Book Antiqua" w:hAnsi="Book Antiqua"/>
          <w:b/>
          <w:bCs/>
          <w:caps/>
          <w:spacing w:val="30"/>
        </w:rPr>
        <w:br w:type="page"/>
      </w:r>
    </w:p>
    <w:p w14:paraId="20D2F9A2" w14:textId="1351BC6F" w:rsidR="00A03257" w:rsidRPr="00732176" w:rsidRDefault="00A03257" w:rsidP="00A03257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bookmarkStart w:id="1" w:name="_GoBack"/>
      <w:bookmarkEnd w:id="1"/>
      <w:r w:rsidRPr="00732176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14:paraId="58BF8462" w14:textId="3C19DBA2" w:rsidR="00A03257" w:rsidRPr="00732176" w:rsidRDefault="00A03257" w:rsidP="00A03257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>návrhu zákona</w:t>
      </w:r>
      <w:r w:rsidRPr="00732176">
        <w:rPr>
          <w:rFonts w:ascii="Book Antiqua" w:hAnsi="Book Antiqua"/>
          <w:sz w:val="22"/>
          <w:szCs w:val="22"/>
        </w:rPr>
        <w:t xml:space="preserve"> </w:t>
      </w:r>
      <w:r w:rsidRPr="00732176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14:paraId="464676D9" w14:textId="77777777" w:rsidR="00A03257" w:rsidRPr="00732176" w:rsidRDefault="00A03257" w:rsidP="00A03257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184A351B" w14:textId="535363FD" w:rsidR="00A03257" w:rsidRPr="00732176" w:rsidRDefault="00A03257" w:rsidP="00A03257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732176">
        <w:rPr>
          <w:rFonts w:ascii="Book Antiqua" w:hAnsi="Book Antiqua"/>
          <w:sz w:val="22"/>
          <w:szCs w:val="22"/>
        </w:rPr>
        <w:t xml:space="preserve"> </w:t>
      </w:r>
      <w:r w:rsidRPr="00A64A3A">
        <w:rPr>
          <w:rFonts w:ascii="Book Antiqua" w:hAnsi="Book Antiqua"/>
          <w:sz w:val="22"/>
          <w:szCs w:val="22"/>
        </w:rPr>
        <w:t>skupina poslancov Národnej rady Slovenskej republiky</w:t>
      </w:r>
      <w:r>
        <w:rPr>
          <w:rFonts w:ascii="Book Antiqua" w:hAnsi="Book Antiqua"/>
          <w:sz w:val="22"/>
          <w:szCs w:val="22"/>
        </w:rPr>
        <w:t xml:space="preserve"> </w:t>
      </w:r>
    </w:p>
    <w:p w14:paraId="71E41137" w14:textId="77777777" w:rsidR="00A03257" w:rsidRPr="00732176" w:rsidRDefault="00A03257" w:rsidP="00A03257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557564F6" w14:textId="2AFF4103" w:rsidR="00A03257" w:rsidRPr="00732176" w:rsidRDefault="00A03257" w:rsidP="00A03257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>2. Názov návrhu zákona:</w:t>
      </w:r>
      <w:r>
        <w:rPr>
          <w:rFonts w:ascii="Book Antiqua" w:hAnsi="Book Antiqua"/>
          <w:sz w:val="22"/>
          <w:szCs w:val="22"/>
        </w:rPr>
        <w:t xml:space="preserve"> návrh </w:t>
      </w:r>
      <w:r w:rsidRPr="001B345C">
        <w:rPr>
          <w:rFonts w:ascii="Book Antiqua" w:hAnsi="Book Antiqua"/>
          <w:sz w:val="22"/>
          <w:szCs w:val="22"/>
        </w:rPr>
        <w:t xml:space="preserve">zákona, ktorým </w:t>
      </w:r>
      <w:r w:rsidRPr="00A03257">
        <w:rPr>
          <w:rFonts w:ascii="Book Antiqua" w:hAnsi="Book Antiqua"/>
          <w:sz w:val="22"/>
          <w:szCs w:val="22"/>
        </w:rPr>
        <w:t>sa mení a dopĺňa zákon č. 300/2005 Z. z. Trestný zákon v znení neskorších predpisov</w:t>
      </w:r>
    </w:p>
    <w:p w14:paraId="13AF267C" w14:textId="77777777" w:rsidR="00A03257" w:rsidRPr="00732176" w:rsidRDefault="00A03257" w:rsidP="00A03257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416412DA" w14:textId="0A86672C" w:rsidR="00A03257" w:rsidRPr="00732176" w:rsidRDefault="00A03257" w:rsidP="00A03257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14:paraId="37340AB0" w14:textId="77777777" w:rsidR="00A03257" w:rsidRPr="00732176" w:rsidRDefault="00A03257" w:rsidP="00A03257">
      <w:pPr>
        <w:pStyle w:val="Normlnywebov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732176">
        <w:rPr>
          <w:rFonts w:ascii="Book Antiqua" w:hAnsi="Book Antiqua"/>
          <w:bCs/>
          <w:sz w:val="22"/>
          <w:szCs w:val="22"/>
        </w:rPr>
        <w:t>je upravený v primárnom práve Európskej únie,</w:t>
      </w:r>
      <w:r>
        <w:rPr>
          <w:rFonts w:ascii="Book Antiqua" w:hAnsi="Book Antiqua"/>
          <w:bCs/>
          <w:sz w:val="22"/>
          <w:szCs w:val="22"/>
        </w:rPr>
        <w:t xml:space="preserve"> </w:t>
      </w:r>
    </w:p>
    <w:p w14:paraId="628AE571" w14:textId="77777777" w:rsidR="00A03257" w:rsidRPr="00732176" w:rsidRDefault="00A03257" w:rsidP="00A03257">
      <w:pPr>
        <w:pStyle w:val="Normlnywebov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32176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14:paraId="05910249" w14:textId="77777777" w:rsidR="00A03257" w:rsidRPr="004E5948" w:rsidRDefault="00A03257" w:rsidP="00A03257">
      <w:pPr>
        <w:pStyle w:val="Normlnywebov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732176">
        <w:rPr>
          <w:rFonts w:ascii="Book Antiqua" w:hAnsi="Book Antiqua"/>
          <w:bCs/>
          <w:sz w:val="22"/>
          <w:szCs w:val="22"/>
        </w:rPr>
        <w:t>je obsiahnutý v judikatú</w:t>
      </w:r>
      <w:r>
        <w:rPr>
          <w:rFonts w:ascii="Book Antiqua" w:hAnsi="Book Antiqua"/>
          <w:bCs/>
          <w:sz w:val="22"/>
          <w:szCs w:val="22"/>
        </w:rPr>
        <w:t>re Súdneho dvora Európskej únie.</w:t>
      </w:r>
    </w:p>
    <w:p w14:paraId="27116304" w14:textId="77777777" w:rsidR="00A03257" w:rsidRPr="001B345C" w:rsidRDefault="00A03257" w:rsidP="00A03257">
      <w:pPr>
        <w:spacing w:before="120"/>
        <w:rPr>
          <w:rFonts w:ascii="Book Antiqua" w:hAnsi="Book Antiqua"/>
          <w:lang w:eastAsia="sk-SK"/>
        </w:rPr>
      </w:pPr>
    </w:p>
    <w:p w14:paraId="611068A4" w14:textId="77777777" w:rsidR="00A03257" w:rsidRPr="008B5FAE" w:rsidRDefault="00A03257" w:rsidP="00A03257">
      <w:pPr>
        <w:spacing w:before="120"/>
        <w:rPr>
          <w:rFonts w:ascii="Book Antiqua" w:hAnsi="Book Antiqua"/>
          <w:b/>
          <w:bCs/>
          <w:lang w:eastAsia="sk-SK"/>
        </w:rPr>
      </w:pPr>
      <w:r w:rsidRPr="001B345C">
        <w:rPr>
          <w:rFonts w:ascii="Book Antiqua" w:hAnsi="Book Antiqua"/>
          <w:b/>
          <w:bCs/>
          <w:lang w:eastAsia="sk-SK"/>
        </w:rPr>
        <w:t>4. Záväzky Slovenskej republiky vo vzťahu k Európskej únii:</w:t>
      </w:r>
    </w:p>
    <w:p w14:paraId="4D8B53C3" w14:textId="77777777" w:rsidR="00A03257" w:rsidRPr="001B345C" w:rsidRDefault="00A03257" w:rsidP="00A03257">
      <w:pPr>
        <w:pStyle w:val="Odsekzoznamu"/>
        <w:numPr>
          <w:ilvl w:val="0"/>
          <w:numId w:val="3"/>
        </w:numPr>
        <w:spacing w:before="120" w:after="0"/>
        <w:rPr>
          <w:rFonts w:ascii="Book Antiqua" w:hAnsi="Book Antiqua"/>
        </w:rPr>
      </w:pPr>
      <w:r>
        <w:rPr>
          <w:rFonts w:ascii="Book Antiqua" w:hAnsi="Book Antiqua"/>
        </w:rPr>
        <w:t>bezpredmetné,</w:t>
      </w:r>
    </w:p>
    <w:p w14:paraId="7519472A" w14:textId="77777777" w:rsidR="00A03257" w:rsidRPr="008B5FAE" w:rsidRDefault="00A03257" w:rsidP="00A03257">
      <w:pPr>
        <w:pStyle w:val="Odsekzoznamu"/>
        <w:numPr>
          <w:ilvl w:val="0"/>
          <w:numId w:val="3"/>
        </w:numPr>
        <w:spacing w:before="120"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proti Slovenskej republike nebol začatý postup zo strany </w:t>
      </w:r>
      <w:r w:rsidRPr="001B345C">
        <w:rPr>
          <w:rFonts w:ascii="Book Antiqua" w:hAnsi="Book Antiqua"/>
        </w:rPr>
        <w:t>Európskej</w:t>
      </w:r>
      <w:r w:rsidRPr="001B345C">
        <w:rPr>
          <w:rFonts w:ascii="Book Antiqua" w:hAnsi="Book Antiqua"/>
          <w:spacing w:val="40"/>
        </w:rPr>
        <w:t xml:space="preserve"> </w:t>
      </w:r>
      <w:r w:rsidRPr="001B345C">
        <w:rPr>
          <w:rFonts w:ascii="Book Antiqua" w:hAnsi="Book Antiqua"/>
        </w:rPr>
        <w:t>komisie</w:t>
      </w:r>
      <w:r w:rsidRPr="001B345C">
        <w:rPr>
          <w:rFonts w:ascii="Book Antiqua" w:hAnsi="Book Antiqua"/>
          <w:spacing w:val="40"/>
        </w:rPr>
        <w:t xml:space="preserve"> </w:t>
      </w:r>
      <w:r>
        <w:rPr>
          <w:rFonts w:ascii="Book Antiqua" w:hAnsi="Book Antiqua"/>
        </w:rPr>
        <w:t xml:space="preserve">alebo </w:t>
      </w:r>
      <w:r w:rsidRPr="001B345C">
        <w:rPr>
          <w:rFonts w:ascii="Book Antiqua" w:hAnsi="Book Antiqua"/>
          <w:spacing w:val="40"/>
        </w:rPr>
        <w:t xml:space="preserve"> </w:t>
      </w:r>
      <w:r>
        <w:rPr>
          <w:rFonts w:ascii="Book Antiqua" w:hAnsi="Book Antiqua"/>
        </w:rPr>
        <w:t>konanie</w:t>
      </w:r>
      <w:r w:rsidRPr="001B345C">
        <w:rPr>
          <w:rFonts w:ascii="Book Antiqua" w:hAnsi="Book Antiqua"/>
          <w:spacing w:val="40"/>
        </w:rPr>
        <w:t xml:space="preserve"> </w:t>
      </w:r>
      <w:r w:rsidRPr="001B345C">
        <w:rPr>
          <w:rFonts w:ascii="Book Antiqua" w:hAnsi="Book Antiqua"/>
        </w:rPr>
        <w:t>Súdneho</w:t>
      </w:r>
      <w:r w:rsidRPr="001B345C">
        <w:rPr>
          <w:rFonts w:ascii="Book Antiqua" w:hAnsi="Book Antiqua"/>
          <w:spacing w:val="40"/>
        </w:rPr>
        <w:t xml:space="preserve"> </w:t>
      </w:r>
      <w:r w:rsidRPr="001B345C">
        <w:rPr>
          <w:rFonts w:ascii="Book Antiqua" w:hAnsi="Book Antiqua"/>
        </w:rPr>
        <w:t>dvora Európskej</w:t>
      </w:r>
      <w:r w:rsidRPr="001B345C">
        <w:rPr>
          <w:rFonts w:ascii="Book Antiqua" w:hAnsi="Book Antiqua"/>
          <w:spacing w:val="49"/>
        </w:rPr>
        <w:t xml:space="preserve"> </w:t>
      </w:r>
      <w:r>
        <w:rPr>
          <w:rFonts w:ascii="Book Antiqua" w:hAnsi="Book Antiqua"/>
        </w:rPr>
        <w:t xml:space="preserve">únie </w:t>
      </w:r>
      <w:r w:rsidRPr="001B345C">
        <w:rPr>
          <w:rFonts w:ascii="Book Antiqua" w:hAnsi="Book Antiqua"/>
        </w:rPr>
        <w:t>podľa</w:t>
      </w:r>
      <w:r w:rsidRPr="001B345C">
        <w:rPr>
          <w:rFonts w:ascii="Book Antiqua" w:hAnsi="Book Antiqua"/>
          <w:spacing w:val="49"/>
        </w:rPr>
        <w:t xml:space="preserve"> </w:t>
      </w:r>
      <w:r w:rsidRPr="001B345C">
        <w:rPr>
          <w:rFonts w:ascii="Book Antiqua" w:hAnsi="Book Antiqua"/>
        </w:rPr>
        <w:t>čl.</w:t>
      </w:r>
      <w:r w:rsidRPr="001B345C">
        <w:rPr>
          <w:rFonts w:ascii="Book Antiqua" w:hAnsi="Book Antiqua"/>
          <w:spacing w:val="49"/>
        </w:rPr>
        <w:t xml:space="preserve"> </w:t>
      </w:r>
      <w:r w:rsidRPr="001B345C">
        <w:rPr>
          <w:rFonts w:ascii="Book Antiqua" w:hAnsi="Book Antiqua"/>
        </w:rPr>
        <w:t>258</w:t>
      </w:r>
      <w:r w:rsidRPr="001B345C">
        <w:rPr>
          <w:rFonts w:ascii="Book Antiqua" w:hAnsi="Book Antiqua"/>
          <w:spacing w:val="49"/>
        </w:rPr>
        <w:t xml:space="preserve"> </w:t>
      </w:r>
      <w:r w:rsidRPr="001B345C">
        <w:rPr>
          <w:rFonts w:ascii="Book Antiqua" w:hAnsi="Book Antiqua"/>
        </w:rPr>
        <w:t>a</w:t>
      </w:r>
      <w:r w:rsidRPr="001B345C">
        <w:rPr>
          <w:rFonts w:ascii="Book Antiqua" w:hAnsi="Book Antiqua"/>
          <w:spacing w:val="49"/>
        </w:rPr>
        <w:t xml:space="preserve"> </w:t>
      </w:r>
      <w:r w:rsidRPr="001B345C">
        <w:rPr>
          <w:rFonts w:ascii="Book Antiqua" w:hAnsi="Book Antiqua"/>
        </w:rPr>
        <w:t>260</w:t>
      </w:r>
      <w:r w:rsidRPr="001B345C">
        <w:rPr>
          <w:rFonts w:ascii="Book Antiqua" w:hAnsi="Book Antiqua"/>
          <w:spacing w:val="49"/>
        </w:rPr>
        <w:t xml:space="preserve"> </w:t>
      </w:r>
      <w:r w:rsidRPr="001B345C">
        <w:rPr>
          <w:rFonts w:ascii="Book Antiqua" w:hAnsi="Book Antiqua"/>
        </w:rPr>
        <w:t>Zmluvy</w:t>
      </w:r>
      <w:r w:rsidRPr="001B345C">
        <w:rPr>
          <w:rFonts w:ascii="Book Antiqua" w:hAnsi="Book Antiqua"/>
          <w:spacing w:val="49"/>
        </w:rPr>
        <w:t xml:space="preserve"> </w:t>
      </w:r>
      <w:r w:rsidRPr="001B345C">
        <w:rPr>
          <w:rFonts w:ascii="Book Antiqua" w:hAnsi="Book Antiqua"/>
        </w:rPr>
        <w:t>o fungovaní Európskej</w:t>
      </w:r>
      <w:r w:rsidRPr="001B345C">
        <w:rPr>
          <w:rFonts w:ascii="Book Antiqua" w:hAnsi="Book Antiqua"/>
          <w:spacing w:val="118"/>
        </w:rPr>
        <w:t xml:space="preserve"> </w:t>
      </w:r>
      <w:r w:rsidRPr="001B345C">
        <w:rPr>
          <w:rFonts w:ascii="Book Antiqua" w:hAnsi="Book Antiqua"/>
        </w:rPr>
        <w:t>únie</w:t>
      </w:r>
      <w:r w:rsidRPr="001B345C">
        <w:rPr>
          <w:rFonts w:ascii="Book Antiqua" w:hAnsi="Book Antiqua"/>
          <w:spacing w:val="118"/>
        </w:rPr>
        <w:t xml:space="preserve"> </w:t>
      </w:r>
      <w:r w:rsidRPr="001B345C">
        <w:rPr>
          <w:rFonts w:ascii="Book Antiqua" w:hAnsi="Book Antiqua"/>
        </w:rPr>
        <w:t>v</w:t>
      </w:r>
      <w:r w:rsidRPr="001B345C">
        <w:rPr>
          <w:rFonts w:ascii="Book Antiqua" w:hAnsi="Book Antiqua"/>
          <w:spacing w:val="118"/>
        </w:rPr>
        <w:t xml:space="preserve"> </w:t>
      </w:r>
      <w:r w:rsidRPr="001B345C">
        <w:rPr>
          <w:rFonts w:ascii="Book Antiqua" w:hAnsi="Book Antiqua"/>
        </w:rPr>
        <w:t>jej platnom</w:t>
      </w:r>
      <w:r w:rsidRPr="001B345C">
        <w:rPr>
          <w:rFonts w:ascii="Book Antiqua" w:hAnsi="Book Antiqua"/>
          <w:spacing w:val="118"/>
        </w:rPr>
        <w:t xml:space="preserve"> </w:t>
      </w:r>
      <w:r>
        <w:rPr>
          <w:rFonts w:ascii="Book Antiqua" w:hAnsi="Book Antiqua"/>
        </w:rPr>
        <w:t>znení,</w:t>
      </w:r>
    </w:p>
    <w:p w14:paraId="65CC029A" w14:textId="77777777" w:rsidR="00A03257" w:rsidRPr="001B345C" w:rsidRDefault="00A03257" w:rsidP="00A03257">
      <w:pPr>
        <w:pStyle w:val="Odsekzoznamu"/>
        <w:numPr>
          <w:ilvl w:val="0"/>
          <w:numId w:val="3"/>
        </w:numPr>
        <w:spacing w:before="120"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bezpredmetné.</w:t>
      </w:r>
    </w:p>
    <w:p w14:paraId="5E8CC0F5" w14:textId="77777777" w:rsidR="00A03257" w:rsidRDefault="00A03257" w:rsidP="00A03257">
      <w:pPr>
        <w:spacing w:before="120"/>
        <w:jc w:val="both"/>
        <w:rPr>
          <w:rFonts w:ascii="Book Antiqua" w:hAnsi="Book Antiqua"/>
          <w:b/>
          <w:bCs/>
          <w:lang w:eastAsia="sk-SK"/>
        </w:rPr>
      </w:pPr>
    </w:p>
    <w:p w14:paraId="58D3703D" w14:textId="1089601D" w:rsidR="00A03257" w:rsidRPr="008B5FAE" w:rsidRDefault="00A03257" w:rsidP="00A03257">
      <w:pPr>
        <w:spacing w:before="120"/>
        <w:jc w:val="both"/>
        <w:rPr>
          <w:rFonts w:ascii="Book Antiqua" w:hAnsi="Book Antiqua"/>
          <w:b/>
          <w:bCs/>
          <w:lang w:eastAsia="sk-SK"/>
        </w:rPr>
      </w:pPr>
      <w:r w:rsidRPr="001B345C">
        <w:rPr>
          <w:rFonts w:ascii="Book Antiqua" w:hAnsi="Book Antiqua"/>
          <w:b/>
          <w:bCs/>
          <w:lang w:eastAsia="sk-SK"/>
        </w:rPr>
        <w:t>5. Návrh zákona je zlučiteľný s právom Európskej únie:</w:t>
      </w:r>
      <w:r>
        <w:rPr>
          <w:rFonts w:ascii="Book Antiqua" w:hAnsi="Book Antiqua"/>
          <w:b/>
          <w:bCs/>
          <w:lang w:eastAsia="sk-SK"/>
        </w:rPr>
        <w:t xml:space="preserve"> </w:t>
      </w:r>
      <w:r w:rsidRPr="008B5FAE">
        <w:rPr>
          <w:rFonts w:ascii="Book Antiqua" w:hAnsi="Book Antiqua"/>
        </w:rPr>
        <w:t>úplne</w:t>
      </w:r>
      <w:r>
        <w:rPr>
          <w:rFonts w:ascii="Book Antiqua" w:hAnsi="Book Antiqua"/>
        </w:rPr>
        <w:t>.</w:t>
      </w:r>
    </w:p>
    <w:p w14:paraId="4285A9F4" w14:textId="77777777" w:rsidR="00A03257" w:rsidRPr="00732176" w:rsidRDefault="00A03257" w:rsidP="00A03257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14:paraId="1CD5CEA8" w14:textId="77777777" w:rsidR="00A03257" w:rsidRPr="00732176" w:rsidRDefault="00A03257" w:rsidP="00A03257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5165D4C7" w14:textId="77777777" w:rsidR="00A03257" w:rsidRPr="00732176" w:rsidRDefault="00A03257" w:rsidP="00A03257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sz w:val="22"/>
          <w:szCs w:val="22"/>
        </w:rPr>
        <w:br w:type="page"/>
      </w:r>
    </w:p>
    <w:p w14:paraId="4AA0B6A7" w14:textId="77777777" w:rsidR="00A03257" w:rsidRPr="008B5FAE" w:rsidRDefault="00A03257" w:rsidP="00A03257">
      <w:pPr>
        <w:autoSpaceDE w:val="0"/>
        <w:autoSpaceDN w:val="0"/>
        <w:adjustRightInd w:val="0"/>
        <w:spacing w:before="120"/>
        <w:ind w:right="-432"/>
        <w:jc w:val="center"/>
        <w:rPr>
          <w:rFonts w:ascii="Book Antiqua" w:eastAsiaTheme="minorHAnsi" w:hAnsi="Book Antiqua"/>
          <w:b/>
          <w:bCs/>
          <w:spacing w:val="30"/>
          <w:kern w:val="2"/>
        </w:rPr>
      </w:pPr>
      <w:r w:rsidRPr="008B5FAE">
        <w:rPr>
          <w:rFonts w:ascii="Book Antiqua" w:eastAsiaTheme="minorHAnsi" w:hAnsi="Book Antiqua"/>
          <w:b/>
          <w:bCs/>
          <w:spacing w:val="30"/>
          <w:kern w:val="2"/>
        </w:rPr>
        <w:lastRenderedPageBreak/>
        <w:t>DOLOŽKA VYBRANÝCH VPLYVOV</w:t>
      </w:r>
    </w:p>
    <w:p w14:paraId="128BEEC6" w14:textId="77777777" w:rsidR="00A03257" w:rsidRPr="008B5FAE" w:rsidRDefault="00A03257" w:rsidP="00A03257">
      <w:pPr>
        <w:spacing w:before="120"/>
        <w:rPr>
          <w:rFonts w:ascii="Book Antiqua" w:hAnsi="Book Antiqua"/>
          <w:b/>
          <w:bCs/>
        </w:rPr>
      </w:pPr>
    </w:p>
    <w:p w14:paraId="1D53EE0F" w14:textId="7033179C" w:rsidR="00A03257" w:rsidRDefault="00A03257" w:rsidP="00A03257">
      <w:pPr>
        <w:spacing w:before="120"/>
        <w:jc w:val="both"/>
        <w:rPr>
          <w:rFonts w:ascii="Book Antiqua" w:hAnsi="Book Antiqua"/>
        </w:rPr>
      </w:pPr>
      <w:r w:rsidRPr="008B5FAE">
        <w:rPr>
          <w:rFonts w:ascii="Book Antiqua" w:hAnsi="Book Antiqua"/>
          <w:b/>
          <w:bCs/>
        </w:rPr>
        <w:t xml:space="preserve">A.1. Názov materiálu: </w:t>
      </w:r>
      <w:r>
        <w:rPr>
          <w:rFonts w:ascii="Book Antiqua" w:hAnsi="Book Antiqua"/>
        </w:rPr>
        <w:t xml:space="preserve">návrh </w:t>
      </w:r>
      <w:r w:rsidRPr="001B345C">
        <w:rPr>
          <w:rFonts w:ascii="Book Antiqua" w:hAnsi="Book Antiqua"/>
        </w:rPr>
        <w:t xml:space="preserve">zákona, </w:t>
      </w:r>
      <w:r>
        <w:rPr>
          <w:rFonts w:ascii="Book Antiqua" w:hAnsi="Book Antiqua"/>
        </w:rPr>
        <w:t xml:space="preserve">ktorým </w:t>
      </w:r>
      <w:r w:rsidRPr="0085722A">
        <w:rPr>
          <w:rFonts w:ascii="Book Antiqua" w:hAnsi="Book Antiqua"/>
        </w:rPr>
        <w:t xml:space="preserve">sa </w:t>
      </w:r>
      <w:r w:rsidRPr="00A03257">
        <w:rPr>
          <w:rFonts w:ascii="Book Antiqua" w:hAnsi="Book Antiqua"/>
        </w:rPr>
        <w:t>mení a dopĺňa zákon č. 300/2005 Z. z. Trestný zákon v znení neskorších predpisov</w:t>
      </w:r>
    </w:p>
    <w:p w14:paraId="3A4AF98F" w14:textId="77777777" w:rsidR="00A03257" w:rsidRPr="008B5FAE" w:rsidRDefault="00A03257" w:rsidP="00A03257">
      <w:pPr>
        <w:spacing w:before="120"/>
        <w:jc w:val="both"/>
        <w:rPr>
          <w:rFonts w:ascii="Book Antiqua" w:hAnsi="Book Antiqua"/>
        </w:rPr>
      </w:pPr>
      <w:r w:rsidRPr="008B5FAE">
        <w:rPr>
          <w:rFonts w:ascii="Book Antiqua" w:hAnsi="Book Antiqua"/>
          <w:b/>
          <w:bCs/>
        </w:rPr>
        <w:t>Termín začatia a ukončenia PPK:</w:t>
      </w:r>
      <w:r w:rsidRPr="008B5FAE">
        <w:rPr>
          <w:rFonts w:ascii="Book Antiqua" w:hAnsi="Book Antiqua"/>
        </w:rPr>
        <w:t xml:space="preserve"> bezpredmetné</w:t>
      </w:r>
    </w:p>
    <w:p w14:paraId="72572900" w14:textId="77777777" w:rsidR="00A03257" w:rsidRPr="008B5FAE" w:rsidRDefault="00A03257" w:rsidP="00A03257">
      <w:pPr>
        <w:spacing w:before="120"/>
        <w:jc w:val="both"/>
        <w:rPr>
          <w:rFonts w:ascii="Book Antiqua" w:hAnsi="Book Antiqua"/>
        </w:rPr>
      </w:pPr>
      <w:r w:rsidRPr="008B5FAE">
        <w:rPr>
          <w:rFonts w:ascii="Book Antiqua" w:hAnsi="Book Antiqua"/>
          <w:b/>
          <w:bCs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3"/>
        <w:gridCol w:w="1198"/>
        <w:gridCol w:w="1180"/>
        <w:gridCol w:w="1205"/>
      </w:tblGrid>
      <w:tr w:rsidR="00A03257" w:rsidRPr="008B5FAE" w14:paraId="41016125" w14:textId="77777777" w:rsidTr="00B415BC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CE282" w14:textId="77777777" w:rsidR="00A03257" w:rsidRPr="008B5FAE" w:rsidRDefault="00A03257" w:rsidP="00B415BC">
            <w:pPr>
              <w:spacing w:before="120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A524C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 Pozitívne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3E282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57835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 Negatívne </w:t>
            </w:r>
          </w:p>
        </w:tc>
      </w:tr>
      <w:tr w:rsidR="00A03257" w:rsidRPr="008B5FAE" w14:paraId="169DF08D" w14:textId="77777777" w:rsidTr="00B415BC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8A4C0" w14:textId="77777777" w:rsidR="00A03257" w:rsidRPr="008B5FAE" w:rsidRDefault="00A03257" w:rsidP="00B415BC">
            <w:pPr>
              <w:spacing w:before="120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55190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6C5E0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1DD92" w14:textId="77777777" w:rsidR="00A03257" w:rsidRPr="008B5FAE" w:rsidRDefault="00A03257" w:rsidP="00B415BC">
            <w:pPr>
              <w:spacing w:before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</w:t>
            </w:r>
          </w:p>
        </w:tc>
      </w:tr>
      <w:tr w:rsidR="00A03257" w:rsidRPr="008B5FAE" w14:paraId="255D5A72" w14:textId="77777777" w:rsidTr="00B415BC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201C7" w14:textId="77777777" w:rsidR="00A03257" w:rsidRPr="008B5FAE" w:rsidRDefault="00A03257" w:rsidP="00B415BC">
            <w:pPr>
              <w:spacing w:before="120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AFDBE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542AF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BF331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</w:p>
        </w:tc>
      </w:tr>
      <w:tr w:rsidR="00A03257" w:rsidRPr="008B5FAE" w14:paraId="7E3D4898" w14:textId="77777777" w:rsidTr="00B415BC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39160" w14:textId="77777777" w:rsidR="00A03257" w:rsidRPr="008B5FAE" w:rsidRDefault="00A03257" w:rsidP="00B415BC">
            <w:pPr>
              <w:spacing w:before="120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CB334" w14:textId="4B344C7B" w:rsidR="00A03257" w:rsidRPr="008B5FAE" w:rsidRDefault="002B0C9E" w:rsidP="00B415BC">
            <w:pPr>
              <w:spacing w:before="12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3B13E" w14:textId="4AACDD8C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33D23" w14:textId="77777777" w:rsidR="00A03257" w:rsidRPr="008B5FAE" w:rsidRDefault="00A03257" w:rsidP="00B415BC">
            <w:pPr>
              <w:spacing w:before="120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 </w:t>
            </w:r>
          </w:p>
        </w:tc>
      </w:tr>
      <w:tr w:rsidR="00A03257" w:rsidRPr="008B5FAE" w14:paraId="6A467EAB" w14:textId="77777777" w:rsidTr="00B415BC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6EA1B" w14:textId="77777777" w:rsidR="00A03257" w:rsidRPr="008B5FAE" w:rsidRDefault="00A03257" w:rsidP="00B415BC">
            <w:pPr>
              <w:spacing w:before="120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FBD16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5E670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60A51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 </w:t>
            </w:r>
          </w:p>
        </w:tc>
      </w:tr>
      <w:tr w:rsidR="00A03257" w:rsidRPr="008B5FAE" w14:paraId="1C27A6A9" w14:textId="77777777" w:rsidTr="00B415BC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65DA2" w14:textId="77777777" w:rsidR="00A03257" w:rsidRPr="008B5FAE" w:rsidRDefault="00A03257" w:rsidP="00B415BC">
            <w:pPr>
              <w:spacing w:before="120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 xml:space="preserve">– sociálnu </w:t>
            </w:r>
            <w:proofErr w:type="spellStart"/>
            <w:r w:rsidRPr="008B5FAE">
              <w:rPr>
                <w:rFonts w:ascii="Book Antiqua" w:hAnsi="Book Antiqua"/>
              </w:rPr>
              <w:t>exklúziu</w:t>
            </w:r>
            <w:proofErr w:type="spellEnd"/>
            <w:r w:rsidRPr="008B5FAE">
              <w:rPr>
                <w:rFonts w:ascii="Book Antiqua" w:hAnsi="Book Antiqu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2DED4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B2FB9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2BBB3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</w:p>
        </w:tc>
      </w:tr>
      <w:tr w:rsidR="00A03257" w:rsidRPr="008B5FAE" w14:paraId="1388C36D" w14:textId="77777777" w:rsidTr="00B415BC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152C6" w14:textId="77777777" w:rsidR="00A03257" w:rsidRPr="008B5FAE" w:rsidRDefault="00A03257" w:rsidP="00B415BC">
            <w:pPr>
              <w:spacing w:before="120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1444E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63E06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65648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 </w:t>
            </w:r>
          </w:p>
        </w:tc>
      </w:tr>
      <w:tr w:rsidR="00A03257" w:rsidRPr="008B5FAE" w14:paraId="721D0C66" w14:textId="77777777" w:rsidTr="00B415BC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DFA14" w14:textId="77777777" w:rsidR="00A03257" w:rsidRPr="008B5FAE" w:rsidRDefault="00A03257" w:rsidP="00B415BC">
            <w:pPr>
              <w:spacing w:before="120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F7DB3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60ADB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B35D5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 </w:t>
            </w:r>
          </w:p>
        </w:tc>
      </w:tr>
      <w:tr w:rsidR="00A03257" w:rsidRPr="008B5FAE" w14:paraId="1D189B5A" w14:textId="77777777" w:rsidTr="00B415BC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1894F" w14:textId="77777777" w:rsidR="00A03257" w:rsidRPr="008B5FAE" w:rsidRDefault="00A03257" w:rsidP="00B415BC">
            <w:pPr>
              <w:spacing w:before="120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D770A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C7E39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2FE0A" w14:textId="77777777" w:rsidR="00A03257" w:rsidRPr="008B5FAE" w:rsidRDefault="00A03257" w:rsidP="00B415BC">
            <w:pPr>
              <w:spacing w:before="120"/>
              <w:jc w:val="center"/>
              <w:rPr>
                <w:rFonts w:ascii="Book Antiqua" w:hAnsi="Book Antiqua"/>
              </w:rPr>
            </w:pPr>
            <w:r w:rsidRPr="008B5FAE">
              <w:rPr>
                <w:rFonts w:ascii="Book Antiqua" w:hAnsi="Book Antiqua"/>
              </w:rPr>
              <w:t> </w:t>
            </w:r>
          </w:p>
        </w:tc>
      </w:tr>
      <w:tr w:rsidR="002B0C9E" w:rsidRPr="008B5FAE" w14:paraId="71CA6424" w14:textId="77777777" w:rsidTr="00B415BC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38A92" w14:textId="189C9340" w:rsidR="002B0C9E" w:rsidRPr="008B5FAE" w:rsidRDefault="002B0C9E" w:rsidP="00B415BC">
            <w:pPr>
              <w:spacing w:before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7B385" w14:textId="77777777" w:rsidR="002B0C9E" w:rsidRPr="008B5FAE" w:rsidRDefault="002B0C9E" w:rsidP="00B415BC">
            <w:pPr>
              <w:spacing w:before="120"/>
              <w:jc w:val="center"/>
              <w:rPr>
                <w:rFonts w:ascii="Book Antiqua" w:hAnsi="Book Antiqu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EBCCC" w14:textId="77777777" w:rsidR="002B0C9E" w:rsidRPr="008B5FAE" w:rsidRDefault="002B0C9E" w:rsidP="00B415BC">
            <w:pPr>
              <w:spacing w:before="120"/>
              <w:jc w:val="center"/>
              <w:rPr>
                <w:rFonts w:ascii="Book Antiqua" w:hAnsi="Book Antiqu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DC2E3" w14:textId="77777777" w:rsidR="002B0C9E" w:rsidRPr="008B5FAE" w:rsidRDefault="002B0C9E" w:rsidP="00B415BC">
            <w:pPr>
              <w:spacing w:before="120"/>
              <w:jc w:val="center"/>
              <w:rPr>
                <w:rFonts w:ascii="Book Antiqua" w:hAnsi="Book Antiqua"/>
              </w:rPr>
            </w:pPr>
          </w:p>
        </w:tc>
      </w:tr>
      <w:tr w:rsidR="003472EC" w:rsidRPr="008B5FAE" w14:paraId="3294139A" w14:textId="77777777" w:rsidTr="00B415BC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F16D4" w14:textId="1F5B9D8D" w:rsidR="003472EC" w:rsidRPr="008B5FAE" w:rsidRDefault="002B0C9E" w:rsidP="00B415BC">
            <w:pPr>
              <w:spacing w:before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3472EC">
              <w:rPr>
                <w:rFonts w:ascii="Book Antiqua" w:hAnsi="Book Antiqua"/>
              </w:rPr>
              <w:t>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B851B" w14:textId="77777777" w:rsidR="003472EC" w:rsidRPr="008B5FAE" w:rsidRDefault="003472EC" w:rsidP="00B415BC">
            <w:pPr>
              <w:spacing w:before="120"/>
              <w:jc w:val="center"/>
              <w:rPr>
                <w:rFonts w:ascii="Book Antiqua" w:hAnsi="Book Antiqu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E183A" w14:textId="1DFB2E5F" w:rsidR="003472EC" w:rsidRPr="008B5FAE" w:rsidRDefault="003472EC" w:rsidP="00B415BC">
            <w:pPr>
              <w:spacing w:before="12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4447B" w14:textId="77777777" w:rsidR="003472EC" w:rsidRPr="008B5FAE" w:rsidRDefault="003472EC" w:rsidP="00B415BC">
            <w:pPr>
              <w:spacing w:before="120"/>
              <w:jc w:val="center"/>
              <w:rPr>
                <w:rFonts w:ascii="Book Antiqua" w:hAnsi="Book Antiqua"/>
              </w:rPr>
            </w:pPr>
          </w:p>
        </w:tc>
      </w:tr>
    </w:tbl>
    <w:p w14:paraId="030C57E5" w14:textId="0CBE7D56" w:rsidR="00A03257" w:rsidRPr="008B5FAE" w:rsidRDefault="00A03257" w:rsidP="00A03257">
      <w:pPr>
        <w:spacing w:before="120"/>
        <w:rPr>
          <w:rFonts w:ascii="Book Antiqua" w:hAnsi="Book Antiqua"/>
          <w:b/>
          <w:bCs/>
        </w:rPr>
      </w:pPr>
      <w:r w:rsidRPr="008B5FAE">
        <w:rPr>
          <w:rFonts w:ascii="Book Antiqua" w:hAnsi="Book Antiqua"/>
        </w:rPr>
        <w:t> </w:t>
      </w:r>
      <w:r w:rsidRPr="008B5FAE">
        <w:rPr>
          <w:rFonts w:ascii="Book Antiqua" w:hAnsi="Book Antiqua"/>
          <w:b/>
          <w:bCs/>
        </w:rPr>
        <w:t>A.3. Poznámky</w:t>
      </w:r>
    </w:p>
    <w:p w14:paraId="0B94A5D1" w14:textId="36F79B30" w:rsidR="00A03257" w:rsidRPr="008B5FAE" w:rsidRDefault="002B0C9E" w:rsidP="00A03257">
      <w:pPr>
        <w:spacing w:before="12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Návrh zákona predpokladá pozitívne sociálne vplyvy (odsúdenie spoločensky neprípustného správania).</w:t>
      </w:r>
    </w:p>
    <w:p w14:paraId="718A2B29" w14:textId="77777777" w:rsidR="00A03257" w:rsidRPr="008B5FAE" w:rsidRDefault="00A03257" w:rsidP="00A03257">
      <w:pPr>
        <w:spacing w:before="120"/>
        <w:jc w:val="both"/>
        <w:rPr>
          <w:rFonts w:ascii="Book Antiqua" w:hAnsi="Book Antiqua"/>
        </w:rPr>
      </w:pPr>
      <w:r w:rsidRPr="008B5FAE">
        <w:rPr>
          <w:rFonts w:ascii="Book Antiqua" w:hAnsi="Book Antiqua"/>
          <w:b/>
          <w:bCs/>
        </w:rPr>
        <w:t>A.4. Alternatívne riešenia</w:t>
      </w:r>
    </w:p>
    <w:p w14:paraId="5CA6BEDA" w14:textId="77777777" w:rsidR="00A03257" w:rsidRPr="008B5FAE" w:rsidRDefault="00A03257" w:rsidP="00A03257">
      <w:pPr>
        <w:spacing w:before="120"/>
        <w:jc w:val="both"/>
        <w:rPr>
          <w:rFonts w:ascii="Book Antiqua" w:hAnsi="Book Antiqua"/>
          <w:i/>
        </w:rPr>
      </w:pPr>
      <w:r w:rsidRPr="008B5FAE">
        <w:rPr>
          <w:rFonts w:ascii="Book Antiqua" w:hAnsi="Book Antiqua"/>
          <w:i/>
        </w:rPr>
        <w:t>bezpredmetné </w:t>
      </w:r>
    </w:p>
    <w:p w14:paraId="57F3E507" w14:textId="77777777" w:rsidR="00A03257" w:rsidRPr="008B5FAE" w:rsidRDefault="00A03257" w:rsidP="00A03257">
      <w:pPr>
        <w:spacing w:before="120"/>
        <w:ind w:left="567" w:hanging="567"/>
        <w:jc w:val="both"/>
        <w:rPr>
          <w:rFonts w:ascii="Book Antiqua" w:hAnsi="Book Antiqua"/>
        </w:rPr>
      </w:pPr>
      <w:r w:rsidRPr="008B5FAE">
        <w:rPr>
          <w:rFonts w:ascii="Book Antiqua" w:hAnsi="Book Antiqua"/>
          <w:b/>
          <w:bCs/>
        </w:rPr>
        <w:t xml:space="preserve">A.5. </w:t>
      </w:r>
      <w:r w:rsidRPr="008B5FAE">
        <w:rPr>
          <w:rFonts w:ascii="Book Antiqua" w:hAnsi="Book Antiqua"/>
          <w:b/>
          <w:bCs/>
        </w:rPr>
        <w:tab/>
        <w:t>Stanovisko gestorov</w:t>
      </w:r>
    </w:p>
    <w:p w14:paraId="44957CB8" w14:textId="0FEF689E" w:rsidR="00A03257" w:rsidRPr="00A03257" w:rsidRDefault="00A03257" w:rsidP="00A03257">
      <w:pPr>
        <w:spacing w:before="120"/>
        <w:jc w:val="both"/>
        <w:rPr>
          <w:rFonts w:ascii="Book Antiqua" w:hAnsi="Book Antiqua" w:cs="Calibri"/>
          <w:i/>
        </w:rPr>
      </w:pPr>
      <w:r w:rsidRPr="008B5FAE">
        <w:rPr>
          <w:rFonts w:ascii="Book Antiqua" w:hAnsi="Book Antiqua"/>
          <w:i/>
        </w:rPr>
        <w:t>Návrh zákona bol zaslaný na vyjadrenie Ministerstvu financií Slovenskej republiky a stanovisko tohto ministerstva tvorí súčasť predkladaného materiálu.</w:t>
      </w:r>
    </w:p>
    <w:sectPr w:rsidR="00A03257" w:rsidRPr="00A032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9D29D" w14:textId="77777777" w:rsidR="00993D5B" w:rsidRDefault="00993D5B">
      <w:pPr>
        <w:spacing w:after="0" w:line="240" w:lineRule="auto"/>
      </w:pPr>
      <w:r>
        <w:separator/>
      </w:r>
    </w:p>
  </w:endnote>
  <w:endnote w:type="continuationSeparator" w:id="0">
    <w:p w14:paraId="1642900C" w14:textId="77777777" w:rsidR="00993D5B" w:rsidRDefault="0099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621377"/>
      <w:docPartObj>
        <w:docPartGallery w:val="Page Numbers (Bottom of Page)"/>
        <w:docPartUnique/>
      </w:docPartObj>
    </w:sdtPr>
    <w:sdtEndPr/>
    <w:sdtContent>
      <w:p w14:paraId="22D3625F" w14:textId="5939852B" w:rsidR="00072A48" w:rsidRDefault="00072A4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D66">
          <w:rPr>
            <w:noProof/>
          </w:rPr>
          <w:t>2</w:t>
        </w:r>
        <w:r>
          <w:fldChar w:fldCharType="end"/>
        </w:r>
      </w:p>
    </w:sdtContent>
  </w:sdt>
  <w:p w14:paraId="66F91747" w14:textId="77777777" w:rsidR="00072A48" w:rsidRDefault="00072A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75E1C" w14:textId="77777777" w:rsidR="00993D5B" w:rsidRDefault="00993D5B">
      <w:pPr>
        <w:spacing w:after="0" w:line="240" w:lineRule="auto"/>
      </w:pPr>
      <w:r>
        <w:separator/>
      </w:r>
    </w:p>
  </w:footnote>
  <w:footnote w:type="continuationSeparator" w:id="0">
    <w:p w14:paraId="7ECA05FB" w14:textId="77777777" w:rsidR="00993D5B" w:rsidRDefault="0099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8A74A" w14:textId="77777777" w:rsidR="00072A48" w:rsidRDefault="00072A48">
    <w:pPr>
      <w:pStyle w:val="Hlavika"/>
    </w:pPr>
  </w:p>
  <w:p w14:paraId="2936ACCF" w14:textId="77777777" w:rsidR="00072A48" w:rsidRDefault="00072A48">
    <w:pPr>
      <w:pStyle w:val="Hlavika"/>
    </w:pPr>
  </w:p>
  <w:p w14:paraId="31903C65" w14:textId="77777777" w:rsidR="00072A48" w:rsidRDefault="00072A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3DBD"/>
    <w:multiLevelType w:val="hybridMultilevel"/>
    <w:tmpl w:val="1FE605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D478A"/>
    <w:multiLevelType w:val="hybridMultilevel"/>
    <w:tmpl w:val="3DAEB0CE"/>
    <w:lvl w:ilvl="0" w:tplc="618815A8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500428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BD2CB5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32859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D80350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20AD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DEA05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40C48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B58F0B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456C0209"/>
    <w:multiLevelType w:val="hybridMultilevel"/>
    <w:tmpl w:val="EF985B2A"/>
    <w:lvl w:ilvl="0" w:tplc="03BEE3FC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F238E00A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59A46CA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6147606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37063B0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DD604894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E5B054A8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2CDC6790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6CAA51E0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64544963"/>
    <w:multiLevelType w:val="hybridMultilevel"/>
    <w:tmpl w:val="471A0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039E8"/>
    <w:rsid w:val="00004FCB"/>
    <w:rsid w:val="00013721"/>
    <w:rsid w:val="00014CF2"/>
    <w:rsid w:val="0001502D"/>
    <w:rsid w:val="000163E2"/>
    <w:rsid w:val="00016980"/>
    <w:rsid w:val="00017B7A"/>
    <w:rsid w:val="00020030"/>
    <w:rsid w:val="00026DB2"/>
    <w:rsid w:val="00030255"/>
    <w:rsid w:val="00031079"/>
    <w:rsid w:val="00033919"/>
    <w:rsid w:val="00037A5C"/>
    <w:rsid w:val="00047D37"/>
    <w:rsid w:val="00050008"/>
    <w:rsid w:val="00057810"/>
    <w:rsid w:val="00060517"/>
    <w:rsid w:val="00061ACA"/>
    <w:rsid w:val="00062D48"/>
    <w:rsid w:val="000643DE"/>
    <w:rsid w:val="00064E91"/>
    <w:rsid w:val="000659D6"/>
    <w:rsid w:val="000676E0"/>
    <w:rsid w:val="00072A48"/>
    <w:rsid w:val="00072E45"/>
    <w:rsid w:val="000770BF"/>
    <w:rsid w:val="00080B9D"/>
    <w:rsid w:val="00081585"/>
    <w:rsid w:val="00083C18"/>
    <w:rsid w:val="000857C6"/>
    <w:rsid w:val="0009031E"/>
    <w:rsid w:val="00091C12"/>
    <w:rsid w:val="000974FB"/>
    <w:rsid w:val="000A0389"/>
    <w:rsid w:val="000A3BFD"/>
    <w:rsid w:val="000A4116"/>
    <w:rsid w:val="000A44A4"/>
    <w:rsid w:val="000B1F42"/>
    <w:rsid w:val="000B5A0B"/>
    <w:rsid w:val="000C0C36"/>
    <w:rsid w:val="000C10CE"/>
    <w:rsid w:val="000C58A7"/>
    <w:rsid w:val="000C5B6A"/>
    <w:rsid w:val="000D0172"/>
    <w:rsid w:val="000D1ED8"/>
    <w:rsid w:val="000D2947"/>
    <w:rsid w:val="000D49E1"/>
    <w:rsid w:val="000E2DDA"/>
    <w:rsid w:val="000E575D"/>
    <w:rsid w:val="000E58A2"/>
    <w:rsid w:val="000E71E5"/>
    <w:rsid w:val="000F7062"/>
    <w:rsid w:val="00101CF9"/>
    <w:rsid w:val="001025B6"/>
    <w:rsid w:val="00104BDF"/>
    <w:rsid w:val="00112289"/>
    <w:rsid w:val="001161AE"/>
    <w:rsid w:val="00116B7E"/>
    <w:rsid w:val="00117910"/>
    <w:rsid w:val="00122EAD"/>
    <w:rsid w:val="00123C18"/>
    <w:rsid w:val="00133EB9"/>
    <w:rsid w:val="00136D58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356F"/>
    <w:rsid w:val="00194060"/>
    <w:rsid w:val="00194639"/>
    <w:rsid w:val="001A37B1"/>
    <w:rsid w:val="001A650D"/>
    <w:rsid w:val="001A76F8"/>
    <w:rsid w:val="001B06B5"/>
    <w:rsid w:val="001B3408"/>
    <w:rsid w:val="001B37AF"/>
    <w:rsid w:val="001B41A9"/>
    <w:rsid w:val="001B43E3"/>
    <w:rsid w:val="001B6607"/>
    <w:rsid w:val="001B662C"/>
    <w:rsid w:val="001B796A"/>
    <w:rsid w:val="001C2FC2"/>
    <w:rsid w:val="001D5215"/>
    <w:rsid w:val="001E07A0"/>
    <w:rsid w:val="001F3E0D"/>
    <w:rsid w:val="001F68A2"/>
    <w:rsid w:val="0020549E"/>
    <w:rsid w:val="00206173"/>
    <w:rsid w:val="00206C4F"/>
    <w:rsid w:val="002120E9"/>
    <w:rsid w:val="002157C9"/>
    <w:rsid w:val="002164E8"/>
    <w:rsid w:val="00227932"/>
    <w:rsid w:val="002302DF"/>
    <w:rsid w:val="00237FD5"/>
    <w:rsid w:val="00241A27"/>
    <w:rsid w:val="00242F77"/>
    <w:rsid w:val="002446BA"/>
    <w:rsid w:val="00244EDC"/>
    <w:rsid w:val="00245D79"/>
    <w:rsid w:val="002506FF"/>
    <w:rsid w:val="00253913"/>
    <w:rsid w:val="0025679C"/>
    <w:rsid w:val="002635A0"/>
    <w:rsid w:val="00264A4F"/>
    <w:rsid w:val="00267B24"/>
    <w:rsid w:val="0027076F"/>
    <w:rsid w:val="00272E7B"/>
    <w:rsid w:val="0027413A"/>
    <w:rsid w:val="002829B3"/>
    <w:rsid w:val="0028328C"/>
    <w:rsid w:val="00290896"/>
    <w:rsid w:val="00294F53"/>
    <w:rsid w:val="0029580B"/>
    <w:rsid w:val="00295C55"/>
    <w:rsid w:val="002974A0"/>
    <w:rsid w:val="002A0EB3"/>
    <w:rsid w:val="002A36D9"/>
    <w:rsid w:val="002A5FFF"/>
    <w:rsid w:val="002B0999"/>
    <w:rsid w:val="002B0C9E"/>
    <w:rsid w:val="002B38D6"/>
    <w:rsid w:val="002B7550"/>
    <w:rsid w:val="002C7F91"/>
    <w:rsid w:val="002D3B9B"/>
    <w:rsid w:val="002D58BD"/>
    <w:rsid w:val="002D6F3E"/>
    <w:rsid w:val="002D72AE"/>
    <w:rsid w:val="002F34B4"/>
    <w:rsid w:val="002F525B"/>
    <w:rsid w:val="002F627A"/>
    <w:rsid w:val="002F713E"/>
    <w:rsid w:val="002F7C72"/>
    <w:rsid w:val="00300BB4"/>
    <w:rsid w:val="00302A8A"/>
    <w:rsid w:val="00302EF2"/>
    <w:rsid w:val="003038DE"/>
    <w:rsid w:val="00305C9F"/>
    <w:rsid w:val="00320181"/>
    <w:rsid w:val="00322800"/>
    <w:rsid w:val="00322E83"/>
    <w:rsid w:val="00326108"/>
    <w:rsid w:val="003268F7"/>
    <w:rsid w:val="0032740E"/>
    <w:rsid w:val="00327C21"/>
    <w:rsid w:val="00330BCF"/>
    <w:rsid w:val="0034202C"/>
    <w:rsid w:val="003438F4"/>
    <w:rsid w:val="00346CCA"/>
    <w:rsid w:val="003471F7"/>
    <w:rsid w:val="003472EC"/>
    <w:rsid w:val="00347E15"/>
    <w:rsid w:val="00352057"/>
    <w:rsid w:val="00364A6B"/>
    <w:rsid w:val="00364AD6"/>
    <w:rsid w:val="00365291"/>
    <w:rsid w:val="003661D9"/>
    <w:rsid w:val="003675C1"/>
    <w:rsid w:val="00373B58"/>
    <w:rsid w:val="00375ECE"/>
    <w:rsid w:val="00376B71"/>
    <w:rsid w:val="00383144"/>
    <w:rsid w:val="00384E35"/>
    <w:rsid w:val="00386D04"/>
    <w:rsid w:val="00387151"/>
    <w:rsid w:val="00393731"/>
    <w:rsid w:val="003A581D"/>
    <w:rsid w:val="003A76F2"/>
    <w:rsid w:val="003B04D5"/>
    <w:rsid w:val="003B16FC"/>
    <w:rsid w:val="003B72BE"/>
    <w:rsid w:val="003C3087"/>
    <w:rsid w:val="003C33E3"/>
    <w:rsid w:val="003C4E41"/>
    <w:rsid w:val="003D4212"/>
    <w:rsid w:val="003D48FA"/>
    <w:rsid w:val="003D5E5C"/>
    <w:rsid w:val="003D6D7F"/>
    <w:rsid w:val="003D6D93"/>
    <w:rsid w:val="003D7ED9"/>
    <w:rsid w:val="003E23D1"/>
    <w:rsid w:val="003F5970"/>
    <w:rsid w:val="00402806"/>
    <w:rsid w:val="00402D50"/>
    <w:rsid w:val="004034E0"/>
    <w:rsid w:val="00421DE2"/>
    <w:rsid w:val="00423C66"/>
    <w:rsid w:val="004242D4"/>
    <w:rsid w:val="0042485C"/>
    <w:rsid w:val="00437642"/>
    <w:rsid w:val="00445296"/>
    <w:rsid w:val="00450685"/>
    <w:rsid w:val="00454A01"/>
    <w:rsid w:val="004576ED"/>
    <w:rsid w:val="00462F78"/>
    <w:rsid w:val="0047002D"/>
    <w:rsid w:val="00477356"/>
    <w:rsid w:val="004778DE"/>
    <w:rsid w:val="00482B84"/>
    <w:rsid w:val="0049467C"/>
    <w:rsid w:val="00497830"/>
    <w:rsid w:val="004A1470"/>
    <w:rsid w:val="004A1A10"/>
    <w:rsid w:val="004A1CEC"/>
    <w:rsid w:val="004A2FAC"/>
    <w:rsid w:val="004A314E"/>
    <w:rsid w:val="004B0BC8"/>
    <w:rsid w:val="004B1FB8"/>
    <w:rsid w:val="004C3B45"/>
    <w:rsid w:val="004C579F"/>
    <w:rsid w:val="004C71F9"/>
    <w:rsid w:val="004C7918"/>
    <w:rsid w:val="004D25DA"/>
    <w:rsid w:val="004D2A4F"/>
    <w:rsid w:val="004D7F9F"/>
    <w:rsid w:val="004E28A9"/>
    <w:rsid w:val="004E3749"/>
    <w:rsid w:val="004E633B"/>
    <w:rsid w:val="004F5E6A"/>
    <w:rsid w:val="004F7271"/>
    <w:rsid w:val="00500B14"/>
    <w:rsid w:val="00503AAA"/>
    <w:rsid w:val="00510FA1"/>
    <w:rsid w:val="00511757"/>
    <w:rsid w:val="00512C8C"/>
    <w:rsid w:val="00513411"/>
    <w:rsid w:val="00513559"/>
    <w:rsid w:val="00513C83"/>
    <w:rsid w:val="00526006"/>
    <w:rsid w:val="00526A02"/>
    <w:rsid w:val="00527FBD"/>
    <w:rsid w:val="005319E3"/>
    <w:rsid w:val="00533957"/>
    <w:rsid w:val="00533BDC"/>
    <w:rsid w:val="005348C1"/>
    <w:rsid w:val="00534A20"/>
    <w:rsid w:val="00535F8F"/>
    <w:rsid w:val="0053761B"/>
    <w:rsid w:val="00543708"/>
    <w:rsid w:val="005440CE"/>
    <w:rsid w:val="00544778"/>
    <w:rsid w:val="00550EB3"/>
    <w:rsid w:val="00552B5C"/>
    <w:rsid w:val="00556626"/>
    <w:rsid w:val="00556997"/>
    <w:rsid w:val="0055749D"/>
    <w:rsid w:val="0055766C"/>
    <w:rsid w:val="00562F99"/>
    <w:rsid w:val="005678F4"/>
    <w:rsid w:val="00570B93"/>
    <w:rsid w:val="005734A0"/>
    <w:rsid w:val="00581AA6"/>
    <w:rsid w:val="005842E4"/>
    <w:rsid w:val="005844CE"/>
    <w:rsid w:val="005A06B0"/>
    <w:rsid w:val="005A23D7"/>
    <w:rsid w:val="005B07C8"/>
    <w:rsid w:val="005B1C8E"/>
    <w:rsid w:val="005B6571"/>
    <w:rsid w:val="005B77F9"/>
    <w:rsid w:val="005B7A3E"/>
    <w:rsid w:val="005C17C6"/>
    <w:rsid w:val="005C70E8"/>
    <w:rsid w:val="005D1837"/>
    <w:rsid w:val="005D1C1A"/>
    <w:rsid w:val="005D29DF"/>
    <w:rsid w:val="005D3F90"/>
    <w:rsid w:val="005D5C70"/>
    <w:rsid w:val="005E0AEF"/>
    <w:rsid w:val="005E3069"/>
    <w:rsid w:val="005E598F"/>
    <w:rsid w:val="005F09D3"/>
    <w:rsid w:val="005F1B83"/>
    <w:rsid w:val="005F6CFC"/>
    <w:rsid w:val="00602E03"/>
    <w:rsid w:val="00604245"/>
    <w:rsid w:val="00606610"/>
    <w:rsid w:val="00610520"/>
    <w:rsid w:val="0061094A"/>
    <w:rsid w:val="00610993"/>
    <w:rsid w:val="0061346C"/>
    <w:rsid w:val="006146D7"/>
    <w:rsid w:val="00615B60"/>
    <w:rsid w:val="00621A7A"/>
    <w:rsid w:val="00622F95"/>
    <w:rsid w:val="0062495E"/>
    <w:rsid w:val="00626AA4"/>
    <w:rsid w:val="00626CE7"/>
    <w:rsid w:val="00630DDF"/>
    <w:rsid w:val="006315B4"/>
    <w:rsid w:val="00634AC6"/>
    <w:rsid w:val="00635E61"/>
    <w:rsid w:val="00635EF6"/>
    <w:rsid w:val="006475FE"/>
    <w:rsid w:val="006518A0"/>
    <w:rsid w:val="0065207F"/>
    <w:rsid w:val="006551D1"/>
    <w:rsid w:val="0065612B"/>
    <w:rsid w:val="0065741D"/>
    <w:rsid w:val="00660488"/>
    <w:rsid w:val="0066330B"/>
    <w:rsid w:val="00663B38"/>
    <w:rsid w:val="006753DB"/>
    <w:rsid w:val="0068196D"/>
    <w:rsid w:val="00683E7E"/>
    <w:rsid w:val="006876D3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66E9"/>
    <w:rsid w:val="006D0A47"/>
    <w:rsid w:val="006D3CC9"/>
    <w:rsid w:val="006D6D66"/>
    <w:rsid w:val="006D7A5C"/>
    <w:rsid w:val="006D7F81"/>
    <w:rsid w:val="006E0742"/>
    <w:rsid w:val="006E1239"/>
    <w:rsid w:val="006E25AA"/>
    <w:rsid w:val="006E5228"/>
    <w:rsid w:val="006F40F0"/>
    <w:rsid w:val="007030FF"/>
    <w:rsid w:val="00705540"/>
    <w:rsid w:val="00706008"/>
    <w:rsid w:val="00712939"/>
    <w:rsid w:val="00714988"/>
    <w:rsid w:val="007150C7"/>
    <w:rsid w:val="007163DC"/>
    <w:rsid w:val="0071717D"/>
    <w:rsid w:val="00722119"/>
    <w:rsid w:val="00722BFE"/>
    <w:rsid w:val="00723803"/>
    <w:rsid w:val="007239F1"/>
    <w:rsid w:val="00727C73"/>
    <w:rsid w:val="007300E8"/>
    <w:rsid w:val="007315B7"/>
    <w:rsid w:val="00732A18"/>
    <w:rsid w:val="00735A18"/>
    <w:rsid w:val="0073790F"/>
    <w:rsid w:val="007519BD"/>
    <w:rsid w:val="00756A92"/>
    <w:rsid w:val="00772D23"/>
    <w:rsid w:val="00773C7A"/>
    <w:rsid w:val="00777FD1"/>
    <w:rsid w:val="007812F7"/>
    <w:rsid w:val="00781D21"/>
    <w:rsid w:val="00783161"/>
    <w:rsid w:val="00787F51"/>
    <w:rsid w:val="007972E9"/>
    <w:rsid w:val="007A0902"/>
    <w:rsid w:val="007A1D12"/>
    <w:rsid w:val="007A3E1A"/>
    <w:rsid w:val="007A4337"/>
    <w:rsid w:val="007A548A"/>
    <w:rsid w:val="007A7088"/>
    <w:rsid w:val="007A70AC"/>
    <w:rsid w:val="007B15FC"/>
    <w:rsid w:val="007B20F6"/>
    <w:rsid w:val="007B3A4D"/>
    <w:rsid w:val="007B47BF"/>
    <w:rsid w:val="007B73B8"/>
    <w:rsid w:val="007C1940"/>
    <w:rsid w:val="007C525A"/>
    <w:rsid w:val="007C71BF"/>
    <w:rsid w:val="007D0E10"/>
    <w:rsid w:val="007E101B"/>
    <w:rsid w:val="007E5E50"/>
    <w:rsid w:val="007E723D"/>
    <w:rsid w:val="007F048E"/>
    <w:rsid w:val="008004B5"/>
    <w:rsid w:val="0080521A"/>
    <w:rsid w:val="008100CA"/>
    <w:rsid w:val="00810F55"/>
    <w:rsid w:val="00821163"/>
    <w:rsid w:val="00821656"/>
    <w:rsid w:val="00822B9E"/>
    <w:rsid w:val="00824B31"/>
    <w:rsid w:val="00825354"/>
    <w:rsid w:val="00831C9F"/>
    <w:rsid w:val="00835248"/>
    <w:rsid w:val="008360D3"/>
    <w:rsid w:val="00842066"/>
    <w:rsid w:val="00844920"/>
    <w:rsid w:val="00845671"/>
    <w:rsid w:val="00851634"/>
    <w:rsid w:val="00855DDA"/>
    <w:rsid w:val="00856E31"/>
    <w:rsid w:val="00861578"/>
    <w:rsid w:val="0086183D"/>
    <w:rsid w:val="00862834"/>
    <w:rsid w:val="00864861"/>
    <w:rsid w:val="00880237"/>
    <w:rsid w:val="008807E1"/>
    <w:rsid w:val="0088237C"/>
    <w:rsid w:val="00882C76"/>
    <w:rsid w:val="00884209"/>
    <w:rsid w:val="00885E3B"/>
    <w:rsid w:val="00885E84"/>
    <w:rsid w:val="008870D4"/>
    <w:rsid w:val="008922FC"/>
    <w:rsid w:val="00892739"/>
    <w:rsid w:val="0089363C"/>
    <w:rsid w:val="00894553"/>
    <w:rsid w:val="00895A52"/>
    <w:rsid w:val="00896A13"/>
    <w:rsid w:val="00896AFD"/>
    <w:rsid w:val="00897B21"/>
    <w:rsid w:val="008A1097"/>
    <w:rsid w:val="008A323F"/>
    <w:rsid w:val="008B064C"/>
    <w:rsid w:val="008B2FFF"/>
    <w:rsid w:val="008C6E6B"/>
    <w:rsid w:val="008D0DF0"/>
    <w:rsid w:val="008D106A"/>
    <w:rsid w:val="008D1AC8"/>
    <w:rsid w:val="008D41B1"/>
    <w:rsid w:val="008D4B95"/>
    <w:rsid w:val="008E56CC"/>
    <w:rsid w:val="008F3B43"/>
    <w:rsid w:val="008F4698"/>
    <w:rsid w:val="008F6B93"/>
    <w:rsid w:val="00900AD7"/>
    <w:rsid w:val="00905922"/>
    <w:rsid w:val="009073FE"/>
    <w:rsid w:val="009148C6"/>
    <w:rsid w:val="0092481E"/>
    <w:rsid w:val="00924F7C"/>
    <w:rsid w:val="0092591B"/>
    <w:rsid w:val="0092791A"/>
    <w:rsid w:val="0093453B"/>
    <w:rsid w:val="009347CF"/>
    <w:rsid w:val="00937A67"/>
    <w:rsid w:val="00944A52"/>
    <w:rsid w:val="00945F83"/>
    <w:rsid w:val="009507D6"/>
    <w:rsid w:val="009544AD"/>
    <w:rsid w:val="00954829"/>
    <w:rsid w:val="00954BC4"/>
    <w:rsid w:val="00954BF4"/>
    <w:rsid w:val="009557A5"/>
    <w:rsid w:val="00957033"/>
    <w:rsid w:val="00962E1B"/>
    <w:rsid w:val="00963E2E"/>
    <w:rsid w:val="00966A17"/>
    <w:rsid w:val="00970818"/>
    <w:rsid w:val="00982C22"/>
    <w:rsid w:val="00993D5B"/>
    <w:rsid w:val="00996B66"/>
    <w:rsid w:val="009B13D7"/>
    <w:rsid w:val="009B2FB9"/>
    <w:rsid w:val="009B3DF3"/>
    <w:rsid w:val="009B5156"/>
    <w:rsid w:val="009C31B0"/>
    <w:rsid w:val="009C6026"/>
    <w:rsid w:val="009C7D07"/>
    <w:rsid w:val="009D1803"/>
    <w:rsid w:val="009D2116"/>
    <w:rsid w:val="009D25FA"/>
    <w:rsid w:val="009D4228"/>
    <w:rsid w:val="009E6779"/>
    <w:rsid w:val="009F06C3"/>
    <w:rsid w:val="009F4826"/>
    <w:rsid w:val="009F6AFD"/>
    <w:rsid w:val="009F7FD6"/>
    <w:rsid w:val="00A023AE"/>
    <w:rsid w:val="00A03257"/>
    <w:rsid w:val="00A05D4F"/>
    <w:rsid w:val="00A06727"/>
    <w:rsid w:val="00A111A1"/>
    <w:rsid w:val="00A11728"/>
    <w:rsid w:val="00A14D28"/>
    <w:rsid w:val="00A20657"/>
    <w:rsid w:val="00A2227D"/>
    <w:rsid w:val="00A22B03"/>
    <w:rsid w:val="00A23059"/>
    <w:rsid w:val="00A2700A"/>
    <w:rsid w:val="00A3176A"/>
    <w:rsid w:val="00A36233"/>
    <w:rsid w:val="00A374DD"/>
    <w:rsid w:val="00A40D93"/>
    <w:rsid w:val="00A422BE"/>
    <w:rsid w:val="00A46B75"/>
    <w:rsid w:val="00A54DC7"/>
    <w:rsid w:val="00A556F1"/>
    <w:rsid w:val="00A56DD8"/>
    <w:rsid w:val="00A57131"/>
    <w:rsid w:val="00A62F49"/>
    <w:rsid w:val="00A64A3A"/>
    <w:rsid w:val="00A679A3"/>
    <w:rsid w:val="00A70BC0"/>
    <w:rsid w:val="00A71996"/>
    <w:rsid w:val="00A74CDD"/>
    <w:rsid w:val="00A76599"/>
    <w:rsid w:val="00A80C02"/>
    <w:rsid w:val="00A82CA9"/>
    <w:rsid w:val="00A8384D"/>
    <w:rsid w:val="00A86C3E"/>
    <w:rsid w:val="00A91C6D"/>
    <w:rsid w:val="00A96688"/>
    <w:rsid w:val="00AA7A00"/>
    <w:rsid w:val="00AB466D"/>
    <w:rsid w:val="00AB5412"/>
    <w:rsid w:val="00AB55AA"/>
    <w:rsid w:val="00AB75B1"/>
    <w:rsid w:val="00AB788B"/>
    <w:rsid w:val="00AC0292"/>
    <w:rsid w:val="00AE47B3"/>
    <w:rsid w:val="00AE71AF"/>
    <w:rsid w:val="00AE7FA7"/>
    <w:rsid w:val="00AF2838"/>
    <w:rsid w:val="00B0051D"/>
    <w:rsid w:val="00B00611"/>
    <w:rsid w:val="00B05268"/>
    <w:rsid w:val="00B1232E"/>
    <w:rsid w:val="00B128CD"/>
    <w:rsid w:val="00B14F99"/>
    <w:rsid w:val="00B15A4C"/>
    <w:rsid w:val="00B165D0"/>
    <w:rsid w:val="00B1695D"/>
    <w:rsid w:val="00B17642"/>
    <w:rsid w:val="00B208D0"/>
    <w:rsid w:val="00B20F14"/>
    <w:rsid w:val="00B22748"/>
    <w:rsid w:val="00B27CFE"/>
    <w:rsid w:val="00B30535"/>
    <w:rsid w:val="00B31D24"/>
    <w:rsid w:val="00B327D1"/>
    <w:rsid w:val="00B41EDD"/>
    <w:rsid w:val="00B42608"/>
    <w:rsid w:val="00B46142"/>
    <w:rsid w:val="00B50CCE"/>
    <w:rsid w:val="00B56BBA"/>
    <w:rsid w:val="00B63C3C"/>
    <w:rsid w:val="00B654A6"/>
    <w:rsid w:val="00B67CDE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5835"/>
    <w:rsid w:val="00BB64C8"/>
    <w:rsid w:val="00BB7ABF"/>
    <w:rsid w:val="00BC0144"/>
    <w:rsid w:val="00BC0D31"/>
    <w:rsid w:val="00BC4CDF"/>
    <w:rsid w:val="00BC4E6A"/>
    <w:rsid w:val="00BD112F"/>
    <w:rsid w:val="00BD5FFB"/>
    <w:rsid w:val="00BD6E06"/>
    <w:rsid w:val="00BE2F6E"/>
    <w:rsid w:val="00BE5009"/>
    <w:rsid w:val="00BE519F"/>
    <w:rsid w:val="00BE6402"/>
    <w:rsid w:val="00BE71B3"/>
    <w:rsid w:val="00BF1557"/>
    <w:rsid w:val="00BF3487"/>
    <w:rsid w:val="00BF3ED2"/>
    <w:rsid w:val="00BF4948"/>
    <w:rsid w:val="00C02C05"/>
    <w:rsid w:val="00C05414"/>
    <w:rsid w:val="00C069C7"/>
    <w:rsid w:val="00C12A92"/>
    <w:rsid w:val="00C25F9C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70BF"/>
    <w:rsid w:val="00C64A29"/>
    <w:rsid w:val="00C65493"/>
    <w:rsid w:val="00C70283"/>
    <w:rsid w:val="00C71C15"/>
    <w:rsid w:val="00C745DA"/>
    <w:rsid w:val="00C755CF"/>
    <w:rsid w:val="00C7631F"/>
    <w:rsid w:val="00C85ED1"/>
    <w:rsid w:val="00C9193A"/>
    <w:rsid w:val="00C92A23"/>
    <w:rsid w:val="00C97100"/>
    <w:rsid w:val="00C978DA"/>
    <w:rsid w:val="00CA5236"/>
    <w:rsid w:val="00CB2293"/>
    <w:rsid w:val="00CB23E0"/>
    <w:rsid w:val="00CB766D"/>
    <w:rsid w:val="00CC4C24"/>
    <w:rsid w:val="00CD1340"/>
    <w:rsid w:val="00CD1722"/>
    <w:rsid w:val="00CD5951"/>
    <w:rsid w:val="00CE003A"/>
    <w:rsid w:val="00CE4CFF"/>
    <w:rsid w:val="00CE7236"/>
    <w:rsid w:val="00CF0F6C"/>
    <w:rsid w:val="00CF33D8"/>
    <w:rsid w:val="00CF3D24"/>
    <w:rsid w:val="00CF6179"/>
    <w:rsid w:val="00D10281"/>
    <w:rsid w:val="00D12E36"/>
    <w:rsid w:val="00D15F6F"/>
    <w:rsid w:val="00D17744"/>
    <w:rsid w:val="00D23A25"/>
    <w:rsid w:val="00D30E92"/>
    <w:rsid w:val="00D36A21"/>
    <w:rsid w:val="00D37FFA"/>
    <w:rsid w:val="00D41D9E"/>
    <w:rsid w:val="00D42986"/>
    <w:rsid w:val="00D43369"/>
    <w:rsid w:val="00D43655"/>
    <w:rsid w:val="00D43E53"/>
    <w:rsid w:val="00D43EE9"/>
    <w:rsid w:val="00D44BF9"/>
    <w:rsid w:val="00D477F1"/>
    <w:rsid w:val="00D5000B"/>
    <w:rsid w:val="00D50A5E"/>
    <w:rsid w:val="00D50E7B"/>
    <w:rsid w:val="00D52C93"/>
    <w:rsid w:val="00D52FFE"/>
    <w:rsid w:val="00D620C4"/>
    <w:rsid w:val="00D64CE6"/>
    <w:rsid w:val="00D66B6C"/>
    <w:rsid w:val="00D70ED0"/>
    <w:rsid w:val="00D73A59"/>
    <w:rsid w:val="00D77B1F"/>
    <w:rsid w:val="00D77C84"/>
    <w:rsid w:val="00D97C99"/>
    <w:rsid w:val="00DA07F7"/>
    <w:rsid w:val="00DA41BD"/>
    <w:rsid w:val="00DA5243"/>
    <w:rsid w:val="00DB271B"/>
    <w:rsid w:val="00DB3893"/>
    <w:rsid w:val="00DB7896"/>
    <w:rsid w:val="00DC3A2D"/>
    <w:rsid w:val="00DC3BB1"/>
    <w:rsid w:val="00DC3DF4"/>
    <w:rsid w:val="00DC4BF0"/>
    <w:rsid w:val="00DC4DC8"/>
    <w:rsid w:val="00DD79C3"/>
    <w:rsid w:val="00DE5F7A"/>
    <w:rsid w:val="00DF0823"/>
    <w:rsid w:val="00E0070B"/>
    <w:rsid w:val="00E02905"/>
    <w:rsid w:val="00E116E4"/>
    <w:rsid w:val="00E11BAF"/>
    <w:rsid w:val="00E2196F"/>
    <w:rsid w:val="00E22F5A"/>
    <w:rsid w:val="00E2717D"/>
    <w:rsid w:val="00E346FB"/>
    <w:rsid w:val="00E3740C"/>
    <w:rsid w:val="00E408B2"/>
    <w:rsid w:val="00E443A7"/>
    <w:rsid w:val="00E5134E"/>
    <w:rsid w:val="00E51B1E"/>
    <w:rsid w:val="00E52BED"/>
    <w:rsid w:val="00E52FC1"/>
    <w:rsid w:val="00E61017"/>
    <w:rsid w:val="00E61ACA"/>
    <w:rsid w:val="00E61D46"/>
    <w:rsid w:val="00E62EEE"/>
    <w:rsid w:val="00E63086"/>
    <w:rsid w:val="00E672E5"/>
    <w:rsid w:val="00E7268D"/>
    <w:rsid w:val="00E77FA0"/>
    <w:rsid w:val="00E81ECF"/>
    <w:rsid w:val="00E84139"/>
    <w:rsid w:val="00E87FF7"/>
    <w:rsid w:val="00E9158C"/>
    <w:rsid w:val="00EB11D4"/>
    <w:rsid w:val="00EB1401"/>
    <w:rsid w:val="00EB4533"/>
    <w:rsid w:val="00EB5CF3"/>
    <w:rsid w:val="00EC12DC"/>
    <w:rsid w:val="00EC1701"/>
    <w:rsid w:val="00EC4964"/>
    <w:rsid w:val="00ED1FA6"/>
    <w:rsid w:val="00ED3E30"/>
    <w:rsid w:val="00ED54B1"/>
    <w:rsid w:val="00ED6EF2"/>
    <w:rsid w:val="00EE28C5"/>
    <w:rsid w:val="00EE3CB1"/>
    <w:rsid w:val="00EE45DB"/>
    <w:rsid w:val="00EF2E5C"/>
    <w:rsid w:val="00EF3E98"/>
    <w:rsid w:val="00EF5805"/>
    <w:rsid w:val="00F06B5E"/>
    <w:rsid w:val="00F1012A"/>
    <w:rsid w:val="00F14A3A"/>
    <w:rsid w:val="00F14C33"/>
    <w:rsid w:val="00F15A12"/>
    <w:rsid w:val="00F15E9B"/>
    <w:rsid w:val="00F161B8"/>
    <w:rsid w:val="00F301D6"/>
    <w:rsid w:val="00F310AC"/>
    <w:rsid w:val="00F319EF"/>
    <w:rsid w:val="00F406DA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900DD"/>
    <w:rsid w:val="00F911EC"/>
    <w:rsid w:val="00F9328E"/>
    <w:rsid w:val="00F932C3"/>
    <w:rsid w:val="00F95D98"/>
    <w:rsid w:val="00FA10F2"/>
    <w:rsid w:val="00FA387E"/>
    <w:rsid w:val="00FA64E1"/>
    <w:rsid w:val="00FB26EA"/>
    <w:rsid w:val="00FC5EB3"/>
    <w:rsid w:val="00FC7F2C"/>
    <w:rsid w:val="00FD1F08"/>
    <w:rsid w:val="00FD3A17"/>
    <w:rsid w:val="00FD5480"/>
    <w:rsid w:val="00FE2E0B"/>
    <w:rsid w:val="00FE4D09"/>
    <w:rsid w:val="00FE5C9A"/>
    <w:rsid w:val="00FE77E1"/>
    <w:rsid w:val="00FF1EAE"/>
    <w:rsid w:val="00FF2ED8"/>
    <w:rsid w:val="00FF4BFA"/>
    <w:rsid w:val="00FF565F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791F1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  <w:szCs w:val="22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,Normal bullet 2,Bullet list,1st level - Bullet List Paragraph,Lettre d'introduction,Paragrafo elenco,List Paragraph à moi,Paragraph,Bullet EY,List Paragraph11,Normal bullet 21,List Paragraph111,lp,3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aliases w:val="webb"/>
    <w:basedOn w:val="Normlny"/>
    <w:uiPriority w:val="99"/>
    <w:unhideWhenUsed/>
    <w:qFormat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,Normal bullet 2 Char,Bullet list Char,1st level - Bullet List Paragraph Char,Lettre d'introduction Char,Paragrafo elenco Char,List Paragraph à moi Char,Paragraph Char,3 Char"/>
    <w:basedOn w:val="Predvolenpsmoodseku"/>
    <w:link w:val="Odsekzoznamu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B2274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22748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0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80237"/>
    <w:rPr>
      <w:rFonts w:ascii="Segoe UI" w:hAnsi="Segoe UI" w:cs="Segoe UI"/>
      <w:sz w:val="18"/>
      <w:szCs w:val="18"/>
      <w:rtl w:val="0"/>
      <w:cs w:val="0"/>
    </w:rPr>
  </w:style>
  <w:style w:type="character" w:styleId="Zvraznenie">
    <w:name w:val="Emphasis"/>
    <w:basedOn w:val="Predvolenpsmoodseku"/>
    <w:uiPriority w:val="20"/>
    <w:qFormat/>
    <w:rsid w:val="00543708"/>
    <w:rPr>
      <w:rFonts w:cs="Times New Roman"/>
      <w:i/>
      <w:iCs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781D2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781D21"/>
    <w:rPr>
      <w:rFonts w:ascii="Calibri" w:hAnsi="Calibri" w:cs="Times New Roman"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781D21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8B2FFF"/>
    <w:rPr>
      <w:rFonts w:ascii="Calibri" w:hAnsi="Calibri" w:cs="Times New Roman"/>
      <w:szCs w:val="22"/>
    </w:rPr>
  </w:style>
  <w:style w:type="character" w:customStyle="1" w:styleId="awspan">
    <w:name w:val="awspan"/>
    <w:basedOn w:val="Predvolenpsmoodseku"/>
    <w:rsid w:val="008B2FFF"/>
  </w:style>
  <w:style w:type="paragraph" w:customStyle="1" w:styleId="Normlnywebov1">
    <w:name w:val="Normálny (webový)1"/>
    <w:basedOn w:val="Normlny"/>
    <w:qFormat/>
    <w:rsid w:val="008B2FFF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Vchodzie">
    <w:name w:val="Vchodzie"/>
    <w:qFormat/>
    <w:rsid w:val="008B2FFF"/>
    <w:pPr>
      <w:widowControl w:val="0"/>
    </w:pPr>
    <w:rPr>
      <w:rFonts w:ascii="Times New Roman" w:hAnsi="Times New Roman" w:cs="Times New Roman"/>
      <w:kern w:val="2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A57131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57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17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4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92784-6D2D-4BA6-8192-98D9AFC1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 SLOVENSKO, ZA ĽUDÍ, KÚ</cp:lastModifiedBy>
  <cp:revision>4</cp:revision>
  <cp:lastPrinted>2024-05-09T08:41:00Z</cp:lastPrinted>
  <dcterms:created xsi:type="dcterms:W3CDTF">2024-05-09T11:18:00Z</dcterms:created>
  <dcterms:modified xsi:type="dcterms:W3CDTF">2024-05-09T11:25:00Z</dcterms:modified>
</cp:coreProperties>
</file>