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A283" w14:textId="77777777" w:rsidR="00054C41" w:rsidRPr="00895898" w:rsidRDefault="00054C41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898">
        <w:rPr>
          <w:rFonts w:ascii="Times New Roman" w:eastAsia="Calibri" w:hAnsi="Times New Roman" w:cs="Times New Roman"/>
          <w:b/>
          <w:sz w:val="28"/>
          <w:szCs w:val="28"/>
        </w:rPr>
        <w:t>Analýza vplyvov na podnikateľské prostredie</w:t>
      </w:r>
    </w:p>
    <w:p w14:paraId="7AF84A90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7D284B" w14:textId="4C7F8AB4" w:rsidR="009924BB" w:rsidRPr="00DB308F" w:rsidRDefault="00054C41" w:rsidP="009924B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="009924BB" w:rsidRPr="009924BB">
        <w:rPr>
          <w:rFonts w:ascii="Times New Roman" w:hAnsi="Times New Roman" w:cs="Times New Roman"/>
          <w:sz w:val="24"/>
          <w:szCs w:val="24"/>
        </w:rPr>
        <w:t xml:space="preserve"> </w:t>
      </w:r>
      <w:r w:rsidR="009924BB" w:rsidRPr="00DB308F">
        <w:rPr>
          <w:rFonts w:ascii="Times New Roman" w:hAnsi="Times New Roman" w:cs="Times New Roman"/>
          <w:sz w:val="24"/>
          <w:szCs w:val="24"/>
        </w:rPr>
        <w:t xml:space="preserve">Návrh zákona, ktorým sa mení a dopĺňa zákon č. 364/2004 </w:t>
      </w:r>
      <w:r w:rsidR="009924BB" w:rsidRPr="00DB308F">
        <w:rPr>
          <w:rFonts w:ascii="Times New Roman" w:hAnsi="Times New Roman" w:cs="Times New Roman"/>
          <w:sz w:val="24"/>
          <w:szCs w:val="24"/>
        </w:rPr>
        <w:br/>
        <w:t>Z. z. o vodách a o zmene zákona Slovenskej národnej rady č. 372/1990 Zb. o priestupkoch v znení neskorších predpisov (vodný záko</w:t>
      </w:r>
      <w:r w:rsidR="009924BB">
        <w:rPr>
          <w:rFonts w:ascii="Times New Roman" w:hAnsi="Times New Roman" w:cs="Times New Roman"/>
          <w:sz w:val="24"/>
          <w:szCs w:val="24"/>
        </w:rPr>
        <w:t xml:space="preserve">n) v znení neskorších </w:t>
      </w:r>
      <w:r w:rsidR="009924BB" w:rsidRPr="00DB308F">
        <w:rPr>
          <w:rFonts w:ascii="Times New Roman" w:hAnsi="Times New Roman" w:cs="Times New Roman"/>
          <w:sz w:val="24"/>
          <w:szCs w:val="24"/>
        </w:rPr>
        <w:t>predpisov</w:t>
      </w:r>
    </w:p>
    <w:p w14:paraId="2711DC2C" w14:textId="6D614477" w:rsidR="00054C41" w:rsidRPr="009924BB" w:rsidRDefault="00054C41" w:rsidP="00054C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 w:rsidR="009924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924BB" w:rsidRPr="009924BB">
        <w:rPr>
          <w:rFonts w:ascii="Times New Roman" w:eastAsia="Calibri" w:hAnsi="Times New Roman" w:cs="Times New Roman"/>
          <w:sz w:val="24"/>
          <w:szCs w:val="24"/>
        </w:rPr>
        <w:t>Ministerstvo životného prostredia S</w:t>
      </w:r>
      <w:r w:rsidR="00EC4D29">
        <w:rPr>
          <w:rFonts w:ascii="Times New Roman" w:eastAsia="Calibri" w:hAnsi="Times New Roman" w:cs="Times New Roman"/>
          <w:sz w:val="24"/>
          <w:szCs w:val="24"/>
        </w:rPr>
        <w:t>lovenskej republiky</w:t>
      </w:r>
    </w:p>
    <w:p w14:paraId="73384937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DBCE3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14:paraId="14243EB0" w14:textId="77777777" w:rsidR="00054C41" w:rsidRPr="001F1B43" w:rsidRDefault="00054C41" w:rsidP="00C21399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r w:rsidR="00C213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4D85A0D5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1: Zmeny nákladov (ročne) v prepočte na podnikateľské prostredie (PP), vyhodnotenie mechanizmu znižovania byrokracie a náklado</w:t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 xml:space="preserve">, náklady </w:t>
      </w:r>
      <w:proofErr w:type="spellStart"/>
      <w:r w:rsidR="00C929AE" w:rsidRPr="00804BC8">
        <w:rPr>
          <w:rFonts w:ascii="Times New Roman" w:eastAsia="Calibri" w:hAnsi="Times New Roman" w:cs="Times New Roman"/>
          <w:i/>
          <w:sz w:val="24"/>
          <w:szCs w:val="24"/>
        </w:rPr>
        <w:t>goldplatingu</w:t>
      </w:r>
      <w:proofErr w:type="spellEnd"/>
      <w:r w:rsidR="00C929AE">
        <w:rPr>
          <w:rStyle w:val="Odkaznapoznmkupodiarou"/>
          <w:rFonts w:ascii="Times New Roman" w:eastAsia="Calibri" w:hAnsi="Times New Roman" w:cs="Times New Roman"/>
          <w:i/>
          <w:sz w:val="24"/>
          <w:szCs w:val="24"/>
        </w:rPr>
        <w:footnoteReference w:id="1"/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>na podnikateľské prostredie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1A77DC61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Nahraďte rovnakou tabuľkou po vyplnení Kalkulačky nákladov podnikateľského prostredia, ktorá je povinnou prílohou tejto analýzy a nájdete ju na </w:t>
      </w:r>
      <w:hyperlink r:id="rId9" w:history="1">
        <w:r w:rsidRPr="00D8247C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webovom sídle MH SR</w:t>
        </w:r>
      </w:hyperlink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(ďalej len </w:t>
      </w: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Kalkulačka nákladov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tbl>
      <w:tblPr>
        <w:tblW w:w="95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40"/>
        <w:gridCol w:w="2623"/>
        <w:gridCol w:w="169"/>
        <w:gridCol w:w="160"/>
        <w:gridCol w:w="2293"/>
        <w:gridCol w:w="423"/>
        <w:gridCol w:w="160"/>
      </w:tblGrid>
      <w:tr w:rsidR="00C929AE" w:rsidRPr="00C929AE" w14:paraId="74CF9C31" w14:textId="77777777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64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EBE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7DC6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CAE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EB3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54FF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7BEF3D83" w14:textId="77777777" w:rsidTr="00804BC8">
        <w:trPr>
          <w:gridAfter w:val="2"/>
          <w:wAfter w:w="583" w:type="dxa"/>
          <w:trHeight w:val="45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F0AC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CD7A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 NÁKLADOV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67F96BD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7C6AD32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BF3C36" w:rsidRPr="00C929AE" w14:paraId="0F790483" w14:textId="77777777" w:rsidTr="00BF3C36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CF71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77A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Dane, odvody, clá a poplatky, ktorých cieľom je znižovať negatívne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externality</w:t>
            </w:r>
            <w:proofErr w:type="spellEnd"/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6C02A5A" w14:textId="3FDDD9C8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25A008" w14:textId="2BA014E7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126 792</w:t>
            </w:r>
          </w:p>
        </w:tc>
      </w:tr>
      <w:tr w:rsidR="00BF3C36" w:rsidRPr="00C929AE" w14:paraId="37B64D12" w14:textId="77777777" w:rsidTr="00BF3C36">
        <w:trPr>
          <w:gridAfter w:val="2"/>
          <w:wAfter w:w="583" w:type="dxa"/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D282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28E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B. Iné </w:t>
            </w:r>
            <w:r w:rsidRPr="0095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poplatky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8D91672" w14:textId="613B4205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B3EEA7A" w14:textId="4B046F12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3C36" w:rsidRPr="00C929AE" w14:paraId="21231540" w14:textId="77777777" w:rsidTr="00BF3C36">
        <w:trPr>
          <w:gridAfter w:val="2"/>
          <w:wAfter w:w="583" w:type="dxa"/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8407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EE3E" w14:textId="52C52C9B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Sankcie a pokuty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D07100" w14:textId="3D0E315E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8BFAD7" w14:textId="6A4BC429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3C36" w:rsidRPr="00C929AE" w14:paraId="280383DA" w14:textId="77777777" w:rsidTr="00BF3C36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F790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3BCF" w14:textId="0543F070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Nepriame finančné náklady 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ED34EA3" w14:textId="682457BA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7CA645" w14:textId="0B6DD4C7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3C36" w:rsidRPr="00C929AE" w14:paraId="547BC8DA" w14:textId="77777777" w:rsidTr="00BF3C36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6137F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A5AE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E. Administratívne náklady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</w:tcPr>
          <w:p w14:paraId="1A8F0D68" w14:textId="0F8894B6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</w:tcPr>
          <w:p w14:paraId="7D0218BB" w14:textId="05BDC95C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2 237</w:t>
            </w:r>
          </w:p>
        </w:tc>
      </w:tr>
      <w:tr w:rsidR="00BF3C36" w:rsidRPr="00C929AE" w14:paraId="10B7BDC5" w14:textId="77777777" w:rsidTr="00BF3C36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240B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9376" w14:textId="77777777" w:rsidR="00BF3C36" w:rsidRPr="00C929AE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Spolu = A+B+C+D</w:t>
            </w: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+E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829EB10" w14:textId="7A5E920C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2B8C72" w14:textId="772854CC" w:rsidR="00BF3C36" w:rsidRPr="00BF3C36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129 029</w:t>
            </w:r>
          </w:p>
        </w:tc>
      </w:tr>
      <w:tr w:rsidR="00C929AE" w:rsidRPr="00C929AE" w14:paraId="3B916623" w14:textId="77777777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E59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AB9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99773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3D73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3AE9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4F18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52849A6C" w14:textId="77777777" w:rsidTr="00804BC8">
        <w:trPr>
          <w:gridAfter w:val="2"/>
          <w:wAfter w:w="583" w:type="dxa"/>
          <w:trHeight w:val="4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0DC1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073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Harmonizácia práva EÚ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C0A5BA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8A2A444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C929AE" w:rsidRPr="00C929AE" w14:paraId="26126FD6" w14:textId="77777777" w:rsidTr="00804BC8">
        <w:trPr>
          <w:gridAfter w:val="2"/>
          <w:wAfter w:w="583" w:type="dxa"/>
          <w:trHeight w:val="8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34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E706" w14:textId="77777777" w:rsidR="00C929AE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F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. Úplná harmonizácia práva EÚ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="00C929AE"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 xml:space="preserve">(okrem daní, odvodov, ciel a poplatkov, ktorých cieľom je znižovať negatívne </w:t>
            </w:r>
            <w:proofErr w:type="spellStart"/>
            <w:r w:rsidR="00C929AE"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externality</w:t>
            </w:r>
            <w:proofErr w:type="spellEnd"/>
            <w:r w:rsidR="00C929AE"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CCB12B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CB565E3" w14:textId="39C3C7AF" w:rsidR="00C929AE" w:rsidRPr="00C929AE" w:rsidRDefault="00BF3C36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9AE" w:rsidRPr="00C929AE" w14:paraId="2B062396" w14:textId="77777777" w:rsidTr="00804BC8">
        <w:trPr>
          <w:gridAfter w:val="2"/>
          <w:wAfter w:w="583" w:type="dxa"/>
          <w:trHeight w:val="48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2B53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ED09" w14:textId="77777777" w:rsidR="00C929AE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Goldplating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9562F6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E025867" w14:textId="35B40184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BF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C929AE" w:rsidRPr="00C929AE" w14:paraId="665D2803" w14:textId="77777777" w:rsidTr="003A3124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05DD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B6FE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2019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FD74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5827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5CAAE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578385C8" w14:textId="77777777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DAC7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B60B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VÝPOČET PRAVIDLA 1in</w:t>
            </w:r>
            <w:r w:rsidR="00FC12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2out: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929B536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019C410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</w:p>
        </w:tc>
      </w:tr>
      <w:tr w:rsidR="00C929AE" w:rsidRPr="00C929AE" w14:paraId="4C7053DD" w14:textId="77777777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400A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BF89" w14:textId="3C21B0B5" w:rsidR="00C929AE" w:rsidRPr="00751DA9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51DA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sk-SK"/>
              </w:rPr>
              <w:t>H</w:t>
            </w:r>
            <w:r w:rsidR="00C929AE" w:rsidRPr="00751DA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="009F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Náklady okrem výnimiek = B+D</w:t>
            </w:r>
            <w:r w:rsidRPr="00751D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+E-F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02E1C703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A9C6235" w14:textId="36295520" w:rsidR="00C929AE" w:rsidRPr="00C929AE" w:rsidRDefault="00BF3C36" w:rsidP="00B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2 237</w:t>
            </w:r>
          </w:p>
        </w:tc>
      </w:tr>
    </w:tbl>
    <w:p w14:paraId="0C4E1024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  <w:sectPr w:rsidR="00054C41" w:rsidRPr="00895898" w:rsidSect="00142154">
          <w:headerReference w:type="default" r:id="rId10"/>
          <w:footerReference w:type="default" r:id="rId11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14:paraId="29CDFA2A" w14:textId="77777777" w:rsidR="00054C41" w:rsidRPr="001F1B43" w:rsidRDefault="00054C41" w:rsidP="00054C4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5E02E2DD" w14:textId="77777777" w:rsidR="00054C41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3951" w:type="dxa"/>
        <w:tblInd w:w="-5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740"/>
        <w:gridCol w:w="992"/>
        <w:gridCol w:w="1134"/>
        <w:gridCol w:w="1843"/>
        <w:gridCol w:w="992"/>
        <w:gridCol w:w="1160"/>
        <w:gridCol w:w="1108"/>
        <w:gridCol w:w="851"/>
        <w:gridCol w:w="843"/>
        <w:gridCol w:w="1000"/>
        <w:gridCol w:w="708"/>
        <w:gridCol w:w="1134"/>
      </w:tblGrid>
      <w:tr w:rsidR="00DE6ACB" w:rsidRPr="000A6B7F" w14:paraId="58E6573D" w14:textId="77777777" w:rsidTr="00751DA9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C62EAC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F95606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Zrozumiteľný a stručný opis regulácie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(dôvod zvýšenia/zníženia nákladov na PP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 dôvod ponechania nákladov na PP, ktoré sú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goldplatngom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660057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normy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(zákona, vyhlášky a 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27F37A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Lokalizácia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(§, ods.</w:t>
            </w:r>
            <w:r w:rsidR="00D11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 čl.,...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B4826A" w14:textId="77777777" w:rsidR="00DE6ACB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Pôvod regulácie: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/EÚ úplná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./</w:t>
            </w:r>
          </w:p>
          <w:p w14:paraId="3EFBCFFC" w14:textId="77777777" w:rsidR="00DE6ACB" w:rsidRPr="000A6B7F" w:rsidRDefault="006564C3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  <w:r w:rsidR="00DE6ACB"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oldplating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66C838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Účinnosť regulácie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1BE5BC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Kategória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492B87" w14:textId="77777777" w:rsidR="00D114ED" w:rsidRDefault="00DE6ACB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</w:t>
            </w:r>
          </w:p>
          <w:p w14:paraId="7A177F6E" w14:textId="6CE16312" w:rsidR="00DE6ACB" w:rsidRPr="00895898" w:rsidRDefault="00D114ED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subjektov </w:t>
            </w:r>
            <w:r w:rsidR="00047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80914C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1 podnik. v 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531801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kateg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 €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CCC0E6" w14:textId="77777777"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vplyvu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In (zvyšuje náklady) / </w:t>
            </w:r>
          </w:p>
          <w:p w14:paraId="3110E590" w14:textId="77777777"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(znižuje náklady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14:paraId="70438D04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/ Nemení 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85CC22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1in</w:t>
            </w:r>
          </w:p>
          <w:p w14:paraId="29F533F5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2out celkom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D6FE4B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Goldplating</w:t>
            </w:r>
            <w:proofErr w:type="spellEnd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celkom</w:t>
            </w:r>
          </w:p>
        </w:tc>
      </w:tr>
      <w:tr w:rsidR="00BF3C36" w:rsidRPr="00895898" w14:paraId="609FED73" w14:textId="77777777" w:rsidTr="00BF3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17ADB0C1" w14:textId="58EA1A50" w:rsidR="00BF3C36" w:rsidRPr="00895898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9DAC" w14:textId="7AB8DCF2" w:rsidR="00BF3C36" w:rsidRPr="00BF3C36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Zrušenie povinnosti platiť poplatky na odbery podzemných vôd na účely energetického využitia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CD37" w14:textId="21012A46" w:rsidR="00BF3C36" w:rsidRPr="00BF3C36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364/2004 Z. 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8908" w14:textId="44BF8ABC" w:rsidR="00BF3C36" w:rsidRPr="00BF3C36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79 odsek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A76A" w14:textId="033A16D5" w:rsidR="00BF3C36" w:rsidRPr="00BF3C36" w:rsidRDefault="00BF3C36" w:rsidP="00BF3C3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4721" w14:textId="2165430F" w:rsidR="00BF3C36" w:rsidRPr="00BF3C36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štvrťrok 2024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8A9C" w14:textId="14EE8382" w:rsidR="00BF3C36" w:rsidRPr="00BF3C36" w:rsidRDefault="00BF3C36" w:rsidP="00BF3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Podnikateľské subjekty odoberajúce predmetnú vodu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89C4" w14:textId="1F381E22" w:rsidR="00BF3C36" w:rsidRPr="00BF3C36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29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51139" w14:textId="46E8CFCC" w:rsidR="00BF3C36" w:rsidRPr="00BF3C36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4 449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9C91" w14:textId="6C78AFF4" w:rsidR="00BF3C36" w:rsidRPr="00BF3C36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129 029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0685" w14:textId="6D032497" w:rsidR="00BF3C36" w:rsidRPr="00BF3C36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Out</w:t>
            </w:r>
            <w:proofErr w:type="spellEnd"/>
            <w:r w:rsidRPr="00BF3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(znižuje náklady)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BFFDBA" w14:textId="333F6FA5" w:rsidR="00BF3C36" w:rsidRPr="00895898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2 237</w:t>
            </w:r>
          </w:p>
        </w:tc>
        <w:tc>
          <w:tcPr>
            <w:tcW w:w="1134" w:type="dxa"/>
            <w:vAlign w:val="center"/>
          </w:tcPr>
          <w:p w14:paraId="48758C9B" w14:textId="512D1C27" w:rsidR="00BF3C36" w:rsidRPr="00895898" w:rsidRDefault="00BF3C36" w:rsidP="00B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</w:tbl>
    <w:p w14:paraId="520734CD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i/>
        </w:rPr>
      </w:pPr>
    </w:p>
    <w:p w14:paraId="798179FB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054C41" w:rsidRPr="00895898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7318665" w14:textId="77777777" w:rsidR="00054C41" w:rsidRPr="001F1B43" w:rsidRDefault="00511F8F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3.1.3 </w:t>
      </w:r>
      <w:r w:rsidR="00054C41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Doplňujúce informácie k spôsobu výpočtu vplyvov jednotlivých regulácií na zmenu nákladov </w:t>
      </w:r>
    </w:p>
    <w:p w14:paraId="5DE2DBDE" w14:textId="3D41906E" w:rsidR="008D1BD7" w:rsidRDefault="008D1BD7" w:rsidP="00054C41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Celková suma </w:t>
      </w:r>
      <w:r w:rsidRPr="008D1BD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126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 </w:t>
      </w:r>
      <w:r w:rsidRPr="008D1BD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792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eur sú skutočné údaje uhradených poplatkov za rok 2022. Odberatelia, ktorých počet je 29, platili sumy od 9 eur po 20 466 eur ročne. Sumy sú násobkom odobratého množstva vody a jednotkovej sumy </w:t>
      </w:r>
      <w:r w:rsidRPr="008D1BD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0,0266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eur/m</w:t>
      </w:r>
      <w:r w:rsidRPr="008D1BD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 Informácie pochádzajú od SVP š.</w:t>
      </w:r>
      <w:r w:rsidR="009924B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p.</w:t>
      </w:r>
    </w:p>
    <w:p w14:paraId="174EAC9F" w14:textId="50BF9130" w:rsidR="0080387E" w:rsidRDefault="0080387E" w:rsidP="00054C41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64787B">
        <w:rPr>
          <w:rFonts w:ascii="Times New Roman" w:eastAsia="Calibri" w:hAnsi="Times New Roman" w:cs="Times New Roman"/>
          <w:iCs/>
          <w:sz w:val="24"/>
          <w:szCs w:val="24"/>
        </w:rPr>
        <w:t>Zní</w:t>
      </w:r>
      <w:r>
        <w:rPr>
          <w:rFonts w:ascii="Times New Roman" w:eastAsia="Calibri" w:hAnsi="Times New Roman" w:cs="Times New Roman"/>
          <w:iCs/>
          <w:sz w:val="24"/>
          <w:szCs w:val="24"/>
        </w:rPr>
        <w:t>ženie administratívnej záťaže súvisiacej s uhrádzaním poplatkov za odber predmetnej vody.</w:t>
      </w:r>
    </w:p>
    <w:p w14:paraId="560A04B2" w14:textId="6B4AD501" w:rsidR="000658C2" w:rsidRPr="000658C2" w:rsidRDefault="000658C2" w:rsidP="000658C2">
      <w:pPr>
        <w:pStyle w:val="Normlnywebov"/>
        <w:shd w:val="clear" w:color="auto" w:fill="FFFFFF"/>
        <w:spacing w:after="150" w:line="330" w:lineRule="atLeast"/>
        <w:jc w:val="both"/>
        <w:rPr>
          <w:rFonts w:eastAsia="Calibri"/>
          <w:bCs/>
          <w:iCs/>
          <w:color w:val="000000"/>
          <w:lang w:eastAsia="en-US"/>
        </w:rPr>
      </w:pPr>
      <w:r w:rsidRPr="000658C2">
        <w:rPr>
          <w:rFonts w:eastAsia="Calibri"/>
          <w:iCs/>
          <w:color w:val="000000"/>
          <w:lang w:eastAsia="en-US"/>
        </w:rPr>
        <w:t xml:space="preserve">Zaradenia tohto poplatku do kategórie poplatkov, ktorých cieľom je znižovať negatívne </w:t>
      </w:r>
      <w:proofErr w:type="spellStart"/>
      <w:r w:rsidR="00EC4D29">
        <w:rPr>
          <w:rFonts w:eastAsia="Calibri"/>
          <w:iCs/>
          <w:color w:val="000000"/>
          <w:lang w:eastAsia="en-US"/>
        </w:rPr>
        <w:t>externality</w:t>
      </w:r>
      <w:proofErr w:type="spellEnd"/>
      <w:r w:rsidR="00EC4D29">
        <w:rPr>
          <w:rFonts w:eastAsia="Calibri"/>
          <w:iCs/>
          <w:color w:val="000000"/>
          <w:lang w:eastAsia="en-US"/>
        </w:rPr>
        <w:t xml:space="preserve"> je z dôvodu, že tep</w:t>
      </w:r>
      <w:r w:rsidRPr="000658C2">
        <w:rPr>
          <w:rFonts w:eastAsia="Calibri"/>
          <w:iCs/>
          <w:color w:val="000000"/>
          <w:lang w:eastAsia="en-US"/>
        </w:rPr>
        <w:t>e</w:t>
      </w:r>
      <w:r w:rsidR="00EC4D29">
        <w:rPr>
          <w:rFonts w:eastAsia="Calibri"/>
          <w:iCs/>
          <w:color w:val="000000"/>
          <w:lang w:eastAsia="en-US"/>
        </w:rPr>
        <w:t>l</w:t>
      </w:r>
      <w:bookmarkStart w:id="0" w:name="_GoBack"/>
      <w:bookmarkEnd w:id="0"/>
      <w:r w:rsidRPr="000658C2">
        <w:rPr>
          <w:rFonts w:eastAsia="Calibri"/>
          <w:iCs/>
          <w:color w:val="000000"/>
          <w:lang w:eastAsia="en-US"/>
        </w:rPr>
        <w:t xml:space="preserve">né čerpadlá systém voda-voda patria k najefektívnejším, udržateľným a zároveň najtichším tepelným  čerpadlám. </w:t>
      </w:r>
      <w:r w:rsidRPr="000658C2">
        <w:rPr>
          <w:rFonts w:eastAsia="Calibri"/>
          <w:bCs/>
          <w:iCs/>
          <w:color w:val="000000"/>
          <w:lang w:eastAsia="en-US"/>
        </w:rPr>
        <w:t xml:space="preserve">Tepelné čerpadlo voda </w:t>
      </w:r>
      <w:proofErr w:type="spellStart"/>
      <w:r w:rsidRPr="000658C2">
        <w:rPr>
          <w:rFonts w:eastAsia="Calibri"/>
          <w:bCs/>
          <w:iCs/>
          <w:color w:val="000000"/>
          <w:lang w:eastAsia="en-US"/>
        </w:rPr>
        <w:t>voda</w:t>
      </w:r>
      <w:proofErr w:type="spellEnd"/>
      <w:r w:rsidRPr="000658C2">
        <w:rPr>
          <w:rFonts w:eastAsia="Calibri"/>
          <w:bCs/>
          <w:iCs/>
          <w:color w:val="000000"/>
          <w:lang w:eastAsia="en-US"/>
        </w:rPr>
        <w:t xml:space="preserve"> získava tepelnú energiu z podzemných vôd. V hĺbke 20 metrov pod povrchom má voda konštantnú teplotu medzi 7 až 12 °C. Vďaka tomu je toto médium vhodné použiť na kúrenie a ohrev teplej vody aj počas zimy.</w:t>
      </w:r>
    </w:p>
    <w:p w14:paraId="59631148" w14:textId="77777777" w:rsidR="000658C2" w:rsidRPr="000658C2" w:rsidRDefault="000658C2" w:rsidP="000658C2">
      <w:pPr>
        <w:shd w:val="clear" w:color="auto" w:fill="FFFFFF"/>
        <w:spacing w:after="150" w:line="330" w:lineRule="atLeast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0658C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Vodné tepelné čerpadlá dominujú trvalo svojou účinnosťou. Ich vykurovací faktor (COP) dosahuje hodnotu 4,5 pri W10/W35. V porovnaní so zemnými tepelnými čerpadlami sú účinnejšie až o 20%. Oproti vzduchovým čerpadlám je to ešte viac. </w:t>
      </w:r>
    </w:p>
    <w:p w14:paraId="3FB1450B" w14:textId="1D26646D" w:rsidR="001E24E8" w:rsidRDefault="001E24E8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14:paraId="0EB298DB" w14:textId="77777777" w:rsidR="00512BA7" w:rsidRPr="001F1B43" w:rsidRDefault="00511F8F" w:rsidP="00512BA7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3.1.4 </w:t>
      </w:r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Odôvodnenie</w:t>
      </w:r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goldplating</w:t>
      </w:r>
      <w:r w:rsidR="0016512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u</w:t>
      </w:r>
      <w:proofErr w:type="spellEnd"/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podľa bodu 4 časti III </w:t>
      </w:r>
      <w:r w:rsidR="00FA6FF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j</w:t>
      </w:r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ednotnej metodiky </w:t>
      </w:r>
      <w:r w:rsidR="00400B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a </w:t>
      </w:r>
      <w:r w:rsidR="00B21D1F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ďalšie</w:t>
      </w:r>
      <w:r w:rsidR="00400B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d</w:t>
      </w:r>
      <w:r w:rsidR="00512BA7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oplňujúce informácie</w:t>
      </w:r>
      <w:r w:rsidR="00512BA7">
        <w:rPr>
          <w:rStyle w:val="Odkaznapoznmkupodiarou"/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footnoteReference w:id="2"/>
      </w:r>
      <w:r w:rsidR="00512BA7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4BD96D6C" w14:textId="1B5B29BC" w:rsidR="00024EE4" w:rsidRDefault="0064787B" w:rsidP="00054C41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N/A</w:t>
      </w:r>
    </w:p>
    <w:p w14:paraId="135CD3FC" w14:textId="77777777" w:rsidR="0064787B" w:rsidRDefault="0064787B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55FBC" w14:textId="44B0C098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3.2 Vyhodnotenie konzultácií s podnikateľskými subjektmi pred predbežným pripomienkovým konaním</w:t>
      </w:r>
    </w:p>
    <w:p w14:paraId="2B642155" w14:textId="77777777" w:rsidR="004868A3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Uveďte formu konzultácií vrátane zdôvodnenia jej výberu a trvanie konzultácií, termíny stretnutí. </w:t>
      </w:r>
    </w:p>
    <w:p w14:paraId="5A9C5FA5" w14:textId="75805FF3" w:rsidR="004868A3" w:rsidRPr="004868A3" w:rsidRDefault="004868A3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8A3">
        <w:rPr>
          <w:rFonts w:ascii="Times New Roman" w:eastAsia="Calibri" w:hAnsi="Times New Roman" w:cs="Times New Roman"/>
          <w:sz w:val="24"/>
          <w:szCs w:val="24"/>
        </w:rPr>
        <w:t xml:space="preserve">Konzultácie s podnikateľskými subjektmi sa uskutočnili prezenčnou a online formou. Výber bol v zmysle navrhovanej úpravy týkajúcej sa výnimky spoplatnenia tepelných čerpadiel. </w:t>
      </w:r>
    </w:p>
    <w:p w14:paraId="49C67761" w14:textId="3C0E34E7" w:rsidR="00054C41" w:rsidRDefault="004868A3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Uveďte spôsob oslovenia dotknutých subjektov, zoznam konzultujúcich subjektov, tiež </w:t>
      </w:r>
      <w:proofErr w:type="spellStart"/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>link</w:t>
      </w:r>
      <w:proofErr w:type="spellEnd"/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na webovú stránku, na ktorej boli konzultácie zverejnené. </w:t>
      </w:r>
    </w:p>
    <w:p w14:paraId="58EDDF04" w14:textId="0F162230" w:rsidR="004868A3" w:rsidRPr="004868A3" w:rsidRDefault="004868A3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8A3">
        <w:rPr>
          <w:rFonts w:ascii="Times New Roman" w:eastAsia="Calibri" w:hAnsi="Times New Roman" w:cs="Times New Roman"/>
          <w:sz w:val="24"/>
          <w:szCs w:val="24"/>
        </w:rPr>
        <w:t>Oslovení boli telefonicky aj emailom, konzultácie trvali približne 1,5 hod.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Konzu</w:t>
      </w:r>
      <w:r w:rsidR="000705C7">
        <w:rPr>
          <w:rFonts w:ascii="Times New Roman" w:eastAsia="Calibri" w:hAnsi="Times New Roman" w:cs="Times New Roman"/>
          <w:sz w:val="24"/>
          <w:szCs w:val="24"/>
        </w:rPr>
        <w:t>ltácií sa zúčastnili zástupca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68A3">
        <w:rPr>
          <w:rFonts w:ascii="Times New Roman" w:eastAsia="Calibri" w:hAnsi="Times New Roman" w:cs="Times New Roman"/>
          <w:sz w:val="24"/>
          <w:szCs w:val="24"/>
        </w:rPr>
        <w:t>ENGIE Bratislava, Ing. Marián K</w:t>
      </w:r>
      <w:r w:rsidR="00403E64">
        <w:rPr>
          <w:rFonts w:ascii="Times New Roman" w:eastAsia="Calibri" w:hAnsi="Times New Roman" w:cs="Times New Roman"/>
          <w:sz w:val="24"/>
          <w:szCs w:val="24"/>
        </w:rPr>
        <w:t xml:space="preserve">lepáč, </w:t>
      </w:r>
      <w:r w:rsidR="000705C7">
        <w:rPr>
          <w:rFonts w:ascii="Times New Roman" w:eastAsia="Calibri" w:hAnsi="Times New Roman" w:cs="Times New Roman"/>
          <w:sz w:val="24"/>
          <w:szCs w:val="24"/>
        </w:rPr>
        <w:t>zástupcovia</w:t>
      </w:r>
      <w:r w:rsidR="000705C7" w:rsidRPr="000705C7">
        <w:rPr>
          <w:rFonts w:ascii="Times New Roman" w:eastAsia="Calibri" w:hAnsi="Times New Roman" w:cs="Times New Roman"/>
          <w:sz w:val="24"/>
          <w:szCs w:val="24"/>
        </w:rPr>
        <w:t xml:space="preserve"> Slovenského zväzu pre chladenie klimatizáciu a tepelne čerpadla, Ing. </w:t>
      </w:r>
      <w:proofErr w:type="spellStart"/>
      <w:r w:rsidR="000705C7" w:rsidRPr="000705C7">
        <w:rPr>
          <w:rFonts w:ascii="Times New Roman" w:eastAsia="Calibri" w:hAnsi="Times New Roman" w:cs="Times New Roman"/>
          <w:sz w:val="24"/>
          <w:szCs w:val="24"/>
        </w:rPr>
        <w:t>Orovnický</w:t>
      </w:r>
      <w:proofErr w:type="spellEnd"/>
      <w:r w:rsidR="000705C7" w:rsidRPr="000705C7">
        <w:rPr>
          <w:rFonts w:ascii="Times New Roman" w:eastAsia="Calibri" w:hAnsi="Times New Roman" w:cs="Times New Roman"/>
          <w:sz w:val="24"/>
          <w:szCs w:val="24"/>
        </w:rPr>
        <w:t xml:space="preserve"> Vladimír a Alexander Hyža</w:t>
      </w:r>
      <w:r w:rsidR="00403E64">
        <w:rPr>
          <w:rFonts w:ascii="Times New Roman" w:eastAsia="Calibri" w:hAnsi="Times New Roman" w:cs="Times New Roman"/>
          <w:sz w:val="24"/>
          <w:szCs w:val="24"/>
        </w:rPr>
        <w:t xml:space="preserve"> a zástupca SVP, š. p., Ing. Alena Bujnová</w:t>
      </w:r>
      <w:r w:rsidR="000705C7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="000705C7" w:rsidRPr="000705C7">
        <w:rPr>
          <w:rFonts w:ascii="Times New Roman" w:eastAsia="Calibri" w:hAnsi="Times New Roman" w:cs="Times New Roman"/>
          <w:sz w:val="24"/>
          <w:szCs w:val="24"/>
        </w:rPr>
        <w:t>Konzultácie boli zverejnené na portáli Slov-Lex od 26.2.2024 – 26.2.2024 prostredníctvom PI/2024/42.</w:t>
      </w:r>
    </w:p>
    <w:p w14:paraId="5DDE9409" w14:textId="77777777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Uveďte hlavné body konzultácií a ich závery. </w:t>
      </w:r>
    </w:p>
    <w:p w14:paraId="02108605" w14:textId="42E2AE69" w:rsidR="000705C7" w:rsidRPr="00403E64" w:rsidRDefault="00403E64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E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Ochrana </w:t>
      </w:r>
      <w:r w:rsidR="002E0F5E">
        <w:rPr>
          <w:rFonts w:ascii="Times New Roman" w:eastAsia="Calibri" w:hAnsi="Times New Roman" w:cs="Times New Roman"/>
          <w:sz w:val="24"/>
          <w:szCs w:val="24"/>
        </w:rPr>
        <w:t>vzduchu pred znečistením – redu</w:t>
      </w:r>
      <w:r w:rsidRPr="00403E64">
        <w:rPr>
          <w:rFonts w:ascii="Times New Roman" w:eastAsia="Calibri" w:hAnsi="Times New Roman" w:cs="Times New Roman"/>
          <w:sz w:val="24"/>
          <w:szCs w:val="24"/>
        </w:rPr>
        <w:t>kcia emisií CO2, ochrana vôd a výdavky na zabezpečovanie ochrany vôd, systém tepelných čerpadiel a udržateľnosť.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Otázka výnimky spoplatnenia tepelných čerpadiel.</w:t>
      </w:r>
    </w:p>
    <w:p w14:paraId="3EE20844" w14:textId="77777777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Uveďte zoznam predložených alternatívnych riešení problematiky od konzultujúcich subjektov, ako aj návrhy od konzultujúcich subjektov na zníženie nákladov regulácií na PP, ktoré neboli akceptované a dôvod neakceptovania. </w:t>
      </w:r>
    </w:p>
    <w:p w14:paraId="4B01CD65" w14:textId="360F3DE4" w:rsidR="00403E64" w:rsidRPr="001A2413" w:rsidRDefault="00403E64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413">
        <w:rPr>
          <w:rFonts w:ascii="Times New Roman" w:eastAsia="Calibri" w:hAnsi="Times New Roman" w:cs="Times New Roman"/>
          <w:sz w:val="24"/>
          <w:szCs w:val="24"/>
        </w:rPr>
        <w:t xml:space="preserve">Zástupca SVP, .š. p., vyjadril, že príjmy podniku budú nižšie o 130 000 eur, tieto poplatky mohli byť využívané na údržbu a ochranu vodný tokov a zdrojov. Návrh zástupcov SZCHKTP, aby štát vymáhal financie od znečisťovateľov. </w:t>
      </w:r>
      <w:r w:rsidR="00B31744">
        <w:rPr>
          <w:rFonts w:ascii="Times New Roman" w:eastAsia="Calibri" w:hAnsi="Times New Roman" w:cs="Times New Roman"/>
          <w:sz w:val="24"/>
          <w:szCs w:val="24"/>
        </w:rPr>
        <w:t>K typu TČ</w:t>
      </w:r>
      <w:r w:rsidR="001A2413" w:rsidRPr="001A2413">
        <w:rPr>
          <w:rFonts w:ascii="Times New Roman" w:eastAsia="Calibri" w:hAnsi="Times New Roman" w:cs="Times New Roman"/>
          <w:sz w:val="24"/>
          <w:szCs w:val="24"/>
        </w:rPr>
        <w:t xml:space="preserve"> voda-voda súhlasné stanovisko, že zníženie hluku, väčší výkon, aj udržateľnosť. </w:t>
      </w:r>
      <w:r w:rsidRPr="001A24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64013B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Alternatívne namiesto vypĺňania bodu 3.2 môžete uviesť ako samostatnú prílohu tejto analýzy Záznam z konzultácií obsahujúci požadované informácie. </w:t>
      </w:r>
    </w:p>
    <w:p w14:paraId="178FF6D3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8FCAD96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09C066C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</w:p>
    <w:bookmarkEnd w:id="1"/>
    <w:p w14:paraId="5CAF52B4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Dochádza k vytvoreniu resp. k zmene bariér na trhu? </w:t>
      </w:r>
    </w:p>
    <w:p w14:paraId="5382DC8D" w14:textId="78917D4F" w:rsidR="0064787B" w:rsidRDefault="0064787B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Bez vplyvu na vytváranie obchodných bariér</w:t>
      </w:r>
    </w:p>
    <w:p w14:paraId="4D049DE7" w14:textId="0DC9D711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Bude sa s niektorými podnikmi alebo produktmi zaobchádzať v porovnateľnej situácii rôzne (napr. špeciálne režimy pre </w:t>
      </w:r>
      <w:proofErr w:type="spellStart"/>
      <w:r w:rsidRPr="00D8247C">
        <w:rPr>
          <w:rFonts w:ascii="Times New Roman" w:eastAsia="Calibri" w:hAnsi="Times New Roman" w:cs="Times New Roman"/>
          <w:i/>
          <w:sz w:val="24"/>
          <w:szCs w:val="24"/>
        </w:rPr>
        <w:t>mikro</w:t>
      </w:r>
      <w:proofErr w:type="spellEnd"/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malé a stredné podniky tzv. MSP)? </w:t>
      </w:r>
    </w:p>
    <w:p w14:paraId="134C502A" w14:textId="266E999E" w:rsidR="0064787B" w:rsidRPr="0064787B" w:rsidRDefault="0064787B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</w:t>
      </w:r>
    </w:p>
    <w:p w14:paraId="452A90F1" w14:textId="5D10E98B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Ovplyvňuje zmena regulácie cezhraničné investície (príliv/odliv zahraničných investícií resp. uplatnenie slovenských podnikov na zahraničných trhoch)? </w:t>
      </w:r>
    </w:p>
    <w:p w14:paraId="6CDC4E63" w14:textId="708C96FA" w:rsidR="0064787B" w:rsidRPr="0064787B" w:rsidRDefault="0064787B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</w:t>
      </w:r>
    </w:p>
    <w:p w14:paraId="0D074838" w14:textId="3AEB8667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Ovplyvní dostupnosť základných zdrojov (financie, pracovná sila, suroviny, mechanizmy, energie atď.)? </w:t>
      </w:r>
    </w:p>
    <w:p w14:paraId="788FE246" w14:textId="7F2A86C3" w:rsidR="0064787B" w:rsidRPr="0064787B" w:rsidRDefault="0064787B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Zrušenie poplatkov môže zvýšiť dopyt po podzemnej vode na energetické účely. </w:t>
      </w:r>
    </w:p>
    <w:p w14:paraId="6B6A3793" w14:textId="14BA8DF7" w:rsidR="007259CB" w:rsidRDefault="007259CB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Ovplyvňuje zmena regulácie inovácie, vedu a výskum?</w:t>
      </w:r>
    </w:p>
    <w:p w14:paraId="53E4FA05" w14:textId="60F9A9F6" w:rsidR="0064787B" w:rsidRPr="0064787B" w:rsidRDefault="0064787B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</w:t>
      </w:r>
    </w:p>
    <w:p w14:paraId="64E2FB2F" w14:textId="57280817" w:rsidR="00BA19B0" w:rsidRDefault="00BA19B0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Ak bol identifikovaný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goldplating</w:t>
      </w:r>
      <w:proofErr w:type="spellEnd"/>
      <w:r w:rsidR="00581EB9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C14655">
        <w:rPr>
          <w:rFonts w:ascii="Times New Roman" w:eastAsia="Calibri" w:hAnsi="Times New Roman" w:cs="Times New Roman"/>
          <w:i/>
          <w:sz w:val="24"/>
          <w:szCs w:val="24"/>
        </w:rPr>
        <w:t xml:space="preserve"> prispieva k zníženiu konkurencieschopnosti a produktivity?</w:t>
      </w:r>
      <w:r w:rsidR="00581EB9">
        <w:rPr>
          <w:rFonts w:ascii="Times New Roman" w:eastAsia="Calibri" w:hAnsi="Times New Roman" w:cs="Times New Roman"/>
          <w:i/>
          <w:sz w:val="24"/>
          <w:szCs w:val="24"/>
        </w:rPr>
        <w:t xml:space="preserve"> Akým spôsobom?</w:t>
      </w:r>
    </w:p>
    <w:p w14:paraId="35CB4188" w14:textId="6A8E3904" w:rsidR="0064787B" w:rsidRPr="0064787B" w:rsidRDefault="0064787B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Nebol identifikovaný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goldplating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CB32C8" w14:textId="7F82D609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iCs/>
          <w:sz w:val="24"/>
          <w:szCs w:val="24"/>
        </w:rPr>
        <w:t>Ako prispieva zmena regulácie k cieľu Slovenska mať najlepšie podnikateľské prostredie spomedzi susediacich krajín EÚ?</w:t>
      </w:r>
    </w:p>
    <w:p w14:paraId="595A0C4E" w14:textId="2A38A70E" w:rsidR="0064787B" w:rsidRPr="0064787B" w:rsidRDefault="0064787B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Zanedbateľný vplyv.</w:t>
      </w:r>
    </w:p>
    <w:p w14:paraId="78681465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BE35CB4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14:paraId="6C684286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14:paraId="76CD0669" w14:textId="7C1F4BFE" w:rsidR="00054C41" w:rsidRPr="00D8247C" w:rsidRDefault="00824E99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EndPr/>
        <w:sdtContent>
          <w:r w:rsidR="0064787B">
            <w:rPr>
              <w:rFonts w:ascii="Times New Roman" w:eastAsia="Calibri" w:hAnsi="Times New Roman" w:cs="Times New Roman"/>
              <w:i/>
              <w:sz w:val="24"/>
              <w:szCs w:val="24"/>
            </w:rPr>
            <w:t>X</w:t>
          </w:r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327BF48A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61187D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14:paraId="1FF562C2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Aký má materiál vplyv na zmenu pomeru medzi produkciou podnikov a ich nákladmi? </w:t>
      </w:r>
    </w:p>
    <w:p w14:paraId="23DA5CCF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B272ABF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14:paraId="789FA80A" w14:textId="4A8F328A" w:rsidR="00054C41" w:rsidRPr="00D8247C" w:rsidRDefault="00824E99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222205104"/>
            </w:sdtPr>
            <w:sdtEndPr/>
            <w:sdtContent>
              <w:r w:rsidR="0064787B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1FFE92DA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4547B8F" w14:textId="77777777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14BF91" w14:textId="77777777" w:rsidR="00E30D85" w:rsidRPr="00D8247C" w:rsidRDefault="00E30D85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05F45F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p w14:paraId="43DDBA26" w14:textId="77777777" w:rsidR="0064787B" w:rsidRDefault="0064787B" w:rsidP="0064787B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24DBDFC" w14:textId="77777777" w:rsidR="00B21D1F" w:rsidRDefault="00B21D1F" w:rsidP="0005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016300C" w14:textId="77777777" w:rsidR="0064787B" w:rsidRDefault="0064787B" w:rsidP="0005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87741DD" w14:textId="77777777" w:rsidR="0064787B" w:rsidRDefault="0064787B" w:rsidP="0005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12EC2EC" w14:textId="77777777" w:rsidR="0064787B" w:rsidRDefault="0064787B" w:rsidP="0005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sectPr w:rsidR="0064787B" w:rsidSect="0023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DA6E8" w14:textId="77777777" w:rsidR="00824E99" w:rsidRDefault="00824E99" w:rsidP="00054C41">
      <w:pPr>
        <w:spacing w:after="0" w:line="240" w:lineRule="auto"/>
      </w:pPr>
      <w:r>
        <w:separator/>
      </w:r>
    </w:p>
  </w:endnote>
  <w:endnote w:type="continuationSeparator" w:id="0">
    <w:p w14:paraId="7DF84CCC" w14:textId="77777777" w:rsidR="00824E99" w:rsidRDefault="00824E99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55F2F5" w14:textId="3EF8BA37" w:rsidR="00BF3C36" w:rsidRPr="006045CB" w:rsidRDefault="00BF3C36" w:rsidP="00054C4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4D2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56761F" w14:textId="77777777" w:rsidR="00BF3C36" w:rsidRPr="00FF7125" w:rsidRDefault="00BF3C36" w:rsidP="00054C41">
    <w:pPr>
      <w:pStyle w:val="Pta"/>
      <w:rPr>
        <w:sz w:val="24"/>
        <w:szCs w:val="24"/>
      </w:rPr>
    </w:pPr>
  </w:p>
  <w:p w14:paraId="20FE6A4A" w14:textId="77777777" w:rsidR="00BF3C36" w:rsidRDefault="00BF3C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A0E45" w14:textId="77777777" w:rsidR="00824E99" w:rsidRDefault="00824E99" w:rsidP="00054C41">
      <w:pPr>
        <w:spacing w:after="0" w:line="240" w:lineRule="auto"/>
      </w:pPr>
      <w:r>
        <w:separator/>
      </w:r>
    </w:p>
  </w:footnote>
  <w:footnote w:type="continuationSeparator" w:id="0">
    <w:p w14:paraId="5D6CCFFF" w14:textId="77777777" w:rsidR="00824E99" w:rsidRDefault="00824E99" w:rsidP="00054C41">
      <w:pPr>
        <w:spacing w:after="0" w:line="240" w:lineRule="auto"/>
      </w:pPr>
      <w:r>
        <w:continuationSeparator/>
      </w:r>
    </w:p>
  </w:footnote>
  <w:footnote w:id="1">
    <w:p w14:paraId="6CC680CB" w14:textId="6BF8CDC6" w:rsidR="00BF3C36" w:rsidRPr="000A6B7F" w:rsidRDefault="00BF3C36" w:rsidP="00C929AE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0A6B7F">
        <w:rPr>
          <w:rFonts w:ascii="Times New Roman" w:hAnsi="Times New Roman" w:cs="Times New Roman"/>
        </w:rPr>
        <w:t xml:space="preserve">Definícia </w:t>
      </w:r>
      <w:proofErr w:type="spellStart"/>
      <w:r w:rsidRPr="000A6B7F">
        <w:rPr>
          <w:rFonts w:ascii="Times New Roman" w:hAnsi="Times New Roman" w:cs="Times New Roman"/>
        </w:rPr>
        <w:t>goldplatingu</w:t>
      </w:r>
      <w:proofErr w:type="spellEnd"/>
      <w:r w:rsidRPr="000A6B7F">
        <w:rPr>
          <w:rFonts w:ascii="Times New Roman" w:hAnsi="Times New Roman" w:cs="Times New Roman"/>
        </w:rPr>
        <w:t xml:space="preserve"> </w:t>
      </w:r>
      <w:r w:rsidRPr="00D114ED">
        <w:rPr>
          <w:rFonts w:ascii="Times New Roman" w:hAnsi="Times New Roman" w:cs="Times New Roman"/>
        </w:rPr>
        <w:t>je uvedená v bode 4 časti III. jednotnej metodiky.</w:t>
      </w:r>
    </w:p>
  </w:footnote>
  <w:footnote w:id="2">
    <w:p w14:paraId="1647D7DF" w14:textId="77777777" w:rsidR="00BF3C36" w:rsidRPr="00804BC8" w:rsidRDefault="00BF3C36" w:rsidP="00804BC8">
      <w:pPr>
        <w:pStyle w:val="Textpoznmkypodiarou"/>
        <w:jc w:val="both"/>
        <w:rPr>
          <w:rFonts w:ascii="Times New Roman" w:hAnsi="Times New Roman" w:cs="Times New Roman"/>
        </w:rPr>
      </w:pPr>
      <w:r w:rsidRPr="0099544D">
        <w:rPr>
          <w:rStyle w:val="Odkaznapoznmkupodiarou"/>
          <w:rFonts w:ascii="Times New Roman" w:hAnsi="Times New Roman" w:cs="Times New Roman"/>
        </w:rPr>
        <w:footnoteRef/>
      </w:r>
      <w:r w:rsidRPr="0099544D">
        <w:rPr>
          <w:rFonts w:ascii="Times New Roman" w:hAnsi="Times New Roman" w:cs="Times New Roman"/>
        </w:rPr>
        <w:t xml:space="preserve"> </w:t>
      </w:r>
      <w:r w:rsidRPr="00804BC8">
        <w:rPr>
          <w:rFonts w:ascii="Times New Roman" w:hAnsi="Times New Roman" w:cs="Times New Roman"/>
        </w:rPr>
        <w:t xml:space="preserve">Informácie sa uvádzajú  iba v prípade, ak sa predkladaným návrhom regulácie vykonáva transpozícia smernice </w:t>
      </w:r>
      <w:r w:rsidRPr="0099544D">
        <w:rPr>
          <w:rFonts w:ascii="Times New Roman" w:hAnsi="Times New Roman" w:cs="Times New Roman"/>
        </w:rPr>
        <w:t>EÚ</w:t>
      </w:r>
      <w:r w:rsidRPr="00804BC8">
        <w:rPr>
          <w:rFonts w:ascii="Times New Roman" w:hAnsi="Times New Roman" w:cs="Times New Roman"/>
        </w:rPr>
        <w:t xml:space="preserve"> a bol identifikovaný </w:t>
      </w:r>
      <w:proofErr w:type="spellStart"/>
      <w:r w:rsidRPr="00804BC8">
        <w:rPr>
          <w:rFonts w:ascii="Times New Roman" w:hAnsi="Times New Roman" w:cs="Times New Roman"/>
        </w:rPr>
        <w:t>goldplating</w:t>
      </w:r>
      <w:proofErr w:type="spellEnd"/>
      <w:r w:rsidRPr="00804BC8">
        <w:rPr>
          <w:rFonts w:ascii="Times New Roman" w:hAnsi="Times New Roman" w:cs="Times New Roman"/>
        </w:rPr>
        <w:t xml:space="preserve"> podľa tabuľky zhody alebo sa vykonáva implementácia nariadenia EÚ s </w:t>
      </w:r>
      <w:proofErr w:type="spellStart"/>
      <w:r w:rsidRPr="00804BC8">
        <w:rPr>
          <w:rFonts w:ascii="Times New Roman" w:hAnsi="Times New Roman" w:cs="Times New Roman"/>
        </w:rPr>
        <w:t>goldplatingom</w:t>
      </w:r>
      <w:proofErr w:type="spellEnd"/>
      <w:r w:rsidRPr="00804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Informácie sa uvádzajú aj v prípade</w:t>
      </w:r>
      <w:r w:rsidRPr="00CF4D09">
        <w:rPr>
          <w:rFonts w:ascii="Times New Roman" w:hAnsi="Times New Roman" w:cs="Times New Roman"/>
        </w:rPr>
        <w:t xml:space="preserve"> (ak nejde o transpozíciu smernice EÚ alebo implementáciu nariadenia EÚ)</w:t>
      </w:r>
      <w:r>
        <w:rPr>
          <w:rFonts w:ascii="Times New Roman" w:hAnsi="Times New Roman" w:cs="Times New Roman"/>
        </w:rPr>
        <w:t xml:space="preserve">, ak sa predloženým návrhom odstraňuje </w:t>
      </w:r>
      <w:proofErr w:type="spellStart"/>
      <w:r>
        <w:rPr>
          <w:rFonts w:ascii="Times New Roman" w:hAnsi="Times New Roman" w:cs="Times New Roman"/>
        </w:rPr>
        <w:t>goldplating</w:t>
      </w:r>
      <w:proofErr w:type="spellEnd"/>
      <w:r>
        <w:rPr>
          <w:rFonts w:ascii="Times New Roman" w:hAnsi="Times New Roman" w:cs="Times New Roman"/>
        </w:rPr>
        <w:t>, ktorého pôvod je v skoršom zachovaní existujúcej právnej úpravy (existujúcich vnútroštátnych požiadaviek).</w:t>
      </w:r>
    </w:p>
    <w:p w14:paraId="5D313DAF" w14:textId="77777777" w:rsidR="00BF3C36" w:rsidRDefault="00BF3C36" w:rsidP="00512BA7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8E6B" w14:textId="77777777" w:rsidR="00BF3C36" w:rsidRPr="006045CB" w:rsidRDefault="00BF3C36" w:rsidP="0014215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3a</w:t>
    </w:r>
  </w:p>
  <w:p w14:paraId="4B2D726A" w14:textId="77777777" w:rsidR="00BF3C36" w:rsidRPr="006045CB" w:rsidRDefault="00BF3C36" w:rsidP="001421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26B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2F49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4294"/>
    <w:multiLevelType w:val="hybridMultilevel"/>
    <w:tmpl w:val="DB90B4D4"/>
    <w:lvl w:ilvl="0" w:tplc="A80C46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7276D"/>
    <w:multiLevelType w:val="hybridMultilevel"/>
    <w:tmpl w:val="50AE8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570F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52805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D0C6E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2425A"/>
    <w:rsid w:val="00024EE4"/>
    <w:rsid w:val="00047C70"/>
    <w:rsid w:val="00050AAB"/>
    <w:rsid w:val="00054A53"/>
    <w:rsid w:val="00054C41"/>
    <w:rsid w:val="00060DA1"/>
    <w:rsid w:val="00061E85"/>
    <w:rsid w:val="000658C2"/>
    <w:rsid w:val="000705C7"/>
    <w:rsid w:val="000820E0"/>
    <w:rsid w:val="00091A43"/>
    <w:rsid w:val="0009490E"/>
    <w:rsid w:val="000A6B7F"/>
    <w:rsid w:val="000C5419"/>
    <w:rsid w:val="000C5E9A"/>
    <w:rsid w:val="000D15F0"/>
    <w:rsid w:val="0011003B"/>
    <w:rsid w:val="001133DA"/>
    <w:rsid w:val="00116BAE"/>
    <w:rsid w:val="00126A2B"/>
    <w:rsid w:val="00142154"/>
    <w:rsid w:val="001476A4"/>
    <w:rsid w:val="00162C6C"/>
    <w:rsid w:val="0016512E"/>
    <w:rsid w:val="00176B56"/>
    <w:rsid w:val="0018715C"/>
    <w:rsid w:val="001A1561"/>
    <w:rsid w:val="001A2413"/>
    <w:rsid w:val="001B4C03"/>
    <w:rsid w:val="001C7B91"/>
    <w:rsid w:val="001D1083"/>
    <w:rsid w:val="001D3FA0"/>
    <w:rsid w:val="001E24E8"/>
    <w:rsid w:val="001E53CB"/>
    <w:rsid w:val="00207F43"/>
    <w:rsid w:val="002232D3"/>
    <w:rsid w:val="00225A83"/>
    <w:rsid w:val="00231B8F"/>
    <w:rsid w:val="00270EA5"/>
    <w:rsid w:val="002712B9"/>
    <w:rsid w:val="00284B8C"/>
    <w:rsid w:val="0029483F"/>
    <w:rsid w:val="002C2FC0"/>
    <w:rsid w:val="002E0F5E"/>
    <w:rsid w:val="00302A17"/>
    <w:rsid w:val="00314D25"/>
    <w:rsid w:val="00315BE2"/>
    <w:rsid w:val="003322EE"/>
    <w:rsid w:val="00337630"/>
    <w:rsid w:val="00340CFD"/>
    <w:rsid w:val="003413D5"/>
    <w:rsid w:val="00342621"/>
    <w:rsid w:val="00357F22"/>
    <w:rsid w:val="0036748D"/>
    <w:rsid w:val="00376039"/>
    <w:rsid w:val="0038255E"/>
    <w:rsid w:val="00391648"/>
    <w:rsid w:val="0039304E"/>
    <w:rsid w:val="0039334E"/>
    <w:rsid w:val="00394AD2"/>
    <w:rsid w:val="003A02AF"/>
    <w:rsid w:val="003A3124"/>
    <w:rsid w:val="003A686F"/>
    <w:rsid w:val="003E28E7"/>
    <w:rsid w:val="003E58B8"/>
    <w:rsid w:val="003F06D7"/>
    <w:rsid w:val="00400224"/>
    <w:rsid w:val="00400BA5"/>
    <w:rsid w:val="00403E64"/>
    <w:rsid w:val="00410E62"/>
    <w:rsid w:val="00414FA7"/>
    <w:rsid w:val="00420090"/>
    <w:rsid w:val="004239D1"/>
    <w:rsid w:val="00445638"/>
    <w:rsid w:val="00446432"/>
    <w:rsid w:val="00446512"/>
    <w:rsid w:val="00466D7A"/>
    <w:rsid w:val="0048237B"/>
    <w:rsid w:val="00484D16"/>
    <w:rsid w:val="004868A3"/>
    <w:rsid w:val="00491853"/>
    <w:rsid w:val="004A14CD"/>
    <w:rsid w:val="004A2C6B"/>
    <w:rsid w:val="004D20CB"/>
    <w:rsid w:val="004D65B2"/>
    <w:rsid w:val="004D681D"/>
    <w:rsid w:val="004E2324"/>
    <w:rsid w:val="004F63E6"/>
    <w:rsid w:val="005103DA"/>
    <w:rsid w:val="00511F8F"/>
    <w:rsid w:val="00512BA7"/>
    <w:rsid w:val="00515726"/>
    <w:rsid w:val="00562527"/>
    <w:rsid w:val="00562A1E"/>
    <w:rsid w:val="00563427"/>
    <w:rsid w:val="00581EB9"/>
    <w:rsid w:val="005B4E6E"/>
    <w:rsid w:val="005B56E4"/>
    <w:rsid w:val="005C795C"/>
    <w:rsid w:val="005D0E50"/>
    <w:rsid w:val="005D10E2"/>
    <w:rsid w:val="005D39D8"/>
    <w:rsid w:val="0061097B"/>
    <w:rsid w:val="0061454F"/>
    <w:rsid w:val="0061612F"/>
    <w:rsid w:val="006177C8"/>
    <w:rsid w:val="0062600A"/>
    <w:rsid w:val="0063777D"/>
    <w:rsid w:val="00643358"/>
    <w:rsid w:val="00646084"/>
    <w:rsid w:val="0064787B"/>
    <w:rsid w:val="006564C3"/>
    <w:rsid w:val="006578CB"/>
    <w:rsid w:val="006A4E85"/>
    <w:rsid w:val="006A60C0"/>
    <w:rsid w:val="006A712F"/>
    <w:rsid w:val="006B5D74"/>
    <w:rsid w:val="006C25BE"/>
    <w:rsid w:val="006D7AD8"/>
    <w:rsid w:val="006E570B"/>
    <w:rsid w:val="006F1D57"/>
    <w:rsid w:val="0070364C"/>
    <w:rsid w:val="00710EDF"/>
    <w:rsid w:val="0072221D"/>
    <w:rsid w:val="0072357C"/>
    <w:rsid w:val="007259CB"/>
    <w:rsid w:val="00726031"/>
    <w:rsid w:val="00751DA9"/>
    <w:rsid w:val="00755E69"/>
    <w:rsid w:val="007648EE"/>
    <w:rsid w:val="0077106D"/>
    <w:rsid w:val="00780ACC"/>
    <w:rsid w:val="00787A11"/>
    <w:rsid w:val="00797B40"/>
    <w:rsid w:val="007A0C9D"/>
    <w:rsid w:val="007B40FB"/>
    <w:rsid w:val="007B62AF"/>
    <w:rsid w:val="007E24B2"/>
    <w:rsid w:val="007E2DA4"/>
    <w:rsid w:val="007E6815"/>
    <w:rsid w:val="007E7632"/>
    <w:rsid w:val="007F1C84"/>
    <w:rsid w:val="007F4579"/>
    <w:rsid w:val="00801596"/>
    <w:rsid w:val="0080387E"/>
    <w:rsid w:val="00804BC8"/>
    <w:rsid w:val="00806E23"/>
    <w:rsid w:val="00807981"/>
    <w:rsid w:val="00823F5A"/>
    <w:rsid w:val="00824E99"/>
    <w:rsid w:val="00845D3B"/>
    <w:rsid w:val="008634E9"/>
    <w:rsid w:val="008801B5"/>
    <w:rsid w:val="00880578"/>
    <w:rsid w:val="00882407"/>
    <w:rsid w:val="008920C3"/>
    <w:rsid w:val="00894052"/>
    <w:rsid w:val="008A7B87"/>
    <w:rsid w:val="008B4AA1"/>
    <w:rsid w:val="008C1C71"/>
    <w:rsid w:val="008D1BD7"/>
    <w:rsid w:val="008E1AD0"/>
    <w:rsid w:val="008E315F"/>
    <w:rsid w:val="008E6B82"/>
    <w:rsid w:val="008F6ADE"/>
    <w:rsid w:val="0091269B"/>
    <w:rsid w:val="00923C0C"/>
    <w:rsid w:val="0095170D"/>
    <w:rsid w:val="00952CF6"/>
    <w:rsid w:val="00960413"/>
    <w:rsid w:val="00981995"/>
    <w:rsid w:val="00981C7F"/>
    <w:rsid w:val="00985515"/>
    <w:rsid w:val="00990813"/>
    <w:rsid w:val="009924BB"/>
    <w:rsid w:val="0099544D"/>
    <w:rsid w:val="00997513"/>
    <w:rsid w:val="009A0E2C"/>
    <w:rsid w:val="009A4D56"/>
    <w:rsid w:val="009B1F04"/>
    <w:rsid w:val="009E09F7"/>
    <w:rsid w:val="009E2D5C"/>
    <w:rsid w:val="009E3E44"/>
    <w:rsid w:val="009F4175"/>
    <w:rsid w:val="009F66A4"/>
    <w:rsid w:val="009F6C80"/>
    <w:rsid w:val="00A000DA"/>
    <w:rsid w:val="00A1736E"/>
    <w:rsid w:val="00A216DF"/>
    <w:rsid w:val="00A33F2C"/>
    <w:rsid w:val="00A50EE3"/>
    <w:rsid w:val="00A60B57"/>
    <w:rsid w:val="00A83E11"/>
    <w:rsid w:val="00A94A0F"/>
    <w:rsid w:val="00AA3C6D"/>
    <w:rsid w:val="00AA6A46"/>
    <w:rsid w:val="00AB57C4"/>
    <w:rsid w:val="00B11CF5"/>
    <w:rsid w:val="00B209FA"/>
    <w:rsid w:val="00B21D1F"/>
    <w:rsid w:val="00B31744"/>
    <w:rsid w:val="00B410BA"/>
    <w:rsid w:val="00B43D68"/>
    <w:rsid w:val="00B44A3A"/>
    <w:rsid w:val="00B5600C"/>
    <w:rsid w:val="00B66E33"/>
    <w:rsid w:val="00B72FB1"/>
    <w:rsid w:val="00B953DA"/>
    <w:rsid w:val="00BA19B0"/>
    <w:rsid w:val="00BB3870"/>
    <w:rsid w:val="00BB45A7"/>
    <w:rsid w:val="00BD0EF7"/>
    <w:rsid w:val="00BD6778"/>
    <w:rsid w:val="00BF3C36"/>
    <w:rsid w:val="00C01599"/>
    <w:rsid w:val="00C048D1"/>
    <w:rsid w:val="00C05563"/>
    <w:rsid w:val="00C11132"/>
    <w:rsid w:val="00C115B9"/>
    <w:rsid w:val="00C12FDD"/>
    <w:rsid w:val="00C145AA"/>
    <w:rsid w:val="00C14655"/>
    <w:rsid w:val="00C21399"/>
    <w:rsid w:val="00C446E2"/>
    <w:rsid w:val="00C51FEE"/>
    <w:rsid w:val="00C535F5"/>
    <w:rsid w:val="00C560C4"/>
    <w:rsid w:val="00C6748F"/>
    <w:rsid w:val="00C74337"/>
    <w:rsid w:val="00C75DC8"/>
    <w:rsid w:val="00C929AE"/>
    <w:rsid w:val="00C94684"/>
    <w:rsid w:val="00CA23E5"/>
    <w:rsid w:val="00CA4344"/>
    <w:rsid w:val="00CA6348"/>
    <w:rsid w:val="00CB1232"/>
    <w:rsid w:val="00CB17A0"/>
    <w:rsid w:val="00CC3B7D"/>
    <w:rsid w:val="00CD5AE4"/>
    <w:rsid w:val="00CD5E86"/>
    <w:rsid w:val="00CE3B21"/>
    <w:rsid w:val="00CF4D09"/>
    <w:rsid w:val="00D005F2"/>
    <w:rsid w:val="00D03A8E"/>
    <w:rsid w:val="00D114ED"/>
    <w:rsid w:val="00D3032C"/>
    <w:rsid w:val="00D31A3B"/>
    <w:rsid w:val="00D376AF"/>
    <w:rsid w:val="00D5309D"/>
    <w:rsid w:val="00D631FA"/>
    <w:rsid w:val="00D71064"/>
    <w:rsid w:val="00D811BB"/>
    <w:rsid w:val="00D82356"/>
    <w:rsid w:val="00D84EEE"/>
    <w:rsid w:val="00D90A61"/>
    <w:rsid w:val="00D946EF"/>
    <w:rsid w:val="00D95553"/>
    <w:rsid w:val="00DC355F"/>
    <w:rsid w:val="00DD1E4C"/>
    <w:rsid w:val="00DE331A"/>
    <w:rsid w:val="00DE6ACB"/>
    <w:rsid w:val="00DF02CE"/>
    <w:rsid w:val="00DF1462"/>
    <w:rsid w:val="00E030DA"/>
    <w:rsid w:val="00E214C0"/>
    <w:rsid w:val="00E30D85"/>
    <w:rsid w:val="00E444EB"/>
    <w:rsid w:val="00E52F68"/>
    <w:rsid w:val="00E77A69"/>
    <w:rsid w:val="00E81A42"/>
    <w:rsid w:val="00E961E8"/>
    <w:rsid w:val="00E96244"/>
    <w:rsid w:val="00E96DE0"/>
    <w:rsid w:val="00EB2BEC"/>
    <w:rsid w:val="00EB74BF"/>
    <w:rsid w:val="00EC0704"/>
    <w:rsid w:val="00EC4D29"/>
    <w:rsid w:val="00EC508B"/>
    <w:rsid w:val="00EC735E"/>
    <w:rsid w:val="00ED6B5D"/>
    <w:rsid w:val="00EE4C99"/>
    <w:rsid w:val="00F153D7"/>
    <w:rsid w:val="00F1599C"/>
    <w:rsid w:val="00F2433F"/>
    <w:rsid w:val="00F244DC"/>
    <w:rsid w:val="00F378F4"/>
    <w:rsid w:val="00F47912"/>
    <w:rsid w:val="00F541B6"/>
    <w:rsid w:val="00F57702"/>
    <w:rsid w:val="00F61361"/>
    <w:rsid w:val="00F613E8"/>
    <w:rsid w:val="00F74D3C"/>
    <w:rsid w:val="00F74FC9"/>
    <w:rsid w:val="00F91F47"/>
    <w:rsid w:val="00FA4F36"/>
    <w:rsid w:val="00FA6FFE"/>
    <w:rsid w:val="00FC121B"/>
    <w:rsid w:val="00FD3DFB"/>
    <w:rsid w:val="00FF0272"/>
    <w:rsid w:val="00FF14F6"/>
    <w:rsid w:val="00FF414B"/>
    <w:rsid w:val="00FF4B7A"/>
    <w:rsid w:val="00FF6FF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44A8"/>
  <w15:docId w15:val="{4971B98A-309B-41B5-937D-82CDFE4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ind w:left="720"/>
      <w:contextualSpacing/>
    </w:pPr>
  </w:style>
  <w:style w:type="paragraph" w:customStyle="1" w:styleId="gmail-m-1648484718305530482msolistparagraph">
    <w:name w:val="gmail-m_-1648484718305530482msolistparagraph"/>
    <w:basedOn w:val="Normlny"/>
    <w:rsid w:val="00A50EE3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9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9A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9AE"/>
    <w:rPr>
      <w:vertAlign w:val="superscript"/>
    </w:rPr>
  </w:style>
  <w:style w:type="paragraph" w:styleId="Revzia">
    <w:name w:val="Revision"/>
    <w:hidden/>
    <w:uiPriority w:val="99"/>
    <w:semiHidden/>
    <w:rsid w:val="00DE6ACB"/>
    <w:pPr>
      <w:spacing w:after="0" w:line="240" w:lineRule="auto"/>
    </w:pPr>
  </w:style>
  <w:style w:type="character" w:customStyle="1" w:styleId="norm00e1lnychar1">
    <w:name w:val="norm_00e1lny__char1"/>
    <w:rsid w:val="000658C2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character" w:styleId="Siln">
    <w:name w:val="Strong"/>
    <w:basedOn w:val="Predvolenpsmoodseku"/>
    <w:uiPriority w:val="22"/>
    <w:qFormat/>
    <w:rsid w:val="00065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hsr.sk/podnikatelske-prostredie/lepsia-regulacia/regulacne-zatazenie/kalkulacka-nakladov-regulaci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-3a-AVnaPP-do-MPK"/>
    <f:field ref="objsubject" par="" edit="true" text=""/>
    <f:field ref="objcreatedby" par="" text="Pavlíková, Katarína, Mgr."/>
    <f:field ref="objcreatedat" par="" text="10.11.2022 9:46:51"/>
    <f:field ref="objchangedby" par="" text="Administrator, System"/>
    <f:field ref="objmodifiedat" par="" text="10.11.2022 9:46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51CB7C4-0807-4C6E-BABE-4150A4E5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Pavlikova Katarina</dc:creator>
  <cp:lastModifiedBy>Cao Tienová Laura</cp:lastModifiedBy>
  <cp:revision>2</cp:revision>
  <dcterms:created xsi:type="dcterms:W3CDTF">2024-03-27T07:50:00Z</dcterms:created>
  <dcterms:modified xsi:type="dcterms:W3CDTF">2024-03-27T07:50:00Z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COO.2145.1000.3.5328105</vt:lpwstr>
  </property>
  <property fmtid="{D5CDD505-2E9C-101B-9397-08002B2CF9AE}" pid="152" name="FSC#FSCFOLIO@1.1001:docpropproject">
    <vt:lpwstr/>
  </property>
</Properties>
</file>