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DD8" w:rsidRPr="00A64D2D" w:rsidRDefault="00987DD8" w:rsidP="00987DD8">
      <w:pPr>
        <w:widowControl/>
        <w:jc w:val="center"/>
        <w:rPr>
          <w:b/>
          <w:caps/>
          <w:color w:val="000000"/>
          <w:spacing w:val="30"/>
        </w:rPr>
      </w:pPr>
      <w:r w:rsidRPr="00A64D2D">
        <w:rPr>
          <w:b/>
          <w:caps/>
          <w:color w:val="000000"/>
          <w:spacing w:val="30"/>
        </w:rPr>
        <w:t>Dôvodová správa</w:t>
      </w:r>
    </w:p>
    <w:p w:rsidR="00987DD8" w:rsidRPr="00A64D2D" w:rsidRDefault="00987DD8" w:rsidP="00987DD8">
      <w:pPr>
        <w:widowControl/>
        <w:jc w:val="both"/>
        <w:rPr>
          <w:color w:val="000000"/>
        </w:rPr>
      </w:pPr>
    </w:p>
    <w:p w:rsidR="00AB210F" w:rsidRPr="00A64D2D" w:rsidRDefault="00AB210F" w:rsidP="00987DD8">
      <w:pPr>
        <w:widowControl/>
        <w:jc w:val="both"/>
        <w:rPr>
          <w:color w:val="000000"/>
        </w:rPr>
      </w:pPr>
    </w:p>
    <w:p w:rsidR="00987DD8" w:rsidRPr="00F75375" w:rsidRDefault="00987DD8" w:rsidP="00F75375">
      <w:pPr>
        <w:widowControl/>
        <w:jc w:val="both"/>
        <w:rPr>
          <w:b/>
          <w:color w:val="000000"/>
        </w:rPr>
      </w:pPr>
      <w:r w:rsidRPr="00F75375">
        <w:rPr>
          <w:b/>
          <w:color w:val="000000"/>
        </w:rPr>
        <w:t>Všeobecná časť</w:t>
      </w:r>
    </w:p>
    <w:p w:rsidR="00F75375" w:rsidRPr="00F75375" w:rsidRDefault="00F75375" w:rsidP="00F75375">
      <w:pPr>
        <w:pStyle w:val="Odsekzoznamu"/>
        <w:widowControl/>
        <w:jc w:val="both"/>
        <w:rPr>
          <w:b/>
          <w:color w:val="000000"/>
        </w:rPr>
      </w:pPr>
    </w:p>
    <w:p w:rsidR="005301E3" w:rsidRPr="00502147" w:rsidRDefault="00AB210F" w:rsidP="005301E3">
      <w:pPr>
        <w:ind w:firstLine="360"/>
        <w:jc w:val="both"/>
        <w:rPr>
          <w:color w:val="000000"/>
        </w:rPr>
      </w:pPr>
      <w:r>
        <w:t>Vláda</w:t>
      </w:r>
      <w:r w:rsidR="00425E08" w:rsidRPr="008B6ACC">
        <w:t xml:space="preserve"> Slovenskej republiky predkladá na </w:t>
      </w:r>
      <w:r w:rsidR="00C148F9">
        <w:t xml:space="preserve">rokovanie </w:t>
      </w:r>
      <w:r>
        <w:t>Národnej rady</w:t>
      </w:r>
      <w:r w:rsidR="00C148F9">
        <w:t xml:space="preserve"> Slovenskej republiky</w:t>
      </w:r>
      <w:r w:rsidR="00425E08" w:rsidRPr="00093C5B">
        <w:rPr>
          <w:color w:val="000000"/>
        </w:rPr>
        <w:t xml:space="preserve"> </w:t>
      </w:r>
      <w:r w:rsidR="00651407">
        <w:rPr>
          <w:color w:val="000000"/>
        </w:rPr>
        <w:t>návrh</w:t>
      </w:r>
      <w:r w:rsidR="005301E3">
        <w:rPr>
          <w:color w:val="000000"/>
        </w:rPr>
        <w:t xml:space="preserve"> zákona,</w:t>
      </w:r>
      <w:r w:rsidR="00651407">
        <w:rPr>
          <w:color w:val="000000"/>
        </w:rPr>
        <w:t xml:space="preserve"> </w:t>
      </w:r>
      <w:r w:rsidR="005301E3" w:rsidRPr="00024CFA">
        <w:rPr>
          <w:color w:val="000000"/>
        </w:rPr>
        <w:t xml:space="preserve">ktorým sa mení a dopĺňa zákon č. 264/2022 Z. z. o mediálnych službách a o zmene a doplnení niektorých zákonov (zákon o mediálnych službách) v znení </w:t>
      </w:r>
      <w:r w:rsidR="005301E3">
        <w:rPr>
          <w:color w:val="000000"/>
        </w:rPr>
        <w:t>neskorších predpisov</w:t>
      </w:r>
      <w:r w:rsidR="005301E3" w:rsidRPr="00024CFA">
        <w:rPr>
          <w:color w:val="000000"/>
        </w:rPr>
        <w:t xml:space="preserve"> a o zmen</w:t>
      </w:r>
      <w:r w:rsidR="005301E3">
        <w:rPr>
          <w:color w:val="000000"/>
        </w:rPr>
        <w:t>e a doplnení niektorých zákonov (ďalej len „návrh zákona“).</w:t>
      </w:r>
    </w:p>
    <w:p w:rsidR="005301E3" w:rsidRPr="00502147" w:rsidRDefault="005301E3" w:rsidP="005301E3">
      <w:pPr>
        <w:rPr>
          <w:color w:val="000000"/>
        </w:rPr>
      </w:pPr>
    </w:p>
    <w:p w:rsidR="005301E3" w:rsidRPr="00502147" w:rsidRDefault="005301E3" w:rsidP="005301E3">
      <w:pPr>
        <w:ind w:firstLine="360"/>
        <w:jc w:val="both"/>
        <w:rPr>
          <w:color w:val="000000"/>
        </w:rPr>
      </w:pPr>
      <w:r>
        <w:rPr>
          <w:color w:val="000000"/>
        </w:rPr>
        <w:t xml:space="preserve">Návrh zákona upravuje pôsobnosť nezávislého národného regulačného orgánu, Rady pre mediálne služby, ktorej pôsobnosť sa navrhuje rozšíriť o nové kompetencie v digitálnej oblasti. Návrhom zákona sa Rada pre mediálne služby ustanovuje za koordinátora digitálnych služieb, čím sa má zabezpečiť implementácia nariadenia </w:t>
      </w:r>
      <w:r w:rsidRPr="00A607C5">
        <w:rPr>
          <w:color w:val="000000"/>
        </w:rPr>
        <w:t>Európskeho parlamentu a Rady (EÚ) 2022/2065 z 19. októbra 2022 o jednotnom trhu s digitálnymi službami a o zmene smernice 2000/31/ES (akt o digitálnych službách)</w:t>
      </w:r>
      <w:r>
        <w:rPr>
          <w:color w:val="000000"/>
        </w:rPr>
        <w:t xml:space="preserve"> (</w:t>
      </w:r>
      <w:r w:rsidRPr="00A607C5">
        <w:rPr>
          <w:color w:val="000000"/>
        </w:rPr>
        <w:t>Ú. v. EÚ L 277, 27.10.2022</w:t>
      </w:r>
      <w:r>
        <w:rPr>
          <w:color w:val="000000"/>
        </w:rPr>
        <w:t xml:space="preserve">) (ďalej len „nariadenie (EÚ) 2022/2065“). </w:t>
      </w:r>
    </w:p>
    <w:p w:rsidR="005301E3" w:rsidRPr="00502147" w:rsidRDefault="005301E3" w:rsidP="005301E3">
      <w:pPr>
        <w:jc w:val="both"/>
        <w:rPr>
          <w:color w:val="000000"/>
        </w:rPr>
      </w:pPr>
    </w:p>
    <w:p w:rsidR="005301E3" w:rsidRPr="00502147" w:rsidRDefault="005301E3" w:rsidP="005301E3">
      <w:pPr>
        <w:ind w:firstLine="360"/>
        <w:jc w:val="both"/>
        <w:rPr>
          <w:color w:val="000000"/>
        </w:rPr>
      </w:pPr>
      <w:r>
        <w:rPr>
          <w:color w:val="000000"/>
        </w:rPr>
        <w:t>Nariadenie (EÚ) 2022/2065 je novou celoeurópskou reguláciou internetového obsahu v rámci poskytovania sprostredkovateľských služieb. V zmysle hesla „čo je nezákonné offline, je nezákonné aj online“ zavádza</w:t>
      </w:r>
      <w:r w:rsidRPr="00502147">
        <w:rPr>
          <w:color w:val="000000"/>
        </w:rPr>
        <w:t xml:space="preserve"> </w:t>
      </w:r>
      <w:r>
        <w:rPr>
          <w:color w:val="000000"/>
        </w:rPr>
        <w:t xml:space="preserve">nové </w:t>
      </w:r>
      <w:r w:rsidRPr="00502147">
        <w:rPr>
          <w:color w:val="000000"/>
        </w:rPr>
        <w:t xml:space="preserve">harmonizované </w:t>
      </w:r>
      <w:r>
        <w:rPr>
          <w:color w:val="000000"/>
        </w:rPr>
        <w:t xml:space="preserve">pravidlá pre </w:t>
      </w:r>
      <w:r w:rsidRPr="00502147">
        <w:rPr>
          <w:color w:val="000000"/>
        </w:rPr>
        <w:t>poskytovateľov sprostredkovateľskýc</w:t>
      </w:r>
      <w:r>
        <w:rPr>
          <w:color w:val="000000"/>
        </w:rPr>
        <w:t xml:space="preserve">h služieb, vrátane </w:t>
      </w:r>
      <w:r w:rsidRPr="00502147">
        <w:rPr>
          <w:color w:val="000000"/>
        </w:rPr>
        <w:t>sociálnych sietí, online trhovísk</w:t>
      </w:r>
      <w:r>
        <w:rPr>
          <w:color w:val="000000"/>
        </w:rPr>
        <w:t>,</w:t>
      </w:r>
      <w:r w:rsidRPr="00502147">
        <w:rPr>
          <w:color w:val="000000"/>
        </w:rPr>
        <w:t xml:space="preserve"> internetových vyhľadávačov, webhostingových a cloudových služieb, online cestovných a ubytovacích pla</w:t>
      </w:r>
      <w:r>
        <w:rPr>
          <w:color w:val="000000"/>
        </w:rPr>
        <w:t xml:space="preserve">tforiem, obchodov s aplikáciami a iných typov online platforiem. Regulácii budú podliehať aj poskytovatelia z tretích krajín, ak svoje služby poskytujú užívateľom v EÚ. Cieľom nariadenia (EÚ) 2022/2065 je </w:t>
      </w:r>
      <w:r w:rsidRPr="00502147">
        <w:rPr>
          <w:color w:val="000000"/>
        </w:rPr>
        <w:t>prispieť k budovaniu bezpečnejšieho a transparentnejši</w:t>
      </w:r>
      <w:r>
        <w:rPr>
          <w:color w:val="000000"/>
        </w:rPr>
        <w:t>eho online prostredia, zlepšeniu</w:t>
      </w:r>
      <w:r w:rsidRPr="00502147">
        <w:rPr>
          <w:color w:val="000000"/>
        </w:rPr>
        <w:t xml:space="preserve"> podmienok poskytovania cezhraničných sprostre</w:t>
      </w:r>
      <w:r>
        <w:rPr>
          <w:color w:val="000000"/>
        </w:rPr>
        <w:t>dkovateľských služieb, zlepšeniu</w:t>
      </w:r>
      <w:r w:rsidRPr="00502147">
        <w:rPr>
          <w:color w:val="000000"/>
        </w:rPr>
        <w:t xml:space="preserve"> postavenia </w:t>
      </w:r>
      <w:r>
        <w:rPr>
          <w:color w:val="000000"/>
        </w:rPr>
        <w:t>spotrebiteľov</w:t>
      </w:r>
      <w:r w:rsidRPr="00502147">
        <w:rPr>
          <w:color w:val="000000"/>
        </w:rPr>
        <w:t xml:space="preserve"> a</w:t>
      </w:r>
      <w:r>
        <w:rPr>
          <w:color w:val="000000"/>
        </w:rPr>
        <w:t xml:space="preserve"> posilneniu ochrany </w:t>
      </w:r>
      <w:r w:rsidRPr="00502147">
        <w:rPr>
          <w:color w:val="000000"/>
        </w:rPr>
        <w:t xml:space="preserve">základných práv </w:t>
      </w:r>
      <w:r>
        <w:rPr>
          <w:color w:val="000000"/>
        </w:rPr>
        <w:t xml:space="preserve">užívateľov </w:t>
      </w:r>
      <w:r w:rsidRPr="00502147">
        <w:rPr>
          <w:color w:val="000000"/>
        </w:rPr>
        <w:t>v online priestore</w:t>
      </w:r>
      <w:r>
        <w:rPr>
          <w:color w:val="000000"/>
        </w:rPr>
        <w:t>. Obsahom nariadenia (EÚ) 2022/2065 sú cielené opatrenia na efektívnejší boj proti nezákonnému obsahu šírenému prostredníctvom online sprostredkovateľských služieb a nové povinnosti pre poskytovateľov týchto služieb, diverzifikované podľa veľkosti a typu poskytovateľa.</w:t>
      </w:r>
      <w:r w:rsidRPr="00502147">
        <w:rPr>
          <w:color w:val="000000"/>
        </w:rPr>
        <w:t xml:space="preserve"> </w:t>
      </w:r>
      <w:r>
        <w:rPr>
          <w:color w:val="000000"/>
        </w:rPr>
        <w:t>N</w:t>
      </w:r>
      <w:r w:rsidRPr="00502147">
        <w:rPr>
          <w:color w:val="000000"/>
        </w:rPr>
        <w:t>avrhovanou c</w:t>
      </w:r>
      <w:r>
        <w:rPr>
          <w:color w:val="000000"/>
        </w:rPr>
        <w:t>eloeurópskou štruktúrou dohľadu, ktorá má byť založená na intenzívnej spolupráci medzi koordinátormi digitálnych služieb a Európskou komisiou, sa má zaistiť</w:t>
      </w:r>
      <w:r w:rsidRPr="00502147">
        <w:rPr>
          <w:color w:val="000000"/>
        </w:rPr>
        <w:t xml:space="preserve"> bezpečné, predvídateľné a dôveryhodné online prostredie. </w:t>
      </w:r>
    </w:p>
    <w:p w:rsidR="005301E3" w:rsidRDefault="005301E3" w:rsidP="005301E3">
      <w:pPr>
        <w:jc w:val="both"/>
        <w:rPr>
          <w:color w:val="000000"/>
        </w:rPr>
      </w:pPr>
    </w:p>
    <w:p w:rsidR="005301E3" w:rsidRDefault="005301E3" w:rsidP="005301E3">
      <w:pPr>
        <w:ind w:firstLine="360"/>
        <w:jc w:val="both"/>
        <w:rPr>
          <w:color w:val="000000"/>
        </w:rPr>
      </w:pPr>
      <w:r w:rsidRPr="00502147">
        <w:rPr>
          <w:color w:val="000000"/>
        </w:rPr>
        <w:t xml:space="preserve">Cieľom vnútroštátnej implementácie </w:t>
      </w:r>
      <w:r>
        <w:rPr>
          <w:color w:val="000000"/>
        </w:rPr>
        <w:t xml:space="preserve">prostredníctvom návrhu zákona </w:t>
      </w:r>
      <w:r w:rsidRPr="00502147">
        <w:rPr>
          <w:color w:val="000000"/>
        </w:rPr>
        <w:t xml:space="preserve">je </w:t>
      </w:r>
      <w:r>
        <w:rPr>
          <w:color w:val="000000"/>
        </w:rPr>
        <w:t>zabezpečenie</w:t>
      </w:r>
      <w:r w:rsidRPr="00502147">
        <w:rPr>
          <w:color w:val="000000"/>
        </w:rPr>
        <w:t xml:space="preserve"> vymožiteľnos</w:t>
      </w:r>
      <w:r>
        <w:rPr>
          <w:color w:val="000000"/>
        </w:rPr>
        <w:t>ti práv a povinností vyplývajúcich</w:t>
      </w:r>
      <w:r w:rsidRPr="00502147">
        <w:rPr>
          <w:color w:val="000000"/>
        </w:rPr>
        <w:t xml:space="preserve"> z nariadenia (EÚ) 2022/2065.</w:t>
      </w:r>
      <w:r>
        <w:rPr>
          <w:color w:val="000000"/>
        </w:rPr>
        <w:t xml:space="preserve"> Č</w:t>
      </w:r>
      <w:r w:rsidRPr="00502147">
        <w:rPr>
          <w:color w:val="000000"/>
        </w:rPr>
        <w:t>lenské</w:t>
      </w:r>
      <w:r>
        <w:rPr>
          <w:color w:val="000000"/>
        </w:rPr>
        <w:t xml:space="preserve"> štáty sú povinné menovať tzv. </w:t>
      </w:r>
      <w:r w:rsidRPr="00502147">
        <w:rPr>
          <w:color w:val="000000"/>
        </w:rPr>
        <w:t xml:space="preserve">koordinátora digitálnych služieb, ktorý bude zodpovedný za riadne vykonávanie nariadenia na národnej úrovni a bude národným koordinátorom vo vzťahu k ostatným členským štátom, k Európskej komisii, voči poskytovateľom sprostredkovateľských služieb, príjemcom služieb a iným subjektom </w:t>
      </w:r>
      <w:r>
        <w:rPr>
          <w:color w:val="000000"/>
        </w:rPr>
        <w:t xml:space="preserve">v zmysle nariadenia. </w:t>
      </w:r>
      <w:r w:rsidRPr="00502147">
        <w:rPr>
          <w:color w:val="000000"/>
        </w:rPr>
        <w:t xml:space="preserve">Kritériom výkonu funkcie </w:t>
      </w:r>
      <w:r>
        <w:rPr>
          <w:color w:val="000000"/>
        </w:rPr>
        <w:t>koordinátora digitálnych služieb</w:t>
      </w:r>
      <w:r w:rsidRPr="00502147">
        <w:rPr>
          <w:color w:val="000000"/>
        </w:rPr>
        <w:t xml:space="preserve"> je striktná požiadavka na </w:t>
      </w:r>
      <w:r>
        <w:rPr>
          <w:color w:val="000000"/>
        </w:rPr>
        <w:t xml:space="preserve">jeho </w:t>
      </w:r>
      <w:r w:rsidRPr="00502147">
        <w:rPr>
          <w:color w:val="000000"/>
        </w:rPr>
        <w:t xml:space="preserve">nezávislosť od verejných a súkromných subjektov. </w:t>
      </w:r>
      <w:r>
        <w:rPr>
          <w:color w:val="000000"/>
        </w:rPr>
        <w:t xml:space="preserve">V podmienkach Slovenskej republiky je najvhodnejším kandidátom na plnenie týchto úloh Rada pre mediálne služby, ktorá môže nadviazať na doterajší výkon pôsobnosti vo vzťahu k platformám na zdieľanie obsahu a platformám na zdieľanie videí v zmysle platného zákona č. 264/2022 Z. z. </w:t>
      </w:r>
      <w:r w:rsidRPr="00502147">
        <w:rPr>
          <w:color w:val="000000"/>
        </w:rPr>
        <w:t xml:space="preserve">o mediálnych službách a o zmene a doplnení niektorých zákonov (zákon o mediálnych službách) v znení </w:t>
      </w:r>
      <w:r>
        <w:rPr>
          <w:color w:val="000000"/>
        </w:rPr>
        <w:t>neskorších predpisov (ďalej len „zákon o mediálnych službách“).</w:t>
      </w:r>
      <w:r w:rsidRPr="00181E7A">
        <w:rPr>
          <w:color w:val="000000"/>
        </w:rPr>
        <w:t xml:space="preserve"> </w:t>
      </w:r>
      <w:r w:rsidRPr="00502147">
        <w:rPr>
          <w:color w:val="000000"/>
        </w:rPr>
        <w:t xml:space="preserve">Nariadenie </w:t>
      </w:r>
      <w:r>
        <w:rPr>
          <w:color w:val="000000"/>
        </w:rPr>
        <w:t xml:space="preserve">(EÚ) 2022/2065 predpokladá </w:t>
      </w:r>
      <w:r w:rsidRPr="00502147">
        <w:rPr>
          <w:color w:val="000000"/>
        </w:rPr>
        <w:t xml:space="preserve">dostatočné technické, finančné a </w:t>
      </w:r>
      <w:r>
        <w:rPr>
          <w:color w:val="000000"/>
        </w:rPr>
        <w:t>personálne</w:t>
      </w:r>
      <w:r w:rsidRPr="00502147">
        <w:rPr>
          <w:color w:val="000000"/>
        </w:rPr>
        <w:t xml:space="preserve"> zabezpečenie na umožnenie výkonu nestranného, transparentného a včasného dohľadu</w:t>
      </w:r>
      <w:r>
        <w:rPr>
          <w:color w:val="000000"/>
        </w:rPr>
        <w:t xml:space="preserve"> v online prostredí</w:t>
      </w:r>
      <w:r w:rsidRPr="00502147">
        <w:rPr>
          <w:color w:val="000000"/>
        </w:rPr>
        <w:t>.</w:t>
      </w:r>
    </w:p>
    <w:p w:rsidR="005301E3" w:rsidRDefault="005301E3" w:rsidP="005301E3">
      <w:pPr>
        <w:jc w:val="both"/>
        <w:rPr>
          <w:color w:val="000000"/>
        </w:rPr>
      </w:pPr>
    </w:p>
    <w:p w:rsidR="005301E3" w:rsidRPr="009F147E" w:rsidRDefault="005301E3" w:rsidP="005301E3">
      <w:pPr>
        <w:ind w:firstLine="360"/>
        <w:jc w:val="both"/>
        <w:rPr>
          <w:color w:val="000000"/>
        </w:rPr>
      </w:pPr>
      <w:r w:rsidRPr="009F147E">
        <w:rPr>
          <w:color w:val="000000"/>
        </w:rPr>
        <w:t xml:space="preserve">Návrhom zákona sa implementuje </w:t>
      </w:r>
      <w:r>
        <w:rPr>
          <w:color w:val="000000"/>
        </w:rPr>
        <w:t>aj n</w:t>
      </w:r>
      <w:r w:rsidRPr="009F147E">
        <w:rPr>
          <w:color w:val="000000"/>
        </w:rPr>
        <w:t xml:space="preserve">ariadenie Európskeho parlamentu a Rady (EÚ) 2019/1150 z 20. júna 2019 o podpore spravodlivosti a transparentnosti pre komerčných používateľov online sprostredkovateľských služieb </w:t>
      </w:r>
      <w:r>
        <w:rPr>
          <w:color w:val="000000"/>
        </w:rPr>
        <w:t>(</w:t>
      </w:r>
      <w:r w:rsidRPr="00D84E40">
        <w:rPr>
          <w:color w:val="000000"/>
        </w:rPr>
        <w:t>Ú. v. EÚ L 186, 11.7.2019</w:t>
      </w:r>
      <w:r>
        <w:rPr>
          <w:color w:val="000000"/>
        </w:rPr>
        <w:t>)</w:t>
      </w:r>
      <w:r w:rsidRPr="00D84E40">
        <w:rPr>
          <w:color w:val="000000"/>
        </w:rPr>
        <w:t xml:space="preserve"> </w:t>
      </w:r>
      <w:r w:rsidRPr="009F147E">
        <w:rPr>
          <w:color w:val="000000"/>
        </w:rPr>
        <w:t>(ďalej len „nariadenie (EÚ) 2019/1150“).</w:t>
      </w:r>
      <w:r>
        <w:rPr>
          <w:color w:val="000000"/>
        </w:rPr>
        <w:t xml:space="preserve"> </w:t>
      </w:r>
      <w:r w:rsidRPr="009F147E">
        <w:rPr>
          <w:color w:val="000000"/>
        </w:rPr>
        <w:t xml:space="preserve">Nariadenie (EÚ) 2019/1150 sa uplatňuje na poskytovateľov online sprostredkovateľských služieb </w:t>
      </w:r>
      <w:r>
        <w:rPr>
          <w:color w:val="000000"/>
        </w:rPr>
        <w:t xml:space="preserve">a internetové vyhľadávače (najmä online </w:t>
      </w:r>
      <w:r w:rsidRPr="009F147E">
        <w:rPr>
          <w:color w:val="000000"/>
        </w:rPr>
        <w:t xml:space="preserve">trhoviská, obchody s aplikáciami, sociálne médiá pre podnikateľov, nástroje na porovnávanie cien a všeobecné online vyhľadávače), </w:t>
      </w:r>
      <w:r>
        <w:rPr>
          <w:color w:val="000000"/>
        </w:rPr>
        <w:t>prostredníctvom ktorých obchodníci</w:t>
      </w:r>
      <w:r w:rsidRPr="009F147E">
        <w:rPr>
          <w:color w:val="000000"/>
        </w:rPr>
        <w:t xml:space="preserve"> </w:t>
      </w:r>
      <w:r>
        <w:rPr>
          <w:color w:val="000000"/>
        </w:rPr>
        <w:t xml:space="preserve">v EÚ </w:t>
      </w:r>
      <w:r w:rsidRPr="009F147E">
        <w:rPr>
          <w:color w:val="000000"/>
        </w:rPr>
        <w:t xml:space="preserve">ponúkajú tovar alebo služby spotrebiteľom v EÚ. Cieľom </w:t>
      </w:r>
      <w:r>
        <w:rPr>
          <w:color w:val="000000"/>
        </w:rPr>
        <w:t xml:space="preserve">tejto </w:t>
      </w:r>
      <w:r w:rsidRPr="009F147E">
        <w:rPr>
          <w:color w:val="000000"/>
        </w:rPr>
        <w:t xml:space="preserve">regulácie je zvýšiť spravodlivosť a transparentnosť online podnikateľského prostredia, ktoré podnikom umožňuje cezhraničné pôsobenie na vnútornom trhu EÚ. Nariadenie </w:t>
      </w:r>
      <w:r>
        <w:rPr>
          <w:color w:val="000000"/>
        </w:rPr>
        <w:t xml:space="preserve">(EÚ) 2019/1150 </w:t>
      </w:r>
      <w:r w:rsidRPr="009F147E">
        <w:rPr>
          <w:color w:val="000000"/>
        </w:rPr>
        <w:t>zavádza viaceré povinnosti pre online sprostredkovateľské služby a online vyhľadávače</w:t>
      </w:r>
      <w:r>
        <w:rPr>
          <w:color w:val="000000"/>
        </w:rPr>
        <w:t>,</w:t>
      </w:r>
      <w:r w:rsidRPr="009F147E">
        <w:rPr>
          <w:color w:val="000000"/>
        </w:rPr>
        <w:t xml:space="preserve"> ktoré majú predchádzať škodlivým obchodným praktikám </w:t>
      </w:r>
      <w:r>
        <w:rPr>
          <w:color w:val="000000"/>
        </w:rPr>
        <w:t xml:space="preserve">platforiem voči komerčným užívateľom </w:t>
      </w:r>
      <w:r w:rsidRPr="009F147E">
        <w:rPr>
          <w:color w:val="000000"/>
        </w:rPr>
        <w:t>obmedzujúcim vnútroštá</w:t>
      </w:r>
      <w:r>
        <w:rPr>
          <w:color w:val="000000"/>
        </w:rPr>
        <w:t xml:space="preserve">tny a cezhraničný online predaj s negatívnym dosahom na </w:t>
      </w:r>
      <w:r w:rsidRPr="009F147E">
        <w:rPr>
          <w:color w:val="000000"/>
        </w:rPr>
        <w:t xml:space="preserve">spotrebiteľov </w:t>
      </w:r>
      <w:r>
        <w:rPr>
          <w:color w:val="000000"/>
        </w:rPr>
        <w:t>v EÚ.</w:t>
      </w:r>
    </w:p>
    <w:p w:rsidR="005301E3" w:rsidRPr="009F147E" w:rsidRDefault="005301E3" w:rsidP="005301E3">
      <w:pPr>
        <w:jc w:val="both"/>
        <w:rPr>
          <w:color w:val="000000"/>
        </w:rPr>
      </w:pPr>
    </w:p>
    <w:p w:rsidR="005301E3" w:rsidRPr="003D77BE" w:rsidRDefault="005301E3" w:rsidP="005301E3">
      <w:pPr>
        <w:ind w:firstLine="360"/>
        <w:jc w:val="both"/>
        <w:rPr>
          <w:color w:val="000000"/>
        </w:rPr>
      </w:pPr>
      <w:r>
        <w:rPr>
          <w:color w:val="000000"/>
        </w:rPr>
        <w:t>Presadzovanie nariadenia (EÚ) 2019/1150 bolo doposiaľ v Slovenskej republike ponechané na súdy. Európska komisia v tejto súvislosti začala voči Slovenskej republike konanie</w:t>
      </w:r>
      <w:r w:rsidRPr="009F147E">
        <w:rPr>
          <w:color w:val="000000"/>
        </w:rPr>
        <w:t xml:space="preserve"> o porušení zmlúv podľa čl. 258 Zmluvy o fungovaní EÚ z dôvodu </w:t>
      </w:r>
      <w:r>
        <w:rPr>
          <w:color w:val="000000"/>
        </w:rPr>
        <w:t>nezabezpečenia dostatočne primeraného a účinného presadzovania nariadenia</w:t>
      </w:r>
      <w:r w:rsidRPr="009F147E">
        <w:rPr>
          <w:color w:val="000000"/>
        </w:rPr>
        <w:t>. Doplnením vnútroštátnej právnej úpr</w:t>
      </w:r>
      <w:r>
        <w:rPr>
          <w:color w:val="000000"/>
        </w:rPr>
        <w:t>avy v návrhu zákona sa ustanoví</w:t>
      </w:r>
      <w:r w:rsidRPr="009F147E">
        <w:rPr>
          <w:color w:val="000000"/>
        </w:rPr>
        <w:t xml:space="preserve"> právny základ pre verejnoprávny výkon dohľadu nad dodržiavaním povinností </w:t>
      </w:r>
      <w:r>
        <w:rPr>
          <w:color w:val="000000"/>
        </w:rPr>
        <w:t xml:space="preserve">podľa </w:t>
      </w:r>
      <w:r w:rsidRPr="009F147E">
        <w:rPr>
          <w:color w:val="000000"/>
        </w:rPr>
        <w:t>nariadenia (EÚ) 2019/1150.</w:t>
      </w:r>
      <w:r>
        <w:rPr>
          <w:color w:val="000000"/>
        </w:rPr>
        <w:t xml:space="preserve"> S prihliadnutím na vecné súvislosti medzi nariadením (EÚ) 2019/1150 a nariadením (EÚ) 2022/2065 sa navrhuje zverenie tejto kompetencie Rade pre mediálne služby.</w:t>
      </w:r>
    </w:p>
    <w:p w:rsidR="005301E3" w:rsidRDefault="005301E3" w:rsidP="005301E3">
      <w:pPr>
        <w:jc w:val="both"/>
        <w:rPr>
          <w:color w:val="000000"/>
        </w:rPr>
      </w:pPr>
    </w:p>
    <w:p w:rsidR="005301E3" w:rsidRDefault="005301E3" w:rsidP="005301E3">
      <w:pPr>
        <w:ind w:firstLine="284"/>
        <w:jc w:val="both"/>
        <w:rPr>
          <w:color w:val="000000"/>
        </w:rPr>
      </w:pPr>
      <w:r>
        <w:rPr>
          <w:color w:val="000000"/>
        </w:rPr>
        <w:t>Návrhom zákona sa zároveň upravujú niektoré ustanovenia zákona o mediálnych službách týkajúce sa multimodálneho prístupu a ochrany maloletých, vrátane uplatňovania jednotného systému</w:t>
      </w:r>
      <w:r w:rsidRPr="009319CF">
        <w:rPr>
          <w:color w:val="000000"/>
        </w:rPr>
        <w:t xml:space="preserve"> </w:t>
      </w:r>
      <w:r>
        <w:rPr>
          <w:color w:val="000000"/>
        </w:rPr>
        <w:t>označovania, a tiež kompetencií komisie na ochranu maloletých. Návrh zákona precizuje aj ustanovenia upravujúce udeľovanie jednotlivých oprávnení Radou pre mediálne služby. Súčasne sa z dôvodu aplikačných problémov navrhuje úprava prechodných ustanovení upravujúcich zabezpečenie multimodálneho prístupu Rozhlasom a televíziou Slovenska v období do konca roka 2026.</w:t>
      </w:r>
    </w:p>
    <w:p w:rsidR="005301E3" w:rsidRDefault="005301E3" w:rsidP="005301E3">
      <w:pPr>
        <w:ind w:firstLine="284"/>
        <w:jc w:val="both"/>
        <w:rPr>
          <w:color w:val="000000"/>
        </w:rPr>
      </w:pPr>
    </w:p>
    <w:p w:rsidR="005301E3" w:rsidRPr="005E4A5D" w:rsidRDefault="005301E3" w:rsidP="005301E3">
      <w:pPr>
        <w:ind w:firstLine="284"/>
        <w:jc w:val="both"/>
      </w:pPr>
      <w:r>
        <w:rPr>
          <w:color w:val="000000"/>
        </w:rPr>
        <w:t xml:space="preserve">Vzhľadom na skutočnosť, že </w:t>
      </w:r>
      <w:r>
        <w:t>nariadenie (EÚ) 2022/2065 v časti o zodpovednosti online sprostredkovateľov nahrádza s</w:t>
      </w:r>
      <w:r w:rsidRPr="00C70FD2">
        <w:t>mernic</w:t>
      </w:r>
      <w:r>
        <w:t>u</w:t>
      </w:r>
      <w:r w:rsidRPr="00C70FD2">
        <w:t xml:space="preserve"> Európskeho parlamentu a Rady 2000/31/ES z 8. júna 2000 o určitých právnych aspektoch služieb informačnej spoločnosti na vnútornom trhu, najmä o elektronickom obchode (smernica o elektronickom obchode)</w:t>
      </w:r>
      <w:r>
        <w:t xml:space="preserve">, návrhom zákona sa zároveň vypúšťa § 6 zákona č. 22/2004 Z. z. </w:t>
      </w:r>
      <w:r w:rsidRPr="00C70FD2">
        <w:t>o elektronickom obchode a o zmene a doplnení zákona č. 128/2002 Z. z. o štátnej kontrole vnútorného trhu vo veciach ochrany spotrebiteľa a o zmene a doplnení niektorých zákonov v znení zákona č. 284/2002 Z. z.</w:t>
      </w:r>
      <w:r>
        <w:t xml:space="preserve"> v znení neskorších predpisov, pretože daná regulácia je obsiahnutá v nariadení (EÚ) 2022/2065.</w:t>
      </w:r>
    </w:p>
    <w:p w:rsidR="005301E3" w:rsidRDefault="005301E3" w:rsidP="005301E3">
      <w:pPr>
        <w:ind w:firstLine="284"/>
        <w:jc w:val="both"/>
        <w:rPr>
          <w:color w:val="000000"/>
        </w:rPr>
      </w:pPr>
    </w:p>
    <w:p w:rsidR="005301E3" w:rsidRDefault="005301E3" w:rsidP="005301E3">
      <w:pPr>
        <w:ind w:firstLine="284"/>
        <w:jc w:val="both"/>
        <w:rPr>
          <w:color w:val="000000"/>
        </w:rPr>
      </w:pPr>
      <w:r>
        <w:rPr>
          <w:color w:val="000000"/>
        </w:rPr>
        <w:t xml:space="preserve">Návrhom zákona sa upravuje aj zákon č. 40/2015 Z. z. </w:t>
      </w:r>
      <w:r w:rsidRPr="00B02970">
        <w:rPr>
          <w:color w:val="000000"/>
        </w:rPr>
        <w:t>o audiovízii a o zmene a doplnení niektorých zákonov</w:t>
      </w:r>
      <w:r>
        <w:rPr>
          <w:color w:val="000000"/>
        </w:rPr>
        <w:t xml:space="preserve"> v znení neskorších predpisov. Zmeny v tomto zákone sa týkajú najmä oblasti ochrany maloletých a činnosti Komisie na ochranu maloletých, v rámci ktorých z aplikačnej praxe vyplynuli určité nedostatky.</w:t>
      </w:r>
    </w:p>
    <w:p w:rsidR="005301E3" w:rsidRDefault="005301E3" w:rsidP="005301E3">
      <w:pPr>
        <w:jc w:val="both"/>
        <w:rPr>
          <w:color w:val="000000"/>
        </w:rPr>
      </w:pPr>
    </w:p>
    <w:p w:rsidR="005301E3" w:rsidRPr="006977A9" w:rsidRDefault="005301E3" w:rsidP="005301E3">
      <w:pPr>
        <w:ind w:firstLine="284"/>
        <w:jc w:val="both"/>
        <w:rPr>
          <w:color w:val="000000"/>
        </w:rPr>
      </w:pPr>
      <w:r>
        <w:rPr>
          <w:color w:val="000000"/>
        </w:rPr>
        <w:t>N</w:t>
      </w:r>
      <w:r w:rsidRPr="006977A9">
        <w:rPr>
          <w:color w:val="000000"/>
        </w:rPr>
        <w:t>ávrh zákona bude mať negatívny vplyv na rozpočet verejnej správy</w:t>
      </w:r>
      <w:r>
        <w:rPr>
          <w:color w:val="000000"/>
        </w:rPr>
        <w:t xml:space="preserve"> a na podnikateľské prostredie</w:t>
      </w:r>
      <w:r w:rsidRPr="006977A9">
        <w:rPr>
          <w:color w:val="000000"/>
        </w:rPr>
        <w:t xml:space="preserve">. </w:t>
      </w:r>
      <w:r>
        <w:rPr>
          <w:color w:val="000000"/>
        </w:rPr>
        <w:t>N</w:t>
      </w:r>
      <w:r w:rsidRPr="006977A9">
        <w:rPr>
          <w:color w:val="000000"/>
        </w:rPr>
        <w:t xml:space="preserve">ávrh zákona </w:t>
      </w:r>
      <w:r>
        <w:rPr>
          <w:color w:val="000000"/>
        </w:rPr>
        <w:t>nebude mať</w:t>
      </w:r>
      <w:r w:rsidRPr="006977A9">
        <w:rPr>
          <w:color w:val="000000"/>
        </w:rPr>
        <w:t xml:space="preserve"> sociálne vplyvy, vplyv na informatizáciu spoločnosti, vplyvy na služby verejnej správy pre občana, vplyvy na životné prostredie ani na manželstvo, rodičovstvo a rodinu.</w:t>
      </w:r>
    </w:p>
    <w:p w:rsidR="005301E3" w:rsidRPr="006977A9" w:rsidRDefault="005301E3" w:rsidP="005301E3">
      <w:pPr>
        <w:jc w:val="both"/>
        <w:rPr>
          <w:color w:val="000000"/>
        </w:rPr>
      </w:pPr>
    </w:p>
    <w:p w:rsidR="005301E3" w:rsidRDefault="005301E3" w:rsidP="005301E3">
      <w:pPr>
        <w:ind w:firstLine="284"/>
        <w:jc w:val="both"/>
        <w:rPr>
          <w:color w:val="000000"/>
        </w:rPr>
      </w:pPr>
      <w:r w:rsidRPr="006977A9">
        <w:rPr>
          <w:color w:val="000000"/>
        </w:rPr>
        <w:t>Návrh</w:t>
      </w:r>
      <w:r w:rsidRPr="006977A9">
        <w:rPr>
          <w:color w:val="000000"/>
          <w:spacing w:val="50"/>
        </w:rPr>
        <w:t xml:space="preserve"> </w:t>
      </w:r>
      <w:r w:rsidRPr="006977A9">
        <w:rPr>
          <w:color w:val="000000"/>
        </w:rPr>
        <w:t>zákona</w:t>
      </w:r>
      <w:r w:rsidRPr="006977A9">
        <w:rPr>
          <w:color w:val="000000"/>
          <w:spacing w:val="50"/>
        </w:rPr>
        <w:t xml:space="preserve"> </w:t>
      </w:r>
      <w:r w:rsidRPr="006977A9">
        <w:rPr>
          <w:color w:val="000000"/>
        </w:rPr>
        <w:t>je</w:t>
      </w:r>
      <w:r w:rsidRPr="006977A9">
        <w:rPr>
          <w:color w:val="000000"/>
          <w:spacing w:val="50"/>
        </w:rPr>
        <w:t xml:space="preserve"> </w:t>
      </w:r>
      <w:r w:rsidRPr="006977A9">
        <w:rPr>
          <w:color w:val="000000"/>
        </w:rPr>
        <w:t>v</w:t>
      </w:r>
      <w:r w:rsidRPr="006977A9">
        <w:rPr>
          <w:color w:val="000000"/>
          <w:spacing w:val="50"/>
        </w:rPr>
        <w:t xml:space="preserve"> </w:t>
      </w:r>
      <w:r w:rsidRPr="006977A9">
        <w:rPr>
          <w:color w:val="000000"/>
        </w:rPr>
        <w:t>súlade</w:t>
      </w:r>
      <w:r w:rsidRPr="006977A9">
        <w:rPr>
          <w:color w:val="000000"/>
          <w:spacing w:val="50"/>
        </w:rPr>
        <w:t xml:space="preserve"> </w:t>
      </w:r>
      <w:r w:rsidRPr="006977A9">
        <w:rPr>
          <w:color w:val="000000"/>
        </w:rPr>
        <w:t>s</w:t>
      </w:r>
      <w:r w:rsidRPr="006977A9">
        <w:rPr>
          <w:color w:val="000000"/>
          <w:spacing w:val="50"/>
        </w:rPr>
        <w:t xml:space="preserve"> </w:t>
      </w:r>
      <w:r w:rsidRPr="006977A9">
        <w:rPr>
          <w:color w:val="000000"/>
        </w:rPr>
        <w:t>Ústavou</w:t>
      </w:r>
      <w:r w:rsidRPr="006977A9">
        <w:rPr>
          <w:color w:val="000000"/>
          <w:spacing w:val="50"/>
        </w:rPr>
        <w:t xml:space="preserve"> </w:t>
      </w:r>
      <w:r w:rsidRPr="006977A9">
        <w:rPr>
          <w:color w:val="000000"/>
        </w:rPr>
        <w:t>Slovenskej</w:t>
      </w:r>
      <w:r w:rsidRPr="006977A9">
        <w:rPr>
          <w:color w:val="000000"/>
          <w:spacing w:val="50"/>
        </w:rPr>
        <w:t xml:space="preserve"> </w:t>
      </w:r>
      <w:r w:rsidRPr="006977A9">
        <w:rPr>
          <w:color w:val="000000"/>
        </w:rPr>
        <w:t>republiky,</w:t>
      </w:r>
      <w:r w:rsidRPr="006977A9">
        <w:rPr>
          <w:color w:val="000000"/>
          <w:spacing w:val="50"/>
        </w:rPr>
        <w:t xml:space="preserve"> </w:t>
      </w:r>
      <w:r w:rsidRPr="006977A9">
        <w:rPr>
          <w:color w:val="000000"/>
        </w:rPr>
        <w:t>ústavnými</w:t>
      </w:r>
      <w:r w:rsidRPr="006977A9">
        <w:rPr>
          <w:color w:val="000000"/>
          <w:spacing w:val="50"/>
        </w:rPr>
        <w:t xml:space="preserve"> </w:t>
      </w:r>
      <w:r w:rsidRPr="006977A9">
        <w:rPr>
          <w:color w:val="000000"/>
        </w:rPr>
        <w:t>zákonmi</w:t>
      </w:r>
      <w:r w:rsidRPr="006977A9">
        <w:rPr>
          <w:color w:val="000000"/>
          <w:spacing w:val="50"/>
        </w:rPr>
        <w:t xml:space="preserve"> </w:t>
      </w:r>
      <w:r w:rsidRPr="006977A9">
        <w:rPr>
          <w:color w:val="000000"/>
        </w:rPr>
        <w:t>a ostatnými</w:t>
      </w:r>
      <w:r w:rsidRPr="006977A9">
        <w:rPr>
          <w:color w:val="000000"/>
          <w:spacing w:val="281"/>
        </w:rPr>
        <w:t xml:space="preserve"> </w:t>
      </w:r>
      <w:r w:rsidRPr="006977A9">
        <w:rPr>
          <w:color w:val="000000"/>
        </w:rPr>
        <w:t>všeobecne</w:t>
      </w:r>
      <w:r w:rsidRPr="006977A9">
        <w:rPr>
          <w:color w:val="000000"/>
          <w:spacing w:val="281"/>
        </w:rPr>
        <w:t xml:space="preserve"> </w:t>
      </w:r>
      <w:r w:rsidRPr="006977A9">
        <w:rPr>
          <w:color w:val="000000"/>
        </w:rPr>
        <w:t>záväznými</w:t>
      </w:r>
      <w:r w:rsidRPr="006977A9">
        <w:rPr>
          <w:color w:val="000000"/>
          <w:spacing w:val="281"/>
        </w:rPr>
        <w:t xml:space="preserve"> </w:t>
      </w:r>
      <w:r w:rsidRPr="006977A9">
        <w:rPr>
          <w:color w:val="000000"/>
        </w:rPr>
        <w:t>právnymi</w:t>
      </w:r>
      <w:r w:rsidRPr="006977A9">
        <w:rPr>
          <w:color w:val="000000"/>
          <w:spacing w:val="281"/>
        </w:rPr>
        <w:t xml:space="preserve"> </w:t>
      </w:r>
      <w:r w:rsidRPr="006977A9">
        <w:rPr>
          <w:color w:val="000000"/>
        </w:rPr>
        <w:t>predpismi</w:t>
      </w:r>
      <w:r w:rsidRPr="006977A9">
        <w:rPr>
          <w:color w:val="000000"/>
          <w:spacing w:val="281"/>
        </w:rPr>
        <w:t xml:space="preserve"> </w:t>
      </w:r>
      <w:r w:rsidRPr="006977A9">
        <w:rPr>
          <w:color w:val="000000"/>
        </w:rPr>
        <w:t>Slovenskej</w:t>
      </w:r>
      <w:r w:rsidRPr="006977A9">
        <w:rPr>
          <w:color w:val="000000"/>
          <w:spacing w:val="281"/>
        </w:rPr>
        <w:t xml:space="preserve"> </w:t>
      </w:r>
      <w:r w:rsidRPr="006977A9">
        <w:rPr>
          <w:color w:val="000000"/>
        </w:rPr>
        <w:t>republiky, medzinárodnými</w:t>
      </w:r>
      <w:r w:rsidRPr="006977A9">
        <w:rPr>
          <w:color w:val="000000"/>
          <w:spacing w:val="40"/>
        </w:rPr>
        <w:t xml:space="preserve"> </w:t>
      </w:r>
      <w:r w:rsidRPr="006977A9">
        <w:rPr>
          <w:color w:val="000000"/>
        </w:rPr>
        <w:t>zmluvami</w:t>
      </w:r>
      <w:r w:rsidRPr="006977A9">
        <w:rPr>
          <w:color w:val="000000"/>
          <w:spacing w:val="40"/>
        </w:rPr>
        <w:t xml:space="preserve"> </w:t>
      </w:r>
      <w:r w:rsidRPr="006977A9">
        <w:rPr>
          <w:color w:val="000000"/>
        </w:rPr>
        <w:t>a</w:t>
      </w:r>
      <w:r w:rsidRPr="006977A9">
        <w:rPr>
          <w:color w:val="000000"/>
          <w:spacing w:val="40"/>
        </w:rPr>
        <w:t xml:space="preserve"> </w:t>
      </w:r>
      <w:r w:rsidRPr="006977A9">
        <w:rPr>
          <w:color w:val="000000"/>
        </w:rPr>
        <w:t>inými</w:t>
      </w:r>
      <w:r w:rsidRPr="006977A9">
        <w:rPr>
          <w:color w:val="000000"/>
          <w:spacing w:val="40"/>
        </w:rPr>
        <w:t xml:space="preserve"> </w:t>
      </w:r>
      <w:r w:rsidRPr="006977A9">
        <w:rPr>
          <w:color w:val="000000"/>
        </w:rPr>
        <w:t>medzinárodnými</w:t>
      </w:r>
      <w:r w:rsidRPr="006977A9">
        <w:rPr>
          <w:color w:val="000000"/>
          <w:spacing w:val="40"/>
        </w:rPr>
        <w:t xml:space="preserve"> </w:t>
      </w:r>
      <w:r w:rsidRPr="006977A9">
        <w:rPr>
          <w:color w:val="000000"/>
        </w:rPr>
        <w:t>dokumentmi,</w:t>
      </w:r>
      <w:r w:rsidRPr="006977A9">
        <w:rPr>
          <w:color w:val="000000"/>
          <w:spacing w:val="40"/>
        </w:rPr>
        <w:t xml:space="preserve"> </w:t>
      </w:r>
      <w:r w:rsidRPr="006977A9">
        <w:rPr>
          <w:color w:val="000000"/>
        </w:rPr>
        <w:t>ktorými</w:t>
      </w:r>
      <w:r w:rsidRPr="006977A9">
        <w:rPr>
          <w:color w:val="000000"/>
          <w:spacing w:val="40"/>
        </w:rPr>
        <w:t xml:space="preserve"> </w:t>
      </w:r>
      <w:r w:rsidRPr="006977A9">
        <w:rPr>
          <w:color w:val="000000"/>
        </w:rPr>
        <w:t>je</w:t>
      </w:r>
      <w:r w:rsidRPr="006977A9">
        <w:rPr>
          <w:color w:val="000000"/>
          <w:spacing w:val="40"/>
        </w:rPr>
        <w:t xml:space="preserve"> </w:t>
      </w:r>
      <w:r w:rsidRPr="006977A9">
        <w:rPr>
          <w:color w:val="000000"/>
        </w:rPr>
        <w:t>Slovenská republika viazaná, ako aj s právom Európskej únie.</w:t>
      </w:r>
    </w:p>
    <w:p w:rsidR="00FD3D5B" w:rsidRDefault="00FD3D5B" w:rsidP="005301E3">
      <w:pPr>
        <w:autoSpaceDE w:val="0"/>
        <w:autoSpaceDN w:val="0"/>
        <w:ind w:firstLine="360"/>
        <w:jc w:val="both"/>
        <w:rPr>
          <w:bCs/>
          <w:color w:val="000000"/>
        </w:rPr>
      </w:pPr>
    </w:p>
    <w:p w:rsidR="005301E3" w:rsidRDefault="005301E3">
      <w:pPr>
        <w:widowControl/>
        <w:adjustRightInd/>
        <w:spacing w:after="200" w:line="276" w:lineRule="auto"/>
        <w:rPr>
          <w:bCs/>
          <w:color w:val="000000"/>
        </w:rPr>
      </w:pPr>
      <w:r>
        <w:rPr>
          <w:bCs/>
          <w:color w:val="000000"/>
        </w:rPr>
        <w:br w:type="page"/>
      </w:r>
    </w:p>
    <w:p w:rsidR="005301E3" w:rsidRDefault="005301E3" w:rsidP="005301E3">
      <w:pPr>
        <w:jc w:val="center"/>
        <w:rPr>
          <w:b/>
          <w:sz w:val="28"/>
          <w:szCs w:val="28"/>
        </w:rPr>
      </w:pPr>
      <w:r>
        <w:rPr>
          <w:b/>
          <w:sz w:val="28"/>
          <w:szCs w:val="28"/>
        </w:rPr>
        <w:lastRenderedPageBreak/>
        <w:t>D</w:t>
      </w:r>
      <w:r w:rsidRPr="006045CB">
        <w:rPr>
          <w:b/>
          <w:sz w:val="28"/>
          <w:szCs w:val="28"/>
        </w:rPr>
        <w:t>oložka vybraných vplyvov</w:t>
      </w:r>
    </w:p>
    <w:p w:rsidR="005301E3" w:rsidRPr="006045CB" w:rsidRDefault="005301E3" w:rsidP="005301E3">
      <w:pPr>
        <w:jc w:val="center"/>
        <w:rPr>
          <w:b/>
          <w:sz w:val="28"/>
          <w:szCs w:val="28"/>
        </w:rPr>
      </w:pPr>
    </w:p>
    <w:p w:rsidR="005301E3" w:rsidRPr="00B043B4" w:rsidRDefault="005301E3" w:rsidP="005301E3">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5301E3" w:rsidRPr="00B043B4" w:rsidTr="00DE41A6">
        <w:tc>
          <w:tcPr>
            <w:tcW w:w="9180" w:type="dxa"/>
            <w:gridSpan w:val="11"/>
            <w:tcBorders>
              <w:bottom w:val="single" w:sz="4" w:space="0" w:color="FFFFFF"/>
            </w:tcBorders>
            <w:shd w:val="clear" w:color="auto" w:fill="E2E2E2"/>
          </w:tcPr>
          <w:p w:rsidR="005301E3" w:rsidRPr="00B043B4" w:rsidRDefault="005301E3" w:rsidP="005301E3">
            <w:pPr>
              <w:widowControl/>
              <w:numPr>
                <w:ilvl w:val="0"/>
                <w:numId w:val="1"/>
              </w:numPr>
              <w:adjustRightInd/>
              <w:ind w:left="426"/>
              <w:contextualSpacing/>
              <w:rPr>
                <w:rFonts w:eastAsia="Calibri"/>
                <w:b/>
              </w:rPr>
            </w:pPr>
            <w:r w:rsidRPr="00B043B4">
              <w:rPr>
                <w:rFonts w:eastAsia="Calibri"/>
                <w:b/>
              </w:rPr>
              <w:t>Základné údaje</w:t>
            </w:r>
          </w:p>
        </w:tc>
      </w:tr>
      <w:tr w:rsidR="005301E3" w:rsidRPr="00B043B4" w:rsidTr="00DE41A6">
        <w:tc>
          <w:tcPr>
            <w:tcW w:w="9180" w:type="dxa"/>
            <w:gridSpan w:val="11"/>
            <w:tcBorders>
              <w:bottom w:val="single" w:sz="4" w:space="0" w:color="FFFFFF"/>
            </w:tcBorders>
            <w:shd w:val="clear" w:color="auto" w:fill="E2E2E2"/>
          </w:tcPr>
          <w:p w:rsidR="005301E3" w:rsidRPr="00B043B4" w:rsidRDefault="005301E3" w:rsidP="00DE41A6">
            <w:pPr>
              <w:spacing w:after="200" w:line="276" w:lineRule="auto"/>
              <w:ind w:left="142"/>
              <w:contextualSpacing/>
              <w:rPr>
                <w:rFonts w:eastAsia="Calibri"/>
                <w:b/>
              </w:rPr>
            </w:pPr>
            <w:r w:rsidRPr="00B043B4">
              <w:rPr>
                <w:rFonts w:eastAsia="Calibri"/>
                <w:b/>
              </w:rPr>
              <w:t>Názov materiálu</w:t>
            </w:r>
          </w:p>
        </w:tc>
      </w:tr>
      <w:tr w:rsidR="005301E3" w:rsidRPr="00B043B4" w:rsidTr="00DE41A6">
        <w:tc>
          <w:tcPr>
            <w:tcW w:w="9180" w:type="dxa"/>
            <w:gridSpan w:val="11"/>
            <w:tcBorders>
              <w:top w:val="single" w:sz="4" w:space="0" w:color="FFFFFF"/>
              <w:bottom w:val="single" w:sz="4" w:space="0" w:color="auto"/>
            </w:tcBorders>
          </w:tcPr>
          <w:p w:rsidR="005301E3" w:rsidRPr="00B043B4" w:rsidRDefault="005301E3" w:rsidP="00DE41A6">
            <w:pPr>
              <w:jc w:val="both"/>
              <w:rPr>
                <w:sz w:val="20"/>
                <w:szCs w:val="20"/>
              </w:rPr>
            </w:pPr>
            <w:r w:rsidRPr="00731C3A">
              <w:rPr>
                <w:sz w:val="20"/>
                <w:szCs w:val="20"/>
              </w:rPr>
              <w:t xml:space="preserve">Návrh zákona, ktorým sa mení a dopĺňa zákon č. 264/2022 Z. z. o mediálnych službách a o zmene a doplnení niektorých zákonov (zákon o mediálnych službách) v znení </w:t>
            </w:r>
            <w:r>
              <w:rPr>
                <w:sz w:val="20"/>
                <w:szCs w:val="20"/>
              </w:rPr>
              <w:t xml:space="preserve">neskorších predpisov </w:t>
            </w:r>
            <w:r w:rsidRPr="00731C3A">
              <w:rPr>
                <w:sz w:val="20"/>
                <w:szCs w:val="20"/>
              </w:rPr>
              <w:t>a</w:t>
            </w:r>
            <w:r>
              <w:rPr>
                <w:sz w:val="20"/>
                <w:szCs w:val="20"/>
              </w:rPr>
              <w:t> o zmene a doplnení niektorých zákonov</w:t>
            </w:r>
          </w:p>
          <w:p w:rsidR="005301E3" w:rsidRPr="00B043B4" w:rsidRDefault="005301E3" w:rsidP="00DE41A6">
            <w:pPr>
              <w:rPr>
                <w:sz w:val="20"/>
                <w:szCs w:val="20"/>
              </w:rPr>
            </w:pPr>
          </w:p>
        </w:tc>
      </w:tr>
      <w:tr w:rsidR="005301E3" w:rsidRPr="00B043B4" w:rsidTr="00DE41A6">
        <w:tc>
          <w:tcPr>
            <w:tcW w:w="9180" w:type="dxa"/>
            <w:gridSpan w:val="11"/>
            <w:tcBorders>
              <w:top w:val="single" w:sz="4" w:space="0" w:color="auto"/>
              <w:left w:val="single" w:sz="4" w:space="0" w:color="auto"/>
              <w:bottom w:val="single" w:sz="4" w:space="0" w:color="FFFFFF"/>
            </w:tcBorders>
            <w:shd w:val="clear" w:color="auto" w:fill="E2E2E2"/>
          </w:tcPr>
          <w:p w:rsidR="005301E3" w:rsidRPr="00B043B4" w:rsidRDefault="005301E3" w:rsidP="00DE41A6">
            <w:pPr>
              <w:spacing w:after="200" w:line="276" w:lineRule="auto"/>
              <w:ind w:left="142"/>
              <w:contextualSpacing/>
              <w:rPr>
                <w:rFonts w:eastAsia="Calibri"/>
                <w:b/>
              </w:rPr>
            </w:pPr>
            <w:r w:rsidRPr="00B043B4">
              <w:rPr>
                <w:rFonts w:eastAsia="Calibri"/>
                <w:b/>
              </w:rPr>
              <w:t>Predkladateľ (a spolupredkladateľ)</w:t>
            </w:r>
          </w:p>
        </w:tc>
      </w:tr>
      <w:tr w:rsidR="005301E3" w:rsidRPr="00B043B4" w:rsidTr="00DE41A6">
        <w:tc>
          <w:tcPr>
            <w:tcW w:w="9180" w:type="dxa"/>
            <w:gridSpan w:val="11"/>
            <w:tcBorders>
              <w:top w:val="single" w:sz="4" w:space="0" w:color="FFFFFF"/>
              <w:left w:val="single" w:sz="4" w:space="0" w:color="auto"/>
              <w:bottom w:val="single" w:sz="4" w:space="0" w:color="auto"/>
            </w:tcBorders>
            <w:shd w:val="clear" w:color="auto" w:fill="FFFFFF"/>
          </w:tcPr>
          <w:p w:rsidR="005301E3" w:rsidRPr="00B043B4" w:rsidRDefault="005301E3" w:rsidP="00DE41A6">
            <w:pPr>
              <w:rPr>
                <w:sz w:val="20"/>
                <w:szCs w:val="20"/>
              </w:rPr>
            </w:pPr>
            <w:r>
              <w:rPr>
                <w:sz w:val="20"/>
                <w:szCs w:val="20"/>
              </w:rPr>
              <w:t>Ministerstvo kultúry Slovenskej republiky</w:t>
            </w:r>
          </w:p>
          <w:p w:rsidR="005301E3" w:rsidRPr="00B043B4" w:rsidRDefault="005301E3" w:rsidP="00DE41A6">
            <w:pPr>
              <w:rPr>
                <w:sz w:val="20"/>
                <w:szCs w:val="20"/>
              </w:rPr>
            </w:pPr>
          </w:p>
        </w:tc>
      </w:tr>
      <w:tr w:rsidR="005301E3" w:rsidRPr="00B043B4" w:rsidTr="00DE41A6">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5301E3" w:rsidRPr="00B043B4" w:rsidRDefault="005301E3" w:rsidP="00DE41A6">
            <w:pPr>
              <w:spacing w:after="200" w:line="276" w:lineRule="auto"/>
              <w:ind w:left="142"/>
              <w:contextualSpacing/>
              <w:rPr>
                <w:rFonts w:eastAsia="Calibri"/>
                <w:b/>
              </w:rPr>
            </w:pPr>
            <w:r w:rsidRPr="00B043B4">
              <w:rPr>
                <w:rFonts w:eastAsia="Calibri"/>
                <w:b/>
              </w:rPr>
              <w:t>Charakter predkladaného materiálu</w:t>
            </w:r>
          </w:p>
        </w:tc>
        <w:sdt>
          <w:sdtPr>
            <w:rPr>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5301E3" w:rsidRPr="00B043B4" w:rsidRDefault="005301E3" w:rsidP="00DE41A6">
                <w:pPr>
                  <w:jc w:val="center"/>
                  <w:rPr>
                    <w:sz w:val="20"/>
                    <w:szCs w:val="20"/>
                  </w:rPr>
                </w:pPr>
                <w:r>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5301E3" w:rsidRPr="00B043B4" w:rsidRDefault="005301E3" w:rsidP="00DE41A6">
            <w:pPr>
              <w:rPr>
                <w:sz w:val="20"/>
                <w:szCs w:val="20"/>
              </w:rPr>
            </w:pPr>
            <w:r w:rsidRPr="00B043B4">
              <w:rPr>
                <w:sz w:val="20"/>
                <w:szCs w:val="20"/>
              </w:rPr>
              <w:t>Materiál nelegislatívnej povahy</w:t>
            </w:r>
          </w:p>
        </w:tc>
      </w:tr>
      <w:tr w:rsidR="005301E3" w:rsidRPr="00B043B4" w:rsidTr="00DE41A6">
        <w:tc>
          <w:tcPr>
            <w:tcW w:w="4212" w:type="dxa"/>
            <w:gridSpan w:val="2"/>
            <w:vMerge/>
            <w:tcBorders>
              <w:top w:val="nil"/>
              <w:left w:val="single" w:sz="4" w:space="0" w:color="auto"/>
              <w:bottom w:val="single" w:sz="4" w:space="0" w:color="FFFFFF"/>
            </w:tcBorders>
            <w:shd w:val="clear" w:color="auto" w:fill="E2E2E2"/>
          </w:tcPr>
          <w:p w:rsidR="005301E3" w:rsidRPr="00B043B4" w:rsidRDefault="005301E3" w:rsidP="00DE41A6">
            <w:pPr>
              <w:rPr>
                <w:sz w:val="20"/>
                <w:szCs w:val="20"/>
              </w:rPr>
            </w:pPr>
          </w:p>
        </w:tc>
        <w:sdt>
          <w:sdtPr>
            <w:rPr>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5301E3" w:rsidRPr="00B043B4" w:rsidRDefault="005301E3" w:rsidP="00DE41A6">
                <w:pPr>
                  <w:jc w:val="center"/>
                  <w:rPr>
                    <w:sz w:val="20"/>
                    <w:szCs w:val="20"/>
                  </w:rPr>
                </w:pPr>
                <w:r>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5301E3" w:rsidRPr="00B043B4" w:rsidRDefault="005301E3" w:rsidP="00DE41A6">
            <w:pPr>
              <w:ind w:left="175" w:hanging="175"/>
              <w:rPr>
                <w:sz w:val="20"/>
                <w:szCs w:val="20"/>
              </w:rPr>
            </w:pPr>
            <w:r w:rsidRPr="00B043B4">
              <w:rPr>
                <w:sz w:val="20"/>
                <w:szCs w:val="20"/>
              </w:rPr>
              <w:t>Materiál legislatívnej povahy</w:t>
            </w:r>
          </w:p>
        </w:tc>
      </w:tr>
      <w:tr w:rsidR="005301E3" w:rsidRPr="00B043B4" w:rsidTr="00DE41A6">
        <w:tc>
          <w:tcPr>
            <w:tcW w:w="4212" w:type="dxa"/>
            <w:gridSpan w:val="2"/>
            <w:vMerge/>
            <w:tcBorders>
              <w:top w:val="nil"/>
              <w:left w:val="single" w:sz="4" w:space="0" w:color="auto"/>
              <w:bottom w:val="single" w:sz="4" w:space="0" w:color="auto"/>
            </w:tcBorders>
            <w:shd w:val="clear" w:color="auto" w:fill="E2E2E2"/>
          </w:tcPr>
          <w:p w:rsidR="005301E3" w:rsidRPr="00EB4027" w:rsidRDefault="005301E3" w:rsidP="00DE41A6">
            <w:pPr>
              <w:rPr>
                <w:sz w:val="20"/>
                <w:szCs w:val="20"/>
              </w:rPr>
            </w:pPr>
          </w:p>
        </w:tc>
        <w:sdt>
          <w:sdtPr>
            <w:rPr>
              <w:sz w:val="20"/>
              <w:szCs w:val="20"/>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5301E3" w:rsidRPr="00EB4027" w:rsidRDefault="005301E3" w:rsidP="00DE41A6">
                <w:pPr>
                  <w:jc w:val="center"/>
                  <w:rPr>
                    <w:sz w:val="20"/>
                    <w:szCs w:val="20"/>
                  </w:rPr>
                </w:pPr>
                <w:r w:rsidRPr="00EB4027">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5301E3" w:rsidRPr="00EB4027" w:rsidRDefault="005301E3" w:rsidP="00DE41A6">
            <w:pPr>
              <w:rPr>
                <w:sz w:val="20"/>
                <w:szCs w:val="20"/>
              </w:rPr>
            </w:pPr>
            <w:r w:rsidRPr="00EB4027">
              <w:rPr>
                <w:sz w:val="20"/>
                <w:szCs w:val="20"/>
              </w:rPr>
              <w:t>Transpozícia/implementácia práva EÚ</w:t>
            </w:r>
          </w:p>
        </w:tc>
      </w:tr>
      <w:tr w:rsidR="005301E3" w:rsidRPr="00B043B4" w:rsidTr="00DE41A6">
        <w:tc>
          <w:tcPr>
            <w:tcW w:w="9180" w:type="dxa"/>
            <w:gridSpan w:val="11"/>
            <w:tcBorders>
              <w:top w:val="single" w:sz="4" w:space="0" w:color="auto"/>
              <w:left w:val="single" w:sz="4" w:space="0" w:color="auto"/>
              <w:bottom w:val="single" w:sz="4" w:space="0" w:color="FFFFFF"/>
            </w:tcBorders>
            <w:shd w:val="clear" w:color="auto" w:fill="FFFFFF"/>
          </w:tcPr>
          <w:p w:rsidR="005301E3" w:rsidRPr="00EB4027" w:rsidRDefault="005301E3" w:rsidP="00DE41A6">
            <w:pPr>
              <w:rPr>
                <w:i/>
                <w:sz w:val="20"/>
                <w:szCs w:val="20"/>
              </w:rPr>
            </w:pPr>
            <w:r w:rsidRPr="00EB4027">
              <w:rPr>
                <w:i/>
                <w:sz w:val="20"/>
                <w:szCs w:val="20"/>
              </w:rPr>
              <w:t>V prípade transpozície/implementácie uveďte zoznam transponovaných/ implementovaných predpisov:</w:t>
            </w:r>
          </w:p>
          <w:p w:rsidR="005301E3" w:rsidRPr="00EB4027" w:rsidRDefault="005301E3" w:rsidP="00DE41A6">
            <w:pPr>
              <w:rPr>
                <w:sz w:val="20"/>
                <w:szCs w:val="20"/>
              </w:rPr>
            </w:pPr>
          </w:p>
          <w:p w:rsidR="005301E3" w:rsidRPr="00EB4027" w:rsidRDefault="005301E3" w:rsidP="00DE41A6">
            <w:pPr>
              <w:rPr>
                <w:sz w:val="20"/>
                <w:szCs w:val="20"/>
              </w:rPr>
            </w:pPr>
            <w:r w:rsidRPr="00EB4027">
              <w:rPr>
                <w:sz w:val="20"/>
                <w:szCs w:val="20"/>
              </w:rPr>
              <w:t>Nariadenie Európskeho parlamentu a Rady (EÚ) 2022/2065 z 19. októbra 2022 o jednotnom trhu s digitálnymi službami a o zmene smernice 2000/31/ES (akt o digitálnych službách) (</w:t>
            </w:r>
            <w:r w:rsidRPr="00EB4027">
              <w:rPr>
                <w:i/>
                <w:sz w:val="20"/>
                <w:szCs w:val="20"/>
              </w:rPr>
              <w:t>Ú. v. EÚ L 277, 27.10.2022</w:t>
            </w:r>
            <w:r w:rsidRPr="00EB4027">
              <w:rPr>
                <w:sz w:val="20"/>
                <w:szCs w:val="20"/>
              </w:rPr>
              <w:t>)</w:t>
            </w:r>
          </w:p>
          <w:p w:rsidR="005301E3" w:rsidRPr="00EB4027" w:rsidRDefault="005301E3" w:rsidP="00DE41A6">
            <w:pPr>
              <w:rPr>
                <w:sz w:val="20"/>
                <w:szCs w:val="20"/>
              </w:rPr>
            </w:pPr>
          </w:p>
          <w:p w:rsidR="005301E3" w:rsidRDefault="005301E3" w:rsidP="00DE41A6">
            <w:pPr>
              <w:rPr>
                <w:sz w:val="20"/>
                <w:szCs w:val="20"/>
              </w:rPr>
            </w:pPr>
            <w:r w:rsidRPr="00EB4027">
              <w:rPr>
                <w:sz w:val="20"/>
                <w:szCs w:val="20"/>
              </w:rPr>
              <w:t>Nariadenie Európskeho parlamentu a Rady (EÚ) 2019/1150 z 20. júna 2019 o podpore spravodlivosti a transparentnosti pre komerčných používateľov online sprostredkovateľských služieb (</w:t>
            </w:r>
            <w:r w:rsidRPr="00EB4027">
              <w:rPr>
                <w:i/>
                <w:sz w:val="20"/>
                <w:szCs w:val="20"/>
              </w:rPr>
              <w:t>Ú. v. EÚ L 186, 11.7.2019</w:t>
            </w:r>
            <w:r w:rsidRPr="00EB4027">
              <w:rPr>
                <w:sz w:val="20"/>
                <w:szCs w:val="20"/>
              </w:rPr>
              <w:t>)</w:t>
            </w:r>
          </w:p>
          <w:p w:rsidR="005301E3" w:rsidRDefault="005301E3" w:rsidP="00DE41A6">
            <w:pPr>
              <w:rPr>
                <w:sz w:val="20"/>
                <w:szCs w:val="20"/>
              </w:rPr>
            </w:pPr>
          </w:p>
          <w:p w:rsidR="005301E3" w:rsidRPr="00EB4027" w:rsidRDefault="005301E3" w:rsidP="00DE41A6">
            <w:pPr>
              <w:rPr>
                <w:sz w:val="20"/>
                <w:szCs w:val="20"/>
              </w:rPr>
            </w:pPr>
            <w:r>
              <w:rPr>
                <w:sz w:val="20"/>
                <w:szCs w:val="20"/>
              </w:rPr>
              <w:t xml:space="preserve">Smernica </w:t>
            </w:r>
            <w:r w:rsidRPr="0057044A">
              <w:rPr>
                <w:sz w:val="20"/>
                <w:szCs w:val="20"/>
              </w:rPr>
              <w:t>Európskeho parlamentu a</w:t>
            </w:r>
            <w:r>
              <w:rPr>
                <w:sz w:val="20"/>
                <w:szCs w:val="20"/>
              </w:rPr>
              <w:t> </w:t>
            </w:r>
            <w:r w:rsidRPr="0057044A">
              <w:rPr>
                <w:sz w:val="20"/>
                <w:szCs w:val="20"/>
              </w:rPr>
              <w:t>Rady</w:t>
            </w:r>
            <w:r>
              <w:rPr>
                <w:sz w:val="20"/>
                <w:szCs w:val="20"/>
              </w:rPr>
              <w:t xml:space="preserve"> </w:t>
            </w:r>
            <w:r w:rsidRPr="00E14664">
              <w:rPr>
                <w:sz w:val="20"/>
                <w:szCs w:val="20"/>
              </w:rPr>
              <w:t xml:space="preserve">2010/13/EÚ z 10. marca 2010 o koordinácii niektorých ustanovení upravených zákonom, iným právnym predpisom alebo správnym opatrením v členských štátoch týkajúcich sa poskytovania audiovizuálnych mediálnych služieb (smernica o audiovizuálnych mediálnych službách) </w:t>
            </w:r>
            <w:r w:rsidRPr="00E14664">
              <w:rPr>
                <w:i/>
                <w:sz w:val="20"/>
                <w:szCs w:val="20"/>
              </w:rPr>
              <w:t>(Ú. v. EÚ L 95, 15.4.2010)</w:t>
            </w:r>
            <w:r w:rsidRPr="00E14664">
              <w:rPr>
                <w:sz w:val="20"/>
                <w:szCs w:val="20"/>
              </w:rPr>
              <w:t xml:space="preserve"> v platnom znení</w:t>
            </w:r>
          </w:p>
          <w:p w:rsidR="005301E3" w:rsidRPr="00EB4027" w:rsidRDefault="005301E3" w:rsidP="00DE41A6">
            <w:pPr>
              <w:rPr>
                <w:sz w:val="20"/>
                <w:szCs w:val="20"/>
              </w:rPr>
            </w:pPr>
          </w:p>
        </w:tc>
      </w:tr>
      <w:tr w:rsidR="005301E3" w:rsidRPr="00B043B4" w:rsidTr="00DE41A6">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5301E3" w:rsidRPr="00B043B4" w:rsidRDefault="005301E3" w:rsidP="00DE41A6">
            <w:pPr>
              <w:spacing w:after="200" w:line="276" w:lineRule="auto"/>
              <w:ind w:left="142"/>
              <w:contextualSpacing/>
              <w:rPr>
                <w:rFonts w:eastAsia="Calibri"/>
                <w:b/>
              </w:rPr>
            </w:pPr>
            <w:r w:rsidRPr="00B043B4">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5301E3" w:rsidRPr="00B043B4" w:rsidRDefault="005301E3" w:rsidP="00DE41A6">
            <w:pPr>
              <w:rPr>
                <w:i/>
                <w:sz w:val="20"/>
                <w:szCs w:val="20"/>
              </w:rPr>
            </w:pPr>
            <w:r>
              <w:rPr>
                <w:i/>
                <w:sz w:val="20"/>
                <w:szCs w:val="20"/>
              </w:rPr>
              <w:t>September 2023</w:t>
            </w:r>
          </w:p>
        </w:tc>
      </w:tr>
      <w:tr w:rsidR="005301E3" w:rsidRPr="00B043B4" w:rsidTr="00DE41A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5301E3" w:rsidRPr="00B043B4" w:rsidRDefault="005301E3" w:rsidP="00DE41A6">
            <w:pPr>
              <w:spacing w:after="200" w:line="276" w:lineRule="auto"/>
              <w:ind w:left="142"/>
              <w:contextualSpacing/>
              <w:rPr>
                <w:rFonts w:eastAsia="Calibri"/>
                <w:b/>
              </w:rPr>
            </w:pPr>
            <w:r w:rsidRPr="00B043B4">
              <w:rPr>
                <w:rFonts w:eastAsia="Calibri"/>
                <w:b/>
              </w:rPr>
              <w:t>Predpokl</w:t>
            </w:r>
            <w:r>
              <w:rPr>
                <w:rFonts w:eastAsia="Calibri"/>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5301E3" w:rsidRPr="00B043B4" w:rsidRDefault="005301E3" w:rsidP="00DE41A6">
            <w:pPr>
              <w:rPr>
                <w:i/>
                <w:sz w:val="20"/>
                <w:szCs w:val="20"/>
              </w:rPr>
            </w:pPr>
            <w:r>
              <w:rPr>
                <w:i/>
                <w:sz w:val="20"/>
                <w:szCs w:val="20"/>
              </w:rPr>
              <w:t>Január 2024</w:t>
            </w:r>
          </w:p>
        </w:tc>
      </w:tr>
      <w:tr w:rsidR="005301E3" w:rsidRPr="00B043B4" w:rsidTr="00DE41A6">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5301E3" w:rsidRPr="00B043B4" w:rsidRDefault="005301E3" w:rsidP="00DE41A6">
            <w:pPr>
              <w:spacing w:line="276" w:lineRule="auto"/>
              <w:ind w:left="142"/>
              <w:contextualSpacing/>
              <w:rPr>
                <w:rFonts w:ascii="Calibri" w:eastAsia="Calibri" w:hAnsi="Calibri"/>
                <w:b/>
              </w:rPr>
            </w:pPr>
            <w:r w:rsidRPr="00B043B4">
              <w:rPr>
                <w:rFonts w:eastAsia="Calibri"/>
                <w:b/>
              </w:rPr>
              <w:t>Predpokladaný termín začiatku a ukončenia ZP**</w:t>
            </w:r>
            <w:r w:rsidRPr="00B043B4">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5301E3" w:rsidRPr="00B043B4" w:rsidRDefault="005301E3" w:rsidP="00DE41A6">
            <w:pPr>
              <w:rPr>
                <w:i/>
                <w:sz w:val="20"/>
                <w:szCs w:val="20"/>
              </w:rPr>
            </w:pPr>
          </w:p>
        </w:tc>
      </w:tr>
      <w:tr w:rsidR="005301E3" w:rsidRPr="00B043B4" w:rsidTr="00DE41A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5301E3" w:rsidRPr="00B043B4" w:rsidRDefault="005301E3" w:rsidP="00DE41A6">
            <w:pPr>
              <w:spacing w:after="200" w:line="276" w:lineRule="auto"/>
              <w:ind w:left="142"/>
              <w:contextualSpacing/>
              <w:jc w:val="both"/>
              <w:rPr>
                <w:rFonts w:eastAsia="Calibri"/>
                <w:b/>
              </w:rPr>
            </w:pPr>
            <w:r w:rsidRPr="00B043B4">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5301E3" w:rsidRPr="00B043B4" w:rsidRDefault="005301E3" w:rsidP="00DE41A6">
            <w:pPr>
              <w:rPr>
                <w:i/>
                <w:sz w:val="20"/>
                <w:szCs w:val="20"/>
              </w:rPr>
            </w:pPr>
            <w:r>
              <w:rPr>
                <w:i/>
                <w:sz w:val="20"/>
                <w:szCs w:val="20"/>
              </w:rPr>
              <w:t>Máj 2024</w:t>
            </w:r>
          </w:p>
        </w:tc>
      </w:tr>
      <w:tr w:rsidR="005301E3" w:rsidRPr="00B043B4" w:rsidTr="00DE41A6">
        <w:tc>
          <w:tcPr>
            <w:tcW w:w="9180" w:type="dxa"/>
            <w:gridSpan w:val="11"/>
            <w:tcBorders>
              <w:top w:val="single" w:sz="4" w:space="0" w:color="auto"/>
              <w:left w:val="nil"/>
              <w:bottom w:val="single" w:sz="4" w:space="0" w:color="auto"/>
              <w:right w:val="nil"/>
            </w:tcBorders>
            <w:shd w:val="clear" w:color="auto" w:fill="FFFFFF"/>
          </w:tcPr>
          <w:p w:rsidR="005301E3" w:rsidRPr="00B043B4" w:rsidRDefault="005301E3" w:rsidP="00DE41A6">
            <w:pPr>
              <w:rPr>
                <w:sz w:val="20"/>
                <w:szCs w:val="20"/>
              </w:rPr>
            </w:pPr>
          </w:p>
        </w:tc>
      </w:tr>
      <w:tr w:rsidR="005301E3" w:rsidRPr="00B043B4" w:rsidTr="00DE41A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301E3" w:rsidRPr="00B043B4" w:rsidRDefault="005301E3" w:rsidP="005301E3">
            <w:pPr>
              <w:widowControl/>
              <w:numPr>
                <w:ilvl w:val="0"/>
                <w:numId w:val="1"/>
              </w:numPr>
              <w:adjustRightInd/>
              <w:ind w:left="426"/>
              <w:contextualSpacing/>
              <w:rPr>
                <w:rFonts w:eastAsia="Calibri"/>
                <w:b/>
              </w:rPr>
            </w:pPr>
            <w:r w:rsidRPr="00B043B4">
              <w:rPr>
                <w:rFonts w:eastAsia="Calibri"/>
                <w:b/>
              </w:rPr>
              <w:t>Definovanie problému</w:t>
            </w:r>
          </w:p>
        </w:tc>
      </w:tr>
      <w:tr w:rsidR="005301E3" w:rsidRPr="00B043B4" w:rsidTr="00DE41A6">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5301E3" w:rsidRPr="00B043B4" w:rsidRDefault="005301E3" w:rsidP="00DE41A6">
            <w:pPr>
              <w:jc w:val="both"/>
              <w:rPr>
                <w:i/>
                <w:sz w:val="20"/>
                <w:szCs w:val="20"/>
              </w:rPr>
            </w:pPr>
            <w:r w:rsidRPr="00B043B4">
              <w:rPr>
                <w:i/>
                <w:sz w:val="20"/>
                <w:szCs w:val="20"/>
              </w:rPr>
              <w:t>Uveďte základné problémy, ktoré sú dôvodom vypracovania predkladaného  materiálu (dôvody majú presne poukázať na problém, ktorý existuje a je nutné ho predloženým materiálom riešiť).</w:t>
            </w:r>
          </w:p>
          <w:p w:rsidR="005301E3" w:rsidRDefault="005301E3" w:rsidP="00DE41A6">
            <w:pPr>
              <w:rPr>
                <w:b/>
                <w:sz w:val="20"/>
                <w:szCs w:val="20"/>
              </w:rPr>
            </w:pPr>
          </w:p>
          <w:p w:rsidR="005301E3" w:rsidRDefault="005301E3" w:rsidP="00DE41A6">
            <w:pPr>
              <w:jc w:val="both"/>
              <w:rPr>
                <w:sz w:val="20"/>
                <w:szCs w:val="20"/>
              </w:rPr>
            </w:pPr>
            <w:r w:rsidRPr="009C5676">
              <w:rPr>
                <w:sz w:val="20"/>
                <w:szCs w:val="20"/>
              </w:rPr>
              <w:t>Nariadenie Európskeho parlamentu a Rady (EÚ) 2022/2065 z 19. októbra 2022 o jednotnom trhu s digitálnymi službami a o zmene smernice 2000/31/ES (akt o digitálnych službách) (Ú. v. EÚ L 277, 27.10.2022) (ďalej len „nariadenie (EÚ) 2022/2065“)</w:t>
            </w:r>
            <w:r>
              <w:rPr>
                <w:sz w:val="20"/>
                <w:szCs w:val="20"/>
              </w:rPr>
              <w:t xml:space="preserve"> </w:t>
            </w:r>
            <w:r w:rsidRPr="009C5676">
              <w:rPr>
                <w:sz w:val="20"/>
                <w:szCs w:val="20"/>
              </w:rPr>
              <w:t>je novou celoeurópskou reguláciou internetového obsahu v rámci poskytovania sprostredkovateľských služieb. V zmysle hesla „čo je nezákonné offline, je nezákonné aj online“ zavádza nové harmonizované pravidlá pre poskytovateľov sprostredkovateľských služieb, vrátane sociálnych sietí, online trhovísk, internetových vyhľadávačov, webhostingových a cloudových služieb, online cestovných a ubytovacích platforiem, obchodov s aplikáciami a iných typov online platforiem. Regulácii budú podliehať aj poskytovatelia z tretích krajín, ak svoje sl</w:t>
            </w:r>
            <w:r>
              <w:rPr>
                <w:sz w:val="20"/>
                <w:szCs w:val="20"/>
              </w:rPr>
              <w:t>užby poskytujú užívateľom v Európskej únii (EÚ).</w:t>
            </w:r>
          </w:p>
          <w:p w:rsidR="005301E3" w:rsidRDefault="005301E3" w:rsidP="00DE41A6">
            <w:pPr>
              <w:jc w:val="both"/>
              <w:rPr>
                <w:sz w:val="20"/>
                <w:szCs w:val="20"/>
              </w:rPr>
            </w:pPr>
          </w:p>
          <w:p w:rsidR="005301E3" w:rsidRPr="009C5676" w:rsidRDefault="005301E3" w:rsidP="00DE41A6">
            <w:pPr>
              <w:jc w:val="both"/>
              <w:rPr>
                <w:sz w:val="20"/>
                <w:szCs w:val="20"/>
              </w:rPr>
            </w:pPr>
            <w:r w:rsidRPr="009C5676">
              <w:rPr>
                <w:sz w:val="20"/>
                <w:szCs w:val="20"/>
              </w:rPr>
              <w:t xml:space="preserve">Cieľom nariadenia (EÚ) 2022/2065 je prispieť k budovaniu bezpečnejšieho a transparentnejšieho online prostredia, zlepšeniu podmienok poskytovania cezhraničných sprostredkovateľských služieb, zlepšeniu postavenia spotrebiteľov a posilneniu ochrany základných práv užívateľov v online priestore. Obsahom nariadenia (EÚ) 2022/2065 sú cielené opatrenia na efektívnejší boj proti nezákonnému obsahu šírenému prostredníctvom online sprostredkovateľských služieb a nové povinnosti pre poskytovateľov týchto služieb, diverzifikované podľa veľkosti a typu poskytovateľa. Navrhovanou celoeurópskou štruktúrou dohľadu, ktorá </w:t>
            </w:r>
            <w:r w:rsidRPr="009C5676">
              <w:rPr>
                <w:sz w:val="20"/>
                <w:szCs w:val="20"/>
              </w:rPr>
              <w:lastRenderedPageBreak/>
              <w:t>má byť založená na intenzívnej spolupráci medzi koordinátormi digitálnych služieb a Európskou komisiou, sa má zaistiť bezpečné, predvídateľné a dôveryhodné online prostredie.</w:t>
            </w:r>
          </w:p>
          <w:p w:rsidR="005301E3" w:rsidRDefault="005301E3" w:rsidP="00DE41A6">
            <w:pPr>
              <w:jc w:val="both"/>
              <w:rPr>
                <w:sz w:val="20"/>
                <w:szCs w:val="20"/>
              </w:rPr>
            </w:pPr>
            <w:r>
              <w:rPr>
                <w:sz w:val="20"/>
                <w:szCs w:val="20"/>
              </w:rPr>
              <w:t>V zmysle n</w:t>
            </w:r>
            <w:r w:rsidRPr="009C5676">
              <w:rPr>
                <w:sz w:val="20"/>
                <w:szCs w:val="20"/>
              </w:rPr>
              <w:t xml:space="preserve">ariadenia (EÚ) 2022/2065 </w:t>
            </w:r>
            <w:r>
              <w:rPr>
                <w:sz w:val="20"/>
                <w:szCs w:val="20"/>
              </w:rPr>
              <w:t xml:space="preserve">majú členské štáty Európskej únie povinnosť do 17. februára 2024 určiť národného koordinátora digitálnych služieb, ktorý bude zodpovedný za všetky záležitosti týkajúce sa dohľadu a presadzovania tohto nariadenia. V tento istý deň sa nariadenie </w:t>
            </w:r>
            <w:r w:rsidRPr="009C5676">
              <w:rPr>
                <w:sz w:val="20"/>
                <w:szCs w:val="20"/>
              </w:rPr>
              <w:t>(EÚ) 2022/2065</w:t>
            </w:r>
            <w:r>
              <w:rPr>
                <w:sz w:val="20"/>
                <w:szCs w:val="20"/>
              </w:rPr>
              <w:t>, s výnimkou vybraných ustanovení, začne uplatňovať. Určený koordinátor digitálnych služieb bude zodpovedný za zabezpečenie koordinácie úloh na vnútroštátnej úrovni a za prínos k účinnému a konzistentnému dohľadu a presadzovaniu predmetného nariadenia v celej EÚ.</w:t>
            </w:r>
          </w:p>
          <w:p w:rsidR="005301E3" w:rsidRDefault="005301E3" w:rsidP="00DE41A6">
            <w:pPr>
              <w:jc w:val="both"/>
              <w:rPr>
                <w:sz w:val="20"/>
                <w:szCs w:val="20"/>
              </w:rPr>
            </w:pPr>
          </w:p>
          <w:p w:rsidR="005301E3" w:rsidRDefault="005301E3" w:rsidP="00DE41A6">
            <w:pPr>
              <w:jc w:val="both"/>
              <w:rPr>
                <w:sz w:val="20"/>
                <w:szCs w:val="20"/>
              </w:rPr>
            </w:pPr>
            <w:r w:rsidRPr="009C5676">
              <w:rPr>
                <w:sz w:val="20"/>
                <w:szCs w:val="20"/>
              </w:rPr>
              <w:t xml:space="preserve">Návrhom zákona </w:t>
            </w:r>
            <w:r>
              <w:rPr>
                <w:sz w:val="20"/>
                <w:szCs w:val="20"/>
              </w:rPr>
              <w:t xml:space="preserve">sa má preto zabezpečiť implementácia nariadenia </w:t>
            </w:r>
            <w:r w:rsidRPr="009C5676">
              <w:rPr>
                <w:sz w:val="20"/>
                <w:szCs w:val="20"/>
              </w:rPr>
              <w:t>(EÚ) 2022/2065</w:t>
            </w:r>
            <w:r>
              <w:rPr>
                <w:sz w:val="20"/>
                <w:szCs w:val="20"/>
              </w:rPr>
              <w:t xml:space="preserve"> do slovenského právneho poriadku.</w:t>
            </w:r>
            <w:r w:rsidRPr="009C5676">
              <w:rPr>
                <w:sz w:val="20"/>
                <w:szCs w:val="20"/>
              </w:rPr>
              <w:t xml:space="preserve"> </w:t>
            </w:r>
          </w:p>
          <w:p w:rsidR="005301E3" w:rsidRDefault="005301E3" w:rsidP="00DE41A6">
            <w:pPr>
              <w:jc w:val="both"/>
              <w:rPr>
                <w:sz w:val="20"/>
                <w:szCs w:val="20"/>
              </w:rPr>
            </w:pPr>
          </w:p>
          <w:p w:rsidR="005301E3" w:rsidRPr="00295C7D" w:rsidRDefault="005301E3" w:rsidP="00DE41A6">
            <w:pPr>
              <w:jc w:val="both"/>
              <w:rPr>
                <w:sz w:val="20"/>
                <w:szCs w:val="20"/>
              </w:rPr>
            </w:pPr>
            <w:r w:rsidRPr="00295C7D">
              <w:rPr>
                <w:sz w:val="20"/>
                <w:szCs w:val="20"/>
              </w:rPr>
              <w:t>Návrhom zákona sa implementuje aj nariadenie Európskeho parlamentu a Rady (EÚ) 2019/1150 z 20. júna 2019 o podpore spravodlivosti a transparentnosti pre komerčných používateľov online sprostredkovateľských služieb (Ú. v. EÚ L 186, 11.7.2019) (ďalej len „nariadenie (EÚ) 2019/1150“). Nariadenie (EÚ) 2019/1150 sa uplatňuje na poskytovateľov online sprostredkovateľských služieb a internetové vyhľadávače (najmä online trhoviská, obchody s aplikáciami, sociálne médiá pre podnikateľov, nástroje na porovnávanie cien a všeobecné online vyhľadávače), prostredníctvom ktorých obchodníci v EÚ ponúkajú tovar alebo služby spotrebiteľom v EÚ. Cieľom tejto regulácie je zvýšiť spravodlivosť a transparentnosť online podnikateľského prostredia, ktoré podnikom umožňuje cezhraničné pôsobenie na vnútornom trhu EÚ. Nariadenie (EÚ) 2019/1150 zavádza viaceré povinnosti pre online sprostredkovateľské služby a online vyhľadávače, ktoré majú predchádzať škodlivým obchodným praktikám platforiem voči komerčným užívateľom obmedzujúcim vnútroštátny a cezhraničný online predaj s negatívnym dosahom na spotrebiteľov v EÚ.</w:t>
            </w:r>
          </w:p>
          <w:p w:rsidR="005301E3" w:rsidRPr="00295C7D" w:rsidRDefault="005301E3" w:rsidP="00DE41A6">
            <w:pPr>
              <w:jc w:val="both"/>
              <w:rPr>
                <w:sz w:val="20"/>
                <w:szCs w:val="20"/>
              </w:rPr>
            </w:pPr>
          </w:p>
          <w:p w:rsidR="005301E3" w:rsidRDefault="005301E3" w:rsidP="00DE41A6">
            <w:pPr>
              <w:jc w:val="both"/>
              <w:rPr>
                <w:sz w:val="20"/>
                <w:szCs w:val="20"/>
              </w:rPr>
            </w:pPr>
            <w:r w:rsidRPr="00295C7D">
              <w:rPr>
                <w:sz w:val="20"/>
                <w:szCs w:val="20"/>
              </w:rPr>
              <w:t xml:space="preserve">Presadzovanie nariadenia (EÚ) 2019/1150 bolo doposiaľ v Slovenskej republike ponechané na súdy. Európska komisia v tejto súvislosti začala voči Slovenskej republike konanie o porušení zmlúv podľa čl. 258 Zmluvy o fungovaní EÚ z dôvodu nezabezpečenia dostatočne primeraného a účinného presadzovania nariadenia. </w:t>
            </w:r>
            <w:r>
              <w:rPr>
                <w:sz w:val="20"/>
                <w:szCs w:val="20"/>
              </w:rPr>
              <w:t>Z uvedeného dôvodu je zároveň nevyhnutné d</w:t>
            </w:r>
            <w:r w:rsidRPr="00295C7D">
              <w:rPr>
                <w:sz w:val="20"/>
                <w:szCs w:val="20"/>
              </w:rPr>
              <w:t>oplnen</w:t>
            </w:r>
            <w:r>
              <w:rPr>
                <w:sz w:val="20"/>
                <w:szCs w:val="20"/>
              </w:rPr>
              <w:t>ie vnútroštátnej právnej úpravy a stanovenie právneho</w:t>
            </w:r>
            <w:r w:rsidRPr="00295C7D">
              <w:rPr>
                <w:sz w:val="20"/>
                <w:szCs w:val="20"/>
              </w:rPr>
              <w:t xml:space="preserve"> základ</w:t>
            </w:r>
            <w:r>
              <w:rPr>
                <w:sz w:val="20"/>
                <w:szCs w:val="20"/>
              </w:rPr>
              <w:t>u</w:t>
            </w:r>
            <w:r w:rsidRPr="00295C7D">
              <w:rPr>
                <w:sz w:val="20"/>
                <w:szCs w:val="20"/>
              </w:rPr>
              <w:t xml:space="preserve"> pre verejnoprávny výkon dohľadu </w:t>
            </w:r>
            <w:r>
              <w:rPr>
                <w:sz w:val="20"/>
                <w:szCs w:val="20"/>
              </w:rPr>
              <w:t xml:space="preserve">aj </w:t>
            </w:r>
            <w:r w:rsidRPr="00295C7D">
              <w:rPr>
                <w:sz w:val="20"/>
                <w:szCs w:val="20"/>
              </w:rPr>
              <w:t xml:space="preserve">nad dodržiavaním povinností podľa nariadenia (EÚ) 2019/1150. </w:t>
            </w:r>
          </w:p>
          <w:p w:rsidR="005301E3" w:rsidRPr="00B043B4" w:rsidRDefault="005301E3" w:rsidP="00DE41A6">
            <w:pPr>
              <w:jc w:val="both"/>
              <w:rPr>
                <w:b/>
                <w:sz w:val="20"/>
                <w:szCs w:val="20"/>
              </w:rPr>
            </w:pPr>
          </w:p>
        </w:tc>
      </w:tr>
      <w:tr w:rsidR="005301E3" w:rsidRPr="00B043B4" w:rsidTr="00DE41A6">
        <w:tc>
          <w:tcPr>
            <w:tcW w:w="9180" w:type="dxa"/>
            <w:gridSpan w:val="11"/>
            <w:tcBorders>
              <w:top w:val="single" w:sz="4" w:space="0" w:color="auto"/>
              <w:left w:val="single" w:sz="4" w:space="0" w:color="auto"/>
              <w:bottom w:val="nil"/>
              <w:right w:val="single" w:sz="4" w:space="0" w:color="auto"/>
            </w:tcBorders>
            <w:shd w:val="clear" w:color="auto" w:fill="E2E2E2"/>
          </w:tcPr>
          <w:p w:rsidR="005301E3" w:rsidRPr="00B043B4" w:rsidRDefault="005301E3" w:rsidP="005301E3">
            <w:pPr>
              <w:widowControl/>
              <w:numPr>
                <w:ilvl w:val="0"/>
                <w:numId w:val="1"/>
              </w:numPr>
              <w:adjustRightInd/>
              <w:ind w:left="426"/>
              <w:contextualSpacing/>
              <w:rPr>
                <w:rFonts w:eastAsia="Calibri"/>
                <w:b/>
              </w:rPr>
            </w:pPr>
            <w:r w:rsidRPr="00B043B4">
              <w:rPr>
                <w:rFonts w:eastAsia="Calibri"/>
                <w:b/>
              </w:rPr>
              <w:lastRenderedPageBreak/>
              <w:t>Ciele a výsledný stav</w:t>
            </w:r>
          </w:p>
        </w:tc>
      </w:tr>
      <w:tr w:rsidR="005301E3" w:rsidRPr="00B043B4" w:rsidTr="00DE41A6">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5301E3" w:rsidRPr="00B043B4" w:rsidRDefault="005301E3" w:rsidP="00DE41A6">
            <w:pPr>
              <w:rPr>
                <w:i/>
                <w:sz w:val="20"/>
                <w:szCs w:val="20"/>
              </w:rPr>
            </w:pPr>
            <w:r w:rsidRPr="00B043B4">
              <w:rPr>
                <w:i/>
                <w:sz w:val="20"/>
                <w:szCs w:val="20"/>
              </w:rPr>
              <w:t>Uveďte hlavné ciele predkladaného materiálu (aký výsledný stav má byť prijatím materiálu dosiahnutý, pričom dosiahnutý stav musí byť odlišný od stavu popísaného v bod</w:t>
            </w:r>
            <w:r>
              <w:rPr>
                <w:i/>
                <w:sz w:val="20"/>
                <w:szCs w:val="20"/>
              </w:rPr>
              <w:t>e</w:t>
            </w:r>
            <w:r w:rsidRPr="00B043B4">
              <w:rPr>
                <w:i/>
                <w:sz w:val="20"/>
                <w:szCs w:val="20"/>
              </w:rPr>
              <w:t xml:space="preserve"> 2. Definovanie problému). </w:t>
            </w:r>
          </w:p>
          <w:p w:rsidR="005301E3" w:rsidRDefault="005301E3" w:rsidP="00DE41A6">
            <w:pPr>
              <w:rPr>
                <w:sz w:val="20"/>
                <w:szCs w:val="20"/>
              </w:rPr>
            </w:pPr>
          </w:p>
          <w:p w:rsidR="005301E3" w:rsidRDefault="005301E3" w:rsidP="00DE41A6">
            <w:pPr>
              <w:jc w:val="both"/>
              <w:rPr>
                <w:sz w:val="20"/>
                <w:szCs w:val="20"/>
              </w:rPr>
            </w:pPr>
            <w:r w:rsidRPr="009C5676">
              <w:rPr>
                <w:sz w:val="20"/>
                <w:szCs w:val="20"/>
              </w:rPr>
              <w:t xml:space="preserve">Cieľom vnútroštátnej implementácie prostredníctvom návrhu zákona je zabezpečenie </w:t>
            </w:r>
            <w:r>
              <w:rPr>
                <w:sz w:val="20"/>
                <w:szCs w:val="20"/>
              </w:rPr>
              <w:t>implementácie a</w:t>
            </w:r>
            <w:r w:rsidRPr="009C5676">
              <w:rPr>
                <w:sz w:val="20"/>
                <w:szCs w:val="20"/>
              </w:rPr>
              <w:t xml:space="preserve"> vymožiteľnosti práv a povinností vyplývajúcich z nariadenia (EÚ) 2022/2065. Členské štáty sú</w:t>
            </w:r>
            <w:r>
              <w:rPr>
                <w:sz w:val="20"/>
                <w:szCs w:val="20"/>
              </w:rPr>
              <w:t xml:space="preserve"> totiž</w:t>
            </w:r>
            <w:r w:rsidRPr="009C5676">
              <w:rPr>
                <w:sz w:val="20"/>
                <w:szCs w:val="20"/>
              </w:rPr>
              <w:t xml:space="preserve"> povinné menovať tzv. koordinátora digitálnych služieb, ktorý bude zodpovedný za riadne vykonávanie nariadenia na národnej úrovni a bude národným koordinátorom vo vzťahu k ostatným členským štátom, k Európskej komisii, voči poskytovateľom sprostredkovateľských služieb, príjemcom služieb a iným subjektom v zmysle nariadenia. Kritériom výkonu funkcie koordinátora digitálnych služieb je striktná požiadavka na jeho nezávislosť od ve</w:t>
            </w:r>
            <w:r>
              <w:rPr>
                <w:sz w:val="20"/>
                <w:szCs w:val="20"/>
              </w:rPr>
              <w:t>rejných a súkromných subjektov.</w:t>
            </w:r>
            <w:r w:rsidRPr="009C5676">
              <w:rPr>
                <w:sz w:val="20"/>
                <w:szCs w:val="20"/>
              </w:rPr>
              <w:t xml:space="preserve"> Nariadenie (EÚ) 2022/2065 </w:t>
            </w:r>
            <w:r>
              <w:rPr>
                <w:sz w:val="20"/>
                <w:szCs w:val="20"/>
              </w:rPr>
              <w:t xml:space="preserve">navyše </w:t>
            </w:r>
            <w:r w:rsidRPr="009C5676">
              <w:rPr>
                <w:sz w:val="20"/>
                <w:szCs w:val="20"/>
              </w:rPr>
              <w:t>predpokladá dostatočné technické, finančné a personálne zabezpečenie na umožnenie výkonu nestranného, transparentného a včasného dohľadu v online prostredí.</w:t>
            </w:r>
          </w:p>
          <w:p w:rsidR="005301E3" w:rsidRDefault="005301E3" w:rsidP="00DE41A6">
            <w:pPr>
              <w:jc w:val="both"/>
              <w:rPr>
                <w:sz w:val="20"/>
                <w:szCs w:val="20"/>
              </w:rPr>
            </w:pPr>
          </w:p>
          <w:p w:rsidR="005301E3" w:rsidRDefault="005301E3" w:rsidP="00DE41A6">
            <w:pPr>
              <w:jc w:val="both"/>
              <w:rPr>
                <w:sz w:val="20"/>
                <w:szCs w:val="20"/>
              </w:rPr>
            </w:pPr>
            <w:r w:rsidRPr="009C5676">
              <w:rPr>
                <w:sz w:val="20"/>
                <w:szCs w:val="20"/>
              </w:rPr>
              <w:t>Ambiciózne ciele nariadenia (EÚ</w:t>
            </w:r>
            <w:r>
              <w:rPr>
                <w:sz w:val="20"/>
                <w:szCs w:val="20"/>
              </w:rPr>
              <w:t>) 2022/2065 si vyžadujú, aby sa určené subjekty</w:t>
            </w:r>
            <w:r w:rsidRPr="009C5676">
              <w:rPr>
                <w:sz w:val="20"/>
                <w:szCs w:val="20"/>
              </w:rPr>
              <w:t xml:space="preserve"> čo najskôr začali pripravovať na nové úlohy, najmä po odbornej a technickej stránke, a zapájali sa do prípravných procesov na </w:t>
            </w:r>
            <w:r>
              <w:rPr>
                <w:sz w:val="20"/>
                <w:szCs w:val="20"/>
              </w:rPr>
              <w:t xml:space="preserve">úrovni EÚ. </w:t>
            </w:r>
          </w:p>
          <w:p w:rsidR="005301E3" w:rsidRDefault="005301E3" w:rsidP="00DE41A6">
            <w:pPr>
              <w:jc w:val="both"/>
              <w:rPr>
                <w:sz w:val="20"/>
                <w:szCs w:val="20"/>
              </w:rPr>
            </w:pPr>
          </w:p>
          <w:p w:rsidR="005301E3" w:rsidRPr="009C5676" w:rsidRDefault="005301E3" w:rsidP="00DE41A6">
            <w:pPr>
              <w:jc w:val="both"/>
              <w:rPr>
                <w:sz w:val="20"/>
                <w:szCs w:val="20"/>
              </w:rPr>
            </w:pPr>
            <w:r w:rsidRPr="009C5676">
              <w:rPr>
                <w:sz w:val="20"/>
                <w:szCs w:val="20"/>
              </w:rPr>
              <w:t xml:space="preserve">V podmienkach Slovenskej republiky je najvhodnejším kandidátom na plnenie týchto úloh </w:t>
            </w:r>
            <w:r>
              <w:rPr>
                <w:sz w:val="20"/>
                <w:szCs w:val="20"/>
              </w:rPr>
              <w:t>nezávislý národný regulačný orgán v oblasti mediálnych služieb, a to</w:t>
            </w:r>
            <w:r w:rsidRPr="009C5676">
              <w:rPr>
                <w:sz w:val="20"/>
                <w:szCs w:val="20"/>
              </w:rPr>
              <w:t xml:space="preserve"> Rada pre mediálne služby, ktorá môže nadviazať na doterajší výkon pôsobnosti vo vzťahu k platformách na zdieľanie obsahu a platformám na zdieľanie videí v zmysle platného </w:t>
            </w:r>
            <w:r>
              <w:rPr>
                <w:sz w:val="20"/>
                <w:szCs w:val="20"/>
              </w:rPr>
              <w:t xml:space="preserve">a účinného </w:t>
            </w:r>
            <w:r w:rsidRPr="009C5676">
              <w:rPr>
                <w:sz w:val="20"/>
                <w:szCs w:val="20"/>
              </w:rPr>
              <w:t xml:space="preserve">zákona č. 264/2022 Z. z. o mediálnych službách a o zmene a doplnení niektorých zákonov (zákon o mediálnych službách) v znení zákona č. 351/2022 Z. z. (ďalej len „zákon o mediálnych službách“). </w:t>
            </w:r>
            <w:r>
              <w:rPr>
                <w:sz w:val="20"/>
                <w:szCs w:val="20"/>
              </w:rPr>
              <w:t xml:space="preserve">V tejto súvislosti sa zároveň </w:t>
            </w:r>
            <w:r w:rsidRPr="009C5676">
              <w:rPr>
                <w:sz w:val="20"/>
                <w:szCs w:val="20"/>
              </w:rPr>
              <w:t xml:space="preserve"> navrhuje rozšíriť pôsobnosť </w:t>
            </w:r>
            <w:r>
              <w:rPr>
                <w:sz w:val="20"/>
                <w:szCs w:val="20"/>
              </w:rPr>
              <w:t xml:space="preserve">regulátora </w:t>
            </w:r>
            <w:r w:rsidRPr="009C5676">
              <w:rPr>
                <w:sz w:val="20"/>
                <w:szCs w:val="20"/>
              </w:rPr>
              <w:t>o nové kompetencie v digitálnej oblasti.</w:t>
            </w:r>
            <w:r>
              <w:rPr>
                <w:sz w:val="20"/>
                <w:szCs w:val="20"/>
              </w:rPr>
              <w:t xml:space="preserve"> S implementáciou nariadenia </w:t>
            </w:r>
            <w:r w:rsidRPr="009C5676">
              <w:rPr>
                <w:sz w:val="20"/>
                <w:szCs w:val="20"/>
              </w:rPr>
              <w:t>(EÚ</w:t>
            </w:r>
            <w:r>
              <w:rPr>
                <w:sz w:val="20"/>
                <w:szCs w:val="20"/>
              </w:rPr>
              <w:t>) 2022/2065 je však nevyhnutne spojené značné posilnenie personálnych, finančných a technických zdrojov pre budúceho koordinátora digitálnych služieb. Hlavnými dôvodmi navýšenia zdrojov sú komplexnosť budúcich právnych predpisov, rozšírenie jurisdikčného dosahu, včasné a účinné presadzovanie práva, využitie technologických kapacít na monitorovanie a regulovanie digitálnych služieb či aktívna participácia zainteresovaných subjektov.</w:t>
            </w:r>
          </w:p>
          <w:p w:rsidR="005301E3" w:rsidRDefault="005301E3" w:rsidP="00DE41A6">
            <w:pPr>
              <w:jc w:val="both"/>
              <w:rPr>
                <w:sz w:val="20"/>
                <w:szCs w:val="20"/>
              </w:rPr>
            </w:pPr>
          </w:p>
          <w:p w:rsidR="00F55A99" w:rsidRPr="009C5676" w:rsidRDefault="00F55A99" w:rsidP="00DE41A6">
            <w:pPr>
              <w:jc w:val="both"/>
              <w:rPr>
                <w:sz w:val="20"/>
                <w:szCs w:val="20"/>
              </w:rPr>
            </w:pPr>
          </w:p>
          <w:p w:rsidR="005301E3" w:rsidRPr="00B043B4" w:rsidRDefault="005301E3" w:rsidP="00DE41A6">
            <w:pPr>
              <w:jc w:val="both"/>
              <w:rPr>
                <w:sz w:val="20"/>
                <w:szCs w:val="20"/>
              </w:rPr>
            </w:pPr>
            <w:r w:rsidRPr="009C5676">
              <w:rPr>
                <w:sz w:val="20"/>
                <w:szCs w:val="20"/>
              </w:rPr>
              <w:lastRenderedPageBreak/>
              <w:t>Návrhom zákona sa</w:t>
            </w:r>
            <w:r>
              <w:rPr>
                <w:sz w:val="20"/>
                <w:szCs w:val="20"/>
              </w:rPr>
              <w:t xml:space="preserve"> zároveň</w:t>
            </w:r>
            <w:r w:rsidRPr="009C5676">
              <w:rPr>
                <w:sz w:val="20"/>
                <w:szCs w:val="20"/>
              </w:rPr>
              <w:t xml:space="preserve"> implementuje aj nariadenie </w:t>
            </w:r>
            <w:r>
              <w:rPr>
                <w:sz w:val="20"/>
                <w:szCs w:val="20"/>
              </w:rPr>
              <w:t>(EÚ) 2019/1150</w:t>
            </w:r>
            <w:r w:rsidRPr="009C5676">
              <w:rPr>
                <w:sz w:val="20"/>
                <w:szCs w:val="20"/>
              </w:rPr>
              <w:t xml:space="preserve">. </w:t>
            </w:r>
            <w:r w:rsidRPr="00295C7D">
              <w:rPr>
                <w:sz w:val="20"/>
                <w:szCs w:val="20"/>
              </w:rPr>
              <w:t xml:space="preserve">S prihliadnutím na vecné súvislosti medzi nariadením (EÚ) 2019/1150 a nariadením (EÚ) 2022/2065 sa navrhuje zverenie </w:t>
            </w:r>
            <w:r>
              <w:rPr>
                <w:sz w:val="20"/>
                <w:szCs w:val="20"/>
              </w:rPr>
              <w:t xml:space="preserve">kompetencií podľa </w:t>
            </w:r>
            <w:r w:rsidRPr="00295C7D">
              <w:rPr>
                <w:sz w:val="20"/>
                <w:szCs w:val="20"/>
              </w:rPr>
              <w:t xml:space="preserve">nariadenia (EÚ) 2019/1150 </w:t>
            </w:r>
            <w:r>
              <w:rPr>
                <w:sz w:val="20"/>
                <w:szCs w:val="20"/>
              </w:rPr>
              <w:t>taktiež</w:t>
            </w:r>
            <w:r w:rsidRPr="00295C7D">
              <w:rPr>
                <w:sz w:val="20"/>
                <w:szCs w:val="20"/>
              </w:rPr>
              <w:t xml:space="preserve"> Rade pre mediálne služby.</w:t>
            </w:r>
          </w:p>
        </w:tc>
      </w:tr>
      <w:tr w:rsidR="005301E3" w:rsidRPr="00B043B4" w:rsidTr="00DE41A6">
        <w:tc>
          <w:tcPr>
            <w:tcW w:w="9180" w:type="dxa"/>
            <w:gridSpan w:val="11"/>
            <w:tcBorders>
              <w:top w:val="single" w:sz="4" w:space="0" w:color="auto"/>
              <w:left w:val="single" w:sz="4" w:space="0" w:color="auto"/>
              <w:bottom w:val="nil"/>
              <w:right w:val="single" w:sz="4" w:space="0" w:color="auto"/>
            </w:tcBorders>
            <w:shd w:val="clear" w:color="auto" w:fill="E2E2E2"/>
          </w:tcPr>
          <w:p w:rsidR="005301E3" w:rsidRPr="00B043B4" w:rsidRDefault="005301E3" w:rsidP="005301E3">
            <w:pPr>
              <w:widowControl/>
              <w:numPr>
                <w:ilvl w:val="0"/>
                <w:numId w:val="1"/>
              </w:numPr>
              <w:adjustRightInd/>
              <w:ind w:left="426"/>
              <w:contextualSpacing/>
              <w:rPr>
                <w:rFonts w:eastAsia="Calibri"/>
                <w:b/>
              </w:rPr>
            </w:pPr>
            <w:r w:rsidRPr="00B043B4">
              <w:rPr>
                <w:rFonts w:eastAsia="Calibri"/>
                <w:b/>
              </w:rPr>
              <w:lastRenderedPageBreak/>
              <w:t>Dotknuté subjekty</w:t>
            </w:r>
          </w:p>
        </w:tc>
      </w:tr>
      <w:tr w:rsidR="005301E3" w:rsidRPr="00B043B4" w:rsidTr="00DE41A6">
        <w:tc>
          <w:tcPr>
            <w:tcW w:w="9180" w:type="dxa"/>
            <w:gridSpan w:val="11"/>
            <w:tcBorders>
              <w:top w:val="nil"/>
              <w:left w:val="single" w:sz="4" w:space="0" w:color="auto"/>
              <w:bottom w:val="single" w:sz="4" w:space="0" w:color="auto"/>
              <w:right w:val="single" w:sz="4" w:space="0" w:color="auto"/>
            </w:tcBorders>
            <w:shd w:val="clear" w:color="auto" w:fill="FFFFFF"/>
          </w:tcPr>
          <w:p w:rsidR="005301E3" w:rsidRPr="00B043B4" w:rsidRDefault="005301E3" w:rsidP="00DE41A6">
            <w:pPr>
              <w:rPr>
                <w:b/>
                <w:sz w:val="20"/>
                <w:szCs w:val="20"/>
              </w:rPr>
            </w:pPr>
            <w:r w:rsidRPr="00B043B4">
              <w:rPr>
                <w:i/>
                <w:sz w:val="20"/>
                <w:szCs w:val="20"/>
              </w:rPr>
              <w:t xml:space="preserve">Uveďte subjekty, ktorých sa zmeny predkladaného materiálu dotknú priamo aj nepriamo: </w:t>
            </w:r>
          </w:p>
          <w:p w:rsidR="005301E3" w:rsidRDefault="005301E3" w:rsidP="00DE41A6">
            <w:pPr>
              <w:rPr>
                <w:i/>
                <w:sz w:val="20"/>
                <w:szCs w:val="20"/>
              </w:rPr>
            </w:pPr>
          </w:p>
          <w:p w:rsidR="005301E3" w:rsidRDefault="005301E3" w:rsidP="00DE41A6">
            <w:pPr>
              <w:rPr>
                <w:sz w:val="20"/>
                <w:szCs w:val="20"/>
              </w:rPr>
            </w:pPr>
            <w:r>
              <w:rPr>
                <w:sz w:val="20"/>
                <w:szCs w:val="20"/>
              </w:rPr>
              <w:t>Rada pre mediálne služby</w:t>
            </w:r>
          </w:p>
          <w:p w:rsidR="005301E3" w:rsidRDefault="005301E3" w:rsidP="00DE41A6">
            <w:pPr>
              <w:rPr>
                <w:sz w:val="20"/>
                <w:szCs w:val="20"/>
              </w:rPr>
            </w:pPr>
            <w:r>
              <w:rPr>
                <w:sz w:val="20"/>
                <w:szCs w:val="20"/>
              </w:rPr>
              <w:t>Subjekty poskytujúce súčinnosť Rade pre mediálne služby</w:t>
            </w:r>
          </w:p>
          <w:p w:rsidR="005301E3" w:rsidRDefault="005301E3" w:rsidP="00DE41A6">
            <w:pPr>
              <w:rPr>
                <w:sz w:val="20"/>
                <w:szCs w:val="20"/>
              </w:rPr>
            </w:pPr>
            <w:r>
              <w:rPr>
                <w:sz w:val="20"/>
                <w:szCs w:val="20"/>
              </w:rPr>
              <w:t>Poskytovatelia sprostredkovateľských služieb (sociálne siete, online trhoviská, internetové vyhľadávače, cestovateľské a ubytovacie platformy, obchody s aplikáciami a pod.)</w:t>
            </w:r>
          </w:p>
          <w:p w:rsidR="005301E3" w:rsidRDefault="005301E3" w:rsidP="00DE41A6">
            <w:pPr>
              <w:rPr>
                <w:sz w:val="20"/>
                <w:szCs w:val="20"/>
              </w:rPr>
            </w:pPr>
            <w:r>
              <w:rPr>
                <w:sz w:val="20"/>
                <w:szCs w:val="20"/>
              </w:rPr>
              <w:t>Užívatelia sprostredkovateľských služieb</w:t>
            </w:r>
          </w:p>
          <w:p w:rsidR="005301E3" w:rsidRPr="00423822" w:rsidRDefault="005301E3" w:rsidP="00DE41A6">
            <w:pPr>
              <w:rPr>
                <w:sz w:val="20"/>
                <w:szCs w:val="20"/>
              </w:rPr>
            </w:pPr>
            <w:r>
              <w:rPr>
                <w:sz w:val="20"/>
                <w:szCs w:val="20"/>
              </w:rPr>
              <w:t>Komerční užívatelia sprostredkovateľských služieb</w:t>
            </w:r>
          </w:p>
        </w:tc>
      </w:tr>
      <w:tr w:rsidR="005301E3" w:rsidRPr="00B043B4" w:rsidTr="00DE41A6">
        <w:tc>
          <w:tcPr>
            <w:tcW w:w="9180" w:type="dxa"/>
            <w:gridSpan w:val="11"/>
            <w:tcBorders>
              <w:top w:val="single" w:sz="4" w:space="0" w:color="auto"/>
              <w:left w:val="single" w:sz="4" w:space="0" w:color="auto"/>
              <w:bottom w:val="nil"/>
              <w:right w:val="single" w:sz="4" w:space="0" w:color="auto"/>
            </w:tcBorders>
            <w:shd w:val="clear" w:color="auto" w:fill="E2E2E2"/>
          </w:tcPr>
          <w:p w:rsidR="005301E3" w:rsidRPr="00B043B4" w:rsidRDefault="005301E3" w:rsidP="005301E3">
            <w:pPr>
              <w:widowControl/>
              <w:numPr>
                <w:ilvl w:val="0"/>
                <w:numId w:val="1"/>
              </w:numPr>
              <w:adjustRightInd/>
              <w:ind w:left="426"/>
              <w:contextualSpacing/>
              <w:rPr>
                <w:rFonts w:eastAsia="Calibri"/>
                <w:b/>
              </w:rPr>
            </w:pPr>
            <w:r w:rsidRPr="00B043B4">
              <w:rPr>
                <w:rFonts w:eastAsia="Calibri"/>
                <w:b/>
              </w:rPr>
              <w:t>Alternatívne riešenia</w:t>
            </w:r>
          </w:p>
        </w:tc>
      </w:tr>
      <w:tr w:rsidR="005301E3" w:rsidRPr="00B043B4" w:rsidTr="00DE41A6">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5301E3" w:rsidRDefault="005301E3" w:rsidP="00DE41A6">
            <w:pPr>
              <w:jc w:val="both"/>
              <w:rPr>
                <w:i/>
                <w:sz w:val="20"/>
                <w:szCs w:val="20"/>
              </w:rPr>
            </w:pPr>
            <w:r w:rsidRPr="00B043B4">
              <w:rPr>
                <w:i/>
                <w:sz w:val="20"/>
                <w:szCs w:val="20"/>
              </w:rPr>
              <w:t>Aké alternatívne riešenia vedúce k stanovenému cieľu boli identifikované a posudzované pre riešenie definovaného problému?</w:t>
            </w:r>
          </w:p>
          <w:p w:rsidR="005301E3" w:rsidRPr="00B043B4" w:rsidRDefault="005301E3" w:rsidP="00DE41A6">
            <w:pPr>
              <w:jc w:val="both"/>
              <w:rPr>
                <w:i/>
                <w:sz w:val="20"/>
                <w:szCs w:val="20"/>
              </w:rPr>
            </w:pPr>
          </w:p>
          <w:p w:rsidR="005301E3" w:rsidRDefault="005301E3" w:rsidP="00DE41A6">
            <w:pPr>
              <w:jc w:val="both"/>
              <w:rPr>
                <w:sz w:val="20"/>
                <w:szCs w:val="20"/>
              </w:rPr>
            </w:pPr>
            <w:r w:rsidRPr="00731C3A">
              <w:rPr>
                <w:sz w:val="20"/>
                <w:szCs w:val="20"/>
              </w:rPr>
              <w:t>Žiaden z existujúcich orgá</w:t>
            </w:r>
            <w:r>
              <w:rPr>
                <w:sz w:val="20"/>
                <w:szCs w:val="20"/>
              </w:rPr>
              <w:t>nov v rámci právneho poriadku Slovenskej republiky</w:t>
            </w:r>
            <w:r w:rsidRPr="00731C3A">
              <w:rPr>
                <w:sz w:val="20"/>
                <w:szCs w:val="20"/>
              </w:rPr>
              <w:t xml:space="preserve"> aktuálne nespĺňa všetky požiadavky na koordinátora digitálnych služieb tak, ako bol zadefinovaný v </w:t>
            </w:r>
            <w:r>
              <w:rPr>
                <w:sz w:val="20"/>
                <w:szCs w:val="20"/>
              </w:rPr>
              <w:t>nariadení</w:t>
            </w:r>
            <w:r w:rsidRPr="00731C3A">
              <w:rPr>
                <w:sz w:val="20"/>
                <w:szCs w:val="20"/>
              </w:rPr>
              <w:t xml:space="preserve"> </w:t>
            </w:r>
            <w:r w:rsidRPr="009C5676">
              <w:rPr>
                <w:sz w:val="20"/>
                <w:szCs w:val="20"/>
              </w:rPr>
              <w:t>(EÚ) 2022/2065</w:t>
            </w:r>
            <w:r w:rsidRPr="00731C3A">
              <w:rPr>
                <w:sz w:val="20"/>
                <w:szCs w:val="20"/>
              </w:rPr>
              <w:t xml:space="preserve">. Pôsobnosť koordinátora digitálnych služieb je v podmienkach Slovenskej republiky úplne novou pôsobnosťou. V rámci Špeciálnej pracovnej skupiny pre digitálny governance Slovenska (pod vedením Ministerstva investícií, regionálneho rozvoja a informatizácie SR) boli preskúmané možnosti výkonu pôsobnosti koordinátora digitálnych služieb prostredníctvom Rady pre mediálne služby, Úradu pre reguláciu elektronických komunikácií a poštových služieb, Národnej agentúry pre sieťové a elektronické služby, Národnej banky Slovenska, Úradu na ochranu osobných údajov alebo </w:t>
            </w:r>
            <w:r>
              <w:rPr>
                <w:sz w:val="20"/>
                <w:szCs w:val="20"/>
              </w:rPr>
              <w:t xml:space="preserve">na tento účel </w:t>
            </w:r>
            <w:r w:rsidRPr="00731C3A">
              <w:rPr>
                <w:sz w:val="20"/>
                <w:szCs w:val="20"/>
              </w:rPr>
              <w:t>novovytvoreného orgánu</w:t>
            </w:r>
            <w:r>
              <w:rPr>
                <w:sz w:val="20"/>
                <w:szCs w:val="20"/>
              </w:rPr>
              <w:t xml:space="preserve"> (v súčasnosti takýto orgán neexistuje).</w:t>
            </w:r>
          </w:p>
          <w:p w:rsidR="005301E3" w:rsidRDefault="005301E3" w:rsidP="00DE41A6">
            <w:pPr>
              <w:jc w:val="both"/>
              <w:rPr>
                <w:sz w:val="20"/>
                <w:szCs w:val="20"/>
              </w:rPr>
            </w:pPr>
          </w:p>
          <w:p w:rsidR="005301E3" w:rsidRDefault="005301E3" w:rsidP="00DE41A6">
            <w:pPr>
              <w:jc w:val="both"/>
              <w:rPr>
                <w:sz w:val="20"/>
                <w:szCs w:val="20"/>
              </w:rPr>
            </w:pPr>
            <w:r w:rsidRPr="00731C3A">
              <w:rPr>
                <w:sz w:val="20"/>
                <w:szCs w:val="20"/>
              </w:rPr>
              <w:t xml:space="preserve">Ako najvýhodnejšie riešenie sa v súčasnosti javí zabezpečenie týchto činností prostredníctvom </w:t>
            </w:r>
            <w:r>
              <w:rPr>
                <w:sz w:val="20"/>
                <w:szCs w:val="20"/>
              </w:rPr>
              <w:t xml:space="preserve">národného regulátora v oblasti mediálnych služieb, </w:t>
            </w:r>
            <w:r w:rsidRPr="00731C3A">
              <w:rPr>
                <w:sz w:val="20"/>
                <w:szCs w:val="20"/>
              </w:rPr>
              <w:t xml:space="preserve">Rady pre mediálne služby, ktorá môže nadviazať na svoju pôsobnosť vo vzťahu k platformám na zdieľanie videí a platformám na zdieľanie obsahu podľa platného </w:t>
            </w:r>
            <w:r>
              <w:rPr>
                <w:sz w:val="20"/>
                <w:szCs w:val="20"/>
              </w:rPr>
              <w:t xml:space="preserve">a účinného </w:t>
            </w:r>
            <w:r w:rsidRPr="00731C3A">
              <w:rPr>
                <w:sz w:val="20"/>
                <w:szCs w:val="20"/>
              </w:rPr>
              <w:t>zákona č. 264/2022 Z. z. o mediálnych službách a o zmene a doplnení niektorých zákonov (zákon o mediálnych službách) v znení zákona č. 351/2022 Z. z. a ďalšie aktivity v online priestore, ktorým sa doposiaľ venovala v rozsahu zverenej pôsobnosti.</w:t>
            </w:r>
          </w:p>
          <w:p w:rsidR="005301E3" w:rsidRPr="00B043B4" w:rsidRDefault="005301E3" w:rsidP="00DE41A6">
            <w:pPr>
              <w:jc w:val="both"/>
              <w:rPr>
                <w:i/>
                <w:sz w:val="20"/>
                <w:szCs w:val="20"/>
              </w:rPr>
            </w:pPr>
          </w:p>
          <w:p w:rsidR="005301E3" w:rsidRDefault="005301E3" w:rsidP="00DE41A6">
            <w:pPr>
              <w:jc w:val="both"/>
              <w:rPr>
                <w:i/>
                <w:sz w:val="20"/>
                <w:szCs w:val="20"/>
              </w:rPr>
            </w:pPr>
            <w:r w:rsidRPr="00B043B4">
              <w:rPr>
                <w:i/>
                <w:sz w:val="20"/>
                <w:szCs w:val="20"/>
              </w:rPr>
              <w:t>Nulový variant - uveďte dôsledky, ku ktorým by došlo v prípade nevykonania úprav v predkladanom materiáli a alternatívne riešenia/spôsoby dosiahnutia cieľov uvedených v bode 3.</w:t>
            </w:r>
          </w:p>
          <w:p w:rsidR="005301E3" w:rsidRDefault="005301E3" w:rsidP="00DE41A6">
            <w:pPr>
              <w:jc w:val="both"/>
              <w:rPr>
                <w:i/>
                <w:sz w:val="20"/>
                <w:szCs w:val="20"/>
              </w:rPr>
            </w:pPr>
          </w:p>
          <w:p w:rsidR="005301E3" w:rsidRPr="00731C3A" w:rsidRDefault="005301E3" w:rsidP="00DE41A6">
            <w:pPr>
              <w:jc w:val="both"/>
              <w:rPr>
                <w:sz w:val="20"/>
                <w:szCs w:val="20"/>
              </w:rPr>
            </w:pPr>
            <w:r w:rsidRPr="00731C3A">
              <w:rPr>
                <w:sz w:val="20"/>
                <w:szCs w:val="20"/>
              </w:rPr>
              <w:t xml:space="preserve">Nulová alternatíva (zachovanie súčasného stavu) </w:t>
            </w:r>
            <w:r>
              <w:rPr>
                <w:sz w:val="20"/>
                <w:szCs w:val="20"/>
              </w:rPr>
              <w:t>sa nepripúšťa, nakoľko</w:t>
            </w:r>
            <w:r w:rsidRPr="00731C3A">
              <w:rPr>
                <w:sz w:val="20"/>
                <w:szCs w:val="20"/>
              </w:rPr>
              <w:t xml:space="preserve"> povinnosť Slovenskej republiky určiť do 17. februára 2024 orgán</w:t>
            </w:r>
            <w:r>
              <w:rPr>
                <w:sz w:val="20"/>
                <w:szCs w:val="20"/>
              </w:rPr>
              <w:t>, ktorý bude vykonávať úlohu koordinátora digitálnych služieb</w:t>
            </w:r>
            <w:r w:rsidRPr="00731C3A">
              <w:rPr>
                <w:sz w:val="20"/>
                <w:szCs w:val="20"/>
              </w:rPr>
              <w:t xml:space="preserve">, </w:t>
            </w:r>
            <w:r>
              <w:rPr>
                <w:sz w:val="20"/>
                <w:szCs w:val="20"/>
              </w:rPr>
              <w:t>a stanoviť právny</w:t>
            </w:r>
            <w:r w:rsidRPr="00295C7D">
              <w:rPr>
                <w:sz w:val="20"/>
                <w:szCs w:val="20"/>
              </w:rPr>
              <w:t xml:space="preserve"> základ pre </w:t>
            </w:r>
            <w:r>
              <w:rPr>
                <w:sz w:val="20"/>
                <w:szCs w:val="20"/>
              </w:rPr>
              <w:t xml:space="preserve">výkon dohľadu </w:t>
            </w:r>
            <w:r w:rsidRPr="00295C7D">
              <w:rPr>
                <w:sz w:val="20"/>
                <w:szCs w:val="20"/>
              </w:rPr>
              <w:t xml:space="preserve">nad dodržiavaním povinností </w:t>
            </w:r>
            <w:r>
              <w:rPr>
                <w:sz w:val="20"/>
                <w:szCs w:val="20"/>
              </w:rPr>
              <w:t xml:space="preserve">poskytovateľov sprostredkovateľských služieb </w:t>
            </w:r>
            <w:r w:rsidRPr="00731C3A">
              <w:rPr>
                <w:sz w:val="20"/>
                <w:szCs w:val="20"/>
              </w:rPr>
              <w:t>vyplýva</w:t>
            </w:r>
            <w:r>
              <w:rPr>
                <w:sz w:val="20"/>
                <w:szCs w:val="20"/>
              </w:rPr>
              <w:t>jú</w:t>
            </w:r>
            <w:r w:rsidRPr="00731C3A">
              <w:rPr>
                <w:sz w:val="20"/>
                <w:szCs w:val="20"/>
              </w:rPr>
              <w:t xml:space="preserve"> </w:t>
            </w:r>
            <w:r>
              <w:rPr>
                <w:sz w:val="20"/>
                <w:szCs w:val="20"/>
              </w:rPr>
              <w:t xml:space="preserve">priamo z nariadenia </w:t>
            </w:r>
            <w:r w:rsidRPr="009C5676">
              <w:rPr>
                <w:sz w:val="20"/>
                <w:szCs w:val="20"/>
              </w:rPr>
              <w:t>(EÚ) 2022/2065</w:t>
            </w:r>
            <w:r w:rsidRPr="00295C7D">
              <w:rPr>
                <w:sz w:val="20"/>
                <w:szCs w:val="20"/>
              </w:rPr>
              <w:t xml:space="preserve"> </w:t>
            </w:r>
            <w:r>
              <w:rPr>
                <w:sz w:val="20"/>
                <w:szCs w:val="20"/>
              </w:rPr>
              <w:t xml:space="preserve">a </w:t>
            </w:r>
            <w:r w:rsidRPr="00295C7D">
              <w:rPr>
                <w:sz w:val="20"/>
                <w:szCs w:val="20"/>
              </w:rPr>
              <w:t>nariadenia (EÚ) 2019/1150</w:t>
            </w:r>
            <w:r w:rsidRPr="00731C3A">
              <w:rPr>
                <w:sz w:val="20"/>
                <w:szCs w:val="20"/>
              </w:rPr>
              <w:t xml:space="preserve">. </w:t>
            </w:r>
          </w:p>
          <w:p w:rsidR="005301E3" w:rsidRPr="00B043B4" w:rsidRDefault="005301E3" w:rsidP="00DE41A6">
            <w:pPr>
              <w:jc w:val="both"/>
              <w:rPr>
                <w:i/>
                <w:sz w:val="20"/>
                <w:szCs w:val="20"/>
              </w:rPr>
            </w:pPr>
          </w:p>
        </w:tc>
      </w:tr>
      <w:tr w:rsidR="005301E3" w:rsidRPr="00B043B4" w:rsidTr="00DE41A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301E3" w:rsidRPr="00B043B4" w:rsidRDefault="005301E3" w:rsidP="005301E3">
            <w:pPr>
              <w:widowControl/>
              <w:numPr>
                <w:ilvl w:val="0"/>
                <w:numId w:val="1"/>
              </w:numPr>
              <w:adjustRightInd/>
              <w:ind w:left="426"/>
              <w:contextualSpacing/>
              <w:rPr>
                <w:rFonts w:eastAsia="Calibri"/>
                <w:b/>
              </w:rPr>
            </w:pPr>
            <w:r w:rsidRPr="00B043B4">
              <w:rPr>
                <w:rFonts w:eastAsia="Calibri"/>
                <w:b/>
              </w:rPr>
              <w:t>Vykonávacie predpisy</w:t>
            </w:r>
          </w:p>
        </w:tc>
      </w:tr>
      <w:tr w:rsidR="005301E3" w:rsidRPr="00B043B4" w:rsidTr="00DE41A6">
        <w:tc>
          <w:tcPr>
            <w:tcW w:w="6203" w:type="dxa"/>
            <w:gridSpan w:val="7"/>
            <w:tcBorders>
              <w:top w:val="single" w:sz="4" w:space="0" w:color="FFFFFF"/>
              <w:left w:val="single" w:sz="4" w:space="0" w:color="auto"/>
              <w:bottom w:val="nil"/>
              <w:right w:val="nil"/>
            </w:tcBorders>
            <w:shd w:val="clear" w:color="auto" w:fill="FFFFFF"/>
          </w:tcPr>
          <w:p w:rsidR="005301E3" w:rsidRPr="00B043B4" w:rsidRDefault="005301E3" w:rsidP="00DE41A6">
            <w:pPr>
              <w:rPr>
                <w:i/>
                <w:sz w:val="20"/>
                <w:szCs w:val="20"/>
              </w:rPr>
            </w:pPr>
            <w:r w:rsidRPr="00B043B4">
              <w:rPr>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5301E3" w:rsidRPr="00B043B4" w:rsidRDefault="00F55A99" w:rsidP="00DE41A6">
            <w:pPr>
              <w:jc w:val="center"/>
              <w:rPr>
                <w:b/>
                <w:sz w:val="20"/>
                <w:szCs w:val="20"/>
              </w:rPr>
            </w:pPr>
            <w:sdt>
              <w:sdtPr>
                <w:rPr>
                  <w:b/>
                  <w:sz w:val="20"/>
                  <w:szCs w:val="20"/>
                </w:rPr>
                <w:id w:val="1929613764"/>
                <w14:checkbox>
                  <w14:checked w14:val="0"/>
                  <w14:checkedState w14:val="2612" w14:font="MS Gothic"/>
                  <w14:uncheckedState w14:val="2610" w14:font="MS Gothic"/>
                </w14:checkbox>
              </w:sdtPr>
              <w:sdtEndPr/>
              <w:sdtContent>
                <w:r w:rsidR="005301E3">
                  <w:rPr>
                    <w:rFonts w:ascii="MS Gothic" w:eastAsia="MS Gothic" w:hAnsi="MS Gothic" w:hint="eastAsia"/>
                    <w:b/>
                    <w:sz w:val="20"/>
                    <w:szCs w:val="20"/>
                  </w:rPr>
                  <w:t>☐</w:t>
                </w:r>
              </w:sdtContent>
            </w:sdt>
            <w:r w:rsidR="005301E3" w:rsidRPr="00B043B4">
              <w:rPr>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5301E3" w:rsidRPr="00B043B4" w:rsidRDefault="00F55A99" w:rsidP="00DE41A6">
            <w:pPr>
              <w:jc w:val="center"/>
              <w:rPr>
                <w:b/>
                <w:sz w:val="20"/>
                <w:szCs w:val="20"/>
              </w:rPr>
            </w:pPr>
            <w:sdt>
              <w:sdtPr>
                <w:rPr>
                  <w:b/>
                  <w:sz w:val="20"/>
                  <w:szCs w:val="20"/>
                </w:rPr>
                <w:id w:val="-1594626508"/>
                <w14:checkbox>
                  <w14:checked w14:val="1"/>
                  <w14:checkedState w14:val="2612" w14:font="MS Gothic"/>
                  <w14:uncheckedState w14:val="2610" w14:font="MS Gothic"/>
                </w14:checkbox>
              </w:sdtPr>
              <w:sdtEndPr/>
              <w:sdtContent>
                <w:r w:rsidR="005301E3">
                  <w:rPr>
                    <w:rFonts w:ascii="MS Gothic" w:eastAsia="MS Gothic" w:hAnsi="MS Gothic" w:hint="eastAsia"/>
                    <w:b/>
                    <w:sz w:val="20"/>
                    <w:szCs w:val="20"/>
                  </w:rPr>
                  <w:t>☒</w:t>
                </w:r>
              </w:sdtContent>
            </w:sdt>
            <w:r w:rsidR="005301E3" w:rsidRPr="00B043B4">
              <w:rPr>
                <w:b/>
                <w:sz w:val="20"/>
                <w:szCs w:val="20"/>
              </w:rPr>
              <w:t xml:space="preserve">  Nie</w:t>
            </w:r>
          </w:p>
        </w:tc>
      </w:tr>
      <w:tr w:rsidR="005301E3" w:rsidRPr="00B043B4" w:rsidTr="00DE41A6">
        <w:tc>
          <w:tcPr>
            <w:tcW w:w="9180" w:type="dxa"/>
            <w:gridSpan w:val="11"/>
            <w:tcBorders>
              <w:top w:val="nil"/>
              <w:left w:val="single" w:sz="4" w:space="0" w:color="auto"/>
              <w:bottom w:val="single" w:sz="4" w:space="0" w:color="auto"/>
              <w:right w:val="single" w:sz="4" w:space="0" w:color="auto"/>
            </w:tcBorders>
            <w:shd w:val="clear" w:color="auto" w:fill="FFFFFF"/>
          </w:tcPr>
          <w:p w:rsidR="005301E3" w:rsidRPr="00EB4027" w:rsidRDefault="005301E3" w:rsidP="00DE41A6">
            <w:pPr>
              <w:rPr>
                <w:i/>
                <w:sz w:val="20"/>
                <w:szCs w:val="20"/>
              </w:rPr>
            </w:pPr>
            <w:r w:rsidRPr="00EB4027">
              <w:rPr>
                <w:i/>
                <w:sz w:val="20"/>
                <w:szCs w:val="20"/>
              </w:rPr>
              <w:t>Ak áno, uveďte ktoré oblasti budú nimi upravené, resp. ktorých vykonávacích predpisov sa zmena dotkne:</w:t>
            </w:r>
          </w:p>
          <w:p w:rsidR="005301E3" w:rsidRPr="00EB4027" w:rsidRDefault="005301E3" w:rsidP="00DE41A6">
            <w:pPr>
              <w:rPr>
                <w:sz w:val="20"/>
                <w:szCs w:val="20"/>
              </w:rPr>
            </w:pPr>
          </w:p>
        </w:tc>
      </w:tr>
      <w:tr w:rsidR="005301E3" w:rsidRPr="00B043B4" w:rsidTr="00DE41A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301E3" w:rsidRPr="00EB4027" w:rsidRDefault="005301E3" w:rsidP="005301E3">
            <w:pPr>
              <w:widowControl/>
              <w:numPr>
                <w:ilvl w:val="0"/>
                <w:numId w:val="1"/>
              </w:numPr>
              <w:adjustRightInd/>
              <w:ind w:left="426"/>
              <w:contextualSpacing/>
              <w:rPr>
                <w:rFonts w:eastAsia="Calibri"/>
                <w:b/>
              </w:rPr>
            </w:pPr>
            <w:r w:rsidRPr="00EB4027">
              <w:rPr>
                <w:rFonts w:eastAsia="Calibri"/>
                <w:b/>
              </w:rPr>
              <w:t xml:space="preserve">Transpozícia/implementácia práva EÚ </w:t>
            </w:r>
          </w:p>
        </w:tc>
      </w:tr>
      <w:tr w:rsidR="005301E3" w:rsidRPr="00B043B4" w:rsidTr="00DE41A6">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5301E3" w:rsidRPr="00EB4027" w:rsidTr="00DE41A6">
              <w:trPr>
                <w:trHeight w:val="90"/>
              </w:trPr>
              <w:tc>
                <w:tcPr>
                  <w:tcW w:w="8643" w:type="dxa"/>
                </w:tcPr>
                <w:p w:rsidR="005301E3" w:rsidRPr="00EB4027" w:rsidRDefault="005301E3" w:rsidP="00DE41A6">
                  <w:pPr>
                    <w:pStyle w:val="Default"/>
                    <w:rPr>
                      <w:color w:val="auto"/>
                      <w:sz w:val="20"/>
                      <w:szCs w:val="20"/>
                    </w:rPr>
                  </w:pPr>
                  <w:r w:rsidRPr="00EB4027">
                    <w:rPr>
                      <w:i/>
                      <w:iCs/>
                      <w:color w:val="auto"/>
                      <w:sz w:val="20"/>
                      <w:szCs w:val="20"/>
                    </w:rPr>
                    <w:t xml:space="preserve">Uveďte, či v predkladanom návrhu právneho predpisu dochádza ku goldplatingu podľa tabuľky zhody, resp. či ku goldplatingu dochádza pri implementácii práva EÚ. </w:t>
                  </w:r>
                </w:p>
              </w:tc>
            </w:tr>
            <w:tr w:rsidR="005301E3" w:rsidRPr="00EB4027" w:rsidTr="00DE41A6">
              <w:trPr>
                <w:trHeight w:val="296"/>
              </w:trPr>
              <w:tc>
                <w:tcPr>
                  <w:tcW w:w="8643" w:type="dxa"/>
                </w:tcPr>
                <w:p w:rsidR="005301E3" w:rsidRPr="00EB4027" w:rsidRDefault="005301E3" w:rsidP="00DE41A6">
                  <w:pPr>
                    <w:pStyle w:val="Default"/>
                    <w:rPr>
                      <w:b/>
                      <w:iCs/>
                      <w:color w:val="auto"/>
                      <w:sz w:val="20"/>
                      <w:szCs w:val="20"/>
                    </w:rPr>
                  </w:pPr>
                  <w:r w:rsidRPr="00EB4027">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EB4027">
                        <w:rPr>
                          <w:rFonts w:ascii="MS Gothic" w:eastAsia="MS Gothic" w:hAnsi="MS Gothic" w:hint="eastAsia"/>
                          <w:b/>
                          <w:iCs/>
                          <w:color w:val="auto"/>
                          <w:sz w:val="20"/>
                          <w:szCs w:val="20"/>
                        </w:rPr>
                        <w:t>☐</w:t>
                      </w:r>
                    </w:sdtContent>
                  </w:sdt>
                  <w:r w:rsidRPr="00EB4027">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EB4027">
                        <w:rPr>
                          <w:rFonts w:ascii="MS Gothic" w:eastAsia="MS Gothic" w:hAnsi="MS Gothic" w:hint="eastAsia"/>
                          <w:b/>
                          <w:iCs/>
                          <w:color w:val="auto"/>
                          <w:sz w:val="20"/>
                          <w:szCs w:val="20"/>
                        </w:rPr>
                        <w:t>☒</w:t>
                      </w:r>
                    </w:sdtContent>
                  </w:sdt>
                  <w:r w:rsidRPr="00EB4027">
                    <w:rPr>
                      <w:b/>
                      <w:iCs/>
                      <w:color w:val="auto"/>
                      <w:sz w:val="20"/>
                      <w:szCs w:val="20"/>
                    </w:rPr>
                    <w:t xml:space="preserve"> Nie</w:t>
                  </w:r>
                </w:p>
                <w:p w:rsidR="005301E3" w:rsidRPr="00EB4027" w:rsidRDefault="005301E3" w:rsidP="00DE41A6">
                  <w:pPr>
                    <w:pStyle w:val="Default"/>
                    <w:rPr>
                      <w:i/>
                      <w:iCs/>
                      <w:color w:val="auto"/>
                      <w:sz w:val="20"/>
                      <w:szCs w:val="20"/>
                    </w:rPr>
                  </w:pPr>
                </w:p>
                <w:p w:rsidR="005301E3" w:rsidRPr="00EB4027" w:rsidRDefault="005301E3" w:rsidP="00DE41A6">
                  <w:pPr>
                    <w:pStyle w:val="Default"/>
                    <w:rPr>
                      <w:color w:val="auto"/>
                      <w:sz w:val="20"/>
                      <w:szCs w:val="20"/>
                    </w:rPr>
                  </w:pPr>
                  <w:r w:rsidRPr="00EB4027">
                    <w:rPr>
                      <w:i/>
                      <w:iCs/>
                      <w:color w:val="auto"/>
                      <w:sz w:val="20"/>
                      <w:szCs w:val="20"/>
                    </w:rPr>
                    <w:t xml:space="preserve">Ak áno, uveďte, ktorých vplyvov podľa bodu 9 sa goldplating týka: </w:t>
                  </w:r>
                </w:p>
              </w:tc>
            </w:tr>
            <w:tr w:rsidR="005301E3" w:rsidRPr="00EB4027" w:rsidTr="00DE41A6">
              <w:trPr>
                <w:trHeight w:val="296"/>
              </w:trPr>
              <w:tc>
                <w:tcPr>
                  <w:tcW w:w="8643" w:type="dxa"/>
                </w:tcPr>
                <w:p w:rsidR="005301E3" w:rsidRPr="00EB4027" w:rsidRDefault="005301E3" w:rsidP="00DE41A6">
                  <w:pPr>
                    <w:pStyle w:val="Default"/>
                    <w:rPr>
                      <w:rFonts w:ascii="Segoe UI Symbol" w:hAnsi="Segoe UI Symbol" w:cs="Segoe UI Symbol"/>
                      <w:color w:val="auto"/>
                      <w:sz w:val="20"/>
                      <w:szCs w:val="20"/>
                    </w:rPr>
                  </w:pPr>
                </w:p>
              </w:tc>
            </w:tr>
          </w:tbl>
          <w:p w:rsidR="005301E3" w:rsidRPr="00EB4027" w:rsidRDefault="005301E3" w:rsidP="00DE41A6">
            <w:pPr>
              <w:jc w:val="both"/>
              <w:rPr>
                <w:i/>
                <w:sz w:val="20"/>
                <w:szCs w:val="20"/>
              </w:rPr>
            </w:pPr>
          </w:p>
        </w:tc>
      </w:tr>
      <w:tr w:rsidR="005301E3" w:rsidRPr="00B043B4" w:rsidTr="00DE41A6">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5301E3" w:rsidRPr="00B043B4" w:rsidRDefault="005301E3" w:rsidP="00DE41A6">
            <w:pPr>
              <w:jc w:val="center"/>
              <w:rPr>
                <w:sz w:val="20"/>
                <w:szCs w:val="20"/>
              </w:rPr>
            </w:pPr>
          </w:p>
        </w:tc>
      </w:tr>
      <w:tr w:rsidR="005301E3" w:rsidRPr="00B043B4" w:rsidTr="00DE41A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301E3" w:rsidRPr="00B043B4" w:rsidRDefault="005301E3" w:rsidP="005301E3">
            <w:pPr>
              <w:widowControl/>
              <w:numPr>
                <w:ilvl w:val="0"/>
                <w:numId w:val="1"/>
              </w:numPr>
              <w:adjustRightInd/>
              <w:ind w:left="426"/>
              <w:contextualSpacing/>
              <w:rPr>
                <w:rFonts w:eastAsia="Calibri"/>
                <w:b/>
              </w:rPr>
            </w:pPr>
            <w:r w:rsidRPr="00B043B4">
              <w:rPr>
                <w:rFonts w:eastAsia="Calibri"/>
                <w:b/>
              </w:rPr>
              <w:t>Preskúmanie účelnosti</w:t>
            </w:r>
          </w:p>
        </w:tc>
      </w:tr>
      <w:tr w:rsidR="005301E3" w:rsidRPr="00B043B4" w:rsidTr="00DE41A6">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5301E3" w:rsidRPr="00B043B4" w:rsidRDefault="005301E3" w:rsidP="00DE41A6">
            <w:pPr>
              <w:rPr>
                <w:i/>
                <w:sz w:val="20"/>
                <w:szCs w:val="20"/>
              </w:rPr>
            </w:pPr>
            <w:r w:rsidRPr="00B043B4">
              <w:rPr>
                <w:i/>
                <w:sz w:val="20"/>
                <w:szCs w:val="20"/>
              </w:rPr>
              <w:t>Uveďte termín, kedy by malo dôjsť k preskúmaniu účinnosti a účelnosti predkladaného materiálu.</w:t>
            </w:r>
          </w:p>
          <w:p w:rsidR="005301E3" w:rsidRPr="00B043B4" w:rsidRDefault="005301E3" w:rsidP="00DE41A6">
            <w:pPr>
              <w:rPr>
                <w:i/>
                <w:sz w:val="20"/>
                <w:szCs w:val="20"/>
              </w:rPr>
            </w:pPr>
            <w:r w:rsidRPr="00B043B4">
              <w:rPr>
                <w:i/>
                <w:sz w:val="20"/>
                <w:szCs w:val="20"/>
              </w:rPr>
              <w:t>Uveďte kritériá, na základe ktorých bude preskúmanie vykonané.</w:t>
            </w:r>
          </w:p>
          <w:p w:rsidR="005301E3" w:rsidRDefault="005301E3" w:rsidP="00DE41A6">
            <w:pPr>
              <w:rPr>
                <w:i/>
                <w:sz w:val="20"/>
                <w:szCs w:val="20"/>
              </w:rPr>
            </w:pPr>
          </w:p>
          <w:p w:rsidR="005301E3" w:rsidRDefault="005301E3" w:rsidP="00DE41A6">
            <w:pPr>
              <w:jc w:val="both"/>
              <w:rPr>
                <w:sz w:val="20"/>
                <w:szCs w:val="20"/>
              </w:rPr>
            </w:pPr>
          </w:p>
          <w:p w:rsidR="005301E3" w:rsidRDefault="005301E3" w:rsidP="00DE41A6">
            <w:pPr>
              <w:jc w:val="both"/>
              <w:rPr>
                <w:sz w:val="20"/>
                <w:szCs w:val="20"/>
              </w:rPr>
            </w:pPr>
            <w:r>
              <w:rPr>
                <w:sz w:val="20"/>
                <w:szCs w:val="20"/>
              </w:rPr>
              <w:lastRenderedPageBreak/>
              <w:t xml:space="preserve">V zmysle nariadenia </w:t>
            </w:r>
            <w:r w:rsidRPr="009C5676">
              <w:rPr>
                <w:sz w:val="20"/>
                <w:szCs w:val="20"/>
              </w:rPr>
              <w:t>(EÚ) 2022/2065</w:t>
            </w:r>
            <w:r>
              <w:rPr>
                <w:sz w:val="20"/>
                <w:szCs w:val="20"/>
              </w:rPr>
              <w:t xml:space="preserve"> sú koordinátori digitálnych služieb povinní vypracúvať výročné správy o činnosti podľa tohto nariadenia. </w:t>
            </w:r>
            <w:bookmarkStart w:id="0" w:name="_Hlk159931298"/>
            <w:r>
              <w:rPr>
                <w:sz w:val="20"/>
                <w:szCs w:val="20"/>
              </w:rPr>
              <w:t>Prvé preskúmanie účelnosti bude možné uskutočniť z výročnej správy Rady pre mediálne služby za rok 2024, ktorú je regulátor povinný predložiť Národnej rade SR do 90 dní po skončení kalendárneho roka.</w:t>
            </w:r>
          </w:p>
          <w:p w:rsidR="005301E3" w:rsidRDefault="005301E3" w:rsidP="00DE41A6">
            <w:pPr>
              <w:jc w:val="both"/>
              <w:rPr>
                <w:sz w:val="20"/>
                <w:szCs w:val="20"/>
              </w:rPr>
            </w:pPr>
            <w:bookmarkStart w:id="1" w:name="_Hlk159931248"/>
            <w:bookmarkEnd w:id="0"/>
            <w:r w:rsidRPr="00A0260A">
              <w:rPr>
                <w:sz w:val="20"/>
                <w:szCs w:val="20"/>
              </w:rPr>
              <w:t>V roku 202</w:t>
            </w:r>
            <w:r>
              <w:rPr>
                <w:sz w:val="20"/>
                <w:szCs w:val="20"/>
              </w:rPr>
              <w:t>7</w:t>
            </w:r>
            <w:r w:rsidRPr="00A0260A">
              <w:rPr>
                <w:sz w:val="20"/>
                <w:szCs w:val="20"/>
              </w:rPr>
              <w:t xml:space="preserve"> sa na základe predloženej výročnej správy za rok 202</w:t>
            </w:r>
            <w:r>
              <w:rPr>
                <w:sz w:val="20"/>
                <w:szCs w:val="20"/>
              </w:rPr>
              <w:t>6</w:t>
            </w:r>
            <w:r w:rsidRPr="00A0260A">
              <w:rPr>
                <w:sz w:val="20"/>
                <w:szCs w:val="20"/>
              </w:rPr>
              <w:t xml:space="preserve"> (do 90 dní po skončení kalendárneho roka) prehodnotí podľa reálnych potrieb rozpočet na rok 202</w:t>
            </w:r>
            <w:r>
              <w:rPr>
                <w:sz w:val="20"/>
                <w:szCs w:val="20"/>
              </w:rPr>
              <w:t>8</w:t>
            </w:r>
            <w:r w:rsidRPr="00A0260A">
              <w:rPr>
                <w:sz w:val="20"/>
                <w:szCs w:val="20"/>
              </w:rPr>
              <w:t>, vrátane vyčíslenia príjmov verejnej správy.</w:t>
            </w:r>
          </w:p>
          <w:bookmarkEnd w:id="1"/>
          <w:p w:rsidR="005301E3" w:rsidRPr="003F0454" w:rsidRDefault="005301E3" w:rsidP="00DE41A6">
            <w:pPr>
              <w:jc w:val="both"/>
              <w:rPr>
                <w:sz w:val="20"/>
                <w:szCs w:val="20"/>
              </w:rPr>
            </w:pPr>
            <w:r>
              <w:rPr>
                <w:sz w:val="20"/>
                <w:szCs w:val="20"/>
              </w:rPr>
              <w:t xml:space="preserve">Okrem toho nariadenie ukladá Európskej komisii do 17. novembra 2027 a následne každých päť rokov vypracovať hodnotenie tohto nariadenia, ktoré predloží Európskemu parlamentu, Európskej rade a Európskemu hospodárskemu a sociálnemu výboru. Výsledky tohto hodnotenia budú smerodajné aj na vnútroštátnej úrovni za účelom preskúmania účelnosti. </w:t>
            </w:r>
          </w:p>
        </w:tc>
      </w:tr>
      <w:tr w:rsidR="005301E3" w:rsidRPr="002F6ADB" w:rsidTr="00DE41A6">
        <w:tc>
          <w:tcPr>
            <w:tcW w:w="9180" w:type="dxa"/>
            <w:gridSpan w:val="11"/>
            <w:tcBorders>
              <w:top w:val="nil"/>
              <w:left w:val="nil"/>
              <w:bottom w:val="single" w:sz="4" w:space="0" w:color="auto"/>
              <w:right w:val="nil"/>
            </w:tcBorders>
            <w:shd w:val="clear" w:color="auto" w:fill="FFFFFF"/>
          </w:tcPr>
          <w:p w:rsidR="005301E3" w:rsidRPr="002F6ADB" w:rsidRDefault="005301E3" w:rsidP="00DE41A6">
            <w:pPr>
              <w:jc w:val="both"/>
              <w:rPr>
                <w:b/>
                <w:sz w:val="20"/>
                <w:szCs w:val="20"/>
              </w:rPr>
            </w:pPr>
          </w:p>
          <w:p w:rsidR="005301E3" w:rsidRPr="002F6ADB" w:rsidRDefault="005301E3" w:rsidP="00DE41A6">
            <w:pPr>
              <w:ind w:left="142" w:hanging="142"/>
              <w:jc w:val="both"/>
              <w:rPr>
                <w:sz w:val="20"/>
                <w:szCs w:val="20"/>
              </w:rPr>
            </w:pPr>
            <w:r w:rsidRPr="002F6ADB">
              <w:rPr>
                <w:sz w:val="20"/>
                <w:szCs w:val="20"/>
              </w:rPr>
              <w:t xml:space="preserve">* vyplniť iba v prípade, ak materiál nie je zahrnutý do Plánu práce vlády Slovenskej republiky alebo Plánu        legislatívnych úloh vlády Slovenskej republiky. </w:t>
            </w:r>
          </w:p>
          <w:p w:rsidR="005301E3" w:rsidRPr="002F6ADB" w:rsidRDefault="005301E3" w:rsidP="00DE41A6">
            <w:pPr>
              <w:jc w:val="both"/>
              <w:rPr>
                <w:sz w:val="20"/>
                <w:szCs w:val="20"/>
              </w:rPr>
            </w:pPr>
            <w:r w:rsidRPr="002F6ADB">
              <w:rPr>
                <w:sz w:val="20"/>
                <w:szCs w:val="20"/>
              </w:rPr>
              <w:t>** vyplniť iba v prípade, ak sa záverečné posúdenie vybraných vplyvov uskutočnilo v zmysle bodu 9.1. jednotnej metodiky.</w:t>
            </w:r>
          </w:p>
          <w:p w:rsidR="005301E3" w:rsidRPr="002F6ADB" w:rsidRDefault="005301E3" w:rsidP="00DE41A6">
            <w:pPr>
              <w:jc w:val="both"/>
              <w:rPr>
                <w:sz w:val="20"/>
                <w:szCs w:val="20"/>
              </w:rPr>
            </w:pPr>
            <w:r w:rsidRPr="002F6ADB">
              <w:rPr>
                <w:sz w:val="20"/>
                <w:szCs w:val="20"/>
              </w:rPr>
              <w:t>*** posudzovanie sa týka len zmien v I. a II. pilieri univerzálneho systému dôchodkového zabezpečenia s identifikovaným dopadom od 0,1 % HDP (vrátane) na dlhodobom horizonte.</w:t>
            </w:r>
          </w:p>
          <w:p w:rsidR="005301E3" w:rsidRPr="002F6ADB" w:rsidRDefault="005301E3" w:rsidP="00DE41A6">
            <w:pPr>
              <w:jc w:val="both"/>
              <w:rPr>
                <w:sz w:val="20"/>
                <w:szCs w:val="20"/>
              </w:rPr>
            </w:pPr>
          </w:p>
          <w:p w:rsidR="005301E3" w:rsidRPr="002F6ADB" w:rsidRDefault="005301E3" w:rsidP="00DE41A6">
            <w:pPr>
              <w:jc w:val="both"/>
              <w:rPr>
                <w:b/>
                <w:sz w:val="20"/>
                <w:szCs w:val="20"/>
              </w:rPr>
            </w:pPr>
          </w:p>
        </w:tc>
      </w:tr>
      <w:tr w:rsidR="005301E3" w:rsidRPr="00B043B4" w:rsidTr="00DE41A6">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5301E3" w:rsidRPr="00B043B4" w:rsidRDefault="005301E3" w:rsidP="005301E3">
            <w:pPr>
              <w:widowControl/>
              <w:numPr>
                <w:ilvl w:val="0"/>
                <w:numId w:val="1"/>
              </w:numPr>
              <w:adjustRightInd/>
              <w:ind w:left="426"/>
              <w:contextualSpacing/>
              <w:rPr>
                <w:rFonts w:eastAsia="Calibri"/>
                <w:b/>
              </w:rPr>
            </w:pPr>
            <w:r w:rsidRPr="00B043B4">
              <w:rPr>
                <w:rFonts w:eastAsia="Calibri"/>
                <w:b/>
              </w:rPr>
              <w:t>Vybrané vplyvy  materiálu</w:t>
            </w:r>
          </w:p>
        </w:tc>
      </w:tr>
      <w:tr w:rsidR="005301E3" w:rsidRPr="00B043B4" w:rsidTr="00DE41A6">
        <w:tc>
          <w:tcPr>
            <w:tcW w:w="3812" w:type="dxa"/>
            <w:tcBorders>
              <w:top w:val="single" w:sz="4" w:space="0" w:color="auto"/>
              <w:left w:val="single" w:sz="4" w:space="0" w:color="auto"/>
              <w:bottom w:val="nil"/>
              <w:right w:val="single" w:sz="4" w:space="0" w:color="auto"/>
            </w:tcBorders>
            <w:shd w:val="clear" w:color="auto" w:fill="E2E2E2"/>
          </w:tcPr>
          <w:p w:rsidR="005301E3" w:rsidRPr="00B043B4" w:rsidRDefault="005301E3" w:rsidP="00DE41A6">
            <w:pPr>
              <w:rPr>
                <w:b/>
                <w:sz w:val="20"/>
                <w:szCs w:val="20"/>
              </w:rPr>
            </w:pPr>
            <w:r w:rsidRPr="00B043B4">
              <w:rPr>
                <w:b/>
                <w:sz w:val="20"/>
                <w:szCs w:val="20"/>
              </w:rPr>
              <w:t>Vplyvy na rozpočet verejnej správy</w:t>
            </w:r>
          </w:p>
        </w:tc>
        <w:sdt>
          <w:sdtPr>
            <w:rPr>
              <w:b/>
              <w:sz w:val="20"/>
              <w:szCs w:val="20"/>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5301E3" w:rsidRPr="00B043B4" w:rsidRDefault="005301E3" w:rsidP="00DE41A6">
                <w:pPr>
                  <w:jc w:val="center"/>
                  <w:rPr>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tcPr>
          <w:p w:rsidR="005301E3" w:rsidRPr="00B043B4" w:rsidRDefault="005301E3" w:rsidP="00DE41A6">
            <w:pPr>
              <w:rPr>
                <w:b/>
                <w:sz w:val="20"/>
                <w:szCs w:val="20"/>
              </w:rPr>
            </w:pPr>
            <w:r w:rsidRPr="00B043B4">
              <w:rPr>
                <w:b/>
                <w:sz w:val="20"/>
                <w:szCs w:val="20"/>
              </w:rPr>
              <w:t>Pozitívne</w:t>
            </w:r>
          </w:p>
        </w:tc>
        <w:sdt>
          <w:sdtPr>
            <w:rPr>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5301E3" w:rsidRPr="00B043B4" w:rsidRDefault="005301E3" w:rsidP="00DE41A6">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tcPr>
          <w:p w:rsidR="005301E3" w:rsidRPr="00B043B4" w:rsidRDefault="005301E3" w:rsidP="00DE41A6">
            <w:pPr>
              <w:rPr>
                <w:b/>
                <w:sz w:val="20"/>
                <w:szCs w:val="20"/>
              </w:rPr>
            </w:pPr>
            <w:r w:rsidRPr="00B043B4">
              <w:rPr>
                <w:b/>
                <w:sz w:val="20"/>
                <w:szCs w:val="20"/>
              </w:rPr>
              <w:t>Žiadne</w:t>
            </w:r>
          </w:p>
        </w:tc>
        <w:sdt>
          <w:sdtPr>
            <w:rPr>
              <w:b/>
              <w:sz w:val="20"/>
              <w:szCs w:val="20"/>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5301E3" w:rsidRPr="00B043B4" w:rsidRDefault="005301E3" w:rsidP="00DE41A6">
                <w:pPr>
                  <w:ind w:left="-107" w:right="-108"/>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rsidR="005301E3" w:rsidRPr="00B043B4" w:rsidRDefault="005301E3" w:rsidP="00DE41A6">
            <w:pPr>
              <w:ind w:left="34"/>
              <w:rPr>
                <w:b/>
                <w:sz w:val="20"/>
                <w:szCs w:val="20"/>
              </w:rPr>
            </w:pPr>
            <w:r w:rsidRPr="00B043B4">
              <w:rPr>
                <w:b/>
                <w:sz w:val="20"/>
                <w:szCs w:val="20"/>
              </w:rPr>
              <w:t>Negatívne</w:t>
            </w:r>
          </w:p>
        </w:tc>
      </w:tr>
      <w:tr w:rsidR="005301E3" w:rsidRPr="00B043B4" w:rsidTr="00DE41A6">
        <w:tc>
          <w:tcPr>
            <w:tcW w:w="3812" w:type="dxa"/>
            <w:tcBorders>
              <w:top w:val="nil"/>
              <w:left w:val="single" w:sz="4" w:space="0" w:color="auto"/>
              <w:bottom w:val="nil"/>
              <w:right w:val="single" w:sz="4" w:space="0" w:color="auto"/>
            </w:tcBorders>
            <w:shd w:val="clear" w:color="auto" w:fill="E2E2E2"/>
          </w:tcPr>
          <w:p w:rsidR="005301E3" w:rsidRDefault="005301E3" w:rsidP="00DE41A6">
            <w:pPr>
              <w:rPr>
                <w:sz w:val="20"/>
                <w:szCs w:val="20"/>
              </w:rPr>
            </w:pPr>
            <w:r>
              <w:rPr>
                <w:sz w:val="20"/>
                <w:szCs w:val="20"/>
              </w:rPr>
              <w:t xml:space="preserve">    </w:t>
            </w:r>
            <w:r w:rsidRPr="00A340BB">
              <w:rPr>
                <w:sz w:val="20"/>
                <w:szCs w:val="20"/>
              </w:rPr>
              <w:t xml:space="preserve">z toho rozpočtovo zabezpečené vplyvy,     </w:t>
            </w:r>
            <w:r>
              <w:rPr>
                <w:sz w:val="20"/>
                <w:szCs w:val="20"/>
              </w:rPr>
              <w:t xml:space="preserve">    </w:t>
            </w:r>
          </w:p>
          <w:p w:rsidR="005301E3" w:rsidRDefault="005301E3" w:rsidP="00DE41A6">
            <w:pPr>
              <w:rPr>
                <w:sz w:val="20"/>
                <w:szCs w:val="20"/>
              </w:rPr>
            </w:pPr>
            <w:r>
              <w:rPr>
                <w:sz w:val="20"/>
                <w:szCs w:val="20"/>
              </w:rPr>
              <w:t xml:space="preserve">    </w:t>
            </w:r>
            <w:r w:rsidRPr="00A340BB">
              <w:rPr>
                <w:sz w:val="20"/>
                <w:szCs w:val="20"/>
              </w:rPr>
              <w:t xml:space="preserve">v prípade identifikovaného negatívneho </w:t>
            </w:r>
          </w:p>
          <w:p w:rsidR="005301E3" w:rsidRPr="00A340BB" w:rsidRDefault="005301E3" w:rsidP="00DE41A6">
            <w:pPr>
              <w:rPr>
                <w:sz w:val="20"/>
                <w:szCs w:val="20"/>
              </w:rPr>
            </w:pPr>
            <w:r>
              <w:rPr>
                <w:sz w:val="20"/>
                <w:szCs w:val="20"/>
              </w:rPr>
              <w:t xml:space="preserve">    </w:t>
            </w:r>
            <w:r w:rsidRPr="00A340BB">
              <w:rPr>
                <w:sz w:val="20"/>
                <w:szCs w:val="20"/>
              </w:rPr>
              <w:t>vplyvu</w:t>
            </w:r>
          </w:p>
        </w:tc>
        <w:sdt>
          <w:sdtPr>
            <w:rPr>
              <w:sz w:val="20"/>
              <w:szCs w:val="20"/>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5301E3" w:rsidRPr="00B043B4" w:rsidRDefault="005301E3" w:rsidP="00DE41A6">
                <w:pPr>
                  <w:jc w:val="center"/>
                  <w:rPr>
                    <w:sz w:val="20"/>
                    <w:szCs w:val="20"/>
                  </w:rPr>
                </w:pPr>
                <w:r>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rsidR="005301E3" w:rsidRPr="00B043B4" w:rsidRDefault="005301E3" w:rsidP="00DE41A6">
            <w:pPr>
              <w:rPr>
                <w:sz w:val="20"/>
                <w:szCs w:val="20"/>
              </w:rPr>
            </w:pPr>
            <w:r w:rsidRPr="00B043B4">
              <w:rPr>
                <w:sz w:val="20"/>
                <w:szCs w:val="20"/>
              </w:rPr>
              <w:t>Áno</w:t>
            </w:r>
          </w:p>
        </w:tc>
        <w:sdt>
          <w:sdtPr>
            <w:rPr>
              <w:sz w:val="20"/>
              <w:szCs w:val="20"/>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5301E3" w:rsidRPr="00B043B4" w:rsidRDefault="005301E3" w:rsidP="00DE41A6">
                <w:pPr>
                  <w:jc w:val="center"/>
                  <w:rPr>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rsidR="005301E3" w:rsidRPr="00B043B4" w:rsidRDefault="005301E3" w:rsidP="00DE41A6">
            <w:pPr>
              <w:rPr>
                <w:sz w:val="20"/>
                <w:szCs w:val="20"/>
              </w:rPr>
            </w:pPr>
            <w:r w:rsidRPr="00B043B4">
              <w:rPr>
                <w:sz w:val="20"/>
                <w:szCs w:val="20"/>
              </w:rPr>
              <w:t>Nie</w:t>
            </w:r>
          </w:p>
        </w:tc>
        <w:sdt>
          <w:sdtPr>
            <w:rPr>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5301E3" w:rsidRPr="00B043B4" w:rsidRDefault="005301E3" w:rsidP="00DE41A6">
                <w:pPr>
                  <w:ind w:left="-107" w:right="-108"/>
                  <w:jc w:val="center"/>
                  <w:rPr>
                    <w:sz w:val="20"/>
                    <w:szCs w:val="20"/>
                  </w:rPr>
                </w:pPr>
                <w:r>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5301E3" w:rsidRPr="00B043B4" w:rsidRDefault="005301E3" w:rsidP="00DE41A6">
            <w:pPr>
              <w:ind w:left="34"/>
              <w:rPr>
                <w:sz w:val="20"/>
                <w:szCs w:val="20"/>
              </w:rPr>
            </w:pPr>
            <w:r w:rsidRPr="00B043B4">
              <w:rPr>
                <w:sz w:val="20"/>
                <w:szCs w:val="20"/>
              </w:rPr>
              <w:t>Čiastočne</w:t>
            </w:r>
          </w:p>
        </w:tc>
      </w:tr>
      <w:tr w:rsidR="005301E3" w:rsidRPr="00B043B4" w:rsidTr="00DE41A6">
        <w:tc>
          <w:tcPr>
            <w:tcW w:w="3812" w:type="dxa"/>
            <w:tcBorders>
              <w:top w:val="nil"/>
              <w:left w:val="single" w:sz="4" w:space="0" w:color="auto"/>
              <w:bottom w:val="nil"/>
              <w:right w:val="single" w:sz="4" w:space="0" w:color="auto"/>
            </w:tcBorders>
            <w:shd w:val="clear" w:color="auto" w:fill="E2E2E2"/>
          </w:tcPr>
          <w:p w:rsidR="005301E3" w:rsidRPr="003145AE" w:rsidRDefault="005301E3" w:rsidP="00DE41A6">
            <w:pPr>
              <w:rPr>
                <w:b/>
                <w:sz w:val="20"/>
                <w:szCs w:val="20"/>
              </w:rPr>
            </w:pPr>
            <w:r>
              <w:rPr>
                <w:b/>
                <w:sz w:val="20"/>
                <w:szCs w:val="20"/>
              </w:rPr>
              <w:t>v tom vplyvy na rozpočty obcí a vyšších územných celkov</w:t>
            </w:r>
          </w:p>
        </w:tc>
        <w:sdt>
          <w:sdtPr>
            <w:rPr>
              <w:b/>
              <w:sz w:val="20"/>
              <w:szCs w:val="20"/>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5301E3" w:rsidRPr="00B043B4" w:rsidRDefault="005301E3" w:rsidP="00DE41A6">
                <w:pPr>
                  <w:jc w:val="center"/>
                  <w:rPr>
                    <w:b/>
                    <w:sz w:val="20"/>
                    <w:szCs w:val="20"/>
                  </w:rPr>
                </w:pPr>
                <w:r>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tcPr>
          <w:p w:rsidR="005301E3" w:rsidRPr="00B043B4" w:rsidRDefault="005301E3" w:rsidP="00DE41A6">
            <w:pPr>
              <w:rPr>
                <w:b/>
                <w:sz w:val="20"/>
                <w:szCs w:val="20"/>
              </w:rPr>
            </w:pPr>
            <w:r w:rsidRPr="00B043B4">
              <w:rPr>
                <w:b/>
                <w:sz w:val="20"/>
                <w:szCs w:val="20"/>
              </w:rPr>
              <w:t>Pozitívne</w:t>
            </w:r>
          </w:p>
        </w:tc>
        <w:sdt>
          <w:sdtPr>
            <w:rPr>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5301E3" w:rsidRPr="00B043B4" w:rsidRDefault="005301E3" w:rsidP="00DE41A6">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tcPr>
          <w:p w:rsidR="005301E3" w:rsidRPr="00B043B4" w:rsidRDefault="005301E3" w:rsidP="00DE41A6">
            <w:pPr>
              <w:rPr>
                <w:b/>
                <w:sz w:val="20"/>
                <w:szCs w:val="20"/>
              </w:rPr>
            </w:pPr>
            <w:r w:rsidRPr="00B043B4">
              <w:rPr>
                <w:b/>
                <w:sz w:val="20"/>
                <w:szCs w:val="20"/>
              </w:rPr>
              <w:t>Žiadne</w:t>
            </w:r>
          </w:p>
        </w:tc>
        <w:sdt>
          <w:sdtPr>
            <w:rPr>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5301E3" w:rsidRPr="00B043B4" w:rsidRDefault="005301E3" w:rsidP="00DE41A6">
                <w:pPr>
                  <w:ind w:left="-107" w:right="-108"/>
                  <w:jc w:val="center"/>
                  <w:rPr>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tcPr>
          <w:p w:rsidR="005301E3" w:rsidRPr="00B043B4" w:rsidRDefault="005301E3" w:rsidP="00DE41A6">
            <w:pPr>
              <w:ind w:left="34"/>
              <w:rPr>
                <w:b/>
                <w:sz w:val="20"/>
                <w:szCs w:val="20"/>
              </w:rPr>
            </w:pPr>
            <w:r w:rsidRPr="00B043B4">
              <w:rPr>
                <w:b/>
                <w:sz w:val="20"/>
                <w:szCs w:val="20"/>
              </w:rPr>
              <w:t>Negatívne</w:t>
            </w:r>
          </w:p>
        </w:tc>
      </w:tr>
      <w:tr w:rsidR="005301E3" w:rsidRPr="00B043B4" w:rsidTr="00DE41A6">
        <w:tc>
          <w:tcPr>
            <w:tcW w:w="3812" w:type="dxa"/>
            <w:tcBorders>
              <w:top w:val="nil"/>
              <w:left w:val="single" w:sz="4" w:space="0" w:color="auto"/>
              <w:bottom w:val="single" w:sz="4" w:space="0" w:color="auto"/>
              <w:right w:val="single" w:sz="4" w:space="0" w:color="auto"/>
            </w:tcBorders>
            <w:shd w:val="clear" w:color="auto" w:fill="E2E2E2"/>
          </w:tcPr>
          <w:p w:rsidR="005301E3" w:rsidRDefault="005301E3" w:rsidP="00DE41A6">
            <w:pPr>
              <w:ind w:left="171"/>
              <w:rPr>
                <w:sz w:val="20"/>
                <w:szCs w:val="20"/>
              </w:rPr>
            </w:pPr>
            <w:r>
              <w:rPr>
                <w:sz w:val="20"/>
                <w:szCs w:val="20"/>
              </w:rPr>
              <w:t>z toho rozpočtovo zabezpečené vplyvy,</w:t>
            </w:r>
          </w:p>
          <w:p w:rsidR="005301E3" w:rsidRPr="003145AE" w:rsidRDefault="005301E3" w:rsidP="00DE41A6">
            <w:pPr>
              <w:ind w:left="171"/>
              <w:rPr>
                <w:sz w:val="20"/>
                <w:szCs w:val="20"/>
              </w:rPr>
            </w:pPr>
            <w:r>
              <w:rPr>
                <w:sz w:val="20"/>
                <w:szCs w:val="20"/>
              </w:rPr>
              <w:t>v prípade identifikovaného negatívneho vplyvu</w:t>
            </w:r>
          </w:p>
        </w:tc>
        <w:sdt>
          <w:sdtPr>
            <w:rPr>
              <w:sz w:val="20"/>
              <w:szCs w:val="20"/>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5301E3" w:rsidRPr="00B043B4" w:rsidRDefault="005301E3" w:rsidP="00DE41A6">
                <w:pPr>
                  <w:jc w:val="center"/>
                  <w:rPr>
                    <w:sz w:val="20"/>
                    <w:szCs w:val="20"/>
                  </w:rPr>
                </w:pPr>
                <w:r>
                  <w:rPr>
                    <w:rFonts w:ascii="MS Gothic" w:eastAsia="MS Gothic" w:hAnsi="MS Gothic" w:hint="eastAsia"/>
                    <w:sz w:val="20"/>
                    <w:szCs w:val="20"/>
                  </w:rPr>
                  <w:t>☐</w:t>
                </w:r>
              </w:p>
            </w:tc>
          </w:sdtContent>
        </w:sdt>
        <w:tc>
          <w:tcPr>
            <w:tcW w:w="1312" w:type="dxa"/>
            <w:gridSpan w:val="2"/>
            <w:tcBorders>
              <w:top w:val="dotted" w:sz="4" w:space="0" w:color="auto"/>
              <w:left w:val="nil"/>
              <w:bottom w:val="single" w:sz="4" w:space="0" w:color="auto"/>
              <w:right w:val="nil"/>
            </w:tcBorders>
            <w:vAlign w:val="center"/>
          </w:tcPr>
          <w:p w:rsidR="005301E3" w:rsidRPr="00B043B4" w:rsidRDefault="005301E3" w:rsidP="00DE41A6">
            <w:pPr>
              <w:rPr>
                <w:sz w:val="20"/>
                <w:szCs w:val="20"/>
              </w:rPr>
            </w:pPr>
            <w:r w:rsidRPr="00B043B4">
              <w:rPr>
                <w:sz w:val="20"/>
                <w:szCs w:val="20"/>
              </w:rPr>
              <w:t>Áno</w:t>
            </w:r>
          </w:p>
        </w:tc>
        <w:sdt>
          <w:sdtPr>
            <w:rPr>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5301E3" w:rsidRPr="00B043B4" w:rsidRDefault="005301E3" w:rsidP="00DE41A6">
                <w:pPr>
                  <w:jc w:val="center"/>
                  <w:rPr>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single" w:sz="4" w:space="0" w:color="auto"/>
              <w:right w:val="nil"/>
            </w:tcBorders>
            <w:vAlign w:val="center"/>
          </w:tcPr>
          <w:p w:rsidR="005301E3" w:rsidRPr="00B043B4" w:rsidRDefault="005301E3" w:rsidP="00DE41A6">
            <w:pPr>
              <w:rPr>
                <w:sz w:val="20"/>
                <w:szCs w:val="20"/>
              </w:rPr>
            </w:pPr>
            <w:r w:rsidRPr="00B043B4">
              <w:rPr>
                <w:sz w:val="20"/>
                <w:szCs w:val="20"/>
              </w:rPr>
              <w:t>Nie</w:t>
            </w:r>
          </w:p>
        </w:tc>
        <w:sdt>
          <w:sdtPr>
            <w:rPr>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5301E3" w:rsidRPr="00B043B4" w:rsidRDefault="005301E3" w:rsidP="00DE41A6">
                <w:pPr>
                  <w:ind w:left="-107" w:right="-108"/>
                  <w:jc w:val="center"/>
                  <w:rPr>
                    <w:sz w:val="20"/>
                    <w:szCs w:val="20"/>
                  </w:rPr>
                </w:pPr>
                <w:r>
                  <w:rPr>
                    <w:rFonts w:ascii="MS Gothic" w:eastAsia="MS Gothic" w:hAnsi="MS Gothic" w:hint="eastAsia"/>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5301E3" w:rsidRPr="00B043B4" w:rsidRDefault="005301E3" w:rsidP="00DE41A6">
            <w:pPr>
              <w:ind w:left="34"/>
              <w:rPr>
                <w:sz w:val="20"/>
                <w:szCs w:val="20"/>
              </w:rPr>
            </w:pPr>
            <w:r w:rsidRPr="00B043B4">
              <w:rPr>
                <w:sz w:val="20"/>
                <w:szCs w:val="20"/>
              </w:rPr>
              <w:t>Čiastočne</w:t>
            </w:r>
          </w:p>
        </w:tc>
      </w:tr>
      <w:tr w:rsidR="005301E3" w:rsidRPr="00B043B4" w:rsidTr="00DE41A6">
        <w:tc>
          <w:tcPr>
            <w:tcW w:w="3812" w:type="dxa"/>
            <w:tcBorders>
              <w:top w:val="single" w:sz="4" w:space="0" w:color="auto"/>
              <w:left w:val="single" w:sz="4" w:space="0" w:color="auto"/>
              <w:bottom w:val="single" w:sz="4" w:space="0" w:color="auto"/>
              <w:right w:val="single" w:sz="4" w:space="0" w:color="auto"/>
            </w:tcBorders>
            <w:shd w:val="clear" w:color="auto" w:fill="E2E2E2"/>
          </w:tcPr>
          <w:p w:rsidR="005301E3" w:rsidRPr="002F6ADB" w:rsidRDefault="005301E3" w:rsidP="00DE41A6">
            <w:pPr>
              <w:ind w:left="171"/>
              <w:rPr>
                <w:sz w:val="20"/>
                <w:szCs w:val="20"/>
              </w:rPr>
            </w:pPr>
            <w:r w:rsidRPr="002F6ADB">
              <w:rPr>
                <w:sz w:val="20"/>
                <w:szCs w:val="20"/>
              </w:rPr>
              <w:t>Vplyv na dlhodobú udržateľnosť verejných financií v prípade vybraných opatrení ***</w:t>
            </w:r>
          </w:p>
        </w:tc>
        <w:sdt>
          <w:sdtPr>
            <w:rPr>
              <w:sz w:val="20"/>
              <w:szCs w:val="20"/>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5301E3" w:rsidRPr="002F6ADB" w:rsidRDefault="005301E3" w:rsidP="00DE41A6">
                <w:pPr>
                  <w:jc w:val="center"/>
                  <w:rPr>
                    <w:sz w:val="20"/>
                    <w:szCs w:val="20"/>
                  </w:rPr>
                </w:pPr>
                <w:r w:rsidRPr="002F6ADB">
                  <w:rPr>
                    <w:rFonts w:ascii="MS Gothic" w:eastAsia="MS Gothic" w:hAnsi="MS Gothic" w:hint="eastAsia"/>
                    <w:sz w:val="20"/>
                    <w:szCs w:val="20"/>
                  </w:rPr>
                  <w:t>☐</w:t>
                </w:r>
              </w:p>
            </w:tc>
          </w:sdtContent>
        </w:sdt>
        <w:tc>
          <w:tcPr>
            <w:tcW w:w="1312" w:type="dxa"/>
            <w:gridSpan w:val="2"/>
            <w:tcBorders>
              <w:top w:val="single" w:sz="4" w:space="0" w:color="auto"/>
              <w:left w:val="nil"/>
              <w:bottom w:val="single" w:sz="4" w:space="0" w:color="auto"/>
              <w:right w:val="nil"/>
            </w:tcBorders>
            <w:vAlign w:val="center"/>
          </w:tcPr>
          <w:p w:rsidR="005301E3" w:rsidRPr="002F6ADB" w:rsidRDefault="005301E3" w:rsidP="00DE41A6">
            <w:pPr>
              <w:rPr>
                <w:sz w:val="20"/>
                <w:szCs w:val="20"/>
              </w:rPr>
            </w:pPr>
            <w:r w:rsidRPr="002F6ADB">
              <w:rPr>
                <w:sz w:val="20"/>
                <w:szCs w:val="20"/>
              </w:rPr>
              <w:t>Áno</w:t>
            </w:r>
          </w:p>
        </w:tc>
        <w:tc>
          <w:tcPr>
            <w:tcW w:w="538" w:type="dxa"/>
            <w:gridSpan w:val="2"/>
            <w:tcBorders>
              <w:top w:val="single" w:sz="4" w:space="0" w:color="auto"/>
              <w:left w:val="nil"/>
              <w:bottom w:val="single" w:sz="4" w:space="0" w:color="auto"/>
              <w:right w:val="nil"/>
            </w:tcBorders>
            <w:vAlign w:val="center"/>
          </w:tcPr>
          <w:p w:rsidR="005301E3" w:rsidRPr="002F6ADB" w:rsidRDefault="005301E3" w:rsidP="00DE41A6">
            <w:pPr>
              <w:jc w:val="center"/>
              <w:rPr>
                <w:sz w:val="20"/>
                <w:szCs w:val="20"/>
              </w:rPr>
            </w:pPr>
          </w:p>
        </w:tc>
        <w:tc>
          <w:tcPr>
            <w:tcW w:w="1133" w:type="dxa"/>
            <w:tcBorders>
              <w:top w:val="single" w:sz="4" w:space="0" w:color="auto"/>
              <w:left w:val="nil"/>
              <w:bottom w:val="single" w:sz="4" w:space="0" w:color="auto"/>
              <w:right w:val="nil"/>
            </w:tcBorders>
            <w:vAlign w:val="center"/>
          </w:tcPr>
          <w:p w:rsidR="005301E3" w:rsidRPr="002F6ADB" w:rsidRDefault="005301E3" w:rsidP="00DE41A6">
            <w:pPr>
              <w:rPr>
                <w:sz w:val="20"/>
                <w:szCs w:val="20"/>
              </w:rPr>
            </w:pPr>
          </w:p>
        </w:tc>
        <w:sdt>
          <w:sdtPr>
            <w:rPr>
              <w:sz w:val="20"/>
              <w:szCs w:val="20"/>
            </w:rPr>
            <w:id w:val="21779516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5301E3" w:rsidRPr="002F6ADB" w:rsidRDefault="005301E3" w:rsidP="00DE41A6">
                <w:pPr>
                  <w:ind w:left="-107" w:right="-108"/>
                  <w:jc w:val="center"/>
                  <w:rPr>
                    <w:sz w:val="20"/>
                    <w:szCs w:val="20"/>
                  </w:rPr>
                </w:pPr>
                <w:r>
                  <w:rPr>
                    <w:rFonts w:ascii="MS Gothic" w:eastAsia="MS Gothic" w:hAnsi="MS Gothic" w:hint="eastAsia"/>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5301E3" w:rsidRPr="002F6ADB" w:rsidRDefault="005301E3" w:rsidP="00DE41A6">
            <w:pPr>
              <w:ind w:left="34"/>
              <w:rPr>
                <w:sz w:val="20"/>
                <w:szCs w:val="20"/>
              </w:rPr>
            </w:pPr>
            <w:r w:rsidRPr="002F6ADB">
              <w:rPr>
                <w:sz w:val="20"/>
                <w:szCs w:val="20"/>
              </w:rPr>
              <w:t>Nie</w:t>
            </w:r>
          </w:p>
        </w:tc>
      </w:tr>
      <w:tr w:rsidR="005301E3" w:rsidRPr="00B043B4" w:rsidTr="00DE41A6">
        <w:tc>
          <w:tcPr>
            <w:tcW w:w="3812" w:type="dxa"/>
            <w:tcBorders>
              <w:top w:val="single" w:sz="4" w:space="0" w:color="auto"/>
              <w:left w:val="single" w:sz="4" w:space="0" w:color="auto"/>
              <w:bottom w:val="single" w:sz="4" w:space="0" w:color="auto"/>
              <w:right w:val="single" w:sz="4" w:space="0" w:color="auto"/>
            </w:tcBorders>
            <w:shd w:val="clear" w:color="auto" w:fill="E2E2E2"/>
          </w:tcPr>
          <w:p w:rsidR="005301E3" w:rsidRPr="00EB4027" w:rsidRDefault="005301E3" w:rsidP="00DE41A6">
            <w:pPr>
              <w:rPr>
                <w:sz w:val="20"/>
                <w:szCs w:val="20"/>
              </w:rPr>
            </w:pPr>
            <w:r w:rsidRPr="00EB4027">
              <w:rPr>
                <w:b/>
                <w:sz w:val="20"/>
                <w:szCs w:val="20"/>
              </w:rPr>
              <w:t>Vplyvy na limit verejných výdavkov</w:t>
            </w:r>
          </w:p>
        </w:tc>
        <w:sdt>
          <w:sdtPr>
            <w:rPr>
              <w:b/>
              <w:sz w:val="20"/>
              <w:szCs w:val="20"/>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5301E3" w:rsidRPr="00EB4027" w:rsidRDefault="005301E3" w:rsidP="00DE41A6">
                <w:pPr>
                  <w:jc w:val="center"/>
                  <w:rPr>
                    <w:sz w:val="20"/>
                    <w:szCs w:val="20"/>
                  </w:rPr>
                </w:pPr>
                <w:r w:rsidRPr="00EB4027">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vAlign w:val="center"/>
          </w:tcPr>
          <w:p w:rsidR="005301E3" w:rsidRPr="00EB4027" w:rsidRDefault="005301E3" w:rsidP="00DE41A6">
            <w:pPr>
              <w:rPr>
                <w:sz w:val="20"/>
                <w:szCs w:val="20"/>
              </w:rPr>
            </w:pPr>
            <w:r w:rsidRPr="00EB4027">
              <w:rPr>
                <w:b/>
                <w:sz w:val="20"/>
                <w:szCs w:val="20"/>
              </w:rPr>
              <w:t>Pozitívne</w:t>
            </w:r>
          </w:p>
        </w:tc>
        <w:sdt>
          <w:sdtPr>
            <w:rPr>
              <w:b/>
              <w:sz w:val="20"/>
              <w:szCs w:val="20"/>
            </w:rPr>
            <w:id w:val="1766731543"/>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5301E3" w:rsidRPr="00EB4027" w:rsidRDefault="005301E3" w:rsidP="00DE41A6">
                <w:pPr>
                  <w:jc w:val="center"/>
                  <w:rPr>
                    <w:sz w:val="20"/>
                    <w:szCs w:val="20"/>
                  </w:rPr>
                </w:pPr>
                <w:r w:rsidRPr="00EB4027">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rsidR="005301E3" w:rsidRPr="00EB4027" w:rsidRDefault="005301E3" w:rsidP="00DE41A6">
            <w:pPr>
              <w:rPr>
                <w:sz w:val="20"/>
                <w:szCs w:val="20"/>
              </w:rPr>
            </w:pPr>
            <w:r w:rsidRPr="00EB4027">
              <w:rPr>
                <w:b/>
                <w:sz w:val="20"/>
                <w:szCs w:val="20"/>
              </w:rPr>
              <w:t>Žiadne</w:t>
            </w:r>
          </w:p>
        </w:tc>
        <w:sdt>
          <w:sdtPr>
            <w:rPr>
              <w:b/>
              <w:sz w:val="20"/>
              <w:szCs w:val="20"/>
            </w:rPr>
            <w:id w:val="188929913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5301E3" w:rsidRPr="00EB4027" w:rsidRDefault="005301E3" w:rsidP="00DE41A6">
                <w:pPr>
                  <w:ind w:left="-107" w:right="-108"/>
                  <w:jc w:val="center"/>
                  <w:rPr>
                    <w:sz w:val="20"/>
                    <w:szCs w:val="20"/>
                  </w:rPr>
                </w:pPr>
                <w:r w:rsidRPr="00EB4027">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5301E3" w:rsidRPr="00EB4027" w:rsidRDefault="005301E3" w:rsidP="00DE41A6">
            <w:pPr>
              <w:ind w:left="34"/>
              <w:rPr>
                <w:sz w:val="20"/>
                <w:szCs w:val="20"/>
              </w:rPr>
            </w:pPr>
            <w:r w:rsidRPr="00EB4027">
              <w:rPr>
                <w:b/>
                <w:sz w:val="20"/>
                <w:szCs w:val="20"/>
              </w:rPr>
              <w:t>Negatívne</w:t>
            </w:r>
          </w:p>
        </w:tc>
      </w:tr>
      <w:tr w:rsidR="005301E3" w:rsidRPr="00B043B4" w:rsidTr="00DE41A6">
        <w:tc>
          <w:tcPr>
            <w:tcW w:w="3812" w:type="dxa"/>
            <w:tcBorders>
              <w:top w:val="single" w:sz="4" w:space="0" w:color="auto"/>
              <w:left w:val="single" w:sz="4" w:space="0" w:color="auto"/>
              <w:bottom w:val="nil"/>
              <w:right w:val="single" w:sz="4" w:space="0" w:color="auto"/>
            </w:tcBorders>
            <w:shd w:val="clear" w:color="auto" w:fill="E2E2E2"/>
          </w:tcPr>
          <w:p w:rsidR="005301E3" w:rsidRPr="00EB4027" w:rsidRDefault="005301E3" w:rsidP="00DE41A6">
            <w:pPr>
              <w:rPr>
                <w:b/>
                <w:sz w:val="20"/>
                <w:szCs w:val="20"/>
              </w:rPr>
            </w:pPr>
            <w:r w:rsidRPr="00EB4027">
              <w:rPr>
                <w:b/>
                <w:sz w:val="20"/>
                <w:szCs w:val="20"/>
              </w:rPr>
              <w:t>Vplyvy na podnikateľské prostredie</w:t>
            </w:r>
          </w:p>
        </w:tc>
        <w:sdt>
          <w:sdtPr>
            <w:rPr>
              <w:b/>
              <w:sz w:val="20"/>
              <w:szCs w:val="20"/>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5301E3" w:rsidRPr="00EB4027" w:rsidRDefault="005301E3" w:rsidP="00DE41A6">
                <w:pPr>
                  <w:jc w:val="center"/>
                  <w:rPr>
                    <w:b/>
                    <w:sz w:val="20"/>
                    <w:szCs w:val="20"/>
                  </w:rPr>
                </w:pPr>
                <w:r w:rsidRPr="00EB4027">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vAlign w:val="center"/>
          </w:tcPr>
          <w:p w:rsidR="005301E3" w:rsidRPr="00EB4027" w:rsidRDefault="005301E3" w:rsidP="00DE41A6">
            <w:pPr>
              <w:ind w:right="-108"/>
              <w:rPr>
                <w:b/>
                <w:sz w:val="20"/>
                <w:szCs w:val="20"/>
              </w:rPr>
            </w:pPr>
            <w:r w:rsidRPr="00EB4027">
              <w:rPr>
                <w:b/>
                <w:sz w:val="20"/>
                <w:szCs w:val="20"/>
              </w:rPr>
              <w:t>Pozitívne</w:t>
            </w:r>
          </w:p>
        </w:tc>
        <w:sdt>
          <w:sdtPr>
            <w:rPr>
              <w:b/>
              <w:sz w:val="20"/>
              <w:szCs w:val="20"/>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5301E3" w:rsidRPr="00EB4027" w:rsidRDefault="005301E3" w:rsidP="00DE41A6">
                <w:pPr>
                  <w:jc w:val="center"/>
                  <w:rPr>
                    <w:b/>
                    <w:sz w:val="20"/>
                    <w:szCs w:val="20"/>
                  </w:rPr>
                </w:pPr>
                <w:r w:rsidRPr="00EB4027">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rsidR="005301E3" w:rsidRPr="00EB4027" w:rsidRDefault="005301E3" w:rsidP="00DE41A6">
            <w:pPr>
              <w:rPr>
                <w:b/>
                <w:sz w:val="20"/>
                <w:szCs w:val="20"/>
              </w:rPr>
            </w:pPr>
            <w:r w:rsidRPr="00EB4027">
              <w:rPr>
                <w:b/>
                <w:sz w:val="20"/>
                <w:szCs w:val="20"/>
              </w:rPr>
              <w:t>Žiadne</w:t>
            </w:r>
          </w:p>
        </w:tc>
        <w:sdt>
          <w:sdtPr>
            <w:rPr>
              <w:b/>
              <w:sz w:val="20"/>
              <w:szCs w:val="20"/>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5301E3" w:rsidRPr="00EB4027" w:rsidRDefault="005301E3" w:rsidP="00DE41A6">
                <w:pPr>
                  <w:jc w:val="center"/>
                  <w:rPr>
                    <w:b/>
                    <w:sz w:val="20"/>
                    <w:szCs w:val="20"/>
                  </w:rPr>
                </w:pPr>
                <w:r w:rsidRPr="00EB4027">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rsidR="005301E3" w:rsidRPr="00EB4027" w:rsidRDefault="005301E3" w:rsidP="00DE41A6">
            <w:pPr>
              <w:ind w:left="54"/>
              <w:rPr>
                <w:b/>
                <w:sz w:val="20"/>
                <w:szCs w:val="20"/>
              </w:rPr>
            </w:pPr>
            <w:r w:rsidRPr="00EB4027">
              <w:rPr>
                <w:b/>
                <w:sz w:val="20"/>
                <w:szCs w:val="20"/>
              </w:rPr>
              <w:t>Negatívne</w:t>
            </w:r>
          </w:p>
        </w:tc>
      </w:tr>
      <w:tr w:rsidR="005301E3" w:rsidRPr="00B043B4" w:rsidTr="00DE41A6">
        <w:tc>
          <w:tcPr>
            <w:tcW w:w="3812" w:type="dxa"/>
            <w:tcBorders>
              <w:top w:val="nil"/>
              <w:left w:val="single" w:sz="4" w:space="0" w:color="000000"/>
              <w:bottom w:val="nil"/>
              <w:right w:val="single" w:sz="4" w:space="0" w:color="000000"/>
            </w:tcBorders>
            <w:shd w:val="clear" w:color="auto" w:fill="E2E2E2"/>
          </w:tcPr>
          <w:p w:rsidR="005301E3" w:rsidRPr="00EB4027" w:rsidRDefault="005301E3" w:rsidP="00DE41A6">
            <w:pPr>
              <w:rPr>
                <w:sz w:val="20"/>
                <w:szCs w:val="20"/>
              </w:rPr>
            </w:pPr>
            <w:r w:rsidRPr="00EB4027">
              <w:rPr>
                <w:sz w:val="20"/>
                <w:szCs w:val="20"/>
              </w:rPr>
              <w:t xml:space="preserve">    z toho vplyvy na MSP</w:t>
            </w:r>
          </w:p>
          <w:p w:rsidR="005301E3" w:rsidRPr="00EB4027" w:rsidRDefault="005301E3" w:rsidP="00DE41A6">
            <w:pPr>
              <w:rPr>
                <w:sz w:val="20"/>
                <w:szCs w:val="20"/>
              </w:rPr>
            </w:pPr>
          </w:p>
        </w:tc>
        <w:sdt>
          <w:sdtPr>
            <w:rPr>
              <w:sz w:val="20"/>
              <w:szCs w:val="20"/>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5301E3" w:rsidRPr="00EB4027" w:rsidRDefault="005301E3" w:rsidP="00DE41A6">
                <w:pPr>
                  <w:jc w:val="center"/>
                  <w:rPr>
                    <w:sz w:val="20"/>
                    <w:szCs w:val="20"/>
                  </w:rPr>
                </w:pPr>
                <w:r w:rsidRPr="00EB4027">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rsidR="005301E3" w:rsidRPr="00EB4027" w:rsidRDefault="005301E3" w:rsidP="00DE41A6">
            <w:pPr>
              <w:ind w:right="-108"/>
              <w:rPr>
                <w:sz w:val="20"/>
                <w:szCs w:val="20"/>
              </w:rPr>
            </w:pPr>
            <w:r w:rsidRPr="00EB4027">
              <w:rPr>
                <w:sz w:val="20"/>
                <w:szCs w:val="20"/>
              </w:rPr>
              <w:t>Pozitívne</w:t>
            </w:r>
          </w:p>
        </w:tc>
        <w:sdt>
          <w:sdtPr>
            <w:rPr>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5301E3" w:rsidRPr="00EB4027" w:rsidRDefault="005301E3" w:rsidP="00DE41A6">
                <w:pPr>
                  <w:jc w:val="center"/>
                  <w:rPr>
                    <w:sz w:val="20"/>
                    <w:szCs w:val="20"/>
                  </w:rPr>
                </w:pPr>
                <w:r w:rsidRPr="00EB4027">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rsidR="005301E3" w:rsidRPr="00EB4027" w:rsidRDefault="005301E3" w:rsidP="00DE41A6">
            <w:pPr>
              <w:rPr>
                <w:sz w:val="20"/>
                <w:szCs w:val="20"/>
              </w:rPr>
            </w:pPr>
            <w:r w:rsidRPr="00EB4027">
              <w:rPr>
                <w:sz w:val="20"/>
                <w:szCs w:val="20"/>
              </w:rPr>
              <w:t>Žiadne</w:t>
            </w:r>
          </w:p>
        </w:tc>
        <w:sdt>
          <w:sdtPr>
            <w:rPr>
              <w:sz w:val="20"/>
              <w:szCs w:val="20"/>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5301E3" w:rsidRPr="00EB4027" w:rsidRDefault="005301E3" w:rsidP="00DE41A6">
                <w:pPr>
                  <w:jc w:val="center"/>
                  <w:rPr>
                    <w:sz w:val="20"/>
                    <w:szCs w:val="20"/>
                  </w:rPr>
                </w:pPr>
                <w:r w:rsidRPr="00EB4027">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5301E3" w:rsidRPr="00EB4027" w:rsidRDefault="005301E3" w:rsidP="00DE41A6">
            <w:pPr>
              <w:ind w:left="54"/>
              <w:rPr>
                <w:sz w:val="20"/>
                <w:szCs w:val="20"/>
              </w:rPr>
            </w:pPr>
            <w:r w:rsidRPr="00EB4027">
              <w:rPr>
                <w:sz w:val="20"/>
                <w:szCs w:val="20"/>
              </w:rPr>
              <w:t>Negatívne</w:t>
            </w:r>
          </w:p>
        </w:tc>
      </w:tr>
      <w:tr w:rsidR="005301E3" w:rsidRPr="00B043B4" w:rsidTr="00DE41A6">
        <w:tc>
          <w:tcPr>
            <w:tcW w:w="3812" w:type="dxa"/>
            <w:tcBorders>
              <w:top w:val="nil"/>
              <w:left w:val="single" w:sz="4" w:space="0" w:color="auto"/>
              <w:bottom w:val="single" w:sz="4" w:space="0" w:color="auto"/>
              <w:right w:val="single" w:sz="4" w:space="0" w:color="auto"/>
            </w:tcBorders>
            <w:shd w:val="clear" w:color="auto" w:fill="E2E2E2"/>
          </w:tcPr>
          <w:p w:rsidR="005301E3" w:rsidRPr="00EB4027" w:rsidRDefault="005301E3" w:rsidP="00DE41A6">
            <w:pPr>
              <w:rPr>
                <w:sz w:val="20"/>
                <w:szCs w:val="20"/>
              </w:rPr>
            </w:pPr>
            <w:r w:rsidRPr="00EB4027">
              <w:rPr>
                <w:sz w:val="20"/>
                <w:szCs w:val="20"/>
              </w:rPr>
              <w:t xml:space="preserve">    Mechanizmus znižovania byrokracie    </w:t>
            </w:r>
          </w:p>
          <w:p w:rsidR="005301E3" w:rsidRPr="00EB4027" w:rsidRDefault="005301E3" w:rsidP="00DE41A6">
            <w:pPr>
              <w:rPr>
                <w:b/>
                <w:sz w:val="20"/>
                <w:szCs w:val="20"/>
              </w:rPr>
            </w:pPr>
            <w:r w:rsidRPr="00EB4027">
              <w:rPr>
                <w:sz w:val="20"/>
                <w:szCs w:val="20"/>
              </w:rPr>
              <w:t xml:space="preserve">    a nákladov sa uplatňuje:</w:t>
            </w:r>
          </w:p>
        </w:tc>
        <w:sdt>
          <w:sdtPr>
            <w:rPr>
              <w:b/>
              <w:sz w:val="20"/>
              <w:szCs w:val="20"/>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5301E3" w:rsidRPr="00EB4027" w:rsidRDefault="005301E3" w:rsidP="00DE41A6">
                <w:pPr>
                  <w:jc w:val="center"/>
                  <w:rPr>
                    <w:b/>
                    <w:sz w:val="20"/>
                    <w:szCs w:val="20"/>
                  </w:rPr>
                </w:pPr>
                <w:r w:rsidRPr="00EB4027">
                  <w:rPr>
                    <w:rFonts w:ascii="MS Gothic" w:eastAsia="MS Gothic" w:hAnsi="MS Gothic" w:hint="eastAsia"/>
                    <w:b/>
                    <w:sz w:val="20"/>
                    <w:szCs w:val="20"/>
                  </w:rPr>
                  <w:t>☐</w:t>
                </w:r>
              </w:p>
            </w:tc>
          </w:sdtContent>
        </w:sdt>
        <w:tc>
          <w:tcPr>
            <w:tcW w:w="1596" w:type="dxa"/>
            <w:gridSpan w:val="3"/>
            <w:tcBorders>
              <w:top w:val="dotted" w:sz="4" w:space="0" w:color="auto"/>
              <w:left w:val="nil"/>
              <w:bottom w:val="single" w:sz="4" w:space="0" w:color="auto"/>
              <w:right w:val="nil"/>
            </w:tcBorders>
            <w:vAlign w:val="center"/>
          </w:tcPr>
          <w:p w:rsidR="005301E3" w:rsidRPr="00EB4027" w:rsidRDefault="005301E3" w:rsidP="00DE41A6">
            <w:pPr>
              <w:ind w:right="-108"/>
              <w:rPr>
                <w:b/>
                <w:sz w:val="20"/>
                <w:szCs w:val="20"/>
              </w:rPr>
            </w:pPr>
            <w:r w:rsidRPr="00EB4027">
              <w:rPr>
                <w:sz w:val="20"/>
                <w:szCs w:val="20"/>
              </w:rPr>
              <w:t>Áno</w:t>
            </w:r>
          </w:p>
        </w:tc>
        <w:tc>
          <w:tcPr>
            <w:tcW w:w="254" w:type="dxa"/>
            <w:tcBorders>
              <w:top w:val="dotted" w:sz="4" w:space="0" w:color="auto"/>
              <w:left w:val="nil"/>
              <w:bottom w:val="single" w:sz="4" w:space="0" w:color="auto"/>
              <w:right w:val="nil"/>
            </w:tcBorders>
            <w:vAlign w:val="center"/>
          </w:tcPr>
          <w:p w:rsidR="005301E3" w:rsidRPr="00EB4027" w:rsidRDefault="005301E3" w:rsidP="00DE41A6">
            <w:pPr>
              <w:jc w:val="center"/>
              <w:rPr>
                <w:b/>
                <w:sz w:val="20"/>
                <w:szCs w:val="20"/>
              </w:rPr>
            </w:pPr>
          </w:p>
        </w:tc>
        <w:tc>
          <w:tcPr>
            <w:tcW w:w="1133" w:type="dxa"/>
            <w:tcBorders>
              <w:top w:val="dotted" w:sz="4" w:space="0" w:color="auto"/>
              <w:left w:val="nil"/>
              <w:bottom w:val="single" w:sz="4" w:space="0" w:color="auto"/>
              <w:right w:val="nil"/>
            </w:tcBorders>
            <w:vAlign w:val="center"/>
          </w:tcPr>
          <w:p w:rsidR="005301E3" w:rsidRPr="00EB4027" w:rsidRDefault="005301E3" w:rsidP="00DE41A6">
            <w:pPr>
              <w:jc w:val="center"/>
              <w:rPr>
                <w:b/>
                <w:sz w:val="20"/>
                <w:szCs w:val="20"/>
              </w:rPr>
            </w:pPr>
          </w:p>
        </w:tc>
        <w:sdt>
          <w:sdtPr>
            <w:rPr>
              <w:b/>
              <w:sz w:val="20"/>
              <w:szCs w:val="20"/>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5301E3" w:rsidRPr="00EB4027" w:rsidRDefault="005301E3" w:rsidP="00DE41A6">
                <w:pPr>
                  <w:jc w:val="center"/>
                  <w:rPr>
                    <w:b/>
                    <w:sz w:val="20"/>
                    <w:szCs w:val="20"/>
                  </w:rPr>
                </w:pPr>
                <w:r w:rsidRPr="00EB4027">
                  <w:rPr>
                    <w:rFonts w:ascii="MS Gothic" w:eastAsia="MS Gothic" w:hAnsi="MS Gothic" w:hint="eastAsia"/>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5301E3" w:rsidRPr="00EB4027" w:rsidRDefault="005301E3" w:rsidP="00DE41A6">
            <w:pPr>
              <w:ind w:left="54"/>
              <w:rPr>
                <w:b/>
                <w:sz w:val="20"/>
                <w:szCs w:val="20"/>
              </w:rPr>
            </w:pPr>
            <w:r w:rsidRPr="00EB4027">
              <w:rPr>
                <w:sz w:val="20"/>
                <w:szCs w:val="20"/>
              </w:rPr>
              <w:t>Nie</w:t>
            </w:r>
          </w:p>
        </w:tc>
      </w:tr>
      <w:tr w:rsidR="005301E3" w:rsidRPr="00B043B4" w:rsidTr="00DE41A6">
        <w:tc>
          <w:tcPr>
            <w:tcW w:w="3812" w:type="dxa"/>
            <w:tcBorders>
              <w:top w:val="single" w:sz="4" w:space="0" w:color="000000"/>
              <w:left w:val="single" w:sz="4" w:space="0" w:color="auto"/>
              <w:bottom w:val="single" w:sz="4" w:space="0" w:color="auto"/>
              <w:right w:val="single" w:sz="4" w:space="0" w:color="auto"/>
            </w:tcBorders>
            <w:shd w:val="clear" w:color="auto" w:fill="E2E2E2"/>
          </w:tcPr>
          <w:p w:rsidR="005301E3" w:rsidRPr="00EB4027" w:rsidRDefault="005301E3" w:rsidP="00DE41A6">
            <w:pPr>
              <w:rPr>
                <w:b/>
                <w:sz w:val="20"/>
                <w:szCs w:val="20"/>
              </w:rPr>
            </w:pPr>
            <w:r w:rsidRPr="00EB4027">
              <w:rPr>
                <w:b/>
                <w:sz w:val="20"/>
                <w:szCs w:val="20"/>
              </w:rPr>
              <w:t>Sociálne vplyvy</w:t>
            </w:r>
          </w:p>
        </w:tc>
        <w:sdt>
          <w:sdtPr>
            <w:rPr>
              <w:b/>
              <w:sz w:val="20"/>
              <w:szCs w:val="20"/>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5301E3" w:rsidRPr="00EB4027" w:rsidRDefault="005301E3" w:rsidP="00DE41A6">
                <w:pPr>
                  <w:jc w:val="center"/>
                  <w:rPr>
                    <w:b/>
                    <w:sz w:val="20"/>
                    <w:szCs w:val="20"/>
                  </w:rPr>
                </w:pPr>
                <w:r w:rsidRPr="00EB4027">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5301E3" w:rsidRPr="00EB4027" w:rsidRDefault="005301E3" w:rsidP="00DE41A6">
            <w:pPr>
              <w:ind w:right="-108"/>
              <w:rPr>
                <w:b/>
                <w:sz w:val="20"/>
                <w:szCs w:val="20"/>
              </w:rPr>
            </w:pPr>
            <w:r w:rsidRPr="00EB4027">
              <w:rPr>
                <w:b/>
                <w:sz w:val="20"/>
                <w:szCs w:val="20"/>
              </w:rPr>
              <w:t>Pozitívne</w:t>
            </w:r>
          </w:p>
        </w:tc>
        <w:sdt>
          <w:sdtPr>
            <w:rPr>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5301E3" w:rsidRPr="00EB4027" w:rsidRDefault="005301E3" w:rsidP="00DE41A6">
                <w:pPr>
                  <w:jc w:val="center"/>
                  <w:rPr>
                    <w:b/>
                    <w:sz w:val="20"/>
                    <w:szCs w:val="20"/>
                  </w:rPr>
                </w:pPr>
                <w:r w:rsidRPr="00EB4027">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5301E3" w:rsidRPr="00EB4027" w:rsidRDefault="005301E3" w:rsidP="00DE41A6">
            <w:pPr>
              <w:rPr>
                <w:b/>
                <w:sz w:val="20"/>
                <w:szCs w:val="20"/>
              </w:rPr>
            </w:pPr>
            <w:r w:rsidRPr="00EB4027">
              <w:rPr>
                <w:b/>
                <w:sz w:val="20"/>
                <w:szCs w:val="20"/>
              </w:rPr>
              <w:t>Žiadne</w:t>
            </w:r>
          </w:p>
        </w:tc>
        <w:sdt>
          <w:sdtPr>
            <w:rPr>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5301E3" w:rsidRPr="00EB4027" w:rsidRDefault="005301E3" w:rsidP="00DE41A6">
                <w:pPr>
                  <w:jc w:val="center"/>
                  <w:rPr>
                    <w:b/>
                    <w:sz w:val="20"/>
                    <w:szCs w:val="20"/>
                  </w:rPr>
                </w:pPr>
                <w:r w:rsidRPr="00EB4027">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5301E3" w:rsidRPr="00EB4027" w:rsidRDefault="005301E3" w:rsidP="00DE41A6">
            <w:pPr>
              <w:ind w:left="54"/>
              <w:rPr>
                <w:b/>
                <w:sz w:val="20"/>
                <w:szCs w:val="20"/>
              </w:rPr>
            </w:pPr>
            <w:r w:rsidRPr="00EB4027">
              <w:rPr>
                <w:b/>
                <w:sz w:val="20"/>
                <w:szCs w:val="20"/>
              </w:rPr>
              <w:t>Negatívne</w:t>
            </w:r>
          </w:p>
        </w:tc>
      </w:tr>
      <w:tr w:rsidR="005301E3" w:rsidRPr="00B043B4" w:rsidTr="00DE41A6">
        <w:tc>
          <w:tcPr>
            <w:tcW w:w="3812" w:type="dxa"/>
            <w:vMerge w:val="restart"/>
            <w:tcBorders>
              <w:top w:val="single" w:sz="4" w:space="0" w:color="auto"/>
              <w:left w:val="single" w:sz="4" w:space="0" w:color="auto"/>
              <w:right w:val="single" w:sz="4" w:space="0" w:color="auto"/>
            </w:tcBorders>
            <w:shd w:val="clear" w:color="auto" w:fill="E2E2E2"/>
          </w:tcPr>
          <w:p w:rsidR="005301E3" w:rsidRPr="00EB4027" w:rsidRDefault="005301E3" w:rsidP="00DE41A6">
            <w:pPr>
              <w:rPr>
                <w:b/>
                <w:sz w:val="20"/>
                <w:szCs w:val="20"/>
              </w:rPr>
            </w:pPr>
            <w:r w:rsidRPr="00EB4027">
              <w:rPr>
                <w:b/>
                <w:sz w:val="20"/>
                <w:szCs w:val="20"/>
              </w:rPr>
              <w:t>Vplyvy na životné prostredie</w:t>
            </w:r>
          </w:p>
          <w:p w:rsidR="005301E3" w:rsidRPr="00EB4027" w:rsidRDefault="005301E3" w:rsidP="00DE41A6">
            <w:pPr>
              <w:rPr>
                <w:b/>
                <w:sz w:val="20"/>
                <w:szCs w:val="20"/>
              </w:rPr>
            </w:pPr>
          </w:p>
          <w:p w:rsidR="005301E3" w:rsidRPr="00EB4027" w:rsidRDefault="005301E3" w:rsidP="00DE41A6">
            <w:pPr>
              <w:rPr>
                <w:b/>
                <w:sz w:val="20"/>
                <w:szCs w:val="20"/>
              </w:rPr>
            </w:pPr>
            <w:r w:rsidRPr="00EB4027">
              <w:rPr>
                <w:sz w:val="20"/>
                <w:szCs w:val="20"/>
              </w:rPr>
              <w:t>Materiál je posudzovaný podľa zákona č. 24/2006 Z. z. o posudzovaní vplyvov na životné prostredie a o zmene a doplnení niektorých zákonov v znení neskorších predpisov</w:t>
            </w:r>
          </w:p>
        </w:tc>
        <w:sdt>
          <w:sdtPr>
            <w:rPr>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5301E3" w:rsidRPr="00EB4027" w:rsidRDefault="005301E3" w:rsidP="00DE41A6">
                <w:pPr>
                  <w:jc w:val="center"/>
                  <w:rPr>
                    <w:b/>
                    <w:sz w:val="20"/>
                    <w:szCs w:val="20"/>
                  </w:rPr>
                </w:pPr>
                <w:r w:rsidRPr="00EB4027">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5301E3" w:rsidRPr="00EB4027" w:rsidRDefault="005301E3" w:rsidP="00DE41A6">
            <w:pPr>
              <w:ind w:right="-108"/>
              <w:rPr>
                <w:b/>
                <w:sz w:val="20"/>
                <w:szCs w:val="20"/>
              </w:rPr>
            </w:pPr>
            <w:r w:rsidRPr="00EB4027">
              <w:rPr>
                <w:b/>
                <w:sz w:val="20"/>
                <w:szCs w:val="20"/>
              </w:rPr>
              <w:t>Pozitívne</w:t>
            </w:r>
          </w:p>
        </w:tc>
        <w:sdt>
          <w:sdtPr>
            <w:rPr>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5301E3" w:rsidRPr="00EB4027" w:rsidRDefault="005301E3" w:rsidP="00DE41A6">
                <w:pPr>
                  <w:jc w:val="center"/>
                  <w:rPr>
                    <w:b/>
                    <w:sz w:val="20"/>
                    <w:szCs w:val="20"/>
                  </w:rPr>
                </w:pPr>
                <w:r w:rsidRPr="00EB4027">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5301E3" w:rsidRPr="00EB4027" w:rsidRDefault="005301E3" w:rsidP="00DE41A6">
            <w:pPr>
              <w:rPr>
                <w:b/>
                <w:sz w:val="20"/>
                <w:szCs w:val="20"/>
              </w:rPr>
            </w:pPr>
            <w:r w:rsidRPr="00EB4027">
              <w:rPr>
                <w:b/>
                <w:sz w:val="20"/>
                <w:szCs w:val="20"/>
              </w:rPr>
              <w:t>Žiadne</w:t>
            </w:r>
          </w:p>
        </w:tc>
        <w:sdt>
          <w:sdtPr>
            <w:rPr>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5301E3" w:rsidRPr="00EB4027" w:rsidRDefault="005301E3" w:rsidP="00DE41A6">
                <w:pPr>
                  <w:jc w:val="center"/>
                  <w:rPr>
                    <w:b/>
                    <w:sz w:val="20"/>
                    <w:szCs w:val="20"/>
                  </w:rPr>
                </w:pPr>
                <w:r w:rsidRPr="00EB4027">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5301E3" w:rsidRPr="00EB4027" w:rsidRDefault="005301E3" w:rsidP="00DE41A6">
            <w:pPr>
              <w:ind w:left="54"/>
              <w:rPr>
                <w:b/>
                <w:sz w:val="20"/>
                <w:szCs w:val="20"/>
              </w:rPr>
            </w:pPr>
            <w:r w:rsidRPr="00EB4027">
              <w:rPr>
                <w:b/>
                <w:sz w:val="20"/>
                <w:szCs w:val="20"/>
              </w:rPr>
              <w:t>Negatívne</w:t>
            </w:r>
          </w:p>
        </w:tc>
      </w:tr>
      <w:tr w:rsidR="005301E3" w:rsidRPr="00B043B4" w:rsidTr="00DE41A6">
        <w:tc>
          <w:tcPr>
            <w:tcW w:w="3812" w:type="dxa"/>
            <w:vMerge/>
            <w:tcBorders>
              <w:left w:val="single" w:sz="4" w:space="0" w:color="auto"/>
              <w:bottom w:val="single" w:sz="4" w:space="0" w:color="auto"/>
              <w:right w:val="single" w:sz="4" w:space="0" w:color="auto"/>
            </w:tcBorders>
            <w:shd w:val="clear" w:color="auto" w:fill="E2E2E2"/>
          </w:tcPr>
          <w:p w:rsidR="005301E3" w:rsidRPr="00EB4027" w:rsidRDefault="005301E3" w:rsidP="00DE41A6">
            <w:pPr>
              <w:rPr>
                <w:b/>
                <w:sz w:val="20"/>
                <w:szCs w:val="20"/>
              </w:rPr>
            </w:pPr>
          </w:p>
        </w:tc>
        <w:sdt>
          <w:sdtPr>
            <w:rPr>
              <w:b/>
              <w:sz w:val="20"/>
              <w:szCs w:val="20"/>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5301E3" w:rsidRPr="00EB4027" w:rsidRDefault="005301E3" w:rsidP="00DE41A6">
                <w:pPr>
                  <w:jc w:val="center"/>
                  <w:rPr>
                    <w:b/>
                    <w:sz w:val="20"/>
                    <w:szCs w:val="20"/>
                  </w:rPr>
                </w:pPr>
                <w:r w:rsidRPr="00EB4027">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vAlign w:val="center"/>
          </w:tcPr>
          <w:p w:rsidR="005301E3" w:rsidRPr="00EB4027" w:rsidRDefault="005301E3" w:rsidP="00DE41A6">
            <w:pPr>
              <w:ind w:right="-108"/>
              <w:rPr>
                <w:b/>
                <w:sz w:val="20"/>
                <w:szCs w:val="20"/>
              </w:rPr>
            </w:pPr>
            <w:r w:rsidRPr="00EB4027">
              <w:rPr>
                <w:sz w:val="20"/>
                <w:szCs w:val="20"/>
              </w:rPr>
              <w:t>Áno</w:t>
            </w:r>
          </w:p>
        </w:tc>
        <w:tc>
          <w:tcPr>
            <w:tcW w:w="538" w:type="dxa"/>
            <w:gridSpan w:val="2"/>
            <w:tcBorders>
              <w:top w:val="single" w:sz="4" w:space="0" w:color="auto"/>
              <w:left w:val="nil"/>
              <w:bottom w:val="single" w:sz="4" w:space="0" w:color="auto"/>
              <w:right w:val="nil"/>
            </w:tcBorders>
            <w:vAlign w:val="center"/>
          </w:tcPr>
          <w:p w:rsidR="005301E3" w:rsidRPr="00EB4027" w:rsidRDefault="005301E3" w:rsidP="00DE41A6">
            <w:pPr>
              <w:jc w:val="center"/>
              <w:rPr>
                <w:b/>
                <w:sz w:val="20"/>
                <w:szCs w:val="20"/>
              </w:rPr>
            </w:pPr>
          </w:p>
        </w:tc>
        <w:tc>
          <w:tcPr>
            <w:tcW w:w="1133" w:type="dxa"/>
            <w:tcBorders>
              <w:top w:val="single" w:sz="4" w:space="0" w:color="auto"/>
              <w:left w:val="nil"/>
              <w:bottom w:val="single" w:sz="4" w:space="0" w:color="auto"/>
              <w:right w:val="nil"/>
            </w:tcBorders>
            <w:vAlign w:val="center"/>
          </w:tcPr>
          <w:p w:rsidR="005301E3" w:rsidRPr="00EB4027" w:rsidRDefault="005301E3" w:rsidP="00DE41A6">
            <w:pPr>
              <w:rPr>
                <w:b/>
                <w:sz w:val="20"/>
                <w:szCs w:val="20"/>
              </w:rPr>
            </w:pPr>
          </w:p>
        </w:tc>
        <w:sdt>
          <w:sdtPr>
            <w:rPr>
              <w:b/>
              <w:sz w:val="20"/>
              <w:szCs w:val="20"/>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5301E3" w:rsidRPr="00EB4027" w:rsidRDefault="005301E3" w:rsidP="00DE41A6">
                <w:pPr>
                  <w:jc w:val="center"/>
                  <w:rPr>
                    <w:b/>
                    <w:sz w:val="20"/>
                    <w:szCs w:val="20"/>
                  </w:rPr>
                </w:pPr>
                <w:r w:rsidRPr="00EB4027">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5301E3" w:rsidRPr="00EB4027" w:rsidRDefault="005301E3" w:rsidP="00DE41A6">
            <w:pPr>
              <w:ind w:left="54"/>
              <w:rPr>
                <w:b/>
                <w:sz w:val="20"/>
                <w:szCs w:val="20"/>
              </w:rPr>
            </w:pPr>
            <w:r w:rsidRPr="00EB4027">
              <w:rPr>
                <w:sz w:val="20"/>
                <w:szCs w:val="20"/>
              </w:rPr>
              <w:t>Nie</w:t>
            </w:r>
          </w:p>
        </w:tc>
      </w:tr>
      <w:tr w:rsidR="005301E3" w:rsidRPr="00B043B4" w:rsidTr="00DE41A6">
        <w:tc>
          <w:tcPr>
            <w:tcW w:w="3812" w:type="dxa"/>
            <w:tcBorders>
              <w:top w:val="single" w:sz="4" w:space="0" w:color="auto"/>
              <w:left w:val="single" w:sz="4" w:space="0" w:color="auto"/>
              <w:bottom w:val="single" w:sz="4" w:space="0" w:color="auto"/>
              <w:right w:val="single" w:sz="4" w:space="0" w:color="auto"/>
            </w:tcBorders>
            <w:shd w:val="clear" w:color="auto" w:fill="E2E2E2"/>
          </w:tcPr>
          <w:p w:rsidR="005301E3" w:rsidRPr="00B043B4" w:rsidRDefault="005301E3" w:rsidP="00DE41A6">
            <w:pPr>
              <w:rPr>
                <w:b/>
                <w:sz w:val="20"/>
                <w:szCs w:val="20"/>
              </w:rPr>
            </w:pPr>
            <w:r w:rsidRPr="00B043B4">
              <w:rPr>
                <w:b/>
                <w:sz w:val="20"/>
                <w:szCs w:val="20"/>
              </w:rPr>
              <w:t>Vplyvy na informatizáciu</w:t>
            </w:r>
            <w:r>
              <w:rPr>
                <w:b/>
                <w:sz w:val="20"/>
                <w:szCs w:val="20"/>
              </w:rPr>
              <w:t xml:space="preserve"> spoločnosti</w:t>
            </w:r>
          </w:p>
        </w:tc>
        <w:sdt>
          <w:sdtPr>
            <w:rPr>
              <w:b/>
              <w:sz w:val="20"/>
              <w:szCs w:val="20"/>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5301E3" w:rsidRPr="00B043B4" w:rsidRDefault="005301E3" w:rsidP="00DE41A6">
                <w:pPr>
                  <w:jc w:val="center"/>
                  <w:rPr>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5301E3" w:rsidRPr="00B043B4" w:rsidRDefault="005301E3" w:rsidP="00DE41A6">
            <w:pPr>
              <w:ind w:right="-108"/>
              <w:rPr>
                <w:b/>
                <w:sz w:val="20"/>
                <w:szCs w:val="20"/>
              </w:rPr>
            </w:pPr>
            <w:r w:rsidRPr="00B043B4">
              <w:rPr>
                <w:b/>
                <w:sz w:val="20"/>
                <w:szCs w:val="20"/>
              </w:rPr>
              <w:t>Pozitívne</w:t>
            </w:r>
          </w:p>
        </w:tc>
        <w:sdt>
          <w:sdtPr>
            <w:rPr>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5301E3" w:rsidRPr="00B043B4" w:rsidRDefault="005301E3" w:rsidP="00DE41A6">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5301E3" w:rsidRPr="00B043B4" w:rsidRDefault="005301E3" w:rsidP="00DE41A6">
            <w:pPr>
              <w:rPr>
                <w:b/>
                <w:sz w:val="20"/>
                <w:szCs w:val="20"/>
              </w:rPr>
            </w:pPr>
            <w:r w:rsidRPr="00B043B4">
              <w:rPr>
                <w:b/>
                <w:sz w:val="20"/>
                <w:szCs w:val="20"/>
              </w:rPr>
              <w:t>Žiadne</w:t>
            </w:r>
          </w:p>
        </w:tc>
        <w:sdt>
          <w:sdtPr>
            <w:rPr>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5301E3" w:rsidRPr="00B043B4" w:rsidRDefault="005301E3" w:rsidP="00DE41A6">
                <w:pPr>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5301E3" w:rsidRPr="00B043B4" w:rsidRDefault="005301E3" w:rsidP="00DE41A6">
            <w:pPr>
              <w:ind w:left="54"/>
              <w:rPr>
                <w:b/>
                <w:sz w:val="20"/>
                <w:szCs w:val="20"/>
              </w:rPr>
            </w:pPr>
            <w:r w:rsidRPr="00B043B4">
              <w:rPr>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5301E3" w:rsidRPr="00B043B4" w:rsidTr="00DE41A6">
        <w:tc>
          <w:tcPr>
            <w:tcW w:w="3812" w:type="dxa"/>
            <w:tcBorders>
              <w:top w:val="single" w:sz="4" w:space="0" w:color="auto"/>
              <w:left w:val="single" w:sz="4" w:space="0" w:color="auto"/>
              <w:bottom w:val="nil"/>
              <w:right w:val="single" w:sz="4" w:space="0" w:color="auto"/>
            </w:tcBorders>
            <w:shd w:val="clear" w:color="auto" w:fill="E2E2E2"/>
          </w:tcPr>
          <w:p w:rsidR="005301E3" w:rsidRPr="00B043B4" w:rsidRDefault="005301E3" w:rsidP="00DE41A6">
            <w:pPr>
              <w:rPr>
                <w:b/>
                <w:sz w:val="20"/>
                <w:szCs w:val="20"/>
              </w:rPr>
            </w:pPr>
            <w:r w:rsidRPr="00B043B4">
              <w:rPr>
                <w:rFonts w:eastAsia="Calibri"/>
                <w:b/>
                <w:sz w:val="20"/>
                <w:szCs w:val="20"/>
              </w:rPr>
              <w:t>Vplyvy na služby verejnej správy pre občana, z</w:t>
            </w:r>
            <w:r>
              <w:rPr>
                <w:rFonts w:eastAsia="Calibri"/>
                <w:b/>
                <w:sz w:val="20"/>
                <w:szCs w:val="20"/>
              </w:rPr>
              <w:t> </w:t>
            </w:r>
            <w:r w:rsidRPr="00B043B4">
              <w:rPr>
                <w:rFonts w:eastAsia="Calibri"/>
                <w:b/>
                <w:sz w:val="20"/>
                <w:szCs w:val="20"/>
              </w:rPr>
              <w:t>toho</w:t>
            </w:r>
          </w:p>
        </w:tc>
        <w:tc>
          <w:tcPr>
            <w:tcW w:w="541" w:type="dxa"/>
            <w:tcBorders>
              <w:top w:val="single" w:sz="4" w:space="0" w:color="auto"/>
              <w:left w:val="single" w:sz="4" w:space="0" w:color="auto"/>
              <w:bottom w:val="nil"/>
              <w:right w:val="nil"/>
            </w:tcBorders>
            <w:shd w:val="clear" w:color="auto" w:fill="auto"/>
          </w:tcPr>
          <w:p w:rsidR="005301E3" w:rsidRPr="00B043B4" w:rsidRDefault="005301E3" w:rsidP="00DE41A6">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rsidR="005301E3" w:rsidRPr="00B043B4" w:rsidRDefault="005301E3" w:rsidP="00DE41A6">
            <w:pPr>
              <w:ind w:right="-108"/>
              <w:rPr>
                <w:b/>
                <w:sz w:val="20"/>
                <w:szCs w:val="20"/>
              </w:rPr>
            </w:pPr>
          </w:p>
        </w:tc>
        <w:tc>
          <w:tcPr>
            <w:tcW w:w="569" w:type="dxa"/>
            <w:gridSpan w:val="2"/>
            <w:tcBorders>
              <w:top w:val="single" w:sz="4" w:space="0" w:color="auto"/>
              <w:left w:val="nil"/>
              <w:bottom w:val="nil"/>
              <w:right w:val="nil"/>
            </w:tcBorders>
            <w:shd w:val="clear" w:color="auto" w:fill="auto"/>
          </w:tcPr>
          <w:p w:rsidR="005301E3" w:rsidRPr="00B043B4" w:rsidRDefault="005301E3" w:rsidP="00DE41A6">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rsidR="005301E3" w:rsidRPr="00B043B4" w:rsidRDefault="005301E3" w:rsidP="00DE41A6">
            <w:pPr>
              <w:rPr>
                <w:b/>
                <w:sz w:val="20"/>
                <w:szCs w:val="20"/>
              </w:rPr>
            </w:pPr>
          </w:p>
        </w:tc>
        <w:tc>
          <w:tcPr>
            <w:tcW w:w="547" w:type="dxa"/>
            <w:tcBorders>
              <w:top w:val="single" w:sz="4" w:space="0" w:color="auto"/>
              <w:left w:val="nil"/>
              <w:bottom w:val="nil"/>
              <w:right w:val="nil"/>
            </w:tcBorders>
            <w:shd w:val="clear" w:color="auto" w:fill="auto"/>
          </w:tcPr>
          <w:p w:rsidR="005301E3" w:rsidRPr="00B043B4" w:rsidRDefault="005301E3" w:rsidP="00DE41A6">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rsidR="005301E3" w:rsidRPr="00B043B4" w:rsidRDefault="005301E3" w:rsidP="00DE41A6">
            <w:pPr>
              <w:ind w:left="54"/>
              <w:rPr>
                <w:b/>
                <w:sz w:val="20"/>
                <w:szCs w:val="20"/>
              </w:rPr>
            </w:pPr>
          </w:p>
        </w:tc>
      </w:tr>
      <w:tr w:rsidR="005301E3" w:rsidRPr="00B043B4" w:rsidTr="00DE41A6">
        <w:tc>
          <w:tcPr>
            <w:tcW w:w="3812" w:type="dxa"/>
            <w:tcBorders>
              <w:top w:val="nil"/>
              <w:left w:val="single" w:sz="4" w:space="0" w:color="auto"/>
              <w:bottom w:val="nil"/>
              <w:right w:val="single" w:sz="4" w:space="0" w:color="auto"/>
            </w:tcBorders>
            <w:shd w:val="clear" w:color="auto" w:fill="E2E2E2"/>
          </w:tcPr>
          <w:p w:rsidR="005301E3" w:rsidRPr="00B043B4" w:rsidRDefault="005301E3" w:rsidP="00DE41A6">
            <w:pPr>
              <w:ind w:left="196" w:hanging="196"/>
              <w:rPr>
                <w:rFonts w:eastAsia="Calibri"/>
                <w:b/>
                <w:sz w:val="20"/>
                <w:szCs w:val="20"/>
              </w:rPr>
            </w:pPr>
            <w:r w:rsidRPr="00B043B4">
              <w:rPr>
                <w:rFonts w:eastAsia="Calibri"/>
                <w:b/>
                <w:sz w:val="20"/>
                <w:szCs w:val="20"/>
              </w:rPr>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5301E3" w:rsidRPr="00B043B4" w:rsidRDefault="005301E3" w:rsidP="00DE41A6">
                <w:pPr>
                  <w:jc w:val="center"/>
                  <w:rPr>
                    <w:b/>
                    <w:sz w:val="20"/>
                    <w:szCs w:val="20"/>
                  </w:rPr>
                </w:pPr>
                <w:r>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rsidR="005301E3" w:rsidRPr="00B043B4" w:rsidRDefault="005301E3" w:rsidP="00DE41A6">
            <w:pPr>
              <w:ind w:right="-108"/>
              <w:rPr>
                <w:b/>
                <w:sz w:val="20"/>
                <w:szCs w:val="20"/>
              </w:rPr>
            </w:pPr>
            <w:r w:rsidRPr="00B043B4">
              <w:rPr>
                <w:b/>
                <w:sz w:val="20"/>
                <w:szCs w:val="20"/>
              </w:rPr>
              <w:t>Pozitívne</w:t>
            </w:r>
          </w:p>
        </w:tc>
        <w:sdt>
          <w:sdtPr>
            <w:rPr>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5301E3" w:rsidRPr="00B043B4" w:rsidRDefault="005301E3" w:rsidP="00DE41A6">
                <w:pPr>
                  <w:jc w:val="center"/>
                  <w:rPr>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rsidR="005301E3" w:rsidRPr="00B043B4" w:rsidRDefault="005301E3" w:rsidP="00DE41A6">
            <w:pPr>
              <w:rPr>
                <w:b/>
                <w:sz w:val="20"/>
                <w:szCs w:val="20"/>
              </w:rPr>
            </w:pPr>
            <w:r w:rsidRPr="00B043B4">
              <w:rPr>
                <w:b/>
                <w:sz w:val="20"/>
                <w:szCs w:val="20"/>
              </w:rPr>
              <w:t>Žiadne</w:t>
            </w:r>
          </w:p>
        </w:tc>
        <w:sdt>
          <w:sdtPr>
            <w:rPr>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5301E3" w:rsidRPr="00B043B4" w:rsidRDefault="005301E3" w:rsidP="00DE41A6">
                <w:pPr>
                  <w:jc w:val="center"/>
                  <w:rPr>
                    <w:b/>
                    <w:sz w:val="20"/>
                    <w:szCs w:val="20"/>
                  </w:rPr>
                </w:pPr>
                <w:r>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5301E3" w:rsidRPr="00B043B4" w:rsidRDefault="005301E3" w:rsidP="00DE41A6">
            <w:pPr>
              <w:ind w:left="54"/>
              <w:rPr>
                <w:b/>
                <w:sz w:val="20"/>
                <w:szCs w:val="20"/>
              </w:rPr>
            </w:pPr>
            <w:r w:rsidRPr="00B043B4">
              <w:rPr>
                <w:b/>
                <w:sz w:val="20"/>
                <w:szCs w:val="20"/>
              </w:rPr>
              <w:t>Negatívne</w:t>
            </w:r>
          </w:p>
        </w:tc>
      </w:tr>
      <w:tr w:rsidR="005301E3" w:rsidRPr="00B043B4" w:rsidTr="00DE41A6">
        <w:tc>
          <w:tcPr>
            <w:tcW w:w="3812" w:type="dxa"/>
            <w:tcBorders>
              <w:top w:val="nil"/>
              <w:left w:val="single" w:sz="4" w:space="0" w:color="auto"/>
              <w:bottom w:val="nil"/>
              <w:right w:val="single" w:sz="4" w:space="0" w:color="auto"/>
            </w:tcBorders>
            <w:shd w:val="clear" w:color="auto" w:fill="E2E2E2"/>
          </w:tcPr>
          <w:p w:rsidR="005301E3" w:rsidRPr="00B043B4" w:rsidRDefault="005301E3" w:rsidP="00DE41A6">
            <w:pPr>
              <w:ind w:left="168" w:hanging="168"/>
              <w:rPr>
                <w:rFonts w:eastAsia="Calibri"/>
                <w:b/>
                <w:sz w:val="20"/>
                <w:szCs w:val="20"/>
              </w:rPr>
            </w:pPr>
            <w:r w:rsidRPr="00B043B4">
              <w:rPr>
                <w:rFonts w:eastAsia="Calibri"/>
                <w:b/>
                <w:sz w:val="20"/>
                <w:szCs w:val="20"/>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5301E3" w:rsidRPr="00B043B4" w:rsidRDefault="005301E3" w:rsidP="00DE41A6">
                <w:pPr>
                  <w:jc w:val="center"/>
                  <w:rPr>
                    <w:b/>
                    <w:sz w:val="20"/>
                    <w:szCs w:val="20"/>
                  </w:rPr>
                </w:pPr>
                <w:r>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5301E3" w:rsidRPr="00B043B4" w:rsidRDefault="005301E3" w:rsidP="00DE41A6">
            <w:pPr>
              <w:ind w:right="-108"/>
              <w:rPr>
                <w:b/>
                <w:sz w:val="20"/>
                <w:szCs w:val="20"/>
              </w:rPr>
            </w:pPr>
            <w:r w:rsidRPr="00B043B4">
              <w:rPr>
                <w:b/>
                <w:sz w:val="20"/>
                <w:szCs w:val="20"/>
              </w:rPr>
              <w:t>Pozitívne</w:t>
            </w:r>
          </w:p>
        </w:tc>
        <w:sdt>
          <w:sdtPr>
            <w:rPr>
              <w:b/>
              <w:sz w:val="20"/>
              <w:szCs w:val="20"/>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5301E3" w:rsidRPr="00B043B4" w:rsidRDefault="005301E3" w:rsidP="00DE41A6">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rsidR="005301E3" w:rsidRPr="00B043B4" w:rsidRDefault="005301E3" w:rsidP="00DE41A6">
            <w:pPr>
              <w:rPr>
                <w:b/>
                <w:sz w:val="20"/>
                <w:szCs w:val="20"/>
              </w:rPr>
            </w:pPr>
            <w:r w:rsidRPr="00B043B4">
              <w:rPr>
                <w:b/>
                <w:sz w:val="20"/>
                <w:szCs w:val="20"/>
              </w:rPr>
              <w:t>Žiadne</w:t>
            </w:r>
          </w:p>
        </w:tc>
        <w:sdt>
          <w:sdtPr>
            <w:rPr>
              <w:b/>
              <w:sz w:val="20"/>
              <w:szCs w:val="20"/>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5301E3" w:rsidRPr="00B043B4" w:rsidRDefault="005301E3" w:rsidP="00DE41A6">
                <w:pPr>
                  <w:jc w:val="center"/>
                  <w:rPr>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5301E3" w:rsidRPr="00B043B4" w:rsidRDefault="005301E3" w:rsidP="00DE41A6">
            <w:pPr>
              <w:ind w:left="54"/>
              <w:rPr>
                <w:b/>
                <w:sz w:val="20"/>
                <w:szCs w:val="20"/>
              </w:rPr>
            </w:pPr>
            <w:r w:rsidRPr="00B043B4">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5301E3" w:rsidRPr="00B043B4" w:rsidTr="00DE41A6">
        <w:tc>
          <w:tcPr>
            <w:tcW w:w="3812" w:type="dxa"/>
            <w:tcBorders>
              <w:top w:val="single" w:sz="4" w:space="0" w:color="000000"/>
              <w:left w:val="single" w:sz="4" w:space="0" w:color="auto"/>
              <w:bottom w:val="single" w:sz="4" w:space="0" w:color="auto"/>
              <w:right w:val="single" w:sz="4" w:space="0" w:color="auto"/>
            </w:tcBorders>
            <w:shd w:val="clear" w:color="auto" w:fill="E2E2E2"/>
          </w:tcPr>
          <w:p w:rsidR="005301E3" w:rsidRPr="00B043B4" w:rsidRDefault="005301E3" w:rsidP="00DE41A6">
            <w:pPr>
              <w:rPr>
                <w:b/>
                <w:sz w:val="20"/>
                <w:szCs w:val="20"/>
              </w:rPr>
            </w:pPr>
            <w:r w:rsidRPr="00F87681">
              <w:rPr>
                <w:b/>
                <w:sz w:val="20"/>
                <w:szCs w:val="20"/>
              </w:rPr>
              <w:t>Vplyvy na manželstvo</w:t>
            </w:r>
            <w:r>
              <w:rPr>
                <w:b/>
                <w:sz w:val="20"/>
                <w:szCs w:val="20"/>
              </w:rPr>
              <w:t>,</w:t>
            </w:r>
            <w:r w:rsidRPr="00F87681">
              <w:rPr>
                <w:b/>
                <w:sz w:val="20"/>
                <w:szCs w:val="20"/>
              </w:rPr>
              <w:t xml:space="preserve"> rodičovstvo a</w:t>
            </w:r>
            <w:r>
              <w:rPr>
                <w:b/>
                <w:sz w:val="20"/>
                <w:szCs w:val="20"/>
              </w:rPr>
              <w:t> </w:t>
            </w:r>
            <w:r w:rsidRPr="00F87681">
              <w:rPr>
                <w:b/>
                <w:sz w:val="20"/>
                <w:szCs w:val="20"/>
              </w:rPr>
              <w:t>rodinu</w:t>
            </w:r>
          </w:p>
        </w:tc>
        <w:sdt>
          <w:sdtPr>
            <w:rPr>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5301E3" w:rsidRPr="00B043B4" w:rsidRDefault="005301E3" w:rsidP="00DE41A6">
                <w:pPr>
                  <w:jc w:val="center"/>
                  <w:rPr>
                    <w:b/>
                    <w:sz w:val="20"/>
                    <w:szCs w:val="20"/>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rsidR="005301E3" w:rsidRPr="00B043B4" w:rsidRDefault="005301E3" w:rsidP="00DE41A6">
            <w:pPr>
              <w:ind w:right="-108"/>
              <w:rPr>
                <w:b/>
                <w:sz w:val="20"/>
                <w:szCs w:val="20"/>
              </w:rPr>
            </w:pPr>
            <w:r w:rsidRPr="00B043B4">
              <w:rPr>
                <w:b/>
                <w:sz w:val="20"/>
                <w:szCs w:val="20"/>
              </w:rPr>
              <w:t>Pozitívne</w:t>
            </w:r>
          </w:p>
        </w:tc>
        <w:sdt>
          <w:sdtPr>
            <w:rPr>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5301E3" w:rsidRPr="00B043B4" w:rsidRDefault="005301E3" w:rsidP="00DE41A6">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rsidR="005301E3" w:rsidRPr="00B043B4" w:rsidRDefault="005301E3" w:rsidP="00DE41A6">
            <w:pPr>
              <w:rPr>
                <w:b/>
                <w:sz w:val="20"/>
                <w:szCs w:val="20"/>
              </w:rPr>
            </w:pPr>
            <w:r w:rsidRPr="00B043B4">
              <w:rPr>
                <w:b/>
                <w:sz w:val="20"/>
                <w:szCs w:val="20"/>
              </w:rPr>
              <w:t>Žiadne</w:t>
            </w:r>
          </w:p>
        </w:tc>
        <w:sdt>
          <w:sdtPr>
            <w:rPr>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5301E3" w:rsidRPr="00B043B4" w:rsidRDefault="005301E3" w:rsidP="00DE41A6">
                <w:pPr>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5301E3" w:rsidRPr="00B043B4" w:rsidRDefault="005301E3" w:rsidP="00DE41A6">
            <w:pPr>
              <w:ind w:left="54"/>
              <w:rPr>
                <w:b/>
                <w:sz w:val="20"/>
                <w:szCs w:val="20"/>
              </w:rPr>
            </w:pPr>
            <w:r w:rsidRPr="00B043B4">
              <w:rPr>
                <w:b/>
                <w:sz w:val="20"/>
                <w:szCs w:val="20"/>
              </w:rPr>
              <w:t>Negatívne</w:t>
            </w:r>
          </w:p>
        </w:tc>
      </w:tr>
    </w:tbl>
    <w:p w:rsidR="005301E3" w:rsidRDefault="005301E3" w:rsidP="005301E3">
      <w:pPr>
        <w:ind w:right="141"/>
        <w:rPr>
          <w:b/>
          <w:sz w:val="20"/>
          <w:szCs w:val="20"/>
        </w:rPr>
      </w:pPr>
    </w:p>
    <w:p w:rsidR="00F55A99" w:rsidRDefault="00F55A99" w:rsidP="005301E3">
      <w:pPr>
        <w:ind w:right="141"/>
        <w:rPr>
          <w:b/>
          <w:sz w:val="20"/>
          <w:szCs w:val="20"/>
        </w:rPr>
      </w:pPr>
    </w:p>
    <w:p w:rsidR="00F55A99" w:rsidRPr="00B043B4" w:rsidRDefault="00F55A99" w:rsidP="005301E3">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5301E3" w:rsidRPr="00B043B4" w:rsidTr="00DE41A6">
        <w:tc>
          <w:tcPr>
            <w:tcW w:w="9176" w:type="dxa"/>
            <w:tcBorders>
              <w:top w:val="single" w:sz="4" w:space="0" w:color="auto"/>
              <w:left w:val="single" w:sz="4" w:space="0" w:color="auto"/>
              <w:bottom w:val="nil"/>
              <w:right w:val="single" w:sz="4" w:space="0" w:color="auto"/>
            </w:tcBorders>
            <w:shd w:val="clear" w:color="auto" w:fill="E2E2E2"/>
          </w:tcPr>
          <w:p w:rsidR="005301E3" w:rsidRPr="00B043B4" w:rsidRDefault="005301E3" w:rsidP="005301E3">
            <w:pPr>
              <w:widowControl/>
              <w:numPr>
                <w:ilvl w:val="0"/>
                <w:numId w:val="1"/>
              </w:numPr>
              <w:adjustRightInd/>
              <w:ind w:left="426"/>
              <w:contextualSpacing/>
              <w:rPr>
                <w:rFonts w:eastAsia="Calibri"/>
                <w:b/>
              </w:rPr>
            </w:pPr>
            <w:r w:rsidRPr="00B043B4">
              <w:rPr>
                <w:rFonts w:eastAsia="Calibri"/>
                <w:b/>
              </w:rPr>
              <w:lastRenderedPageBreak/>
              <w:t>Poznámky</w:t>
            </w:r>
          </w:p>
        </w:tc>
      </w:tr>
      <w:tr w:rsidR="005301E3" w:rsidRPr="00B043B4" w:rsidTr="00DE41A6">
        <w:trPr>
          <w:trHeight w:val="713"/>
        </w:trPr>
        <w:tc>
          <w:tcPr>
            <w:tcW w:w="9176" w:type="dxa"/>
            <w:tcBorders>
              <w:top w:val="nil"/>
              <w:left w:val="single" w:sz="4" w:space="0" w:color="auto"/>
              <w:bottom w:val="single" w:sz="4" w:space="0" w:color="FFFFFF"/>
              <w:right w:val="single" w:sz="4" w:space="0" w:color="auto"/>
            </w:tcBorders>
            <w:shd w:val="clear" w:color="auto" w:fill="auto"/>
          </w:tcPr>
          <w:p w:rsidR="005301E3" w:rsidRDefault="005301E3" w:rsidP="00DE41A6">
            <w:pPr>
              <w:jc w:val="both"/>
              <w:rPr>
                <w:i/>
                <w:sz w:val="20"/>
                <w:szCs w:val="20"/>
              </w:rPr>
            </w:pPr>
            <w:r w:rsidRPr="00B043B4">
              <w:rPr>
                <w:i/>
                <w:sz w:val="20"/>
                <w:szCs w:val="20"/>
              </w:rPr>
              <w:t xml:space="preserve">V prípade potreby uveďte doplňujúce informácie k identifikovaným vplyvom a ich analýzam. </w:t>
            </w:r>
          </w:p>
          <w:p w:rsidR="005301E3" w:rsidRDefault="005301E3" w:rsidP="00DE41A6">
            <w:pPr>
              <w:jc w:val="both"/>
              <w:rPr>
                <w:i/>
                <w:sz w:val="20"/>
                <w:szCs w:val="20"/>
              </w:rPr>
            </w:pPr>
          </w:p>
          <w:p w:rsidR="005301E3" w:rsidRDefault="005301E3" w:rsidP="00DE41A6">
            <w:pPr>
              <w:jc w:val="both"/>
              <w:rPr>
                <w:i/>
                <w:sz w:val="20"/>
                <w:szCs w:val="20"/>
              </w:rPr>
            </w:pPr>
            <w:r>
              <w:rPr>
                <w:i/>
                <w:sz w:val="20"/>
                <w:szCs w:val="20"/>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5301E3" w:rsidRDefault="005301E3" w:rsidP="00DE41A6">
            <w:pPr>
              <w:jc w:val="both"/>
              <w:rPr>
                <w:i/>
                <w:sz w:val="20"/>
                <w:szCs w:val="20"/>
              </w:rPr>
            </w:pPr>
          </w:p>
          <w:p w:rsidR="005301E3" w:rsidRDefault="005301E3" w:rsidP="00DE41A6">
            <w:pPr>
              <w:jc w:val="both"/>
              <w:rPr>
                <w:i/>
                <w:sz w:val="20"/>
                <w:szCs w:val="20"/>
              </w:rPr>
            </w:pPr>
            <w:r>
              <w:rPr>
                <w:i/>
                <w:sz w:val="20"/>
                <w:szCs w:val="20"/>
              </w:rPr>
              <w:t>Informácie v tejto časti slúžia na zhrnutie vplyvov alebo aj na vyjadrenie sa k marginálnym vplyvom a nie ako náhrada za vypracovanie príslušných analýz vybraných vplyvov.</w:t>
            </w:r>
          </w:p>
          <w:p w:rsidR="005301E3" w:rsidRDefault="005301E3" w:rsidP="00DE41A6">
            <w:pPr>
              <w:jc w:val="both"/>
              <w:rPr>
                <w:i/>
                <w:sz w:val="20"/>
                <w:szCs w:val="20"/>
              </w:rPr>
            </w:pPr>
          </w:p>
          <w:p w:rsidR="005301E3" w:rsidRPr="004654EA" w:rsidRDefault="005301E3" w:rsidP="00DE41A6">
            <w:pPr>
              <w:jc w:val="both"/>
              <w:rPr>
                <w:i/>
                <w:sz w:val="20"/>
                <w:szCs w:val="20"/>
              </w:rPr>
            </w:pPr>
            <w:r w:rsidRPr="00612E08">
              <w:rPr>
                <w:i/>
                <w:sz w:val="20"/>
                <w:szCs w:val="20"/>
              </w:rPr>
              <w:t>V prípade, že je materiál posudzovaný podľa zákona č. 24/2006 Z. z. o posudzovaní vplyvov na životné prostredie a o zmene a doplnení niektorých zákonov v znení neskorších prepisov, uveďte internetový odkaz na tento proces.</w:t>
            </w:r>
          </w:p>
        </w:tc>
      </w:tr>
      <w:tr w:rsidR="005301E3" w:rsidRPr="00B043B4" w:rsidTr="00DE41A6">
        <w:tc>
          <w:tcPr>
            <w:tcW w:w="9176" w:type="dxa"/>
            <w:tcBorders>
              <w:top w:val="single" w:sz="4" w:space="0" w:color="auto"/>
              <w:left w:val="single" w:sz="4" w:space="0" w:color="auto"/>
              <w:bottom w:val="single" w:sz="4" w:space="0" w:color="FFFFFF"/>
              <w:right w:val="single" w:sz="4" w:space="0" w:color="auto"/>
            </w:tcBorders>
            <w:shd w:val="clear" w:color="auto" w:fill="E2E2E2"/>
          </w:tcPr>
          <w:p w:rsidR="005301E3" w:rsidRPr="00B043B4" w:rsidRDefault="005301E3" w:rsidP="005301E3">
            <w:pPr>
              <w:widowControl/>
              <w:numPr>
                <w:ilvl w:val="0"/>
                <w:numId w:val="1"/>
              </w:numPr>
              <w:adjustRightInd/>
              <w:ind w:left="426"/>
              <w:contextualSpacing/>
              <w:rPr>
                <w:rFonts w:eastAsia="Calibri"/>
                <w:b/>
              </w:rPr>
            </w:pPr>
            <w:r w:rsidRPr="00B043B4">
              <w:rPr>
                <w:rFonts w:eastAsia="Calibri"/>
                <w:b/>
              </w:rPr>
              <w:t>Kontakt na spracovateľa</w:t>
            </w:r>
          </w:p>
        </w:tc>
      </w:tr>
      <w:tr w:rsidR="005301E3" w:rsidRPr="00B043B4" w:rsidTr="00DE41A6">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5301E3" w:rsidRDefault="005301E3" w:rsidP="00DE41A6">
            <w:pPr>
              <w:rPr>
                <w:i/>
                <w:sz w:val="20"/>
                <w:szCs w:val="20"/>
              </w:rPr>
            </w:pPr>
            <w:r w:rsidRPr="00B043B4">
              <w:rPr>
                <w:i/>
                <w:sz w:val="20"/>
                <w:szCs w:val="20"/>
              </w:rPr>
              <w:t>Uveďte údaje na kontaktnú osobu, ktorú je možné kontaktovať v súvislosti s posúdením vybraných vplyvov.</w:t>
            </w:r>
          </w:p>
          <w:p w:rsidR="005301E3" w:rsidRPr="0094139C" w:rsidRDefault="005301E3" w:rsidP="00DE41A6">
            <w:pPr>
              <w:rPr>
                <w:sz w:val="20"/>
                <w:szCs w:val="20"/>
              </w:rPr>
            </w:pPr>
          </w:p>
          <w:p w:rsidR="005301E3" w:rsidRDefault="005301E3" w:rsidP="00DE41A6">
            <w:pPr>
              <w:rPr>
                <w:sz w:val="20"/>
                <w:szCs w:val="20"/>
              </w:rPr>
            </w:pPr>
            <w:r w:rsidRPr="0094139C">
              <w:rPr>
                <w:sz w:val="20"/>
                <w:szCs w:val="20"/>
              </w:rPr>
              <w:t xml:space="preserve">JUDr. Ivana Maláková </w:t>
            </w:r>
          </w:p>
          <w:p w:rsidR="005301E3" w:rsidRPr="0094139C" w:rsidRDefault="005301E3" w:rsidP="00DE41A6">
            <w:pPr>
              <w:rPr>
                <w:sz w:val="20"/>
                <w:szCs w:val="20"/>
              </w:rPr>
            </w:pPr>
            <w:r>
              <w:rPr>
                <w:sz w:val="20"/>
                <w:szCs w:val="20"/>
              </w:rPr>
              <w:t>Odbor mediálneho práva a audiovízie</w:t>
            </w:r>
          </w:p>
          <w:p w:rsidR="005301E3" w:rsidRPr="0094139C" w:rsidRDefault="005301E3" w:rsidP="00DE41A6">
            <w:pPr>
              <w:rPr>
                <w:sz w:val="20"/>
                <w:szCs w:val="20"/>
              </w:rPr>
            </w:pPr>
            <w:r>
              <w:rPr>
                <w:sz w:val="20"/>
                <w:szCs w:val="20"/>
              </w:rPr>
              <w:t>Sekcia umenia, médií a autorského práva</w:t>
            </w:r>
          </w:p>
          <w:p w:rsidR="005301E3" w:rsidRPr="0094139C" w:rsidRDefault="005301E3" w:rsidP="00DE41A6">
            <w:pPr>
              <w:rPr>
                <w:sz w:val="20"/>
                <w:szCs w:val="20"/>
              </w:rPr>
            </w:pPr>
            <w:r w:rsidRPr="0094139C">
              <w:rPr>
                <w:sz w:val="20"/>
                <w:szCs w:val="20"/>
              </w:rPr>
              <w:t>Ministerstvo kultúry SR</w:t>
            </w:r>
          </w:p>
          <w:p w:rsidR="005301E3" w:rsidRDefault="005301E3" w:rsidP="00DE41A6">
            <w:pPr>
              <w:rPr>
                <w:sz w:val="20"/>
                <w:szCs w:val="20"/>
              </w:rPr>
            </w:pPr>
            <w:r w:rsidRPr="0094139C">
              <w:rPr>
                <w:sz w:val="20"/>
                <w:szCs w:val="20"/>
              </w:rPr>
              <w:t xml:space="preserve">e-mail: </w:t>
            </w:r>
            <w:hyperlink r:id="rId8" w:history="1">
              <w:r w:rsidRPr="006556A1">
                <w:rPr>
                  <w:rStyle w:val="Hypertextovprepojenie"/>
                  <w:sz w:val="20"/>
                  <w:szCs w:val="20"/>
                </w:rPr>
                <w:t>ivana.malakova@culture.gov.sk</w:t>
              </w:r>
            </w:hyperlink>
            <w:r>
              <w:rPr>
                <w:sz w:val="20"/>
                <w:szCs w:val="20"/>
              </w:rPr>
              <w:t xml:space="preserve"> </w:t>
            </w:r>
          </w:p>
          <w:p w:rsidR="005301E3" w:rsidRPr="006225D0" w:rsidRDefault="005301E3" w:rsidP="00DE41A6">
            <w:pPr>
              <w:rPr>
                <w:sz w:val="20"/>
                <w:szCs w:val="20"/>
              </w:rPr>
            </w:pPr>
          </w:p>
        </w:tc>
      </w:tr>
      <w:tr w:rsidR="005301E3" w:rsidRPr="00B043B4" w:rsidTr="00DE41A6">
        <w:tc>
          <w:tcPr>
            <w:tcW w:w="9176" w:type="dxa"/>
            <w:tcBorders>
              <w:top w:val="single" w:sz="4" w:space="0" w:color="auto"/>
              <w:left w:val="single" w:sz="4" w:space="0" w:color="auto"/>
              <w:bottom w:val="single" w:sz="4" w:space="0" w:color="FFFFFF"/>
              <w:right w:val="single" w:sz="4" w:space="0" w:color="auto"/>
            </w:tcBorders>
            <w:shd w:val="clear" w:color="auto" w:fill="E2E2E2"/>
          </w:tcPr>
          <w:p w:rsidR="005301E3" w:rsidRPr="00B043B4" w:rsidRDefault="005301E3" w:rsidP="005301E3">
            <w:pPr>
              <w:widowControl/>
              <w:numPr>
                <w:ilvl w:val="0"/>
                <w:numId w:val="1"/>
              </w:numPr>
              <w:adjustRightInd/>
              <w:ind w:left="426"/>
              <w:contextualSpacing/>
              <w:rPr>
                <w:rFonts w:eastAsia="Calibri"/>
                <w:b/>
              </w:rPr>
            </w:pPr>
            <w:r w:rsidRPr="00B043B4">
              <w:rPr>
                <w:rFonts w:eastAsia="Calibri"/>
                <w:b/>
              </w:rPr>
              <w:t>Zdroje</w:t>
            </w:r>
          </w:p>
        </w:tc>
      </w:tr>
      <w:tr w:rsidR="005301E3" w:rsidRPr="00B043B4" w:rsidTr="00DE41A6">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5301E3" w:rsidRPr="00B043B4" w:rsidRDefault="005301E3" w:rsidP="00DE41A6">
            <w:pPr>
              <w:jc w:val="both"/>
              <w:rPr>
                <w:i/>
                <w:sz w:val="20"/>
                <w:szCs w:val="20"/>
              </w:rPr>
            </w:pPr>
            <w:r w:rsidRPr="00B043B4">
              <w:rPr>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eastAsia="Calibri"/>
              </w:rPr>
              <w:t xml:space="preserve"> </w:t>
            </w:r>
          </w:p>
          <w:p w:rsidR="005301E3" w:rsidRDefault="005301E3" w:rsidP="00DE41A6">
            <w:pPr>
              <w:rPr>
                <w:i/>
                <w:sz w:val="20"/>
                <w:szCs w:val="20"/>
              </w:rPr>
            </w:pPr>
          </w:p>
          <w:p w:rsidR="005301E3" w:rsidRDefault="005301E3" w:rsidP="00DE41A6">
            <w:pPr>
              <w:rPr>
                <w:sz w:val="20"/>
                <w:szCs w:val="20"/>
              </w:rPr>
            </w:pPr>
            <w:r>
              <w:rPr>
                <w:sz w:val="20"/>
                <w:szCs w:val="20"/>
              </w:rPr>
              <w:t>Spolupráca s Radou pre mediálne služby</w:t>
            </w:r>
          </w:p>
          <w:p w:rsidR="005301E3" w:rsidRPr="0094139C" w:rsidRDefault="005301E3" w:rsidP="00DE41A6">
            <w:pPr>
              <w:rPr>
                <w:sz w:val="20"/>
                <w:szCs w:val="20"/>
              </w:rPr>
            </w:pPr>
          </w:p>
        </w:tc>
      </w:tr>
      <w:tr w:rsidR="005301E3" w:rsidRPr="00B043B4" w:rsidTr="00DE41A6">
        <w:tc>
          <w:tcPr>
            <w:tcW w:w="9176" w:type="dxa"/>
            <w:tcBorders>
              <w:top w:val="single" w:sz="4" w:space="0" w:color="auto"/>
              <w:left w:val="single" w:sz="4" w:space="0" w:color="auto"/>
              <w:bottom w:val="single" w:sz="4" w:space="0" w:color="FFFFFF"/>
              <w:right w:val="single" w:sz="4" w:space="0" w:color="auto"/>
            </w:tcBorders>
            <w:shd w:val="clear" w:color="auto" w:fill="E2E2E2"/>
          </w:tcPr>
          <w:p w:rsidR="005301E3" w:rsidRPr="00B043B4" w:rsidRDefault="005301E3" w:rsidP="005301E3">
            <w:pPr>
              <w:widowControl/>
              <w:numPr>
                <w:ilvl w:val="0"/>
                <w:numId w:val="1"/>
              </w:numPr>
              <w:adjustRightInd/>
              <w:ind w:left="447" w:hanging="425"/>
              <w:contextualSpacing/>
              <w:rPr>
                <w:rFonts w:eastAsia="Calibri"/>
                <w:b/>
              </w:rPr>
            </w:pPr>
            <w:r w:rsidRPr="00B043B4">
              <w:rPr>
                <w:rFonts w:eastAsia="Calibri"/>
                <w:b/>
              </w:rPr>
              <w:t xml:space="preserve">Stanovisko Komisie na posudzovanie vybraných vplyvov z PPK č. </w:t>
            </w:r>
            <w:r>
              <w:rPr>
                <w:rFonts w:eastAsia="Calibri"/>
                <w:b/>
              </w:rPr>
              <w:t>217/2023</w:t>
            </w:r>
          </w:p>
          <w:p w:rsidR="005301E3" w:rsidRPr="00B043B4" w:rsidRDefault="005301E3" w:rsidP="00DE41A6">
            <w:pPr>
              <w:ind w:left="502"/>
              <w:rPr>
                <w:b/>
                <w:sz w:val="20"/>
                <w:szCs w:val="20"/>
              </w:rPr>
            </w:pPr>
            <w:r w:rsidRPr="00B043B4">
              <w:rPr>
                <w:rFonts w:eastAsia="Calibri"/>
              </w:rPr>
              <w:t>(v prípade, ak sa uskutočnilo v zmysle bodu 8.1 Jednotnej metodiky)</w:t>
            </w:r>
          </w:p>
        </w:tc>
      </w:tr>
      <w:tr w:rsidR="005301E3" w:rsidRPr="00B043B4" w:rsidTr="00DE41A6">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5301E3" w:rsidRPr="00B043B4" w:rsidRDefault="005301E3" w:rsidP="00DE41A6">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301E3" w:rsidRPr="00B043B4" w:rsidTr="00DE41A6">
              <w:trPr>
                <w:trHeight w:val="396"/>
              </w:trPr>
              <w:tc>
                <w:tcPr>
                  <w:tcW w:w="2552" w:type="dxa"/>
                </w:tcPr>
                <w:p w:rsidR="005301E3" w:rsidRPr="00B043B4" w:rsidRDefault="00F55A99" w:rsidP="00DE41A6">
                  <w:pPr>
                    <w:rPr>
                      <w:b/>
                      <w:sz w:val="20"/>
                      <w:szCs w:val="20"/>
                    </w:rPr>
                  </w:pPr>
                  <w:sdt>
                    <w:sdtPr>
                      <w:rPr>
                        <w:b/>
                        <w:sz w:val="20"/>
                        <w:szCs w:val="20"/>
                      </w:rPr>
                      <w:id w:val="-1874910888"/>
                      <w14:checkbox>
                        <w14:checked w14:val="0"/>
                        <w14:checkedState w14:val="2612" w14:font="MS Gothic"/>
                        <w14:uncheckedState w14:val="2610" w14:font="MS Gothic"/>
                      </w14:checkbox>
                    </w:sdtPr>
                    <w:sdtEndPr/>
                    <w:sdtContent>
                      <w:r w:rsidR="005301E3">
                        <w:rPr>
                          <w:rFonts w:ascii="MS Gothic" w:eastAsia="MS Gothic" w:hAnsi="MS Gothic" w:hint="eastAsia"/>
                          <w:b/>
                          <w:sz w:val="20"/>
                          <w:szCs w:val="20"/>
                        </w:rPr>
                        <w:t>☐</w:t>
                      </w:r>
                    </w:sdtContent>
                  </w:sdt>
                  <w:r w:rsidR="005301E3">
                    <w:rPr>
                      <w:b/>
                      <w:sz w:val="20"/>
                      <w:szCs w:val="20"/>
                    </w:rPr>
                    <w:t xml:space="preserve">  </w:t>
                  </w:r>
                  <w:r w:rsidR="005301E3" w:rsidRPr="00B043B4">
                    <w:rPr>
                      <w:b/>
                      <w:sz w:val="20"/>
                      <w:szCs w:val="20"/>
                    </w:rPr>
                    <w:t xml:space="preserve">Súhlasné </w:t>
                  </w:r>
                </w:p>
              </w:tc>
              <w:tc>
                <w:tcPr>
                  <w:tcW w:w="3827" w:type="dxa"/>
                </w:tcPr>
                <w:p w:rsidR="005301E3" w:rsidRPr="00B043B4" w:rsidRDefault="00F55A99" w:rsidP="00DE41A6">
                  <w:pPr>
                    <w:rPr>
                      <w:b/>
                      <w:sz w:val="20"/>
                      <w:szCs w:val="20"/>
                    </w:rPr>
                  </w:pPr>
                  <w:sdt>
                    <w:sdtPr>
                      <w:rPr>
                        <w:b/>
                        <w:sz w:val="20"/>
                        <w:szCs w:val="20"/>
                      </w:rPr>
                      <w:id w:val="1697888127"/>
                      <w14:checkbox>
                        <w14:checked w14:val="0"/>
                        <w14:checkedState w14:val="2612" w14:font="MS Gothic"/>
                        <w14:uncheckedState w14:val="2610" w14:font="MS Gothic"/>
                      </w14:checkbox>
                    </w:sdtPr>
                    <w:sdtEndPr/>
                    <w:sdtContent>
                      <w:r w:rsidR="005301E3">
                        <w:rPr>
                          <w:rFonts w:ascii="MS Gothic" w:eastAsia="MS Gothic" w:hAnsi="MS Gothic" w:hint="eastAsia"/>
                          <w:b/>
                          <w:sz w:val="20"/>
                          <w:szCs w:val="20"/>
                        </w:rPr>
                        <w:t>☐</w:t>
                      </w:r>
                    </w:sdtContent>
                  </w:sdt>
                  <w:r w:rsidR="005301E3">
                    <w:rPr>
                      <w:b/>
                      <w:sz w:val="20"/>
                      <w:szCs w:val="20"/>
                    </w:rPr>
                    <w:t xml:space="preserve">  </w:t>
                  </w:r>
                  <w:r w:rsidR="005301E3" w:rsidRPr="00B043B4">
                    <w:rPr>
                      <w:b/>
                      <w:sz w:val="20"/>
                      <w:szCs w:val="20"/>
                    </w:rPr>
                    <w:t>Súhlasné s návrhom na dopracovanie</w:t>
                  </w:r>
                </w:p>
              </w:tc>
              <w:tc>
                <w:tcPr>
                  <w:tcW w:w="2534" w:type="dxa"/>
                </w:tcPr>
                <w:p w:rsidR="005301E3" w:rsidRPr="00B043B4" w:rsidRDefault="00F55A99" w:rsidP="00DE41A6">
                  <w:pPr>
                    <w:ind w:right="459"/>
                    <w:rPr>
                      <w:b/>
                      <w:sz w:val="20"/>
                      <w:szCs w:val="20"/>
                    </w:rPr>
                  </w:pPr>
                  <w:sdt>
                    <w:sdtPr>
                      <w:rPr>
                        <w:b/>
                        <w:sz w:val="20"/>
                        <w:szCs w:val="20"/>
                      </w:rPr>
                      <w:id w:val="-647822913"/>
                      <w14:checkbox>
                        <w14:checked w14:val="1"/>
                        <w14:checkedState w14:val="2612" w14:font="MS Gothic"/>
                        <w14:uncheckedState w14:val="2610" w14:font="MS Gothic"/>
                      </w14:checkbox>
                    </w:sdtPr>
                    <w:sdtEndPr/>
                    <w:sdtContent>
                      <w:r w:rsidR="005301E3">
                        <w:rPr>
                          <w:rFonts w:ascii="MS Gothic" w:eastAsia="MS Gothic" w:hAnsi="MS Gothic" w:hint="eastAsia"/>
                          <w:b/>
                          <w:sz w:val="20"/>
                          <w:szCs w:val="20"/>
                        </w:rPr>
                        <w:t>☒</w:t>
                      </w:r>
                    </w:sdtContent>
                  </w:sdt>
                  <w:r w:rsidR="005301E3">
                    <w:rPr>
                      <w:b/>
                      <w:sz w:val="20"/>
                      <w:szCs w:val="20"/>
                    </w:rPr>
                    <w:t xml:space="preserve">  </w:t>
                  </w:r>
                  <w:r w:rsidR="005301E3" w:rsidRPr="00B043B4">
                    <w:rPr>
                      <w:b/>
                      <w:sz w:val="20"/>
                      <w:szCs w:val="20"/>
                    </w:rPr>
                    <w:t>Nesúhlasné</w:t>
                  </w:r>
                </w:p>
              </w:tc>
            </w:tr>
          </w:tbl>
          <w:p w:rsidR="005301E3" w:rsidRPr="00B043B4" w:rsidRDefault="005301E3" w:rsidP="00DE41A6">
            <w:pPr>
              <w:jc w:val="both"/>
              <w:rPr>
                <w:b/>
                <w:sz w:val="20"/>
                <w:szCs w:val="20"/>
              </w:rPr>
            </w:pPr>
            <w:r w:rsidRPr="00B043B4">
              <w:rPr>
                <w:b/>
                <w:sz w:val="20"/>
                <w:szCs w:val="20"/>
              </w:rPr>
              <w:t>Uveďte pripomienky zo stanoviska Komisie z časti II. spolu s Vaším vyhodnotením:</w:t>
            </w:r>
          </w:p>
          <w:tbl>
            <w:tblPr>
              <w:tblW w:w="0" w:type="auto"/>
              <w:tblInd w:w="217" w:type="dxa"/>
              <w:tblLayout w:type="fixed"/>
              <w:tblLook w:val="0000" w:firstRow="0" w:lastRow="0" w:firstColumn="0" w:lastColumn="0" w:noHBand="0" w:noVBand="0"/>
            </w:tblPr>
            <w:tblGrid>
              <w:gridCol w:w="4252"/>
              <w:gridCol w:w="5243"/>
            </w:tblGrid>
            <w:tr w:rsidR="005301E3" w:rsidTr="00DE41A6">
              <w:tc>
                <w:tcPr>
                  <w:tcW w:w="4252" w:type="dxa"/>
                  <w:shd w:val="clear" w:color="auto" w:fill="FFFFFF"/>
                </w:tcPr>
                <w:p w:rsidR="005301E3" w:rsidRDefault="005301E3" w:rsidP="00DE41A6">
                  <w:pPr>
                    <w:snapToGrid w:val="0"/>
                    <w:jc w:val="both"/>
                    <w:rPr>
                      <w:i/>
                      <w:smallCaps/>
                    </w:rPr>
                  </w:pPr>
                </w:p>
              </w:tc>
              <w:tc>
                <w:tcPr>
                  <w:tcW w:w="5243" w:type="dxa"/>
                  <w:shd w:val="clear" w:color="auto" w:fill="FFFFFF"/>
                </w:tcPr>
                <w:p w:rsidR="005301E3" w:rsidRPr="0085649A" w:rsidRDefault="005301E3" w:rsidP="00DE41A6">
                  <w:pPr>
                    <w:rPr>
                      <w:smallCaps/>
                    </w:rPr>
                  </w:pPr>
                  <w:r>
                    <w:rPr>
                      <w:smallCaps/>
                    </w:rPr>
                    <w:t xml:space="preserve">                                       </w:t>
                  </w:r>
                </w:p>
              </w:tc>
            </w:tr>
          </w:tbl>
          <w:p w:rsidR="005301E3" w:rsidRPr="00600DC2" w:rsidRDefault="005301E3" w:rsidP="00DE41A6">
            <w:pPr>
              <w:pStyle w:val="Nadpis4"/>
              <w:numPr>
                <w:ilvl w:val="0"/>
                <w:numId w:val="0"/>
              </w:numPr>
              <w:outlineLvl w:val="3"/>
              <w:rPr>
                <w:sz w:val="22"/>
                <w:szCs w:val="22"/>
              </w:rPr>
            </w:pPr>
            <w:r w:rsidRPr="00600DC2">
              <w:rPr>
                <w:rFonts w:ascii="Arial" w:hAnsi="Arial" w:cs="Arial"/>
                <w:spacing w:val="20"/>
                <w:sz w:val="22"/>
                <w:szCs w:val="22"/>
              </w:rPr>
              <w:t>stanovisko komisie</w:t>
            </w:r>
          </w:p>
          <w:p w:rsidR="005301E3" w:rsidRPr="00600DC2" w:rsidRDefault="005301E3" w:rsidP="00DE41A6">
            <w:pPr>
              <w:ind w:right="-2"/>
              <w:jc w:val="center"/>
              <w:rPr>
                <w:rFonts w:ascii="Arial" w:hAnsi="Arial" w:cs="Arial"/>
                <w:b/>
                <w:smallCaps/>
              </w:rPr>
            </w:pPr>
          </w:p>
          <w:p w:rsidR="005301E3" w:rsidRPr="00600DC2" w:rsidRDefault="005301E3" w:rsidP="00DE41A6">
            <w:pPr>
              <w:ind w:right="-2"/>
              <w:jc w:val="center"/>
            </w:pPr>
            <w:r w:rsidRPr="00600DC2">
              <w:rPr>
                <w:rFonts w:ascii="Arial" w:hAnsi="Arial" w:cs="Arial"/>
                <w:b/>
                <w:smallCaps/>
              </w:rPr>
              <w:t>(predbežné pripomienkové konanie)</w:t>
            </w:r>
          </w:p>
          <w:p w:rsidR="005301E3" w:rsidRPr="00600DC2" w:rsidRDefault="005301E3" w:rsidP="00DE41A6">
            <w:pPr>
              <w:ind w:right="-2"/>
              <w:jc w:val="center"/>
              <w:rPr>
                <w:rFonts w:ascii="Arial" w:hAnsi="Arial" w:cs="Arial"/>
                <w:b/>
                <w:smallCaps/>
              </w:rPr>
            </w:pPr>
          </w:p>
          <w:p w:rsidR="005301E3" w:rsidRPr="00600DC2" w:rsidRDefault="005301E3" w:rsidP="00DE41A6">
            <w:pPr>
              <w:ind w:right="-2"/>
              <w:jc w:val="center"/>
            </w:pPr>
            <w:r w:rsidRPr="00600DC2">
              <w:rPr>
                <w:rFonts w:ascii="Arial" w:hAnsi="Arial" w:cs="Arial"/>
                <w:b/>
                <w:smallCaps/>
              </w:rPr>
              <w:t>k materiálu</w:t>
            </w:r>
          </w:p>
          <w:p w:rsidR="005301E3" w:rsidRPr="00600DC2" w:rsidRDefault="005301E3" w:rsidP="00DE41A6">
            <w:pPr>
              <w:jc w:val="both"/>
              <w:rPr>
                <w:color w:val="000000" w:themeColor="text1"/>
              </w:rPr>
            </w:pPr>
          </w:p>
          <w:p w:rsidR="005301E3" w:rsidRPr="00600DC2" w:rsidRDefault="005301E3" w:rsidP="00DE41A6">
            <w:pPr>
              <w:pBdr>
                <w:bottom w:val="single" w:sz="4" w:space="1" w:color="auto"/>
              </w:pBdr>
              <w:jc w:val="center"/>
              <w:rPr>
                <w:rStyle w:val="Jemnodkaz"/>
                <w:rFonts w:ascii="Arial" w:hAnsi="Arial" w:cs="Arial"/>
                <w:b/>
              </w:rPr>
            </w:pPr>
            <w:r w:rsidRPr="00600DC2">
              <w:rPr>
                <w:rFonts w:ascii="Arial" w:hAnsi="Arial" w:cs="Arial"/>
                <w:b/>
                <w:smallCaps/>
              </w:rPr>
              <w:t>Návrh zákona, ktorým sa mení a dopĺňa zákon č. 264/2022 Z. z. o mediálnych službách a o zmene a doplnení niektorých zákonov (zákon o mediálnych službách) v znení neskorších predpisov a o zmene a doplnení niektorých zákonov</w:t>
            </w:r>
          </w:p>
          <w:p w:rsidR="005301E3" w:rsidRPr="00600DC2" w:rsidRDefault="005301E3" w:rsidP="00DE41A6">
            <w:pPr>
              <w:jc w:val="both"/>
              <w:rPr>
                <w:rFonts w:ascii="Arial" w:hAnsi="Arial" w:cs="Arial"/>
                <w:b/>
                <w:bCs/>
              </w:rPr>
            </w:pPr>
          </w:p>
          <w:p w:rsidR="005301E3" w:rsidRPr="00600DC2" w:rsidRDefault="005301E3" w:rsidP="00DE41A6">
            <w:pPr>
              <w:jc w:val="both"/>
              <w:rPr>
                <w:rFonts w:ascii="Arial" w:hAnsi="Arial" w:cs="Arial"/>
                <w:bCs/>
                <w:iCs/>
                <w:color w:val="000000"/>
              </w:rPr>
            </w:pPr>
            <w:r w:rsidRPr="00600DC2">
              <w:rPr>
                <w:rFonts w:ascii="Arial" w:hAnsi="Arial" w:cs="Arial"/>
                <w:b/>
                <w:bCs/>
              </w:rPr>
              <w:t xml:space="preserve">I. Úvod: </w:t>
            </w:r>
            <w:r w:rsidRPr="00600DC2">
              <w:rPr>
                <w:rFonts w:ascii="Arial" w:hAnsi="Arial" w:cs="Arial"/>
                <w:bCs/>
              </w:rPr>
              <w:t>Ministerstvo kultúry SR dňa 7. septembra 2023 predložilo na PPK materiál: „</w:t>
            </w:r>
            <w:r w:rsidRPr="00600DC2">
              <w:rPr>
                <w:rFonts w:ascii="Arial" w:hAnsi="Arial" w:cs="Arial"/>
                <w:i/>
              </w:rPr>
              <w:t>Návrh zákona, ktorým sa mení a dopĺňa zákon č. 264/2022 Z. z. o mediálnych službách a o zmene a doplnení niektorých zákonov (zákon o mediálnych službách) v znení neskorších predpisov a o zmene a doplnení niektorých zákonov</w:t>
            </w:r>
            <w:r w:rsidRPr="00600DC2">
              <w:rPr>
                <w:rFonts w:ascii="Arial" w:hAnsi="Arial" w:cs="Arial"/>
                <w:bCs/>
                <w:i/>
                <w:iCs/>
              </w:rPr>
              <w:t>“</w:t>
            </w:r>
            <w:r w:rsidRPr="00600DC2">
              <w:rPr>
                <w:rFonts w:ascii="Arial" w:hAnsi="Arial" w:cs="Arial"/>
                <w:bCs/>
                <w:iCs/>
              </w:rPr>
              <w:t xml:space="preserve">. </w:t>
            </w:r>
            <w:r w:rsidRPr="00600DC2">
              <w:rPr>
                <w:rFonts w:ascii="Arial" w:hAnsi="Arial" w:cs="Arial"/>
                <w:bCs/>
                <w:iCs/>
                <w:color w:val="000000"/>
              </w:rPr>
              <w:t>Materiál predpokladá negatívne vplyvy na rozpočet verejnej správy, ktoré nie sú rozpočtovo zabezpečené a negatívne vplyvy na podnikateľské prostredie, bez vplyvov na malé a stredné podniky.</w:t>
            </w:r>
          </w:p>
          <w:p w:rsidR="005301E3" w:rsidRPr="00600DC2" w:rsidRDefault="005301E3" w:rsidP="00DE41A6">
            <w:pPr>
              <w:jc w:val="both"/>
              <w:rPr>
                <w:rFonts w:ascii="Arial" w:hAnsi="Arial" w:cs="Arial"/>
                <w:b/>
                <w:bCs/>
              </w:rPr>
            </w:pPr>
          </w:p>
          <w:p w:rsidR="005301E3" w:rsidRPr="00600DC2" w:rsidRDefault="005301E3" w:rsidP="00DE41A6">
            <w:pPr>
              <w:jc w:val="both"/>
            </w:pPr>
            <w:r w:rsidRPr="00600DC2">
              <w:rPr>
                <w:rFonts w:ascii="Arial" w:hAnsi="Arial" w:cs="Arial"/>
                <w:b/>
                <w:bCs/>
              </w:rPr>
              <w:lastRenderedPageBreak/>
              <w:t>II. P</w:t>
            </w:r>
            <w:r w:rsidRPr="00600DC2">
              <w:rPr>
                <w:rFonts w:ascii="Arial" w:hAnsi="Arial" w:cs="Arial"/>
                <w:b/>
              </w:rPr>
              <w:t>r</w:t>
            </w:r>
            <w:r w:rsidRPr="00600DC2">
              <w:rPr>
                <w:rFonts w:ascii="Arial" w:hAnsi="Arial" w:cs="Arial"/>
                <w:b/>
                <w:bCs/>
              </w:rPr>
              <w:t>ipomienky a návrhy zm</w:t>
            </w:r>
            <w:r w:rsidRPr="00600DC2">
              <w:rPr>
                <w:rFonts w:ascii="Arial" w:hAnsi="Arial" w:cs="Arial"/>
                <w:b/>
              </w:rPr>
              <w:t>ie</w:t>
            </w:r>
            <w:r w:rsidRPr="00600DC2">
              <w:rPr>
                <w:rFonts w:ascii="Arial" w:hAnsi="Arial" w:cs="Arial"/>
                <w:b/>
                <w:bCs/>
              </w:rPr>
              <w:t xml:space="preserve">n: </w:t>
            </w:r>
            <w:r w:rsidRPr="00600DC2">
              <w:rPr>
                <w:rFonts w:ascii="Arial" w:hAnsi="Arial" w:cs="Arial"/>
                <w:bCs/>
              </w:rPr>
              <w:t>Komisia uplatňuje k materiálu nasledovné pripomienky a odporúčania:</w:t>
            </w:r>
          </w:p>
          <w:p w:rsidR="005301E3" w:rsidRPr="00600DC2" w:rsidRDefault="005301E3" w:rsidP="00DE41A6">
            <w:pPr>
              <w:tabs>
                <w:tab w:val="center" w:pos="6379"/>
              </w:tabs>
              <w:ind w:right="-2"/>
              <w:jc w:val="both"/>
              <w:rPr>
                <w:rFonts w:ascii="Arial" w:hAnsi="Arial" w:cs="Arial"/>
                <w:bCs/>
              </w:rPr>
            </w:pPr>
          </w:p>
          <w:p w:rsidR="005301E3" w:rsidRPr="00600DC2" w:rsidRDefault="005301E3" w:rsidP="00DE41A6">
            <w:pPr>
              <w:tabs>
                <w:tab w:val="center" w:pos="6379"/>
              </w:tabs>
              <w:ind w:right="-2"/>
              <w:jc w:val="both"/>
              <w:rPr>
                <w:rFonts w:ascii="Arial" w:hAnsi="Arial" w:cs="Arial"/>
                <w:b/>
                <w:bCs/>
              </w:rPr>
            </w:pPr>
            <w:r w:rsidRPr="00600DC2">
              <w:rPr>
                <w:rFonts w:ascii="Arial" w:hAnsi="Arial" w:cs="Arial"/>
                <w:b/>
                <w:bCs/>
              </w:rPr>
              <w:t>K doložke vybraných vplyvov</w:t>
            </w:r>
          </w:p>
          <w:p w:rsidR="005301E3" w:rsidRPr="00600DC2" w:rsidRDefault="005301E3" w:rsidP="00DE41A6">
            <w:pPr>
              <w:tabs>
                <w:tab w:val="center" w:pos="6379"/>
              </w:tabs>
              <w:ind w:right="-2"/>
              <w:jc w:val="both"/>
              <w:rPr>
                <w:rFonts w:ascii="Arial" w:hAnsi="Arial" w:cs="Arial"/>
                <w:bCs/>
              </w:rPr>
            </w:pPr>
            <w:r w:rsidRPr="00600DC2">
              <w:rPr>
                <w:rFonts w:ascii="Arial" w:hAnsi="Arial" w:cs="Arial"/>
                <w:bCs/>
              </w:rPr>
              <w:t xml:space="preserve">Komisia odporúča predkladateľovi doplniť chýbajúce údaje v doložke, a to v časti 8. Preskúmanie účelnosti – doplniť časovú lehotu (rok) a kritériá,  podľa ktorých je možné zhodnotiť, ako boli dosiahnuté stanovené ciele návrhu po stanovení základného rámca a spoločných princípoch či postupoch. </w:t>
            </w:r>
          </w:p>
          <w:p w:rsidR="005301E3" w:rsidRDefault="005301E3" w:rsidP="00DE41A6">
            <w:pPr>
              <w:tabs>
                <w:tab w:val="center" w:pos="6379"/>
              </w:tabs>
              <w:ind w:right="-2"/>
              <w:jc w:val="both"/>
              <w:rPr>
                <w:rFonts w:ascii="Arial" w:hAnsi="Arial" w:cs="Arial"/>
                <w:bCs/>
              </w:rPr>
            </w:pPr>
            <w:r w:rsidRPr="00600DC2">
              <w:rPr>
                <w:rFonts w:ascii="Arial" w:hAnsi="Arial" w:cs="Arial"/>
                <w:bCs/>
                <w:u w:val="single"/>
              </w:rPr>
              <w:t>Odôvodnenie:</w:t>
            </w:r>
            <w:r w:rsidRPr="00600DC2">
              <w:rPr>
                <w:rFonts w:ascii="Arial" w:hAnsi="Arial" w:cs="Arial"/>
                <w:bCs/>
              </w:rPr>
              <w:t xml:space="preserve"> Uvedenú časť je potrebné uviesť v zmysle aktualizovanej  Jednotnej metodiky na posudzovanie vybraných vplyvov. </w:t>
            </w:r>
          </w:p>
          <w:p w:rsidR="005301E3" w:rsidRDefault="005301E3" w:rsidP="00DE41A6">
            <w:pPr>
              <w:tabs>
                <w:tab w:val="center" w:pos="6379"/>
              </w:tabs>
              <w:ind w:right="-2"/>
              <w:jc w:val="both"/>
              <w:rPr>
                <w:rFonts w:ascii="Arial" w:hAnsi="Arial" w:cs="Arial"/>
                <w:bCs/>
              </w:rPr>
            </w:pPr>
          </w:p>
          <w:p w:rsidR="005301E3" w:rsidRPr="00600DC2" w:rsidRDefault="005301E3" w:rsidP="005301E3">
            <w:pPr>
              <w:pStyle w:val="Odsekzoznamu"/>
              <w:widowControl/>
              <w:numPr>
                <w:ilvl w:val="0"/>
                <w:numId w:val="25"/>
              </w:numPr>
              <w:tabs>
                <w:tab w:val="center" w:pos="6379"/>
              </w:tabs>
              <w:adjustRightInd/>
              <w:ind w:right="-2"/>
              <w:jc w:val="both"/>
              <w:rPr>
                <w:rFonts w:ascii="Arial" w:hAnsi="Arial" w:cs="Arial"/>
                <w:bCs/>
              </w:rPr>
            </w:pPr>
            <w:r>
              <w:rPr>
                <w:rFonts w:ascii="Arial" w:hAnsi="Arial" w:cs="Arial"/>
                <w:bCs/>
              </w:rPr>
              <w:t>Akceptované: pripomienka bola zapracovaná do doložky vybraných vplyvov.</w:t>
            </w:r>
          </w:p>
          <w:p w:rsidR="005301E3" w:rsidRPr="00600DC2" w:rsidRDefault="005301E3" w:rsidP="00DE41A6">
            <w:pPr>
              <w:tabs>
                <w:tab w:val="center" w:pos="6379"/>
              </w:tabs>
              <w:ind w:right="-2"/>
              <w:jc w:val="both"/>
              <w:rPr>
                <w:rFonts w:ascii="Arial" w:hAnsi="Arial" w:cs="Arial"/>
                <w:bCs/>
              </w:rPr>
            </w:pPr>
          </w:p>
          <w:p w:rsidR="005301E3" w:rsidRPr="00600DC2" w:rsidRDefault="005301E3" w:rsidP="00DE41A6">
            <w:pPr>
              <w:tabs>
                <w:tab w:val="center" w:pos="6379"/>
              </w:tabs>
              <w:ind w:right="-2"/>
              <w:jc w:val="both"/>
              <w:rPr>
                <w:rFonts w:ascii="Arial" w:hAnsi="Arial" w:cs="Arial"/>
                <w:bCs/>
              </w:rPr>
            </w:pPr>
            <w:r w:rsidRPr="00600DC2">
              <w:rPr>
                <w:rFonts w:ascii="Arial" w:hAnsi="Arial" w:cs="Arial"/>
                <w:b/>
                <w:bCs/>
              </w:rPr>
              <w:t xml:space="preserve">K vplyvom na rozpočet verejnej správy </w:t>
            </w:r>
          </w:p>
          <w:p w:rsidR="005301E3" w:rsidRPr="00600DC2" w:rsidRDefault="005301E3" w:rsidP="00DE41A6">
            <w:pPr>
              <w:tabs>
                <w:tab w:val="center" w:pos="6379"/>
              </w:tabs>
              <w:ind w:right="-2"/>
              <w:jc w:val="both"/>
              <w:rPr>
                <w:rFonts w:ascii="Arial" w:hAnsi="Arial" w:cs="Arial"/>
                <w:bCs/>
              </w:rPr>
            </w:pPr>
            <w:r w:rsidRPr="00600DC2">
              <w:rPr>
                <w:rFonts w:ascii="Arial" w:hAnsi="Arial" w:cs="Arial"/>
                <w:bCs/>
              </w:rPr>
              <w:t xml:space="preserve">Návrhom zákona sa implementuje nariadenie EÚ o jednotnom trhu s digitálnymi službami, ustanovuje sa koordinátor digitálnych služieb a upravuje sa pôsobnosť nezávislého národného regulačného orgánu Rady pre mediálne služby, navrhuje sa rozšírenie jej pôsobnosti o nové kompetencie v digitálnej oblasti. </w:t>
            </w:r>
          </w:p>
          <w:p w:rsidR="005301E3" w:rsidRPr="00600DC2" w:rsidRDefault="005301E3" w:rsidP="00DE41A6">
            <w:pPr>
              <w:tabs>
                <w:tab w:val="center" w:pos="6379"/>
              </w:tabs>
              <w:ind w:right="-2"/>
              <w:jc w:val="both"/>
              <w:rPr>
                <w:rFonts w:ascii="Arial" w:hAnsi="Arial" w:cs="Arial"/>
                <w:bCs/>
              </w:rPr>
            </w:pPr>
          </w:p>
          <w:p w:rsidR="005301E3" w:rsidRDefault="005301E3" w:rsidP="00DE41A6">
            <w:pPr>
              <w:tabs>
                <w:tab w:val="center" w:pos="6379"/>
              </w:tabs>
              <w:ind w:right="-2"/>
              <w:jc w:val="both"/>
              <w:rPr>
                <w:rFonts w:ascii="Arial" w:hAnsi="Arial" w:cs="Arial"/>
                <w:bCs/>
              </w:rPr>
            </w:pPr>
            <w:r w:rsidRPr="00600DC2">
              <w:rPr>
                <w:rFonts w:ascii="Arial" w:hAnsi="Arial" w:cs="Arial"/>
                <w:bCs/>
              </w:rPr>
              <w:t xml:space="preserve">V doložke vybraných vplyvov sú označené negatívne, nezabezpečené vplyvy na rozpočet verejnej správy. Vplyvy na rozpočty obcí a vyšších územných celkov sú označené „žiadne“ a zároveň je uvedené, že nie sú rozpočtovo zabezpečené. Komisia upozorňuje, že v prípade, že vplyvy na rozpočty územnej samosprávy nie sú identifikované, rozpočtová zabezpečenosť sa neoznačuje. </w:t>
            </w:r>
          </w:p>
          <w:p w:rsidR="005301E3" w:rsidRPr="00600DC2" w:rsidRDefault="005301E3" w:rsidP="00DE41A6">
            <w:pPr>
              <w:tabs>
                <w:tab w:val="center" w:pos="6379"/>
              </w:tabs>
              <w:ind w:right="-2"/>
              <w:jc w:val="both"/>
              <w:rPr>
                <w:rFonts w:ascii="Arial" w:hAnsi="Arial" w:cs="Arial"/>
                <w:bCs/>
              </w:rPr>
            </w:pPr>
          </w:p>
          <w:p w:rsidR="005301E3" w:rsidRPr="00600DC2" w:rsidRDefault="005301E3" w:rsidP="005301E3">
            <w:pPr>
              <w:pStyle w:val="Odsekzoznamu"/>
              <w:widowControl/>
              <w:numPr>
                <w:ilvl w:val="0"/>
                <w:numId w:val="25"/>
              </w:numPr>
              <w:tabs>
                <w:tab w:val="center" w:pos="6379"/>
              </w:tabs>
              <w:adjustRightInd/>
              <w:ind w:right="-2"/>
              <w:jc w:val="both"/>
              <w:rPr>
                <w:rFonts w:ascii="Arial" w:hAnsi="Arial" w:cs="Arial"/>
                <w:bCs/>
              </w:rPr>
            </w:pPr>
            <w:r>
              <w:rPr>
                <w:rFonts w:ascii="Arial" w:hAnsi="Arial" w:cs="Arial"/>
                <w:bCs/>
              </w:rPr>
              <w:t>Akceptované: pripomienka bola  zapracovaná do doložky vybraných vplyvov.</w:t>
            </w:r>
          </w:p>
          <w:p w:rsidR="005301E3" w:rsidRPr="00600DC2" w:rsidRDefault="005301E3" w:rsidP="00DE41A6">
            <w:pPr>
              <w:tabs>
                <w:tab w:val="center" w:pos="6379"/>
              </w:tabs>
              <w:ind w:right="-2"/>
              <w:jc w:val="both"/>
              <w:rPr>
                <w:rFonts w:ascii="Arial" w:hAnsi="Arial" w:cs="Arial"/>
                <w:bCs/>
              </w:rPr>
            </w:pPr>
          </w:p>
          <w:p w:rsidR="005301E3" w:rsidRDefault="005301E3" w:rsidP="00DE41A6">
            <w:pPr>
              <w:tabs>
                <w:tab w:val="center" w:pos="6379"/>
              </w:tabs>
              <w:ind w:right="-2"/>
              <w:jc w:val="both"/>
              <w:rPr>
                <w:rFonts w:ascii="Arial" w:hAnsi="Arial" w:cs="Arial"/>
                <w:bCs/>
              </w:rPr>
            </w:pPr>
            <w:r w:rsidRPr="00600DC2">
              <w:rPr>
                <w:rFonts w:ascii="Arial" w:hAnsi="Arial" w:cs="Arial"/>
                <w:bCs/>
              </w:rPr>
              <w:t>Zároveň z formálneho hľadiska Komisia upozorňuje, že v doložke vybraných vplyvov v bode 9. sa vplyv na dlhodobú udržateľnosť verejných financií označuje len v prípade posudzovania zmien v I. a II. pilieri univerzálneho dôchodkového systému dôchodkového zabezpečenia s identifikovaným dopadom od 0,1 % HDP na dlhodobom horizonte.</w:t>
            </w:r>
          </w:p>
          <w:p w:rsidR="005301E3" w:rsidRDefault="005301E3" w:rsidP="00DE41A6">
            <w:pPr>
              <w:tabs>
                <w:tab w:val="center" w:pos="6379"/>
              </w:tabs>
              <w:ind w:right="-2"/>
              <w:jc w:val="both"/>
              <w:rPr>
                <w:rFonts w:ascii="Arial" w:hAnsi="Arial" w:cs="Arial"/>
                <w:bCs/>
              </w:rPr>
            </w:pPr>
          </w:p>
          <w:p w:rsidR="005301E3" w:rsidRPr="001F691C" w:rsidRDefault="005301E3" w:rsidP="005301E3">
            <w:pPr>
              <w:pStyle w:val="Odsekzoznamu"/>
              <w:widowControl/>
              <w:numPr>
                <w:ilvl w:val="0"/>
                <w:numId w:val="25"/>
              </w:numPr>
              <w:tabs>
                <w:tab w:val="center" w:pos="6379"/>
              </w:tabs>
              <w:adjustRightInd/>
              <w:ind w:right="-2"/>
              <w:jc w:val="both"/>
              <w:rPr>
                <w:rFonts w:ascii="Arial" w:hAnsi="Arial" w:cs="Arial"/>
                <w:bCs/>
              </w:rPr>
            </w:pPr>
            <w:r w:rsidRPr="001F691C">
              <w:rPr>
                <w:rFonts w:ascii="Arial" w:hAnsi="Arial" w:cs="Arial"/>
                <w:bCs/>
              </w:rPr>
              <w:t>Akceptované: pripomienka bola  zapracovaná do doložky vybraných vplyvov.</w:t>
            </w:r>
          </w:p>
          <w:p w:rsidR="005301E3" w:rsidRPr="00600DC2" w:rsidRDefault="005301E3" w:rsidP="00DE41A6">
            <w:pPr>
              <w:tabs>
                <w:tab w:val="center" w:pos="6379"/>
              </w:tabs>
              <w:ind w:right="-2"/>
              <w:jc w:val="both"/>
              <w:rPr>
                <w:rFonts w:ascii="Arial" w:hAnsi="Arial" w:cs="Arial"/>
                <w:bCs/>
              </w:rPr>
            </w:pPr>
          </w:p>
          <w:p w:rsidR="005301E3" w:rsidRDefault="005301E3" w:rsidP="00DE41A6">
            <w:pPr>
              <w:tabs>
                <w:tab w:val="center" w:pos="6379"/>
              </w:tabs>
              <w:ind w:right="-2"/>
              <w:jc w:val="both"/>
              <w:rPr>
                <w:rFonts w:ascii="Arial" w:hAnsi="Arial" w:cs="Arial"/>
                <w:bCs/>
              </w:rPr>
            </w:pPr>
            <w:r w:rsidRPr="00600DC2">
              <w:rPr>
                <w:rFonts w:ascii="Arial" w:hAnsi="Arial" w:cs="Arial"/>
                <w:bCs/>
              </w:rPr>
              <w:t xml:space="preserve">V analýze vplyvov na rozpočet verejnej správy v tabuľke č. 1 sú kvantifikované nekryté vplyvy v roku 2024 v sume 1,06 mil. eur (z toho osobné výdavky v sume 578 tis. eur), v roku 2025 v sume 1,77 mil. eur (z toho osobné výdavky v sume 1,16 mil. eur) a od roku 2026 každoročne v sume 2,68 mil. eur (z toho osobné výdavky v sume 1,77 mil. eur).  Z návrhu vyplýva požiadavka na postupné zvýšenie počtu zamestnancov s cieľovým počtom 49 osôb v roku 2026 (zvýšenie v roku 2024 o 16 osôb, v roku 2025 o ďalších 16 osôb a v roku 2026 o ďalších 17 osôb). V analýze vplyvov na rozpočet v bode 2.1.1. Financovanie návrhu je uvedené, že „Financovanie sa navrhuje navýšením rozpočtu Rady pre mediálne služby v rozpočtovej kapitole VPS.“. S materiálom zakladajúcim rozpočtovo nekrytý vplyv Komisia nesúhlasí a všetky rozpočtové dôsledky súvisiace s návrhom zákona (vrátane osobných výdavkov a počtu zamestnancov) žiada zabezpečiť v rámci návrhu rozpočtu organizácie na roky 2024 až 2026. V nadväznosti na uvedené Komisia žiada doložku vybraných vplyvov a analýzu vplyvov na rozpočet prepracovať tak, že z nich nebude vyplývať rozpočtovo nekrytý vplyv. </w:t>
            </w:r>
          </w:p>
          <w:p w:rsidR="005301E3" w:rsidRDefault="005301E3" w:rsidP="00DE41A6">
            <w:pPr>
              <w:tabs>
                <w:tab w:val="center" w:pos="6379"/>
              </w:tabs>
              <w:ind w:right="-2"/>
              <w:jc w:val="both"/>
              <w:rPr>
                <w:rFonts w:ascii="Arial" w:hAnsi="Arial" w:cs="Arial"/>
                <w:bCs/>
              </w:rPr>
            </w:pPr>
          </w:p>
          <w:p w:rsidR="005301E3" w:rsidRPr="00EB4027" w:rsidRDefault="005301E3" w:rsidP="005301E3">
            <w:pPr>
              <w:pStyle w:val="Odsekzoznamu"/>
              <w:widowControl/>
              <w:numPr>
                <w:ilvl w:val="0"/>
                <w:numId w:val="25"/>
              </w:numPr>
              <w:tabs>
                <w:tab w:val="center" w:pos="6379"/>
              </w:tabs>
              <w:adjustRightInd/>
              <w:ind w:right="-2"/>
              <w:jc w:val="both"/>
              <w:rPr>
                <w:rFonts w:ascii="Arial" w:hAnsi="Arial" w:cs="Arial"/>
                <w:bCs/>
              </w:rPr>
            </w:pPr>
            <w:r w:rsidRPr="00EB4027">
              <w:rPr>
                <w:rFonts w:ascii="Arial" w:hAnsi="Arial" w:cs="Arial"/>
                <w:bCs/>
              </w:rPr>
              <w:t>Neakceptované: Rozpočtové dôsledky súvisiace s návrhom zákona nie je možné zabezpečiť v rámci aktuálneho rozpočtu Rady pre mediá</w:t>
            </w:r>
            <w:r>
              <w:rPr>
                <w:rFonts w:ascii="Arial" w:hAnsi="Arial" w:cs="Arial"/>
                <w:bCs/>
              </w:rPr>
              <w:t>lne služby na roky 2024 až 2027</w:t>
            </w:r>
            <w:r w:rsidRPr="00EB4027">
              <w:rPr>
                <w:rFonts w:ascii="Arial" w:hAnsi="Arial" w:cs="Arial"/>
                <w:bCs/>
              </w:rPr>
              <w:t xml:space="preserve">. </w:t>
            </w:r>
          </w:p>
          <w:p w:rsidR="005301E3" w:rsidRPr="00600DC2" w:rsidRDefault="005301E3" w:rsidP="00DE41A6">
            <w:pPr>
              <w:tabs>
                <w:tab w:val="center" w:pos="6379"/>
              </w:tabs>
              <w:ind w:right="-2"/>
              <w:jc w:val="both"/>
              <w:rPr>
                <w:rFonts w:ascii="Arial" w:hAnsi="Arial" w:cs="Arial"/>
                <w:bCs/>
              </w:rPr>
            </w:pPr>
          </w:p>
          <w:p w:rsidR="005301E3" w:rsidRPr="00600DC2" w:rsidRDefault="005301E3" w:rsidP="00DE41A6">
            <w:pPr>
              <w:tabs>
                <w:tab w:val="center" w:pos="6379"/>
              </w:tabs>
              <w:ind w:right="-2"/>
              <w:jc w:val="both"/>
              <w:rPr>
                <w:rFonts w:ascii="Arial" w:hAnsi="Arial" w:cs="Arial"/>
                <w:bCs/>
              </w:rPr>
            </w:pPr>
            <w:r w:rsidRPr="00600DC2">
              <w:rPr>
                <w:rFonts w:ascii="Arial" w:hAnsi="Arial" w:cs="Arial"/>
                <w:bCs/>
              </w:rPr>
              <w:t>V analýze vplyvov na rozpočet Komisia žiada uviesť konkrétny výpočet, na základe ktorého sa dospelo k počtu 49 dodatočných pracovníkov Rady pre mediálne služby.</w:t>
            </w:r>
          </w:p>
          <w:p w:rsidR="005301E3" w:rsidRDefault="005301E3" w:rsidP="00DE41A6">
            <w:pPr>
              <w:tabs>
                <w:tab w:val="center" w:pos="6379"/>
              </w:tabs>
              <w:ind w:right="-2"/>
              <w:jc w:val="both"/>
              <w:rPr>
                <w:rFonts w:ascii="Arial" w:hAnsi="Arial" w:cs="Arial"/>
                <w:bCs/>
              </w:rPr>
            </w:pPr>
            <w:r w:rsidRPr="00600DC2">
              <w:rPr>
                <w:rFonts w:ascii="Arial" w:hAnsi="Arial" w:cs="Arial"/>
                <w:bCs/>
                <w:u w:val="single"/>
              </w:rPr>
              <w:t>Odôvodnenie:</w:t>
            </w:r>
            <w:r w:rsidRPr="00600DC2">
              <w:rPr>
                <w:rFonts w:ascii="Arial" w:hAnsi="Arial" w:cs="Arial"/>
                <w:bCs/>
              </w:rPr>
              <w:t xml:space="preserve"> V analýze vplyvov na rozpočet je uvedený počet pracovníkov, ktorý bol vypočítaný na základe odhadov prácnosti a početnosti činností súvisiacich s rolou DSC, nie výpočet samotný. Komisia navrhuje jeho doplnenie aj z dôvodu kontroly zohľadnenia prebratia časti agendy už súčasnými pracovníkmi Rady pre mediálne služby.</w:t>
            </w:r>
          </w:p>
          <w:p w:rsidR="005301E3" w:rsidRDefault="005301E3" w:rsidP="00DE41A6">
            <w:pPr>
              <w:tabs>
                <w:tab w:val="center" w:pos="6379"/>
              </w:tabs>
              <w:ind w:right="-2"/>
              <w:jc w:val="both"/>
              <w:rPr>
                <w:rFonts w:ascii="Arial" w:hAnsi="Arial" w:cs="Arial"/>
                <w:bCs/>
              </w:rPr>
            </w:pPr>
          </w:p>
          <w:p w:rsidR="005301E3" w:rsidRPr="009278E6" w:rsidRDefault="005301E3" w:rsidP="005301E3">
            <w:pPr>
              <w:pStyle w:val="Odsekzoznamu"/>
              <w:widowControl/>
              <w:numPr>
                <w:ilvl w:val="0"/>
                <w:numId w:val="25"/>
              </w:numPr>
              <w:tabs>
                <w:tab w:val="center" w:pos="6379"/>
              </w:tabs>
              <w:adjustRightInd/>
              <w:ind w:right="-2"/>
              <w:jc w:val="both"/>
              <w:rPr>
                <w:rFonts w:ascii="Arial" w:hAnsi="Arial" w:cs="Arial"/>
                <w:bCs/>
              </w:rPr>
            </w:pPr>
            <w:r>
              <w:rPr>
                <w:rFonts w:ascii="Arial" w:hAnsi="Arial" w:cs="Arial"/>
                <w:bCs/>
              </w:rPr>
              <w:t>Akceptované: a</w:t>
            </w:r>
            <w:r w:rsidRPr="009278E6">
              <w:rPr>
                <w:rFonts w:ascii="Arial" w:hAnsi="Arial" w:cs="Arial"/>
                <w:bCs/>
              </w:rPr>
              <w:t>nalýza vplyvov na rozpočet bola doplnená v zmysle pripomienky.</w:t>
            </w:r>
          </w:p>
          <w:p w:rsidR="005301E3" w:rsidRDefault="005301E3" w:rsidP="00DE41A6">
            <w:pPr>
              <w:tabs>
                <w:tab w:val="center" w:pos="6379"/>
              </w:tabs>
              <w:ind w:right="-2"/>
              <w:jc w:val="both"/>
              <w:rPr>
                <w:rFonts w:ascii="Arial" w:hAnsi="Arial" w:cs="Arial"/>
                <w:bCs/>
              </w:rPr>
            </w:pPr>
          </w:p>
          <w:p w:rsidR="005301E3" w:rsidRDefault="005301E3" w:rsidP="00DE41A6">
            <w:pPr>
              <w:tabs>
                <w:tab w:val="center" w:pos="6379"/>
              </w:tabs>
              <w:ind w:right="-2"/>
              <w:jc w:val="both"/>
              <w:rPr>
                <w:rFonts w:ascii="Arial" w:hAnsi="Arial" w:cs="Arial"/>
                <w:bCs/>
              </w:rPr>
            </w:pPr>
            <w:r w:rsidRPr="00600DC2">
              <w:rPr>
                <w:rFonts w:ascii="Arial" w:hAnsi="Arial" w:cs="Arial"/>
                <w:bCs/>
              </w:rPr>
              <w:t xml:space="preserve">V analýze vplyvov na rozpočet v tabuľke č. 4 sú uvedené nesprávne kvantifikácie v rámci výdavkov EKRK 630 a 650. Predkladateľ v časti 2.2.4. Výpočty vplyvov na verejné financie v rámci EKRK 650 žiadne výdavky neuvádza. V nadväznosti na uvedené je potrebné kvantifikované vplyvy podľa EKRK upraviť a zosúladiť údaje vo všetkých častiach analýzy vplyvov na rozpočet. </w:t>
            </w:r>
          </w:p>
          <w:p w:rsidR="005301E3" w:rsidRDefault="005301E3" w:rsidP="00DE41A6">
            <w:pPr>
              <w:tabs>
                <w:tab w:val="center" w:pos="6379"/>
              </w:tabs>
              <w:ind w:right="-2"/>
              <w:jc w:val="both"/>
              <w:rPr>
                <w:rFonts w:ascii="Arial" w:hAnsi="Arial" w:cs="Arial"/>
                <w:bCs/>
              </w:rPr>
            </w:pPr>
          </w:p>
          <w:p w:rsidR="005301E3" w:rsidRPr="00600DC2" w:rsidRDefault="005301E3" w:rsidP="005301E3">
            <w:pPr>
              <w:pStyle w:val="Odsekzoznamu"/>
              <w:widowControl/>
              <w:numPr>
                <w:ilvl w:val="0"/>
                <w:numId w:val="25"/>
              </w:numPr>
              <w:tabs>
                <w:tab w:val="center" w:pos="6379"/>
              </w:tabs>
              <w:adjustRightInd/>
              <w:ind w:right="-2"/>
              <w:jc w:val="both"/>
              <w:rPr>
                <w:rFonts w:ascii="Arial" w:hAnsi="Arial" w:cs="Arial"/>
                <w:bCs/>
              </w:rPr>
            </w:pPr>
            <w:r>
              <w:rPr>
                <w:rFonts w:ascii="Arial" w:hAnsi="Arial" w:cs="Arial"/>
                <w:bCs/>
              </w:rPr>
              <w:t>Akceptované: analýza vplyvov na rozpočet bola upravená v zmysle pripomienky.</w:t>
            </w:r>
          </w:p>
          <w:p w:rsidR="005301E3" w:rsidRPr="00600DC2" w:rsidRDefault="005301E3" w:rsidP="00DE41A6">
            <w:pPr>
              <w:tabs>
                <w:tab w:val="center" w:pos="6379"/>
              </w:tabs>
              <w:ind w:right="-2"/>
              <w:jc w:val="both"/>
              <w:rPr>
                <w:rFonts w:ascii="Arial" w:hAnsi="Arial" w:cs="Arial"/>
                <w:bCs/>
              </w:rPr>
            </w:pPr>
          </w:p>
          <w:p w:rsidR="005301E3" w:rsidRDefault="005301E3" w:rsidP="00DE41A6">
            <w:pPr>
              <w:tabs>
                <w:tab w:val="center" w:pos="6379"/>
              </w:tabs>
              <w:ind w:right="-2"/>
              <w:jc w:val="both"/>
              <w:rPr>
                <w:rFonts w:ascii="Arial" w:hAnsi="Arial" w:cs="Arial"/>
                <w:bCs/>
              </w:rPr>
            </w:pPr>
            <w:r w:rsidRPr="00600DC2">
              <w:rPr>
                <w:rFonts w:ascii="Arial" w:hAnsi="Arial" w:cs="Arial"/>
                <w:bCs/>
              </w:rPr>
              <w:t xml:space="preserve">Zároveň Komisia uvádza, že v súvislosti s možnými negatívnymi rozpočtovými vplyvmi vyplývajúcimi z bodu 29. návrhu zákona (§ 118 nový odsek 2), podľa ktorého „Okrem odmeny podľa odseku 1 patrí členovi rady, ktorý je členom senátu príplatok vo výške 120 eur mesačne; členovi rady, ktorý je predsedom senátu, patrí príplatok vo výške 200 eur mesačne.“, je tieto potrebné zohľadniť v analýze vplyvov na rozpočet. </w:t>
            </w:r>
          </w:p>
          <w:p w:rsidR="005301E3" w:rsidRPr="00600DC2" w:rsidRDefault="005301E3" w:rsidP="00DE41A6">
            <w:pPr>
              <w:tabs>
                <w:tab w:val="center" w:pos="6379"/>
              </w:tabs>
              <w:ind w:right="-2"/>
              <w:jc w:val="both"/>
              <w:rPr>
                <w:rFonts w:ascii="Arial" w:hAnsi="Arial" w:cs="Arial"/>
                <w:bCs/>
              </w:rPr>
            </w:pPr>
          </w:p>
          <w:p w:rsidR="005301E3" w:rsidRPr="00600DC2" w:rsidRDefault="005301E3" w:rsidP="005301E3">
            <w:pPr>
              <w:pStyle w:val="Odsekzoznamu"/>
              <w:widowControl/>
              <w:numPr>
                <w:ilvl w:val="0"/>
                <w:numId w:val="25"/>
              </w:numPr>
              <w:tabs>
                <w:tab w:val="center" w:pos="6379"/>
              </w:tabs>
              <w:adjustRightInd/>
              <w:ind w:right="-2"/>
              <w:jc w:val="both"/>
              <w:rPr>
                <w:rFonts w:ascii="Arial" w:hAnsi="Arial" w:cs="Arial"/>
                <w:bCs/>
              </w:rPr>
            </w:pPr>
            <w:r w:rsidRPr="00600DC2">
              <w:rPr>
                <w:rFonts w:ascii="Arial" w:hAnsi="Arial" w:cs="Arial"/>
                <w:bCs/>
              </w:rPr>
              <w:t>A</w:t>
            </w:r>
            <w:r>
              <w:rPr>
                <w:rFonts w:ascii="Arial" w:hAnsi="Arial" w:cs="Arial"/>
                <w:bCs/>
              </w:rPr>
              <w:t>kceptované: a</w:t>
            </w:r>
            <w:r w:rsidRPr="00600DC2">
              <w:rPr>
                <w:rFonts w:ascii="Arial" w:hAnsi="Arial" w:cs="Arial"/>
                <w:bCs/>
              </w:rPr>
              <w:t xml:space="preserve">nalýza vplyvov na rozpočet bola </w:t>
            </w:r>
            <w:r>
              <w:rPr>
                <w:rFonts w:ascii="Arial" w:hAnsi="Arial" w:cs="Arial"/>
                <w:bCs/>
              </w:rPr>
              <w:t>doplnená</w:t>
            </w:r>
            <w:r w:rsidRPr="00600DC2">
              <w:rPr>
                <w:rFonts w:ascii="Arial" w:hAnsi="Arial" w:cs="Arial"/>
                <w:bCs/>
              </w:rPr>
              <w:t xml:space="preserve"> v zmysle pripomienky.</w:t>
            </w:r>
          </w:p>
          <w:p w:rsidR="005301E3" w:rsidRDefault="005301E3" w:rsidP="00DE41A6">
            <w:pPr>
              <w:tabs>
                <w:tab w:val="center" w:pos="6379"/>
              </w:tabs>
              <w:ind w:right="-2"/>
              <w:jc w:val="both"/>
              <w:rPr>
                <w:rFonts w:ascii="Arial" w:hAnsi="Arial" w:cs="Arial"/>
                <w:bCs/>
              </w:rPr>
            </w:pPr>
          </w:p>
          <w:p w:rsidR="005301E3" w:rsidRDefault="005301E3" w:rsidP="00DE41A6">
            <w:pPr>
              <w:tabs>
                <w:tab w:val="center" w:pos="6379"/>
              </w:tabs>
              <w:ind w:right="-2"/>
              <w:jc w:val="both"/>
              <w:rPr>
                <w:rFonts w:ascii="Arial" w:hAnsi="Arial" w:cs="Arial"/>
                <w:bCs/>
              </w:rPr>
            </w:pPr>
            <w:r w:rsidRPr="009278E6">
              <w:rPr>
                <w:rFonts w:ascii="Arial" w:hAnsi="Arial" w:cs="Arial"/>
                <w:bCs/>
              </w:rPr>
              <w:t>Komisia tiež upozorňuje, že v návrhu zákona sa v bode 37. (§ 145b) zavádza pokuta ukladaná poskytovateľom sprostredkovateľskej služby do výšky 6 % ročného svetového obratu poskytovateľa za predchádzajúce účtovné obdobie, resp. pokuta až do výšky 50 000 eur za nesplnenie povinností podľa osobitného predpisu. Z uvedeného vyplýva potenciálny pozitívny vplyv na rozpočet, ktorý v doložke vybraných vplyvov ani analýze vplyvov na rozpočet nie je zohľadnený. Uvedené je potrebné doplniť.</w:t>
            </w:r>
          </w:p>
          <w:p w:rsidR="005301E3" w:rsidRPr="009278E6" w:rsidRDefault="005301E3" w:rsidP="00DE41A6">
            <w:pPr>
              <w:tabs>
                <w:tab w:val="center" w:pos="6379"/>
              </w:tabs>
              <w:ind w:right="-2"/>
              <w:jc w:val="both"/>
              <w:rPr>
                <w:rFonts w:ascii="Arial" w:hAnsi="Arial" w:cs="Arial"/>
                <w:bCs/>
              </w:rPr>
            </w:pPr>
          </w:p>
          <w:p w:rsidR="005301E3" w:rsidRPr="009278E6" w:rsidRDefault="005301E3" w:rsidP="005301E3">
            <w:pPr>
              <w:pStyle w:val="Odsekzoznamu"/>
              <w:widowControl/>
              <w:numPr>
                <w:ilvl w:val="0"/>
                <w:numId w:val="25"/>
              </w:numPr>
              <w:tabs>
                <w:tab w:val="center" w:pos="6379"/>
              </w:tabs>
              <w:adjustRightInd/>
              <w:ind w:right="-2"/>
              <w:jc w:val="both"/>
              <w:rPr>
                <w:rFonts w:ascii="Arial" w:hAnsi="Arial" w:cs="Arial"/>
                <w:bCs/>
              </w:rPr>
            </w:pPr>
            <w:r>
              <w:rPr>
                <w:rFonts w:ascii="Arial" w:hAnsi="Arial" w:cs="Arial"/>
                <w:bCs/>
              </w:rPr>
              <w:t>Čiastočne akceptované: v</w:t>
            </w:r>
            <w:r w:rsidRPr="009278E6">
              <w:rPr>
                <w:rFonts w:ascii="Arial" w:hAnsi="Arial" w:cs="Arial"/>
                <w:bCs/>
              </w:rPr>
              <w:t xml:space="preserve"> analýze vplyvov na rozpočet verejnej správy bol identifikovaný pozitívny vplyv na rozpočet verejnej správy. Výšku možných príjmov však nie je možné presne kvantifikovať, nakoľko tá je závislá od dodržiavania zákonných predpisov poskytovateľmi sprostredkovateľských služieb a vzhľadom na percentuálne vyjadrenie sankcií naviazané na obraty dotknutých subjektov v rámci jednotlivých účtovných období bude výška závisieť od finančnej situácie posudzovaných subjektov v reálnom čase. </w:t>
            </w:r>
            <w:r w:rsidRPr="009278E6">
              <w:rPr>
                <w:rFonts w:ascii="Arial" w:hAnsi="Arial" w:cs="Arial"/>
                <w:bCs/>
              </w:rPr>
              <w:lastRenderedPageBreak/>
              <w:t xml:space="preserve">Akákoľvek predikcia by v tomto prípade nebola založená na reálnych a overiteľných číslach. </w:t>
            </w:r>
          </w:p>
          <w:p w:rsidR="005301E3" w:rsidRPr="006225D0" w:rsidRDefault="005301E3" w:rsidP="00DE41A6">
            <w:pPr>
              <w:pStyle w:val="Odsekzoznamu"/>
              <w:tabs>
                <w:tab w:val="center" w:pos="6379"/>
              </w:tabs>
              <w:ind w:right="-2"/>
              <w:jc w:val="both"/>
              <w:rPr>
                <w:rFonts w:ascii="Arial" w:hAnsi="Arial" w:cs="Arial"/>
                <w:bCs/>
              </w:rPr>
            </w:pPr>
          </w:p>
          <w:p w:rsidR="005301E3" w:rsidRPr="00600DC2" w:rsidRDefault="005301E3" w:rsidP="00DE41A6">
            <w:pPr>
              <w:tabs>
                <w:tab w:val="center" w:pos="6379"/>
              </w:tabs>
              <w:ind w:right="-2"/>
              <w:jc w:val="both"/>
              <w:rPr>
                <w:rFonts w:ascii="Arial" w:hAnsi="Arial" w:cs="Arial"/>
                <w:b/>
                <w:bCs/>
              </w:rPr>
            </w:pPr>
            <w:r w:rsidRPr="00600DC2">
              <w:rPr>
                <w:rFonts w:ascii="Arial" w:hAnsi="Arial" w:cs="Arial"/>
                <w:b/>
                <w:bCs/>
              </w:rPr>
              <w:t>K sociálnym vplyvom</w:t>
            </w:r>
          </w:p>
          <w:p w:rsidR="005301E3" w:rsidRPr="00600DC2" w:rsidRDefault="005301E3" w:rsidP="00DE41A6">
            <w:pPr>
              <w:tabs>
                <w:tab w:val="center" w:pos="6379"/>
              </w:tabs>
              <w:ind w:right="-2"/>
              <w:jc w:val="both"/>
              <w:rPr>
                <w:rFonts w:ascii="Arial" w:hAnsi="Arial" w:cs="Arial"/>
                <w:bCs/>
              </w:rPr>
            </w:pPr>
            <w:r w:rsidRPr="00600DC2">
              <w:rPr>
                <w:rFonts w:ascii="Arial" w:hAnsi="Arial" w:cs="Arial"/>
                <w:bCs/>
              </w:rPr>
              <w:t>Komisia predkladateľovi odporúča, aby v doložke vybraných vplyvov označil pozitívne sociálne vplyvy a vypracoval analýzu sociálnych vplyvov. Ak vplyv pokladá za zanedbateľný, v bode 10. doložky (Poznámky) môže vysvetliť, prečo by materiál mal iba marginálny sociálny vplyv.</w:t>
            </w:r>
          </w:p>
          <w:p w:rsidR="005301E3" w:rsidRDefault="005301E3" w:rsidP="00DE41A6">
            <w:pPr>
              <w:tabs>
                <w:tab w:val="center" w:pos="6379"/>
              </w:tabs>
              <w:ind w:right="-2"/>
              <w:jc w:val="both"/>
              <w:rPr>
                <w:rFonts w:ascii="Arial" w:hAnsi="Arial" w:cs="Arial"/>
                <w:bCs/>
              </w:rPr>
            </w:pPr>
            <w:r w:rsidRPr="00600DC2">
              <w:rPr>
                <w:rFonts w:ascii="Arial" w:hAnsi="Arial" w:cs="Arial"/>
                <w:bCs/>
                <w:u w:val="single"/>
              </w:rPr>
              <w:t>Odôvodnenie:</w:t>
            </w:r>
            <w:r w:rsidRPr="00600DC2">
              <w:rPr>
                <w:rFonts w:ascii="Arial" w:hAnsi="Arial" w:cs="Arial"/>
                <w:bCs/>
              </w:rPr>
              <w:t xml:space="preserve"> Predkladateľ konštatuje, že návrh zákona nebude mať sociálne vplyvy. V doložke vybraných vplyvov však píše, že Nariadenie Európskeho parlamentu a Rady (EÚ) 2022/2065, ktoré sa prostredníctvom predmetného návrhu zákona má implementovať do slovenského právneho poriadku, má za cieľ prispieť aj k zlepšeniu postavenia spotrebiteľov a k posilneniu ochrany základných práv užívateľov v online priestore. To by predstavovalo pozitívne vplyvy na prístup k zdrojom, právam, tovarom a službám (bod 4.2 analýzy sociálnych vplyvov).</w:t>
            </w:r>
          </w:p>
          <w:p w:rsidR="005301E3" w:rsidRDefault="005301E3" w:rsidP="00DE41A6">
            <w:pPr>
              <w:tabs>
                <w:tab w:val="center" w:pos="6379"/>
              </w:tabs>
              <w:ind w:right="-2"/>
              <w:jc w:val="both"/>
              <w:rPr>
                <w:rFonts w:ascii="Arial" w:hAnsi="Arial" w:cs="Arial"/>
                <w:bCs/>
              </w:rPr>
            </w:pPr>
          </w:p>
          <w:p w:rsidR="005301E3" w:rsidRPr="00826A62" w:rsidRDefault="005301E3" w:rsidP="005301E3">
            <w:pPr>
              <w:pStyle w:val="Odsekzoznamu"/>
              <w:widowControl/>
              <w:numPr>
                <w:ilvl w:val="0"/>
                <w:numId w:val="25"/>
              </w:numPr>
              <w:adjustRightInd/>
              <w:jc w:val="both"/>
              <w:rPr>
                <w:rFonts w:ascii="Arial" w:hAnsi="Arial" w:cs="Arial"/>
                <w:b/>
                <w:bCs/>
              </w:rPr>
            </w:pPr>
            <w:r>
              <w:rPr>
                <w:rFonts w:ascii="Arial" w:hAnsi="Arial" w:cs="Arial"/>
                <w:bCs/>
              </w:rPr>
              <w:t>Neakceptované: n</w:t>
            </w:r>
            <w:r w:rsidRPr="00826A62">
              <w:rPr>
                <w:rFonts w:ascii="Arial" w:hAnsi="Arial" w:cs="Arial"/>
                <w:bCs/>
              </w:rPr>
              <w:t xml:space="preserve">ávrh zákona nebude mať žiadne, resp. len zanedbateľné sociálne vplyvy. V bode 2 sa síce uvádza, že cieľom nariadenia (EÚ) 2022/2065 je prispieť k budovaniu bezpečnejšieho a transparentnejšieho online prostredia, zlepšeniu podmienok poskytovania cezhraničných sprostredkovateľských služieb, zlepšeniu postavenia spotrebiteľov a posilneniu ochrany základných práv užívateľov v online priestore, avšak tieto vplyvy zakladá samotné nariadenie (EÚ) 2022/2065, pričom návrh zákona predstavuje len jeho strohú implementáciu v rozsahu ustanovenia zodpovedného orgánu, jeho vybavenia potrebnými kompetenciami a doplnenia sankčných ustanovení. Návrh zákona neustanovuje ďalšie práva pre spotrebiteľov a užívateľov v online priestore. Pozitívne vplyvy na prístup k zdrojom, právam, tovarom a službám boli opísané v rámci analýzy sociálnych vplyvov, ktorá bola predložená spolu s návrhom riadneho predbežného stanoviska k návrhu nariadenia (EÚ) 2022/2065 a je dostupná na </w:t>
            </w:r>
            <w:hyperlink r:id="rId9" w:history="1">
              <w:r w:rsidRPr="00826A62">
                <w:rPr>
                  <w:rStyle w:val="Hypertextovprepojenie"/>
                  <w:rFonts w:ascii="Arial" w:hAnsi="Arial" w:cs="Arial"/>
                  <w:bCs/>
                </w:rPr>
                <w:t>tomto odkaze</w:t>
              </w:r>
            </w:hyperlink>
            <w:r w:rsidRPr="00826A62">
              <w:rPr>
                <w:rFonts w:ascii="Arial" w:hAnsi="Arial" w:cs="Arial"/>
                <w:bCs/>
              </w:rPr>
              <w:t>.</w:t>
            </w:r>
          </w:p>
          <w:p w:rsidR="005301E3" w:rsidRPr="00826A62" w:rsidRDefault="005301E3" w:rsidP="00DE41A6">
            <w:pPr>
              <w:pStyle w:val="Odsekzoznamu"/>
              <w:jc w:val="both"/>
              <w:rPr>
                <w:rStyle w:val="norm00e1lnychar1"/>
                <w:rFonts w:ascii="Arial" w:hAnsi="Arial" w:cs="Arial"/>
                <w:b/>
                <w:bCs/>
                <w:sz w:val="22"/>
                <w:szCs w:val="22"/>
              </w:rPr>
            </w:pPr>
          </w:p>
          <w:p w:rsidR="005301E3" w:rsidRPr="00D81835" w:rsidRDefault="005301E3" w:rsidP="00DE41A6">
            <w:pPr>
              <w:jc w:val="both"/>
              <w:rPr>
                <w:rFonts w:ascii="Arial" w:hAnsi="Arial" w:cs="Arial"/>
              </w:rPr>
            </w:pPr>
            <w:r w:rsidRPr="00600DC2">
              <w:rPr>
                <w:rStyle w:val="norm00e1lnychar1"/>
                <w:rFonts w:ascii="Arial" w:hAnsi="Arial" w:cs="Arial"/>
                <w:b/>
                <w:bCs/>
                <w:sz w:val="22"/>
                <w:szCs w:val="22"/>
              </w:rPr>
              <w:t xml:space="preserve">III. Záver: </w:t>
            </w:r>
            <w:r w:rsidRPr="00600DC2">
              <w:rPr>
                <w:rStyle w:val="norm00e1lnychar1"/>
                <w:rFonts w:ascii="Arial" w:hAnsi="Arial" w:cs="Arial"/>
                <w:sz w:val="22"/>
                <w:szCs w:val="22"/>
              </w:rPr>
              <w:t xml:space="preserve">Stála pracovná komisia na posudzovanie vybraných vplyvov vyjadruje </w:t>
            </w:r>
          </w:p>
          <w:p w:rsidR="005301E3" w:rsidRPr="00600DC2" w:rsidRDefault="005301E3" w:rsidP="00DE41A6">
            <w:pPr>
              <w:pStyle w:val="norm00e1lny"/>
              <w:rPr>
                <w:sz w:val="22"/>
                <w:szCs w:val="22"/>
              </w:rPr>
            </w:pPr>
            <w:r w:rsidRPr="00600DC2">
              <w:rPr>
                <w:sz w:val="22"/>
                <w:szCs w:val="22"/>
              </w:rPr>
              <w:t> </w:t>
            </w:r>
          </w:p>
          <w:p w:rsidR="005301E3" w:rsidRPr="00600DC2" w:rsidRDefault="005301E3" w:rsidP="00DE41A6">
            <w:pPr>
              <w:pStyle w:val="norm00e1lny"/>
              <w:spacing w:line="240" w:lineRule="atLeast"/>
              <w:jc w:val="center"/>
              <w:rPr>
                <w:sz w:val="22"/>
                <w:szCs w:val="22"/>
              </w:rPr>
            </w:pPr>
            <w:r w:rsidRPr="00600DC2">
              <w:rPr>
                <w:rStyle w:val="norm00e1lnychar1"/>
                <w:rFonts w:ascii="Arial" w:hAnsi="Arial" w:cs="Arial"/>
                <w:b/>
                <w:bCs/>
                <w:sz w:val="22"/>
                <w:szCs w:val="22"/>
              </w:rPr>
              <w:t>nesúhlasné stanovisko</w:t>
            </w:r>
          </w:p>
          <w:p w:rsidR="005301E3" w:rsidRPr="00600DC2" w:rsidRDefault="005301E3" w:rsidP="00DE41A6">
            <w:pPr>
              <w:pStyle w:val="norm00e1lny"/>
              <w:rPr>
                <w:sz w:val="22"/>
                <w:szCs w:val="22"/>
              </w:rPr>
            </w:pPr>
            <w:r w:rsidRPr="00600DC2">
              <w:rPr>
                <w:sz w:val="22"/>
                <w:szCs w:val="22"/>
              </w:rPr>
              <w:t> </w:t>
            </w:r>
          </w:p>
          <w:p w:rsidR="005301E3" w:rsidRPr="00600DC2" w:rsidRDefault="005301E3" w:rsidP="00DE41A6">
            <w:pPr>
              <w:pStyle w:val="norm00e1lny"/>
              <w:spacing w:line="240" w:lineRule="atLeast"/>
              <w:jc w:val="both"/>
              <w:rPr>
                <w:sz w:val="22"/>
                <w:szCs w:val="22"/>
              </w:rPr>
            </w:pPr>
            <w:r w:rsidRPr="00600DC2">
              <w:rPr>
                <w:rStyle w:val="norm00e1lnychar1"/>
                <w:rFonts w:ascii="Arial" w:hAnsi="Arial" w:cs="Arial"/>
                <w:sz w:val="22"/>
                <w:szCs w:val="22"/>
              </w:rPr>
              <w:t>s materiálom predloženým na predbežné pripomienkové konanie s odporúčaním na jeho dopracovanie podľa pripomienok v bode II.</w:t>
            </w:r>
          </w:p>
          <w:p w:rsidR="005301E3" w:rsidRPr="00600DC2" w:rsidRDefault="005301E3" w:rsidP="00DE41A6">
            <w:pPr>
              <w:pStyle w:val="norm00e1lny"/>
              <w:rPr>
                <w:sz w:val="22"/>
                <w:szCs w:val="22"/>
              </w:rPr>
            </w:pPr>
          </w:p>
          <w:p w:rsidR="005301E3" w:rsidRPr="00600DC2" w:rsidRDefault="005301E3" w:rsidP="00DE41A6">
            <w:pPr>
              <w:pStyle w:val="norm00e1lny"/>
              <w:spacing w:line="240" w:lineRule="atLeast"/>
              <w:jc w:val="both"/>
              <w:rPr>
                <w:sz w:val="22"/>
                <w:szCs w:val="22"/>
              </w:rPr>
            </w:pPr>
            <w:r w:rsidRPr="00600DC2">
              <w:rPr>
                <w:rStyle w:val="norm00e1lnychar1"/>
                <w:rFonts w:ascii="Arial" w:hAnsi="Arial" w:cs="Arial"/>
                <w:b/>
                <w:bCs/>
                <w:sz w:val="22"/>
                <w:szCs w:val="22"/>
              </w:rPr>
              <w:t>IV. Poznámka:</w:t>
            </w:r>
            <w:r w:rsidRPr="00600DC2">
              <w:rPr>
                <w:rStyle w:val="norm00e1lnychar1"/>
                <w:rFonts w:ascii="Arial" w:hAnsi="Arial" w:cs="Arial"/>
                <w:sz w:val="22"/>
                <w:szCs w:val="22"/>
              </w:rPr>
              <w:t xml:space="preserve"> Predkladateľ zapracuje pripomienky a odporúčania na úpravu uvedené v bode II a uvedie stanovisko Komisie do doložky vybraných vplyvov spolu s vyhodnotením pripomienok.</w:t>
            </w:r>
          </w:p>
          <w:p w:rsidR="005301E3" w:rsidRPr="00600DC2" w:rsidRDefault="005301E3" w:rsidP="00DE41A6">
            <w:pPr>
              <w:pStyle w:val="norm00e1lny"/>
              <w:rPr>
                <w:sz w:val="22"/>
                <w:szCs w:val="22"/>
              </w:rPr>
            </w:pPr>
            <w:r w:rsidRPr="00600DC2">
              <w:rPr>
                <w:sz w:val="22"/>
                <w:szCs w:val="22"/>
              </w:rPr>
              <w:t> </w:t>
            </w:r>
          </w:p>
          <w:p w:rsidR="005301E3" w:rsidRDefault="005301E3" w:rsidP="00DE41A6">
            <w:pPr>
              <w:pStyle w:val="z00e1kladn00fd0020text"/>
              <w:spacing w:after="0" w:line="240" w:lineRule="atLeast"/>
              <w:jc w:val="both"/>
              <w:rPr>
                <w:rStyle w:val="z00e1kladn00fd0020textchar1"/>
                <w:rFonts w:ascii="Arial" w:hAnsi="Arial" w:cs="Arial"/>
                <w:sz w:val="22"/>
                <w:szCs w:val="22"/>
              </w:rPr>
            </w:pPr>
          </w:p>
          <w:p w:rsidR="005301E3" w:rsidRDefault="005301E3" w:rsidP="00DE41A6">
            <w:pPr>
              <w:pStyle w:val="z00e1kladn00fd0020text"/>
              <w:spacing w:after="0" w:line="240" w:lineRule="atLeast"/>
              <w:jc w:val="both"/>
              <w:rPr>
                <w:rStyle w:val="z00e1kladn00fd0020textchar1"/>
                <w:rFonts w:ascii="Arial" w:hAnsi="Arial" w:cs="Arial"/>
                <w:sz w:val="22"/>
                <w:szCs w:val="22"/>
              </w:rPr>
            </w:pPr>
            <w:r w:rsidRPr="00600DC2">
              <w:rPr>
                <w:rStyle w:val="z00e1kladn00fd0020textchar1"/>
                <w:rFonts w:ascii="Arial" w:hAnsi="Arial" w:cs="Arial"/>
                <w:sz w:val="22"/>
                <w:szCs w:val="22"/>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5301E3" w:rsidRPr="00600DC2" w:rsidRDefault="005301E3" w:rsidP="00DE41A6">
            <w:pPr>
              <w:pStyle w:val="z00e1kladn00fd0020text"/>
              <w:spacing w:after="0" w:line="240" w:lineRule="atLeast"/>
              <w:jc w:val="both"/>
              <w:rPr>
                <w:sz w:val="22"/>
                <w:szCs w:val="22"/>
              </w:rPr>
            </w:pPr>
          </w:p>
          <w:p w:rsidR="005301E3" w:rsidRPr="00600DC2" w:rsidRDefault="005301E3" w:rsidP="00DE41A6">
            <w:pPr>
              <w:tabs>
                <w:tab w:val="center" w:pos="6379"/>
              </w:tabs>
              <w:ind w:left="4536" w:right="-2"/>
              <w:jc w:val="center"/>
              <w:rPr>
                <w:rFonts w:ascii="Arial" w:hAnsi="Arial" w:cs="Arial"/>
                <w:b/>
                <w:bCs/>
              </w:rPr>
            </w:pPr>
            <w:r w:rsidRPr="00600DC2">
              <w:rPr>
                <w:rFonts w:ascii="Arial" w:hAnsi="Arial" w:cs="Arial"/>
                <w:b/>
                <w:bCs/>
              </w:rPr>
              <w:t>JUDr. Martin Semanco</w:t>
            </w:r>
          </w:p>
          <w:p w:rsidR="005301E3" w:rsidRDefault="005301E3" w:rsidP="00DE41A6">
            <w:pPr>
              <w:tabs>
                <w:tab w:val="center" w:pos="6379"/>
              </w:tabs>
              <w:ind w:left="4536" w:right="-2"/>
              <w:jc w:val="center"/>
              <w:rPr>
                <w:rFonts w:ascii="Arial" w:hAnsi="Arial" w:cs="Arial"/>
                <w:bCs/>
              </w:rPr>
            </w:pPr>
            <w:r w:rsidRPr="00600DC2">
              <w:rPr>
                <w:rFonts w:ascii="Arial" w:hAnsi="Arial" w:cs="Arial"/>
                <w:bCs/>
              </w:rPr>
              <w:t>predseda Komisie</w:t>
            </w:r>
          </w:p>
          <w:p w:rsidR="005301E3" w:rsidRPr="000B67AD" w:rsidRDefault="005301E3" w:rsidP="00DE41A6">
            <w:pPr>
              <w:tabs>
                <w:tab w:val="center" w:pos="6379"/>
              </w:tabs>
              <w:ind w:left="4536" w:right="-2"/>
              <w:jc w:val="center"/>
            </w:pPr>
          </w:p>
        </w:tc>
      </w:tr>
      <w:tr w:rsidR="005301E3" w:rsidRPr="00B043B4" w:rsidTr="00DE41A6">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5301E3" w:rsidRPr="00B043B4" w:rsidRDefault="005301E3" w:rsidP="005301E3">
            <w:pPr>
              <w:widowControl/>
              <w:numPr>
                <w:ilvl w:val="0"/>
                <w:numId w:val="1"/>
              </w:numPr>
              <w:adjustRightInd/>
              <w:ind w:left="450" w:hanging="425"/>
              <w:contextualSpacing/>
              <w:jc w:val="both"/>
              <w:rPr>
                <w:rFonts w:eastAsia="Calibri"/>
                <w:b/>
              </w:rPr>
            </w:pPr>
            <w:r w:rsidRPr="00B043B4">
              <w:rPr>
                <w:rFonts w:eastAsia="Calibri"/>
                <w:b/>
              </w:rPr>
              <w:lastRenderedPageBreak/>
              <w:t>Stanovisko Komisie na posudzovanie vybraných vplyvov zo záverečného posúdenia č. ..........</w:t>
            </w:r>
            <w:r w:rsidRPr="00B043B4">
              <w:rPr>
                <w:rFonts w:eastAsia="Calibri"/>
              </w:rPr>
              <w:t xml:space="preserve"> (v prípade, ak sa uskutočnilo v zmysle bodu 9.1. Jednotnej metodiky) </w:t>
            </w:r>
          </w:p>
        </w:tc>
      </w:tr>
      <w:tr w:rsidR="005301E3" w:rsidRPr="00B043B4" w:rsidTr="00DE41A6">
        <w:tblPrEx>
          <w:tblBorders>
            <w:insideH w:val="single" w:sz="4" w:space="0" w:color="FFFFFF"/>
            <w:insideV w:val="single" w:sz="4" w:space="0" w:color="FFFFFF"/>
          </w:tblBorders>
        </w:tblPrEx>
        <w:tc>
          <w:tcPr>
            <w:tcW w:w="9176" w:type="dxa"/>
            <w:shd w:val="clear" w:color="auto" w:fill="FFFFFF"/>
          </w:tcPr>
          <w:p w:rsidR="005301E3" w:rsidRPr="00B043B4" w:rsidRDefault="005301E3" w:rsidP="00DE41A6">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301E3" w:rsidRPr="00B043B4" w:rsidTr="00DE41A6">
              <w:trPr>
                <w:trHeight w:val="396"/>
              </w:trPr>
              <w:tc>
                <w:tcPr>
                  <w:tcW w:w="2552" w:type="dxa"/>
                </w:tcPr>
                <w:p w:rsidR="005301E3" w:rsidRPr="00B043B4" w:rsidRDefault="00F55A99" w:rsidP="00DE41A6">
                  <w:pPr>
                    <w:rPr>
                      <w:b/>
                      <w:sz w:val="20"/>
                      <w:szCs w:val="20"/>
                    </w:rPr>
                  </w:pPr>
                  <w:sdt>
                    <w:sdtPr>
                      <w:rPr>
                        <w:b/>
                        <w:sz w:val="20"/>
                        <w:szCs w:val="20"/>
                      </w:rPr>
                      <w:id w:val="888232876"/>
                      <w14:checkbox>
                        <w14:checked w14:val="0"/>
                        <w14:checkedState w14:val="2612" w14:font="MS Gothic"/>
                        <w14:uncheckedState w14:val="2610" w14:font="MS Gothic"/>
                      </w14:checkbox>
                    </w:sdtPr>
                    <w:sdtEndPr/>
                    <w:sdtContent>
                      <w:r w:rsidR="005301E3">
                        <w:rPr>
                          <w:rFonts w:ascii="MS Gothic" w:eastAsia="MS Gothic" w:hAnsi="MS Gothic" w:hint="eastAsia"/>
                          <w:b/>
                          <w:sz w:val="20"/>
                          <w:szCs w:val="20"/>
                        </w:rPr>
                        <w:t>☐</w:t>
                      </w:r>
                    </w:sdtContent>
                  </w:sdt>
                  <w:r w:rsidR="005301E3">
                    <w:rPr>
                      <w:b/>
                      <w:sz w:val="20"/>
                      <w:szCs w:val="20"/>
                    </w:rPr>
                    <w:t xml:space="preserve">   </w:t>
                  </w:r>
                  <w:r w:rsidR="005301E3" w:rsidRPr="00B043B4">
                    <w:rPr>
                      <w:b/>
                      <w:sz w:val="20"/>
                      <w:szCs w:val="20"/>
                    </w:rPr>
                    <w:t xml:space="preserve">Súhlasné </w:t>
                  </w:r>
                </w:p>
              </w:tc>
              <w:tc>
                <w:tcPr>
                  <w:tcW w:w="3827" w:type="dxa"/>
                </w:tcPr>
                <w:p w:rsidR="005301E3" w:rsidRPr="00B043B4" w:rsidRDefault="00F55A99" w:rsidP="00DE41A6">
                  <w:pPr>
                    <w:rPr>
                      <w:b/>
                      <w:sz w:val="20"/>
                      <w:szCs w:val="20"/>
                    </w:rPr>
                  </w:pPr>
                  <w:sdt>
                    <w:sdtPr>
                      <w:rPr>
                        <w:b/>
                        <w:sz w:val="20"/>
                        <w:szCs w:val="20"/>
                      </w:rPr>
                      <w:id w:val="953831761"/>
                      <w14:checkbox>
                        <w14:checked w14:val="0"/>
                        <w14:checkedState w14:val="2612" w14:font="MS Gothic"/>
                        <w14:uncheckedState w14:val="2610" w14:font="MS Gothic"/>
                      </w14:checkbox>
                    </w:sdtPr>
                    <w:sdtEndPr/>
                    <w:sdtContent>
                      <w:r w:rsidR="005301E3">
                        <w:rPr>
                          <w:rFonts w:ascii="MS Gothic" w:eastAsia="MS Gothic" w:hAnsi="MS Gothic" w:hint="eastAsia"/>
                          <w:b/>
                          <w:sz w:val="20"/>
                          <w:szCs w:val="20"/>
                        </w:rPr>
                        <w:t>☐</w:t>
                      </w:r>
                    </w:sdtContent>
                  </w:sdt>
                  <w:r w:rsidR="005301E3">
                    <w:rPr>
                      <w:b/>
                      <w:sz w:val="20"/>
                      <w:szCs w:val="20"/>
                    </w:rPr>
                    <w:t xml:space="preserve">  </w:t>
                  </w:r>
                  <w:r w:rsidR="005301E3" w:rsidRPr="00B043B4">
                    <w:rPr>
                      <w:b/>
                      <w:sz w:val="20"/>
                      <w:szCs w:val="20"/>
                    </w:rPr>
                    <w:t>Súhlasné s  návrhom na dopracovanie</w:t>
                  </w:r>
                </w:p>
              </w:tc>
              <w:tc>
                <w:tcPr>
                  <w:tcW w:w="2534" w:type="dxa"/>
                </w:tcPr>
                <w:p w:rsidR="005301E3" w:rsidRPr="00B043B4" w:rsidRDefault="00F55A99" w:rsidP="00DE41A6">
                  <w:pPr>
                    <w:ind w:right="459"/>
                    <w:rPr>
                      <w:b/>
                      <w:sz w:val="20"/>
                      <w:szCs w:val="20"/>
                    </w:rPr>
                  </w:pPr>
                  <w:sdt>
                    <w:sdtPr>
                      <w:rPr>
                        <w:b/>
                        <w:sz w:val="20"/>
                        <w:szCs w:val="20"/>
                      </w:rPr>
                      <w:id w:val="-361740452"/>
                      <w14:checkbox>
                        <w14:checked w14:val="0"/>
                        <w14:checkedState w14:val="2612" w14:font="MS Gothic"/>
                        <w14:uncheckedState w14:val="2610" w14:font="MS Gothic"/>
                      </w14:checkbox>
                    </w:sdtPr>
                    <w:sdtEndPr/>
                    <w:sdtContent>
                      <w:r w:rsidR="005301E3">
                        <w:rPr>
                          <w:rFonts w:ascii="MS Gothic" w:eastAsia="MS Gothic" w:hAnsi="MS Gothic" w:hint="eastAsia"/>
                          <w:b/>
                          <w:sz w:val="20"/>
                          <w:szCs w:val="20"/>
                        </w:rPr>
                        <w:t>☐</w:t>
                      </w:r>
                    </w:sdtContent>
                  </w:sdt>
                  <w:r w:rsidR="005301E3">
                    <w:rPr>
                      <w:b/>
                      <w:sz w:val="20"/>
                      <w:szCs w:val="20"/>
                    </w:rPr>
                    <w:t xml:space="preserve">  </w:t>
                  </w:r>
                  <w:r w:rsidR="005301E3" w:rsidRPr="00B043B4">
                    <w:rPr>
                      <w:b/>
                      <w:sz w:val="20"/>
                      <w:szCs w:val="20"/>
                    </w:rPr>
                    <w:t>Nesúhlasné</w:t>
                  </w:r>
                </w:p>
              </w:tc>
            </w:tr>
          </w:tbl>
          <w:p w:rsidR="005301E3" w:rsidRPr="00B043B4" w:rsidRDefault="005301E3" w:rsidP="00DE41A6">
            <w:pPr>
              <w:jc w:val="both"/>
              <w:rPr>
                <w:b/>
                <w:sz w:val="20"/>
                <w:szCs w:val="20"/>
              </w:rPr>
            </w:pPr>
            <w:r w:rsidRPr="00B043B4">
              <w:rPr>
                <w:b/>
                <w:sz w:val="20"/>
                <w:szCs w:val="20"/>
              </w:rPr>
              <w:t>Uveďte pripomienky zo stanoviska Komisie z časti II. spolu s Vaším vyhodnotením:</w:t>
            </w:r>
          </w:p>
          <w:p w:rsidR="005301E3" w:rsidRPr="00B043B4" w:rsidRDefault="005301E3" w:rsidP="00DE41A6">
            <w:pPr>
              <w:rPr>
                <w:b/>
                <w:sz w:val="20"/>
                <w:szCs w:val="20"/>
              </w:rPr>
            </w:pPr>
          </w:p>
          <w:p w:rsidR="005301E3" w:rsidRPr="00B043B4" w:rsidRDefault="005301E3" w:rsidP="00DE41A6">
            <w:pPr>
              <w:rPr>
                <w:b/>
                <w:sz w:val="20"/>
                <w:szCs w:val="20"/>
              </w:rPr>
            </w:pPr>
          </w:p>
        </w:tc>
      </w:tr>
    </w:tbl>
    <w:p w:rsidR="005301E3" w:rsidRPr="00F214E6" w:rsidRDefault="005301E3" w:rsidP="005301E3"/>
    <w:p w:rsidR="005301E3" w:rsidRDefault="005301E3">
      <w:pPr>
        <w:widowControl/>
        <w:adjustRightInd/>
        <w:spacing w:after="200" w:line="276" w:lineRule="auto"/>
        <w:rPr>
          <w:b/>
          <w:bCs/>
          <w:sz w:val="28"/>
          <w:szCs w:val="28"/>
        </w:rPr>
      </w:pPr>
      <w:r>
        <w:rPr>
          <w:b/>
          <w:bCs/>
          <w:sz w:val="28"/>
          <w:szCs w:val="28"/>
        </w:rPr>
        <w:br w:type="page"/>
      </w:r>
    </w:p>
    <w:p w:rsidR="005301E3" w:rsidRPr="00B14AD5" w:rsidRDefault="005301E3" w:rsidP="005301E3">
      <w:pPr>
        <w:jc w:val="center"/>
        <w:rPr>
          <w:b/>
          <w:bCs/>
          <w:sz w:val="28"/>
          <w:szCs w:val="28"/>
        </w:rPr>
      </w:pPr>
      <w:r w:rsidRPr="00B14AD5">
        <w:rPr>
          <w:b/>
          <w:bCs/>
          <w:sz w:val="28"/>
          <w:szCs w:val="28"/>
        </w:rPr>
        <w:lastRenderedPageBreak/>
        <w:t>Analýza vplyvov na rozpočet verejnej správy,</w:t>
      </w:r>
    </w:p>
    <w:p w:rsidR="005301E3" w:rsidRPr="00B14AD5" w:rsidRDefault="005301E3" w:rsidP="005301E3">
      <w:pPr>
        <w:jc w:val="center"/>
        <w:rPr>
          <w:b/>
          <w:bCs/>
          <w:sz w:val="28"/>
          <w:szCs w:val="28"/>
        </w:rPr>
      </w:pPr>
      <w:r w:rsidRPr="00B14AD5">
        <w:rPr>
          <w:b/>
          <w:bCs/>
          <w:sz w:val="28"/>
          <w:szCs w:val="28"/>
        </w:rPr>
        <w:t>na zamestnanosť vo verejnej správe a financovanie návrhu</w:t>
      </w:r>
    </w:p>
    <w:p w:rsidR="005301E3" w:rsidRPr="00B14AD5" w:rsidRDefault="005301E3" w:rsidP="005301E3">
      <w:pPr>
        <w:jc w:val="right"/>
        <w:rPr>
          <w:b/>
          <w:bCs/>
        </w:rPr>
      </w:pPr>
    </w:p>
    <w:p w:rsidR="005301E3" w:rsidRPr="00B14AD5" w:rsidRDefault="005301E3" w:rsidP="005301E3">
      <w:pPr>
        <w:jc w:val="right"/>
        <w:rPr>
          <w:b/>
          <w:bCs/>
        </w:rPr>
      </w:pPr>
    </w:p>
    <w:p w:rsidR="005301E3" w:rsidRPr="00B14AD5" w:rsidRDefault="005301E3" w:rsidP="005301E3">
      <w:pPr>
        <w:rPr>
          <w:b/>
          <w:bCs/>
        </w:rPr>
      </w:pPr>
      <w:r w:rsidRPr="00B14AD5">
        <w:rPr>
          <w:b/>
          <w:bCs/>
        </w:rPr>
        <w:t>2.1 Zhrnutie vplyvov na rozpočet verejnej správy v návrhu</w:t>
      </w:r>
    </w:p>
    <w:p w:rsidR="005301E3" w:rsidRPr="00B14AD5" w:rsidRDefault="005301E3" w:rsidP="005301E3">
      <w:pPr>
        <w:jc w:val="right"/>
        <w:rPr>
          <w:sz w:val="20"/>
          <w:szCs w:val="20"/>
        </w:rPr>
      </w:pPr>
      <w:r w:rsidRPr="00B14AD5">
        <w:rPr>
          <w:sz w:val="20"/>
          <w:szCs w:val="20"/>
        </w:rPr>
        <w:t xml:space="preserve">Tabuľka č. 1 </w:t>
      </w:r>
      <w:r>
        <w:rPr>
          <w:sz w:val="20"/>
          <w:szCs w:val="20"/>
        </w:rPr>
        <w:t>/A</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5301E3" w:rsidRPr="00B14AD5" w:rsidTr="00DE41A6">
        <w:trPr>
          <w:cantSplit/>
          <w:trHeight w:val="194"/>
          <w:jc w:val="center"/>
        </w:trPr>
        <w:tc>
          <w:tcPr>
            <w:tcW w:w="4661" w:type="dxa"/>
            <w:vMerge w:val="restart"/>
            <w:shd w:val="clear" w:color="auto" w:fill="BFBFBF" w:themeFill="background1" w:themeFillShade="BF"/>
            <w:vAlign w:val="center"/>
          </w:tcPr>
          <w:p w:rsidR="005301E3" w:rsidRPr="00B14AD5" w:rsidRDefault="005301E3" w:rsidP="00DE41A6">
            <w:pPr>
              <w:jc w:val="center"/>
              <w:rPr>
                <w:b/>
                <w:bCs/>
              </w:rPr>
            </w:pPr>
            <w:bookmarkStart w:id="2" w:name="OLE_LINK1"/>
            <w:r w:rsidRPr="00B14AD5">
              <w:rPr>
                <w:b/>
                <w:bCs/>
              </w:rPr>
              <w:t>Vplyvy na rozpočet verejnej správy</w:t>
            </w:r>
          </w:p>
        </w:tc>
        <w:tc>
          <w:tcPr>
            <w:tcW w:w="5068" w:type="dxa"/>
            <w:gridSpan w:val="4"/>
            <w:shd w:val="clear" w:color="auto" w:fill="BFBFBF" w:themeFill="background1" w:themeFillShade="BF"/>
            <w:vAlign w:val="center"/>
          </w:tcPr>
          <w:p w:rsidR="005301E3" w:rsidRPr="00B14AD5" w:rsidRDefault="005301E3" w:rsidP="00DE41A6">
            <w:pPr>
              <w:jc w:val="center"/>
              <w:rPr>
                <w:b/>
                <w:bCs/>
              </w:rPr>
            </w:pPr>
            <w:r w:rsidRPr="00B14AD5">
              <w:rPr>
                <w:b/>
                <w:bCs/>
              </w:rPr>
              <w:t>Vplyv na rozpočet verejnej správy (v eurách)</w:t>
            </w:r>
          </w:p>
        </w:tc>
      </w:tr>
      <w:tr w:rsidR="005301E3" w:rsidRPr="00B14AD5" w:rsidTr="00DE41A6">
        <w:trPr>
          <w:cantSplit/>
          <w:trHeight w:val="70"/>
          <w:jc w:val="center"/>
        </w:trPr>
        <w:tc>
          <w:tcPr>
            <w:tcW w:w="4661" w:type="dxa"/>
            <w:vMerge/>
            <w:shd w:val="clear" w:color="auto" w:fill="BFBFBF" w:themeFill="background1" w:themeFillShade="BF"/>
            <w:vAlign w:val="center"/>
          </w:tcPr>
          <w:p w:rsidR="005301E3" w:rsidRPr="00B14AD5" w:rsidRDefault="005301E3" w:rsidP="00DE41A6">
            <w:pPr>
              <w:jc w:val="center"/>
              <w:rPr>
                <w:b/>
                <w:bCs/>
              </w:rPr>
            </w:pPr>
          </w:p>
        </w:tc>
        <w:tc>
          <w:tcPr>
            <w:tcW w:w="1267" w:type="dxa"/>
            <w:shd w:val="clear" w:color="auto" w:fill="BFBFBF" w:themeFill="background1" w:themeFillShade="BF"/>
            <w:vAlign w:val="center"/>
          </w:tcPr>
          <w:p w:rsidR="005301E3" w:rsidRPr="00B14AD5" w:rsidRDefault="005301E3" w:rsidP="00DE41A6">
            <w:pPr>
              <w:jc w:val="center"/>
              <w:rPr>
                <w:b/>
                <w:bCs/>
              </w:rPr>
            </w:pPr>
            <w:r>
              <w:rPr>
                <w:b/>
                <w:bCs/>
              </w:rPr>
              <w:t>2024</w:t>
            </w:r>
          </w:p>
        </w:tc>
        <w:tc>
          <w:tcPr>
            <w:tcW w:w="1267" w:type="dxa"/>
            <w:shd w:val="clear" w:color="auto" w:fill="BFBFBF" w:themeFill="background1" w:themeFillShade="BF"/>
            <w:vAlign w:val="center"/>
          </w:tcPr>
          <w:p w:rsidR="005301E3" w:rsidRPr="00B14AD5" w:rsidRDefault="005301E3" w:rsidP="00DE41A6">
            <w:pPr>
              <w:jc w:val="center"/>
              <w:rPr>
                <w:b/>
                <w:bCs/>
              </w:rPr>
            </w:pPr>
            <w:r>
              <w:rPr>
                <w:b/>
                <w:bCs/>
              </w:rPr>
              <w:t>2025</w:t>
            </w:r>
          </w:p>
        </w:tc>
        <w:tc>
          <w:tcPr>
            <w:tcW w:w="1267" w:type="dxa"/>
            <w:shd w:val="clear" w:color="auto" w:fill="BFBFBF" w:themeFill="background1" w:themeFillShade="BF"/>
            <w:vAlign w:val="center"/>
          </w:tcPr>
          <w:p w:rsidR="005301E3" w:rsidRPr="00B14AD5" w:rsidRDefault="005301E3" w:rsidP="00DE41A6">
            <w:pPr>
              <w:jc w:val="center"/>
              <w:rPr>
                <w:b/>
                <w:bCs/>
              </w:rPr>
            </w:pPr>
            <w:r>
              <w:rPr>
                <w:b/>
                <w:bCs/>
              </w:rPr>
              <w:t>2026</w:t>
            </w:r>
          </w:p>
        </w:tc>
        <w:tc>
          <w:tcPr>
            <w:tcW w:w="1267" w:type="dxa"/>
            <w:shd w:val="clear" w:color="auto" w:fill="BFBFBF" w:themeFill="background1" w:themeFillShade="BF"/>
            <w:vAlign w:val="center"/>
          </w:tcPr>
          <w:p w:rsidR="005301E3" w:rsidRPr="00B14AD5" w:rsidRDefault="005301E3" w:rsidP="00DE41A6">
            <w:pPr>
              <w:jc w:val="center"/>
              <w:rPr>
                <w:b/>
                <w:bCs/>
              </w:rPr>
            </w:pPr>
            <w:r>
              <w:rPr>
                <w:b/>
                <w:bCs/>
              </w:rPr>
              <w:t>2027</w:t>
            </w:r>
          </w:p>
        </w:tc>
      </w:tr>
      <w:tr w:rsidR="005301E3" w:rsidRPr="00B14AD5" w:rsidTr="00DE41A6">
        <w:trPr>
          <w:trHeight w:val="70"/>
          <w:jc w:val="center"/>
        </w:trPr>
        <w:tc>
          <w:tcPr>
            <w:tcW w:w="4661" w:type="dxa"/>
            <w:shd w:val="clear" w:color="auto" w:fill="C0C0C0"/>
            <w:noWrap/>
            <w:vAlign w:val="center"/>
          </w:tcPr>
          <w:p w:rsidR="005301E3" w:rsidRPr="00B14AD5" w:rsidRDefault="005301E3" w:rsidP="00DE41A6">
            <w:r w:rsidRPr="00B14AD5">
              <w:rPr>
                <w:b/>
                <w:bCs/>
              </w:rPr>
              <w:t>Príjmy verejnej správy celkom</w:t>
            </w:r>
          </w:p>
        </w:tc>
        <w:tc>
          <w:tcPr>
            <w:tcW w:w="1267" w:type="dxa"/>
            <w:shd w:val="clear" w:color="auto" w:fill="C0C0C0"/>
            <w:vAlign w:val="center"/>
          </w:tcPr>
          <w:p w:rsidR="005301E3" w:rsidRPr="00B14AD5" w:rsidRDefault="005301E3" w:rsidP="00DE41A6">
            <w:pPr>
              <w:jc w:val="right"/>
              <w:rPr>
                <w:b/>
                <w:bCs/>
              </w:rPr>
            </w:pPr>
            <w:r w:rsidRPr="00B14AD5">
              <w:rPr>
                <w:b/>
                <w:bCs/>
              </w:rPr>
              <w:t>0</w:t>
            </w:r>
          </w:p>
        </w:tc>
        <w:tc>
          <w:tcPr>
            <w:tcW w:w="1267" w:type="dxa"/>
            <w:shd w:val="clear" w:color="auto" w:fill="C0C0C0"/>
            <w:vAlign w:val="center"/>
          </w:tcPr>
          <w:p w:rsidR="005301E3" w:rsidRPr="00B14AD5" w:rsidRDefault="005301E3" w:rsidP="00DE41A6">
            <w:pPr>
              <w:jc w:val="right"/>
              <w:rPr>
                <w:b/>
                <w:bCs/>
              </w:rPr>
            </w:pPr>
            <w:r w:rsidRPr="00B14AD5">
              <w:rPr>
                <w:b/>
                <w:bCs/>
              </w:rPr>
              <w:t>0</w:t>
            </w:r>
          </w:p>
        </w:tc>
        <w:tc>
          <w:tcPr>
            <w:tcW w:w="1267" w:type="dxa"/>
            <w:shd w:val="clear" w:color="auto" w:fill="C0C0C0"/>
            <w:vAlign w:val="center"/>
          </w:tcPr>
          <w:p w:rsidR="005301E3" w:rsidRPr="00B14AD5" w:rsidRDefault="005301E3" w:rsidP="00DE41A6">
            <w:pPr>
              <w:jc w:val="right"/>
              <w:rPr>
                <w:b/>
                <w:bCs/>
              </w:rPr>
            </w:pPr>
            <w:r w:rsidRPr="00B14AD5">
              <w:rPr>
                <w:b/>
                <w:bCs/>
              </w:rPr>
              <w:t>0</w:t>
            </w:r>
          </w:p>
        </w:tc>
        <w:tc>
          <w:tcPr>
            <w:tcW w:w="1267" w:type="dxa"/>
            <w:shd w:val="clear" w:color="auto" w:fill="C0C0C0"/>
            <w:vAlign w:val="center"/>
          </w:tcPr>
          <w:p w:rsidR="005301E3" w:rsidRPr="00B14AD5" w:rsidRDefault="005301E3" w:rsidP="00DE41A6">
            <w:pPr>
              <w:jc w:val="right"/>
              <w:rPr>
                <w:b/>
                <w:bCs/>
              </w:rPr>
            </w:pPr>
            <w:r w:rsidRPr="00B14AD5">
              <w:rPr>
                <w:b/>
                <w:bCs/>
              </w:rPr>
              <w:t>0</w:t>
            </w:r>
          </w:p>
        </w:tc>
      </w:tr>
      <w:tr w:rsidR="005301E3" w:rsidRPr="00B14AD5" w:rsidTr="00DE41A6">
        <w:trPr>
          <w:trHeight w:val="132"/>
          <w:jc w:val="center"/>
        </w:trPr>
        <w:tc>
          <w:tcPr>
            <w:tcW w:w="4661" w:type="dxa"/>
            <w:noWrap/>
            <w:vAlign w:val="center"/>
          </w:tcPr>
          <w:p w:rsidR="005301E3" w:rsidRPr="00B14AD5" w:rsidRDefault="005301E3" w:rsidP="00DE41A6">
            <w:r w:rsidRPr="00B14AD5">
              <w:t>v tom: za každý subjekt verejnej správy zvlášť</w:t>
            </w:r>
          </w:p>
        </w:tc>
        <w:tc>
          <w:tcPr>
            <w:tcW w:w="1267" w:type="dxa"/>
            <w:noWrap/>
            <w:vAlign w:val="center"/>
          </w:tcPr>
          <w:p w:rsidR="005301E3" w:rsidRPr="00B14AD5" w:rsidRDefault="005301E3" w:rsidP="00DE41A6">
            <w:pPr>
              <w:jc w:val="right"/>
            </w:pPr>
            <w:r w:rsidRPr="00B14AD5">
              <w:t>0</w:t>
            </w:r>
          </w:p>
        </w:tc>
        <w:tc>
          <w:tcPr>
            <w:tcW w:w="1267" w:type="dxa"/>
            <w:noWrap/>
            <w:vAlign w:val="center"/>
          </w:tcPr>
          <w:p w:rsidR="005301E3" w:rsidRPr="00B14AD5" w:rsidRDefault="005301E3" w:rsidP="00DE41A6">
            <w:pPr>
              <w:jc w:val="right"/>
            </w:pPr>
            <w:r w:rsidRPr="00B14AD5">
              <w:t>0</w:t>
            </w:r>
          </w:p>
        </w:tc>
        <w:tc>
          <w:tcPr>
            <w:tcW w:w="1267" w:type="dxa"/>
            <w:noWrap/>
            <w:vAlign w:val="center"/>
          </w:tcPr>
          <w:p w:rsidR="005301E3" w:rsidRPr="00B14AD5" w:rsidRDefault="005301E3" w:rsidP="00DE41A6">
            <w:pPr>
              <w:jc w:val="right"/>
            </w:pPr>
            <w:r w:rsidRPr="00B14AD5">
              <w:t>0</w:t>
            </w:r>
          </w:p>
        </w:tc>
        <w:tc>
          <w:tcPr>
            <w:tcW w:w="1267" w:type="dxa"/>
            <w:noWrap/>
            <w:vAlign w:val="center"/>
          </w:tcPr>
          <w:p w:rsidR="005301E3" w:rsidRPr="00B14AD5" w:rsidRDefault="005301E3" w:rsidP="00DE41A6">
            <w:pPr>
              <w:jc w:val="right"/>
            </w:pPr>
            <w:r w:rsidRPr="00B14AD5">
              <w:t>0</w:t>
            </w:r>
          </w:p>
        </w:tc>
      </w:tr>
      <w:tr w:rsidR="005301E3" w:rsidRPr="00B14AD5" w:rsidTr="00DE41A6">
        <w:trPr>
          <w:trHeight w:val="70"/>
          <w:jc w:val="center"/>
        </w:trPr>
        <w:tc>
          <w:tcPr>
            <w:tcW w:w="4661" w:type="dxa"/>
            <w:noWrap/>
            <w:vAlign w:val="center"/>
          </w:tcPr>
          <w:p w:rsidR="005301E3" w:rsidRPr="00B14AD5" w:rsidRDefault="005301E3" w:rsidP="00DE41A6">
            <w:pPr>
              <w:rPr>
                <w:b/>
                <w:bCs/>
                <w:i/>
                <w:iCs/>
              </w:rPr>
            </w:pPr>
            <w:r w:rsidRPr="00B14AD5">
              <w:rPr>
                <w:b/>
                <w:bCs/>
                <w:i/>
                <w:iCs/>
              </w:rPr>
              <w:t xml:space="preserve">z toho:  </w:t>
            </w:r>
          </w:p>
        </w:tc>
        <w:tc>
          <w:tcPr>
            <w:tcW w:w="1267" w:type="dxa"/>
            <w:noWrap/>
            <w:vAlign w:val="center"/>
          </w:tcPr>
          <w:p w:rsidR="005301E3" w:rsidRPr="00B14AD5" w:rsidRDefault="005301E3" w:rsidP="00DE41A6">
            <w:pPr>
              <w:jc w:val="right"/>
              <w:rPr>
                <w:b/>
                <w:bCs/>
                <w:iCs/>
              </w:rPr>
            </w:pPr>
          </w:p>
        </w:tc>
        <w:tc>
          <w:tcPr>
            <w:tcW w:w="1267" w:type="dxa"/>
            <w:noWrap/>
            <w:vAlign w:val="center"/>
          </w:tcPr>
          <w:p w:rsidR="005301E3" w:rsidRPr="00B14AD5" w:rsidRDefault="005301E3" w:rsidP="00DE41A6">
            <w:pPr>
              <w:jc w:val="right"/>
              <w:rPr>
                <w:b/>
                <w:bCs/>
                <w:iCs/>
              </w:rPr>
            </w:pPr>
          </w:p>
        </w:tc>
        <w:tc>
          <w:tcPr>
            <w:tcW w:w="1267" w:type="dxa"/>
            <w:noWrap/>
            <w:vAlign w:val="center"/>
          </w:tcPr>
          <w:p w:rsidR="005301E3" w:rsidRPr="00B14AD5" w:rsidRDefault="005301E3" w:rsidP="00DE41A6">
            <w:pPr>
              <w:jc w:val="right"/>
              <w:rPr>
                <w:b/>
                <w:bCs/>
                <w:iCs/>
              </w:rPr>
            </w:pPr>
          </w:p>
        </w:tc>
        <w:tc>
          <w:tcPr>
            <w:tcW w:w="1267" w:type="dxa"/>
            <w:noWrap/>
            <w:vAlign w:val="center"/>
          </w:tcPr>
          <w:p w:rsidR="005301E3" w:rsidRPr="00B14AD5" w:rsidRDefault="005301E3" w:rsidP="00DE41A6">
            <w:pPr>
              <w:jc w:val="right"/>
              <w:rPr>
                <w:b/>
                <w:bCs/>
                <w:iCs/>
              </w:rPr>
            </w:pPr>
          </w:p>
        </w:tc>
      </w:tr>
      <w:tr w:rsidR="005301E3" w:rsidRPr="00B14AD5" w:rsidTr="00DE41A6">
        <w:trPr>
          <w:trHeight w:val="125"/>
          <w:jc w:val="center"/>
        </w:trPr>
        <w:tc>
          <w:tcPr>
            <w:tcW w:w="4661" w:type="dxa"/>
            <w:noWrap/>
            <w:vAlign w:val="center"/>
          </w:tcPr>
          <w:p w:rsidR="005301E3" w:rsidRPr="00B14AD5" w:rsidRDefault="005301E3" w:rsidP="00DE41A6">
            <w:pPr>
              <w:rPr>
                <w:b/>
                <w:bCs/>
                <w:i/>
                <w:iCs/>
              </w:rPr>
            </w:pPr>
            <w:r w:rsidRPr="00B14AD5">
              <w:rPr>
                <w:b/>
                <w:bCs/>
                <w:i/>
                <w:iCs/>
              </w:rPr>
              <w:t>- vplyv na ŠR</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r>
      <w:tr w:rsidR="005301E3" w:rsidRPr="00B14AD5" w:rsidTr="00DE41A6">
        <w:trPr>
          <w:trHeight w:val="125"/>
          <w:jc w:val="center"/>
        </w:trPr>
        <w:tc>
          <w:tcPr>
            <w:tcW w:w="4661" w:type="dxa"/>
            <w:noWrap/>
            <w:vAlign w:val="center"/>
          </w:tcPr>
          <w:p w:rsidR="005301E3" w:rsidRPr="00B14AD5" w:rsidRDefault="005301E3" w:rsidP="00DE41A6">
            <w:pPr>
              <w:ind w:left="259"/>
              <w:rPr>
                <w:b/>
                <w:bCs/>
                <w:i/>
                <w:iCs/>
              </w:rPr>
            </w:pPr>
            <w:r w:rsidRPr="00B14AD5">
              <w:rPr>
                <w:bCs/>
                <w:i/>
                <w:iCs/>
              </w:rPr>
              <w:t>Rozpočtové prostriedky</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r>
      <w:tr w:rsidR="005301E3" w:rsidRPr="00B14AD5" w:rsidTr="00DE41A6">
        <w:trPr>
          <w:trHeight w:val="125"/>
          <w:jc w:val="center"/>
        </w:trPr>
        <w:tc>
          <w:tcPr>
            <w:tcW w:w="4661" w:type="dxa"/>
            <w:noWrap/>
            <w:vAlign w:val="center"/>
          </w:tcPr>
          <w:p w:rsidR="005301E3" w:rsidRPr="00B14AD5" w:rsidRDefault="005301E3" w:rsidP="00DE41A6">
            <w:pPr>
              <w:ind w:left="259"/>
              <w:rPr>
                <w:bCs/>
                <w:i/>
                <w:iCs/>
              </w:rPr>
            </w:pPr>
            <w:r w:rsidRPr="00B14AD5">
              <w:rPr>
                <w:bCs/>
                <w:i/>
                <w:iCs/>
              </w:rPr>
              <w:t>EÚ zdroje</w:t>
            </w:r>
          </w:p>
        </w:tc>
        <w:tc>
          <w:tcPr>
            <w:tcW w:w="1267" w:type="dxa"/>
            <w:noWrap/>
            <w:vAlign w:val="center"/>
          </w:tcPr>
          <w:p w:rsidR="005301E3" w:rsidRPr="00B14AD5" w:rsidRDefault="005301E3" w:rsidP="00DE41A6">
            <w:pPr>
              <w:jc w:val="right"/>
            </w:pPr>
            <w:r w:rsidRPr="00B14AD5">
              <w:t>0</w:t>
            </w:r>
          </w:p>
        </w:tc>
        <w:tc>
          <w:tcPr>
            <w:tcW w:w="1267" w:type="dxa"/>
            <w:noWrap/>
            <w:vAlign w:val="center"/>
          </w:tcPr>
          <w:p w:rsidR="005301E3" w:rsidRPr="00B14AD5" w:rsidRDefault="005301E3" w:rsidP="00DE41A6">
            <w:pPr>
              <w:jc w:val="right"/>
            </w:pPr>
            <w:r w:rsidRPr="00B14AD5">
              <w:t>0</w:t>
            </w:r>
          </w:p>
        </w:tc>
        <w:tc>
          <w:tcPr>
            <w:tcW w:w="1267" w:type="dxa"/>
            <w:noWrap/>
            <w:vAlign w:val="center"/>
          </w:tcPr>
          <w:p w:rsidR="005301E3" w:rsidRPr="00B14AD5" w:rsidRDefault="005301E3" w:rsidP="00DE41A6">
            <w:pPr>
              <w:jc w:val="right"/>
            </w:pPr>
            <w:r w:rsidRPr="00B14AD5">
              <w:t>0</w:t>
            </w:r>
          </w:p>
        </w:tc>
        <w:tc>
          <w:tcPr>
            <w:tcW w:w="1267" w:type="dxa"/>
            <w:noWrap/>
            <w:vAlign w:val="center"/>
          </w:tcPr>
          <w:p w:rsidR="005301E3" w:rsidRPr="00B14AD5" w:rsidRDefault="005301E3" w:rsidP="00DE41A6">
            <w:pPr>
              <w:jc w:val="right"/>
            </w:pPr>
            <w:r w:rsidRPr="00B14AD5">
              <w:t>0</w:t>
            </w:r>
          </w:p>
        </w:tc>
      </w:tr>
      <w:tr w:rsidR="005301E3" w:rsidRPr="00B14AD5" w:rsidTr="00DE41A6">
        <w:trPr>
          <w:trHeight w:val="125"/>
          <w:jc w:val="center"/>
        </w:trPr>
        <w:tc>
          <w:tcPr>
            <w:tcW w:w="4661" w:type="dxa"/>
            <w:noWrap/>
            <w:vAlign w:val="center"/>
          </w:tcPr>
          <w:p w:rsidR="005301E3" w:rsidRPr="00B14AD5" w:rsidRDefault="005301E3" w:rsidP="00DE41A6">
            <w:pPr>
              <w:rPr>
                <w:b/>
                <w:bCs/>
                <w:i/>
                <w:iCs/>
              </w:rPr>
            </w:pPr>
            <w:r w:rsidRPr="00B14AD5">
              <w:rPr>
                <w:b/>
                <w:bCs/>
                <w:i/>
                <w:iCs/>
              </w:rPr>
              <w:t>- vplyv na obce</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r>
      <w:tr w:rsidR="005301E3" w:rsidRPr="00B14AD5" w:rsidTr="00DE41A6">
        <w:trPr>
          <w:trHeight w:val="125"/>
          <w:jc w:val="center"/>
        </w:trPr>
        <w:tc>
          <w:tcPr>
            <w:tcW w:w="4661" w:type="dxa"/>
            <w:noWrap/>
            <w:vAlign w:val="center"/>
          </w:tcPr>
          <w:p w:rsidR="005301E3" w:rsidRPr="00B14AD5" w:rsidRDefault="005301E3" w:rsidP="00DE41A6">
            <w:pPr>
              <w:rPr>
                <w:b/>
                <w:bCs/>
                <w:i/>
                <w:iCs/>
              </w:rPr>
            </w:pPr>
            <w:r w:rsidRPr="00B14AD5">
              <w:rPr>
                <w:b/>
                <w:bCs/>
                <w:i/>
                <w:iCs/>
              </w:rPr>
              <w:t>- vplyv na vyššie územné celky</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r>
      <w:tr w:rsidR="005301E3" w:rsidRPr="00B14AD5" w:rsidTr="00DE41A6">
        <w:trPr>
          <w:trHeight w:val="125"/>
          <w:jc w:val="center"/>
        </w:trPr>
        <w:tc>
          <w:tcPr>
            <w:tcW w:w="4661" w:type="dxa"/>
            <w:noWrap/>
            <w:vAlign w:val="center"/>
          </w:tcPr>
          <w:p w:rsidR="005301E3" w:rsidRPr="00B14AD5" w:rsidRDefault="005301E3" w:rsidP="00DE41A6">
            <w:pPr>
              <w:rPr>
                <w:b/>
                <w:bCs/>
                <w:i/>
                <w:iCs/>
              </w:rPr>
            </w:pPr>
            <w:r w:rsidRPr="00B14AD5">
              <w:rPr>
                <w:b/>
                <w:bCs/>
                <w:i/>
                <w:iCs/>
              </w:rPr>
              <w:t>- vplyv na ostatné subjekty verejnej správy</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r>
      <w:tr w:rsidR="005301E3" w:rsidRPr="00B14AD5" w:rsidTr="00DE41A6">
        <w:trPr>
          <w:trHeight w:val="125"/>
          <w:jc w:val="center"/>
        </w:trPr>
        <w:tc>
          <w:tcPr>
            <w:tcW w:w="4661" w:type="dxa"/>
            <w:shd w:val="clear" w:color="auto" w:fill="C0C0C0"/>
            <w:noWrap/>
            <w:vAlign w:val="center"/>
          </w:tcPr>
          <w:p w:rsidR="005301E3" w:rsidRPr="00B14AD5" w:rsidRDefault="005301E3" w:rsidP="00DE41A6">
            <w:pPr>
              <w:rPr>
                <w:b/>
                <w:bCs/>
              </w:rPr>
            </w:pPr>
            <w:r w:rsidRPr="00B14AD5">
              <w:rPr>
                <w:b/>
                <w:bCs/>
              </w:rPr>
              <w:t>Výdavky verejnej správy celkom</w:t>
            </w:r>
          </w:p>
        </w:tc>
        <w:tc>
          <w:tcPr>
            <w:tcW w:w="1267" w:type="dxa"/>
            <w:shd w:val="clear" w:color="auto" w:fill="C0C0C0"/>
            <w:noWrap/>
            <w:vAlign w:val="bottom"/>
          </w:tcPr>
          <w:p w:rsidR="005301E3" w:rsidRPr="00866454" w:rsidRDefault="005301E3" w:rsidP="00DE41A6">
            <w:pPr>
              <w:jc w:val="right"/>
              <w:rPr>
                <w:b/>
                <w:bCs/>
              </w:rPr>
            </w:pPr>
            <w:r w:rsidRPr="00AF0961">
              <w:rPr>
                <w:b/>
                <w:bCs/>
              </w:rPr>
              <w:t>413 030</w:t>
            </w:r>
          </w:p>
        </w:tc>
        <w:tc>
          <w:tcPr>
            <w:tcW w:w="1267" w:type="dxa"/>
            <w:shd w:val="clear" w:color="auto" w:fill="C0C0C0"/>
            <w:noWrap/>
            <w:vAlign w:val="bottom"/>
          </w:tcPr>
          <w:p w:rsidR="005301E3" w:rsidRPr="00866454" w:rsidRDefault="005301E3" w:rsidP="00DE41A6">
            <w:pPr>
              <w:jc w:val="right"/>
              <w:rPr>
                <w:b/>
                <w:bCs/>
              </w:rPr>
            </w:pPr>
            <w:r w:rsidRPr="00AF0961">
              <w:rPr>
                <w:b/>
                <w:bCs/>
              </w:rPr>
              <w:t>1 621 169</w:t>
            </w:r>
          </w:p>
        </w:tc>
        <w:tc>
          <w:tcPr>
            <w:tcW w:w="1267" w:type="dxa"/>
            <w:shd w:val="clear" w:color="auto" w:fill="C0C0C0"/>
            <w:noWrap/>
            <w:vAlign w:val="bottom"/>
          </w:tcPr>
          <w:p w:rsidR="005301E3" w:rsidRPr="00866454" w:rsidRDefault="005301E3" w:rsidP="00DE41A6">
            <w:pPr>
              <w:jc w:val="right"/>
              <w:rPr>
                <w:b/>
                <w:bCs/>
              </w:rPr>
            </w:pPr>
            <w:r w:rsidRPr="00AF0961">
              <w:rPr>
                <w:b/>
                <w:bCs/>
              </w:rPr>
              <w:t>2 461 939</w:t>
            </w:r>
          </w:p>
        </w:tc>
        <w:tc>
          <w:tcPr>
            <w:tcW w:w="1267" w:type="dxa"/>
            <w:shd w:val="clear" w:color="auto" w:fill="C0C0C0"/>
            <w:noWrap/>
            <w:vAlign w:val="bottom"/>
          </w:tcPr>
          <w:p w:rsidR="005301E3" w:rsidRPr="00866454" w:rsidRDefault="005301E3" w:rsidP="00DE41A6">
            <w:pPr>
              <w:jc w:val="right"/>
              <w:rPr>
                <w:b/>
                <w:bCs/>
              </w:rPr>
            </w:pPr>
            <w:r w:rsidRPr="00AF0961">
              <w:rPr>
                <w:b/>
                <w:bCs/>
              </w:rPr>
              <w:t>2 461 939</w:t>
            </w:r>
          </w:p>
        </w:tc>
      </w:tr>
      <w:tr w:rsidR="005301E3" w:rsidRPr="00B14AD5" w:rsidTr="00DE41A6">
        <w:trPr>
          <w:trHeight w:val="70"/>
          <w:jc w:val="center"/>
        </w:trPr>
        <w:tc>
          <w:tcPr>
            <w:tcW w:w="4661" w:type="dxa"/>
            <w:noWrap/>
            <w:vAlign w:val="center"/>
          </w:tcPr>
          <w:p w:rsidR="005301E3" w:rsidRPr="00B14AD5" w:rsidRDefault="005301E3" w:rsidP="00DE41A6">
            <w:r w:rsidRPr="00B14AD5">
              <w:t xml:space="preserve">v tom: </w:t>
            </w:r>
            <w:r>
              <w:t>Rada pre mediálne služby</w:t>
            </w:r>
          </w:p>
        </w:tc>
        <w:tc>
          <w:tcPr>
            <w:tcW w:w="1267" w:type="dxa"/>
            <w:noWrap/>
            <w:vAlign w:val="bottom"/>
          </w:tcPr>
          <w:p w:rsidR="005301E3" w:rsidRPr="00AF0961" w:rsidRDefault="005301E3" w:rsidP="00DE41A6">
            <w:pPr>
              <w:jc w:val="right"/>
              <w:rPr>
                <w:b/>
                <w:bCs/>
              </w:rPr>
            </w:pPr>
            <w:r w:rsidRPr="00AF0961">
              <w:rPr>
                <w:b/>
                <w:bCs/>
              </w:rPr>
              <w:t>413 030</w:t>
            </w:r>
          </w:p>
        </w:tc>
        <w:tc>
          <w:tcPr>
            <w:tcW w:w="1267" w:type="dxa"/>
            <w:noWrap/>
            <w:vAlign w:val="bottom"/>
          </w:tcPr>
          <w:p w:rsidR="005301E3" w:rsidRPr="00AF0961" w:rsidRDefault="005301E3" w:rsidP="00DE41A6">
            <w:pPr>
              <w:jc w:val="right"/>
              <w:rPr>
                <w:b/>
                <w:bCs/>
              </w:rPr>
            </w:pPr>
            <w:r w:rsidRPr="00AF0961">
              <w:rPr>
                <w:b/>
                <w:bCs/>
              </w:rPr>
              <w:t>1 621 169</w:t>
            </w:r>
          </w:p>
        </w:tc>
        <w:tc>
          <w:tcPr>
            <w:tcW w:w="1267" w:type="dxa"/>
            <w:noWrap/>
            <w:vAlign w:val="bottom"/>
          </w:tcPr>
          <w:p w:rsidR="005301E3" w:rsidRPr="00AF0961" w:rsidRDefault="005301E3" w:rsidP="00DE41A6">
            <w:pPr>
              <w:jc w:val="right"/>
              <w:rPr>
                <w:b/>
                <w:bCs/>
              </w:rPr>
            </w:pPr>
            <w:r w:rsidRPr="00AF0961">
              <w:rPr>
                <w:b/>
                <w:bCs/>
              </w:rPr>
              <w:t>2 461 939</w:t>
            </w:r>
          </w:p>
        </w:tc>
        <w:tc>
          <w:tcPr>
            <w:tcW w:w="1267" w:type="dxa"/>
            <w:noWrap/>
            <w:vAlign w:val="bottom"/>
          </w:tcPr>
          <w:p w:rsidR="005301E3" w:rsidRPr="00AF0961" w:rsidRDefault="005301E3" w:rsidP="00DE41A6">
            <w:pPr>
              <w:jc w:val="right"/>
              <w:rPr>
                <w:b/>
                <w:bCs/>
              </w:rPr>
            </w:pPr>
            <w:r w:rsidRPr="00AF0961">
              <w:rPr>
                <w:b/>
                <w:bCs/>
              </w:rPr>
              <w:t>2 461 939</w:t>
            </w:r>
          </w:p>
        </w:tc>
      </w:tr>
      <w:tr w:rsidR="005301E3" w:rsidRPr="00B14AD5" w:rsidTr="00DE41A6">
        <w:trPr>
          <w:trHeight w:val="70"/>
          <w:jc w:val="center"/>
        </w:trPr>
        <w:tc>
          <w:tcPr>
            <w:tcW w:w="4661" w:type="dxa"/>
            <w:noWrap/>
            <w:vAlign w:val="center"/>
          </w:tcPr>
          <w:p w:rsidR="005301E3" w:rsidRPr="00B14AD5" w:rsidRDefault="005301E3" w:rsidP="00DE41A6">
            <w:pPr>
              <w:rPr>
                <w:b/>
                <w:bCs/>
                <w:i/>
                <w:iCs/>
              </w:rPr>
            </w:pPr>
            <w:r w:rsidRPr="00B14AD5">
              <w:rPr>
                <w:b/>
                <w:bCs/>
                <w:i/>
                <w:iCs/>
              </w:rPr>
              <w:t xml:space="preserve">z toho: </w:t>
            </w:r>
          </w:p>
        </w:tc>
        <w:tc>
          <w:tcPr>
            <w:tcW w:w="1267" w:type="dxa"/>
            <w:noWrap/>
            <w:vAlign w:val="center"/>
          </w:tcPr>
          <w:p w:rsidR="005301E3" w:rsidRPr="00AF0961" w:rsidRDefault="005301E3" w:rsidP="00DE41A6">
            <w:pPr>
              <w:jc w:val="right"/>
              <w:rPr>
                <w:b/>
                <w:bCs/>
              </w:rPr>
            </w:pPr>
          </w:p>
        </w:tc>
        <w:tc>
          <w:tcPr>
            <w:tcW w:w="1267" w:type="dxa"/>
            <w:noWrap/>
            <w:vAlign w:val="center"/>
          </w:tcPr>
          <w:p w:rsidR="005301E3" w:rsidRPr="00AF0961" w:rsidRDefault="005301E3" w:rsidP="00DE41A6">
            <w:pPr>
              <w:jc w:val="right"/>
              <w:rPr>
                <w:b/>
                <w:bCs/>
              </w:rPr>
            </w:pPr>
          </w:p>
        </w:tc>
        <w:tc>
          <w:tcPr>
            <w:tcW w:w="1267" w:type="dxa"/>
            <w:noWrap/>
            <w:vAlign w:val="center"/>
          </w:tcPr>
          <w:p w:rsidR="005301E3" w:rsidRPr="00AF0961" w:rsidRDefault="005301E3" w:rsidP="00DE41A6">
            <w:pPr>
              <w:jc w:val="right"/>
              <w:rPr>
                <w:b/>
                <w:bCs/>
              </w:rPr>
            </w:pPr>
          </w:p>
        </w:tc>
        <w:tc>
          <w:tcPr>
            <w:tcW w:w="1267" w:type="dxa"/>
            <w:noWrap/>
            <w:vAlign w:val="center"/>
          </w:tcPr>
          <w:p w:rsidR="005301E3" w:rsidRPr="00AF0961" w:rsidRDefault="005301E3" w:rsidP="00DE41A6">
            <w:pPr>
              <w:jc w:val="right"/>
              <w:rPr>
                <w:b/>
                <w:bCs/>
              </w:rPr>
            </w:pPr>
          </w:p>
        </w:tc>
      </w:tr>
      <w:tr w:rsidR="005301E3" w:rsidRPr="00B14AD5" w:rsidTr="00DE41A6">
        <w:trPr>
          <w:trHeight w:val="70"/>
          <w:jc w:val="center"/>
        </w:trPr>
        <w:tc>
          <w:tcPr>
            <w:tcW w:w="4661" w:type="dxa"/>
            <w:noWrap/>
            <w:vAlign w:val="center"/>
          </w:tcPr>
          <w:p w:rsidR="005301E3" w:rsidRPr="00B14AD5" w:rsidRDefault="005301E3" w:rsidP="00DE41A6">
            <w:pPr>
              <w:rPr>
                <w:b/>
                <w:bCs/>
                <w:i/>
                <w:iCs/>
              </w:rPr>
            </w:pPr>
            <w:r w:rsidRPr="00B14AD5">
              <w:rPr>
                <w:b/>
                <w:bCs/>
                <w:i/>
                <w:iCs/>
              </w:rPr>
              <w:t>- vplyv na ŠR</w:t>
            </w:r>
          </w:p>
        </w:tc>
        <w:tc>
          <w:tcPr>
            <w:tcW w:w="1267" w:type="dxa"/>
            <w:noWrap/>
            <w:vAlign w:val="bottom"/>
          </w:tcPr>
          <w:p w:rsidR="005301E3" w:rsidRPr="00AF0961" w:rsidRDefault="005301E3" w:rsidP="00DE41A6">
            <w:pPr>
              <w:jc w:val="right"/>
              <w:rPr>
                <w:b/>
                <w:bCs/>
              </w:rPr>
            </w:pPr>
            <w:r w:rsidRPr="00AF0961">
              <w:rPr>
                <w:b/>
                <w:bCs/>
              </w:rPr>
              <w:t>413 030</w:t>
            </w:r>
          </w:p>
        </w:tc>
        <w:tc>
          <w:tcPr>
            <w:tcW w:w="1267" w:type="dxa"/>
            <w:noWrap/>
            <w:vAlign w:val="bottom"/>
          </w:tcPr>
          <w:p w:rsidR="005301E3" w:rsidRPr="00AF0961" w:rsidRDefault="005301E3" w:rsidP="00DE41A6">
            <w:pPr>
              <w:jc w:val="right"/>
              <w:rPr>
                <w:b/>
                <w:bCs/>
              </w:rPr>
            </w:pPr>
            <w:r w:rsidRPr="00AF0961">
              <w:rPr>
                <w:b/>
                <w:bCs/>
              </w:rPr>
              <w:t>1 621 169</w:t>
            </w:r>
          </w:p>
        </w:tc>
        <w:tc>
          <w:tcPr>
            <w:tcW w:w="1267" w:type="dxa"/>
            <w:noWrap/>
            <w:vAlign w:val="bottom"/>
          </w:tcPr>
          <w:p w:rsidR="005301E3" w:rsidRPr="00AF0961" w:rsidRDefault="005301E3" w:rsidP="00DE41A6">
            <w:pPr>
              <w:jc w:val="right"/>
              <w:rPr>
                <w:b/>
                <w:bCs/>
              </w:rPr>
            </w:pPr>
            <w:r w:rsidRPr="00AF0961">
              <w:rPr>
                <w:b/>
                <w:bCs/>
              </w:rPr>
              <w:t>2 461 939</w:t>
            </w:r>
          </w:p>
        </w:tc>
        <w:tc>
          <w:tcPr>
            <w:tcW w:w="1267" w:type="dxa"/>
            <w:noWrap/>
            <w:vAlign w:val="bottom"/>
          </w:tcPr>
          <w:p w:rsidR="005301E3" w:rsidRPr="00AF0961" w:rsidRDefault="005301E3" w:rsidP="00DE41A6">
            <w:pPr>
              <w:jc w:val="right"/>
              <w:rPr>
                <w:b/>
                <w:bCs/>
              </w:rPr>
            </w:pPr>
            <w:r w:rsidRPr="00AF0961">
              <w:rPr>
                <w:b/>
                <w:bCs/>
              </w:rPr>
              <w:t>2 461 939</w:t>
            </w:r>
          </w:p>
        </w:tc>
      </w:tr>
      <w:tr w:rsidR="005301E3" w:rsidRPr="00B14AD5" w:rsidTr="00DE41A6">
        <w:trPr>
          <w:trHeight w:val="70"/>
          <w:jc w:val="center"/>
        </w:trPr>
        <w:tc>
          <w:tcPr>
            <w:tcW w:w="4661" w:type="dxa"/>
            <w:noWrap/>
            <w:vAlign w:val="center"/>
          </w:tcPr>
          <w:p w:rsidR="005301E3" w:rsidRPr="00B14AD5" w:rsidRDefault="005301E3" w:rsidP="00DE41A6">
            <w:pPr>
              <w:ind w:left="259"/>
              <w:rPr>
                <w:b/>
                <w:bCs/>
                <w:i/>
                <w:iCs/>
              </w:rPr>
            </w:pPr>
            <w:r w:rsidRPr="00B14AD5">
              <w:rPr>
                <w:bCs/>
                <w:i/>
                <w:iCs/>
              </w:rPr>
              <w:t>Rozpočtové prostriedky</w:t>
            </w:r>
          </w:p>
        </w:tc>
        <w:tc>
          <w:tcPr>
            <w:tcW w:w="1267" w:type="dxa"/>
            <w:noWrap/>
            <w:vAlign w:val="bottom"/>
          </w:tcPr>
          <w:p w:rsidR="005301E3" w:rsidRPr="00AF0961" w:rsidRDefault="005301E3" w:rsidP="00DE41A6">
            <w:pPr>
              <w:jc w:val="right"/>
              <w:rPr>
                <w:b/>
                <w:bCs/>
              </w:rPr>
            </w:pPr>
            <w:r w:rsidRPr="00AF0961">
              <w:rPr>
                <w:b/>
                <w:bCs/>
              </w:rPr>
              <w:t>413 030</w:t>
            </w:r>
          </w:p>
        </w:tc>
        <w:tc>
          <w:tcPr>
            <w:tcW w:w="1267" w:type="dxa"/>
            <w:noWrap/>
            <w:vAlign w:val="bottom"/>
          </w:tcPr>
          <w:p w:rsidR="005301E3" w:rsidRPr="00AF0961" w:rsidRDefault="005301E3" w:rsidP="00DE41A6">
            <w:pPr>
              <w:jc w:val="right"/>
              <w:rPr>
                <w:b/>
                <w:bCs/>
              </w:rPr>
            </w:pPr>
            <w:r w:rsidRPr="00AF0961">
              <w:rPr>
                <w:b/>
                <w:bCs/>
              </w:rPr>
              <w:t>1 621 169</w:t>
            </w:r>
          </w:p>
        </w:tc>
        <w:tc>
          <w:tcPr>
            <w:tcW w:w="1267" w:type="dxa"/>
            <w:noWrap/>
            <w:vAlign w:val="bottom"/>
          </w:tcPr>
          <w:p w:rsidR="005301E3" w:rsidRPr="00AF0961" w:rsidRDefault="005301E3" w:rsidP="00DE41A6">
            <w:pPr>
              <w:jc w:val="right"/>
              <w:rPr>
                <w:b/>
                <w:bCs/>
              </w:rPr>
            </w:pPr>
            <w:r w:rsidRPr="00AF0961">
              <w:rPr>
                <w:b/>
                <w:bCs/>
              </w:rPr>
              <w:t>2 461 939</w:t>
            </w:r>
          </w:p>
        </w:tc>
        <w:tc>
          <w:tcPr>
            <w:tcW w:w="1267" w:type="dxa"/>
            <w:noWrap/>
            <w:vAlign w:val="bottom"/>
          </w:tcPr>
          <w:p w:rsidR="005301E3" w:rsidRPr="00AF0961" w:rsidRDefault="005301E3" w:rsidP="00DE41A6">
            <w:pPr>
              <w:jc w:val="right"/>
              <w:rPr>
                <w:b/>
                <w:bCs/>
              </w:rPr>
            </w:pPr>
            <w:r w:rsidRPr="00AF0961">
              <w:rPr>
                <w:b/>
                <w:bCs/>
              </w:rPr>
              <w:t>2 461 939</w:t>
            </w:r>
          </w:p>
        </w:tc>
      </w:tr>
      <w:tr w:rsidR="005301E3" w:rsidRPr="00B14AD5" w:rsidTr="00DE41A6">
        <w:trPr>
          <w:trHeight w:val="70"/>
          <w:jc w:val="center"/>
        </w:trPr>
        <w:tc>
          <w:tcPr>
            <w:tcW w:w="4661" w:type="dxa"/>
            <w:noWrap/>
            <w:vAlign w:val="center"/>
          </w:tcPr>
          <w:p w:rsidR="005301E3" w:rsidRPr="00B14AD5" w:rsidRDefault="005301E3" w:rsidP="00DE41A6">
            <w:pPr>
              <w:rPr>
                <w:bCs/>
                <w:i/>
                <w:iCs/>
              </w:rPr>
            </w:pPr>
            <w:r w:rsidRPr="00B14AD5">
              <w:rPr>
                <w:bCs/>
                <w:i/>
                <w:iCs/>
              </w:rPr>
              <w:t xml:space="preserve">    EÚ zdroje</w:t>
            </w:r>
          </w:p>
        </w:tc>
        <w:tc>
          <w:tcPr>
            <w:tcW w:w="1267" w:type="dxa"/>
            <w:noWrap/>
            <w:vAlign w:val="center"/>
          </w:tcPr>
          <w:p w:rsidR="005301E3" w:rsidRPr="00845E05" w:rsidRDefault="005301E3" w:rsidP="00DE41A6">
            <w:pPr>
              <w:jc w:val="right"/>
            </w:pPr>
            <w:r w:rsidRPr="00845E05">
              <w:t>0</w:t>
            </w:r>
          </w:p>
        </w:tc>
        <w:tc>
          <w:tcPr>
            <w:tcW w:w="1267" w:type="dxa"/>
            <w:noWrap/>
            <w:vAlign w:val="center"/>
          </w:tcPr>
          <w:p w:rsidR="005301E3" w:rsidRPr="00B14AD5" w:rsidRDefault="005301E3" w:rsidP="00DE41A6">
            <w:pPr>
              <w:jc w:val="right"/>
            </w:pPr>
            <w:r w:rsidRPr="00B14AD5">
              <w:t>0</w:t>
            </w:r>
          </w:p>
        </w:tc>
        <w:tc>
          <w:tcPr>
            <w:tcW w:w="1267" w:type="dxa"/>
            <w:noWrap/>
            <w:vAlign w:val="center"/>
          </w:tcPr>
          <w:p w:rsidR="005301E3" w:rsidRPr="00B14AD5" w:rsidRDefault="005301E3" w:rsidP="00DE41A6">
            <w:pPr>
              <w:jc w:val="right"/>
            </w:pPr>
            <w:r w:rsidRPr="00B14AD5">
              <w:t>0</w:t>
            </w:r>
          </w:p>
        </w:tc>
        <w:tc>
          <w:tcPr>
            <w:tcW w:w="1267" w:type="dxa"/>
            <w:noWrap/>
            <w:vAlign w:val="center"/>
          </w:tcPr>
          <w:p w:rsidR="005301E3" w:rsidRPr="00B14AD5" w:rsidRDefault="005301E3" w:rsidP="00DE41A6">
            <w:pPr>
              <w:jc w:val="right"/>
            </w:pPr>
            <w:r w:rsidRPr="00B14AD5">
              <w:t>0</w:t>
            </w:r>
          </w:p>
        </w:tc>
      </w:tr>
      <w:tr w:rsidR="005301E3" w:rsidRPr="00B14AD5" w:rsidTr="00DE41A6">
        <w:trPr>
          <w:trHeight w:val="70"/>
          <w:jc w:val="center"/>
        </w:trPr>
        <w:tc>
          <w:tcPr>
            <w:tcW w:w="4661" w:type="dxa"/>
            <w:noWrap/>
            <w:vAlign w:val="center"/>
          </w:tcPr>
          <w:p w:rsidR="005301E3" w:rsidRPr="00B14AD5" w:rsidRDefault="005301E3" w:rsidP="00DE41A6">
            <w:pPr>
              <w:rPr>
                <w:bCs/>
                <w:i/>
                <w:iCs/>
              </w:rPr>
            </w:pPr>
            <w:r w:rsidRPr="00B14AD5">
              <w:rPr>
                <w:bCs/>
                <w:i/>
                <w:iCs/>
              </w:rPr>
              <w:t xml:space="preserve">    Spolufinancovanie</w:t>
            </w:r>
          </w:p>
        </w:tc>
        <w:tc>
          <w:tcPr>
            <w:tcW w:w="1267" w:type="dxa"/>
            <w:noWrap/>
            <w:vAlign w:val="center"/>
          </w:tcPr>
          <w:p w:rsidR="005301E3" w:rsidRPr="00845E05" w:rsidRDefault="005301E3" w:rsidP="00DE41A6">
            <w:pPr>
              <w:jc w:val="right"/>
            </w:pPr>
            <w:r w:rsidRPr="00845E05">
              <w:t>0</w:t>
            </w:r>
          </w:p>
        </w:tc>
        <w:tc>
          <w:tcPr>
            <w:tcW w:w="1267" w:type="dxa"/>
            <w:noWrap/>
            <w:vAlign w:val="center"/>
          </w:tcPr>
          <w:p w:rsidR="005301E3" w:rsidRPr="00B14AD5" w:rsidRDefault="005301E3" w:rsidP="00DE41A6">
            <w:pPr>
              <w:jc w:val="right"/>
            </w:pPr>
            <w:r w:rsidRPr="00B14AD5">
              <w:t>0</w:t>
            </w:r>
          </w:p>
        </w:tc>
        <w:tc>
          <w:tcPr>
            <w:tcW w:w="1267" w:type="dxa"/>
            <w:noWrap/>
            <w:vAlign w:val="center"/>
          </w:tcPr>
          <w:p w:rsidR="005301E3" w:rsidRPr="00B14AD5" w:rsidRDefault="005301E3" w:rsidP="00DE41A6">
            <w:pPr>
              <w:jc w:val="right"/>
            </w:pPr>
            <w:r w:rsidRPr="00B14AD5">
              <w:t>0</w:t>
            </w:r>
          </w:p>
        </w:tc>
        <w:tc>
          <w:tcPr>
            <w:tcW w:w="1267" w:type="dxa"/>
            <w:noWrap/>
            <w:vAlign w:val="center"/>
          </w:tcPr>
          <w:p w:rsidR="005301E3" w:rsidRPr="00B14AD5" w:rsidRDefault="005301E3" w:rsidP="00DE41A6">
            <w:pPr>
              <w:jc w:val="right"/>
            </w:pPr>
            <w:r w:rsidRPr="00B14AD5">
              <w:t>0</w:t>
            </w:r>
          </w:p>
        </w:tc>
      </w:tr>
      <w:tr w:rsidR="005301E3" w:rsidRPr="00B14AD5" w:rsidTr="00DE41A6">
        <w:trPr>
          <w:trHeight w:val="125"/>
          <w:jc w:val="center"/>
        </w:trPr>
        <w:tc>
          <w:tcPr>
            <w:tcW w:w="4661" w:type="dxa"/>
            <w:noWrap/>
            <w:vAlign w:val="center"/>
          </w:tcPr>
          <w:p w:rsidR="005301E3" w:rsidRPr="00B14AD5" w:rsidRDefault="005301E3" w:rsidP="00DE41A6">
            <w:pPr>
              <w:rPr>
                <w:b/>
                <w:bCs/>
                <w:i/>
                <w:iCs/>
              </w:rPr>
            </w:pPr>
            <w:r w:rsidRPr="00B14AD5">
              <w:rPr>
                <w:b/>
                <w:bCs/>
                <w:i/>
                <w:iCs/>
              </w:rPr>
              <w:t>- vplyv na obce</w:t>
            </w:r>
          </w:p>
        </w:tc>
        <w:tc>
          <w:tcPr>
            <w:tcW w:w="1267" w:type="dxa"/>
            <w:noWrap/>
            <w:vAlign w:val="center"/>
          </w:tcPr>
          <w:p w:rsidR="005301E3" w:rsidRPr="00845E05" w:rsidRDefault="005301E3" w:rsidP="00DE41A6">
            <w:pPr>
              <w:jc w:val="right"/>
              <w:rPr>
                <w:b/>
                <w:bCs/>
                <w:iCs/>
              </w:rPr>
            </w:pPr>
            <w:r w:rsidRPr="00845E0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r>
      <w:tr w:rsidR="005301E3" w:rsidRPr="00B14AD5" w:rsidTr="00DE41A6">
        <w:trPr>
          <w:trHeight w:val="125"/>
          <w:jc w:val="center"/>
        </w:trPr>
        <w:tc>
          <w:tcPr>
            <w:tcW w:w="4661" w:type="dxa"/>
            <w:noWrap/>
            <w:vAlign w:val="center"/>
          </w:tcPr>
          <w:p w:rsidR="005301E3" w:rsidRPr="00B14AD5" w:rsidRDefault="005301E3" w:rsidP="00DE41A6">
            <w:pPr>
              <w:ind w:left="203"/>
              <w:rPr>
                <w:bCs/>
                <w:i/>
                <w:iCs/>
              </w:rPr>
            </w:pPr>
            <w:r w:rsidRPr="00B14AD5">
              <w:rPr>
                <w:bCs/>
                <w:i/>
                <w:iCs/>
              </w:rPr>
              <w:t xml:space="preserve">z toho vplyv nových úloh v zmysle ods. 2 Čl. 6 ústavného zákona č. 493/2011 Z. z. </w:t>
            </w:r>
          </w:p>
          <w:p w:rsidR="005301E3" w:rsidRPr="00B14AD5" w:rsidRDefault="005301E3" w:rsidP="00DE41A6">
            <w:pPr>
              <w:ind w:left="203"/>
              <w:rPr>
                <w:b/>
                <w:bCs/>
                <w:i/>
                <w:iCs/>
              </w:rPr>
            </w:pPr>
            <w:r w:rsidRPr="00B14AD5">
              <w:rPr>
                <w:bCs/>
                <w:i/>
                <w:iCs/>
              </w:rPr>
              <w:t>o rozpočtovej zodpovednosti</w:t>
            </w:r>
          </w:p>
        </w:tc>
        <w:tc>
          <w:tcPr>
            <w:tcW w:w="1267" w:type="dxa"/>
            <w:noWrap/>
            <w:vAlign w:val="center"/>
          </w:tcPr>
          <w:p w:rsidR="005301E3" w:rsidRPr="00845E05" w:rsidRDefault="005301E3" w:rsidP="00DE41A6">
            <w:pPr>
              <w:jc w:val="right"/>
              <w:rPr>
                <w:b/>
                <w:bCs/>
              </w:rPr>
            </w:pPr>
            <w:r w:rsidRPr="00845E05">
              <w:t>0</w:t>
            </w:r>
          </w:p>
        </w:tc>
        <w:tc>
          <w:tcPr>
            <w:tcW w:w="1267" w:type="dxa"/>
            <w:noWrap/>
            <w:vAlign w:val="center"/>
          </w:tcPr>
          <w:p w:rsidR="005301E3" w:rsidRPr="00B14AD5" w:rsidRDefault="005301E3" w:rsidP="00DE41A6">
            <w:pPr>
              <w:jc w:val="right"/>
            </w:pPr>
            <w:r w:rsidRPr="00B14AD5">
              <w:t>0</w:t>
            </w:r>
          </w:p>
        </w:tc>
        <w:tc>
          <w:tcPr>
            <w:tcW w:w="1267" w:type="dxa"/>
            <w:noWrap/>
            <w:vAlign w:val="center"/>
          </w:tcPr>
          <w:p w:rsidR="005301E3" w:rsidRPr="00B14AD5" w:rsidRDefault="005301E3" w:rsidP="00DE41A6">
            <w:pPr>
              <w:jc w:val="right"/>
            </w:pPr>
            <w:r w:rsidRPr="00B14AD5">
              <w:t>0</w:t>
            </w:r>
          </w:p>
        </w:tc>
        <w:tc>
          <w:tcPr>
            <w:tcW w:w="1267" w:type="dxa"/>
            <w:noWrap/>
            <w:vAlign w:val="center"/>
          </w:tcPr>
          <w:p w:rsidR="005301E3" w:rsidRPr="00B14AD5" w:rsidRDefault="005301E3" w:rsidP="00DE41A6">
            <w:pPr>
              <w:jc w:val="right"/>
            </w:pPr>
            <w:r w:rsidRPr="00B14AD5">
              <w:t>0</w:t>
            </w:r>
          </w:p>
        </w:tc>
      </w:tr>
      <w:tr w:rsidR="005301E3" w:rsidRPr="00B14AD5" w:rsidTr="00DE41A6">
        <w:trPr>
          <w:trHeight w:val="125"/>
          <w:jc w:val="center"/>
        </w:trPr>
        <w:tc>
          <w:tcPr>
            <w:tcW w:w="4661" w:type="dxa"/>
            <w:noWrap/>
            <w:vAlign w:val="center"/>
          </w:tcPr>
          <w:p w:rsidR="005301E3" w:rsidRPr="00B14AD5" w:rsidRDefault="005301E3" w:rsidP="00DE41A6">
            <w:pPr>
              <w:rPr>
                <w:b/>
                <w:bCs/>
                <w:i/>
                <w:iCs/>
              </w:rPr>
            </w:pPr>
            <w:r w:rsidRPr="00B14AD5">
              <w:rPr>
                <w:b/>
                <w:bCs/>
                <w:i/>
                <w:iCs/>
              </w:rPr>
              <w:t>- vplyv na vyššie územné celky</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r>
      <w:tr w:rsidR="005301E3" w:rsidRPr="00B14AD5" w:rsidTr="00DE41A6">
        <w:trPr>
          <w:trHeight w:val="125"/>
          <w:jc w:val="center"/>
        </w:trPr>
        <w:tc>
          <w:tcPr>
            <w:tcW w:w="4661" w:type="dxa"/>
            <w:noWrap/>
            <w:vAlign w:val="center"/>
          </w:tcPr>
          <w:p w:rsidR="005301E3" w:rsidRPr="00B14AD5" w:rsidRDefault="005301E3" w:rsidP="00DE41A6">
            <w:pPr>
              <w:ind w:left="203"/>
              <w:rPr>
                <w:bCs/>
                <w:i/>
                <w:iCs/>
              </w:rPr>
            </w:pPr>
            <w:r w:rsidRPr="00B14AD5">
              <w:rPr>
                <w:bCs/>
                <w:i/>
                <w:iCs/>
              </w:rPr>
              <w:t xml:space="preserve">z toho vplyv nových úloh v zmysle ods. 2 Čl. 6 ústavného zákona č. 493/2011 Z. z. </w:t>
            </w:r>
          </w:p>
          <w:p w:rsidR="005301E3" w:rsidRPr="00B14AD5" w:rsidRDefault="005301E3" w:rsidP="00DE41A6">
            <w:pPr>
              <w:ind w:left="203"/>
              <w:rPr>
                <w:b/>
                <w:bCs/>
                <w:i/>
                <w:iCs/>
              </w:rPr>
            </w:pPr>
            <w:r w:rsidRPr="00B14AD5">
              <w:rPr>
                <w:bCs/>
                <w:i/>
                <w:iCs/>
              </w:rPr>
              <w:t>o rozpočtovej zodpovednosti</w:t>
            </w:r>
          </w:p>
        </w:tc>
        <w:tc>
          <w:tcPr>
            <w:tcW w:w="1267" w:type="dxa"/>
            <w:noWrap/>
            <w:vAlign w:val="center"/>
          </w:tcPr>
          <w:p w:rsidR="005301E3" w:rsidRPr="00B14AD5" w:rsidRDefault="005301E3" w:rsidP="00DE41A6">
            <w:pPr>
              <w:jc w:val="right"/>
            </w:pPr>
            <w:r w:rsidRPr="00B14AD5">
              <w:t>0</w:t>
            </w:r>
          </w:p>
        </w:tc>
        <w:tc>
          <w:tcPr>
            <w:tcW w:w="1267" w:type="dxa"/>
            <w:noWrap/>
            <w:vAlign w:val="center"/>
          </w:tcPr>
          <w:p w:rsidR="005301E3" w:rsidRPr="00B14AD5" w:rsidRDefault="005301E3" w:rsidP="00DE41A6">
            <w:pPr>
              <w:jc w:val="right"/>
            </w:pPr>
            <w:r w:rsidRPr="00B14AD5">
              <w:t>0</w:t>
            </w:r>
          </w:p>
        </w:tc>
        <w:tc>
          <w:tcPr>
            <w:tcW w:w="1267" w:type="dxa"/>
            <w:noWrap/>
            <w:vAlign w:val="center"/>
          </w:tcPr>
          <w:p w:rsidR="005301E3" w:rsidRPr="00B14AD5" w:rsidRDefault="005301E3" w:rsidP="00DE41A6">
            <w:pPr>
              <w:jc w:val="right"/>
            </w:pPr>
            <w:r w:rsidRPr="00B14AD5">
              <w:t>0</w:t>
            </w:r>
          </w:p>
        </w:tc>
        <w:tc>
          <w:tcPr>
            <w:tcW w:w="1267" w:type="dxa"/>
            <w:noWrap/>
            <w:vAlign w:val="center"/>
          </w:tcPr>
          <w:p w:rsidR="005301E3" w:rsidRPr="00B14AD5" w:rsidRDefault="005301E3" w:rsidP="00DE41A6">
            <w:pPr>
              <w:jc w:val="right"/>
            </w:pPr>
            <w:r w:rsidRPr="00B14AD5">
              <w:t>0</w:t>
            </w:r>
          </w:p>
        </w:tc>
      </w:tr>
      <w:tr w:rsidR="005301E3" w:rsidRPr="00B14AD5" w:rsidTr="00DE41A6">
        <w:trPr>
          <w:trHeight w:val="70"/>
          <w:jc w:val="center"/>
        </w:trPr>
        <w:tc>
          <w:tcPr>
            <w:tcW w:w="4661" w:type="dxa"/>
            <w:noWrap/>
            <w:vAlign w:val="center"/>
          </w:tcPr>
          <w:p w:rsidR="005301E3" w:rsidRPr="00B14AD5" w:rsidRDefault="005301E3" w:rsidP="00DE41A6">
            <w:pPr>
              <w:rPr>
                <w:b/>
                <w:bCs/>
              </w:rPr>
            </w:pPr>
            <w:r w:rsidRPr="00B14AD5">
              <w:rPr>
                <w:b/>
                <w:bCs/>
                <w:i/>
                <w:iCs/>
              </w:rPr>
              <w:t>- vplyv na ostatné subjekty verejnej správy</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r>
      <w:tr w:rsidR="005301E3" w:rsidRPr="00B14AD5" w:rsidTr="00DE41A6">
        <w:trPr>
          <w:trHeight w:val="70"/>
          <w:jc w:val="center"/>
        </w:trPr>
        <w:tc>
          <w:tcPr>
            <w:tcW w:w="4661" w:type="dxa"/>
            <w:shd w:val="clear" w:color="auto" w:fill="BFBFBF" w:themeFill="background1" w:themeFillShade="BF"/>
            <w:noWrap/>
            <w:vAlign w:val="center"/>
          </w:tcPr>
          <w:p w:rsidR="005301E3" w:rsidRPr="00B14AD5" w:rsidRDefault="005301E3" w:rsidP="00DE41A6">
            <w:pPr>
              <w:rPr>
                <w:b/>
                <w:bCs/>
              </w:rPr>
            </w:pPr>
            <w:r w:rsidRPr="00B14AD5">
              <w:rPr>
                <w:b/>
                <w:bCs/>
              </w:rPr>
              <w:t xml:space="preserve">Vplyv na počet zamestnancov </w:t>
            </w:r>
          </w:p>
        </w:tc>
        <w:tc>
          <w:tcPr>
            <w:tcW w:w="1267" w:type="dxa"/>
            <w:shd w:val="clear" w:color="auto" w:fill="BFBFBF" w:themeFill="background1" w:themeFillShade="BF"/>
            <w:noWrap/>
            <w:vAlign w:val="center"/>
          </w:tcPr>
          <w:p w:rsidR="005301E3" w:rsidRPr="00B14AD5" w:rsidRDefault="005301E3" w:rsidP="00DE41A6">
            <w:pPr>
              <w:jc w:val="right"/>
              <w:rPr>
                <w:b/>
                <w:bCs/>
              </w:rPr>
            </w:pPr>
            <w:r w:rsidRPr="00F9095F">
              <w:rPr>
                <w:b/>
                <w:bCs/>
              </w:rPr>
              <w:t>1</w:t>
            </w:r>
            <w:r>
              <w:rPr>
                <w:b/>
                <w:bCs/>
              </w:rPr>
              <w:t>0</w:t>
            </w:r>
          </w:p>
        </w:tc>
        <w:tc>
          <w:tcPr>
            <w:tcW w:w="1267" w:type="dxa"/>
            <w:shd w:val="clear" w:color="auto" w:fill="BFBFBF" w:themeFill="background1" w:themeFillShade="BF"/>
            <w:noWrap/>
            <w:vAlign w:val="center"/>
          </w:tcPr>
          <w:p w:rsidR="005301E3" w:rsidRPr="00F9095F" w:rsidRDefault="005301E3" w:rsidP="00DE41A6">
            <w:pPr>
              <w:jc w:val="right"/>
              <w:rPr>
                <w:b/>
                <w:bCs/>
              </w:rPr>
            </w:pPr>
            <w:r w:rsidRPr="00F9095F">
              <w:rPr>
                <w:b/>
                <w:bCs/>
              </w:rPr>
              <w:t>32</w:t>
            </w:r>
          </w:p>
        </w:tc>
        <w:tc>
          <w:tcPr>
            <w:tcW w:w="1267" w:type="dxa"/>
            <w:shd w:val="clear" w:color="auto" w:fill="BFBFBF" w:themeFill="background1" w:themeFillShade="BF"/>
            <w:noWrap/>
            <w:vAlign w:val="center"/>
          </w:tcPr>
          <w:p w:rsidR="005301E3" w:rsidRPr="00F9095F" w:rsidRDefault="005301E3" w:rsidP="00DE41A6">
            <w:pPr>
              <w:jc w:val="right"/>
              <w:rPr>
                <w:b/>
                <w:bCs/>
              </w:rPr>
            </w:pPr>
            <w:r w:rsidRPr="00F9095F">
              <w:rPr>
                <w:b/>
                <w:bCs/>
              </w:rPr>
              <w:t>49</w:t>
            </w:r>
          </w:p>
        </w:tc>
        <w:tc>
          <w:tcPr>
            <w:tcW w:w="1267" w:type="dxa"/>
            <w:shd w:val="clear" w:color="auto" w:fill="BFBFBF" w:themeFill="background1" w:themeFillShade="BF"/>
            <w:noWrap/>
            <w:vAlign w:val="center"/>
          </w:tcPr>
          <w:p w:rsidR="005301E3" w:rsidRPr="00F9095F" w:rsidRDefault="005301E3" w:rsidP="00DE41A6">
            <w:pPr>
              <w:jc w:val="right"/>
              <w:rPr>
                <w:b/>
                <w:bCs/>
              </w:rPr>
            </w:pPr>
            <w:r w:rsidRPr="00F9095F">
              <w:rPr>
                <w:b/>
                <w:bCs/>
              </w:rPr>
              <w:t>49</w:t>
            </w:r>
          </w:p>
        </w:tc>
      </w:tr>
      <w:tr w:rsidR="005301E3" w:rsidRPr="00B14AD5" w:rsidTr="00DE41A6">
        <w:trPr>
          <w:trHeight w:val="70"/>
          <w:jc w:val="center"/>
        </w:trPr>
        <w:tc>
          <w:tcPr>
            <w:tcW w:w="4661" w:type="dxa"/>
            <w:noWrap/>
            <w:vAlign w:val="center"/>
          </w:tcPr>
          <w:p w:rsidR="005301E3" w:rsidRPr="00B14AD5" w:rsidRDefault="005301E3" w:rsidP="00DE41A6">
            <w:pPr>
              <w:rPr>
                <w:b/>
                <w:bCs/>
                <w:i/>
                <w:iCs/>
              </w:rPr>
            </w:pPr>
            <w:r w:rsidRPr="00B14AD5">
              <w:rPr>
                <w:b/>
                <w:bCs/>
                <w:i/>
                <w:iCs/>
              </w:rPr>
              <w:t>- vplyv na ŠR</w:t>
            </w:r>
          </w:p>
        </w:tc>
        <w:tc>
          <w:tcPr>
            <w:tcW w:w="1267" w:type="dxa"/>
            <w:noWrap/>
          </w:tcPr>
          <w:p w:rsidR="005301E3" w:rsidRPr="00B14AD5" w:rsidRDefault="005301E3" w:rsidP="00DE41A6">
            <w:pPr>
              <w:jc w:val="right"/>
              <w:rPr>
                <w:b/>
                <w:bCs/>
                <w:iCs/>
              </w:rPr>
            </w:pPr>
            <w:r w:rsidRPr="00F9095F">
              <w:rPr>
                <w:b/>
                <w:bCs/>
                <w:iCs/>
              </w:rPr>
              <w:t>1</w:t>
            </w:r>
            <w:r>
              <w:rPr>
                <w:b/>
                <w:bCs/>
                <w:iCs/>
              </w:rPr>
              <w:t>0</w:t>
            </w:r>
          </w:p>
        </w:tc>
        <w:tc>
          <w:tcPr>
            <w:tcW w:w="1267" w:type="dxa"/>
            <w:noWrap/>
          </w:tcPr>
          <w:p w:rsidR="005301E3" w:rsidRPr="00F9095F" w:rsidRDefault="005301E3" w:rsidP="00DE41A6">
            <w:pPr>
              <w:jc w:val="right"/>
              <w:rPr>
                <w:b/>
                <w:bCs/>
                <w:iCs/>
              </w:rPr>
            </w:pPr>
            <w:r w:rsidRPr="00F9095F">
              <w:rPr>
                <w:b/>
                <w:bCs/>
                <w:iCs/>
              </w:rPr>
              <w:t>32</w:t>
            </w:r>
          </w:p>
        </w:tc>
        <w:tc>
          <w:tcPr>
            <w:tcW w:w="1267" w:type="dxa"/>
            <w:noWrap/>
          </w:tcPr>
          <w:p w:rsidR="005301E3" w:rsidRPr="00F9095F" w:rsidRDefault="005301E3" w:rsidP="00DE41A6">
            <w:pPr>
              <w:jc w:val="right"/>
              <w:rPr>
                <w:b/>
                <w:bCs/>
                <w:iCs/>
              </w:rPr>
            </w:pPr>
            <w:r w:rsidRPr="00F9095F">
              <w:rPr>
                <w:b/>
                <w:bCs/>
                <w:iCs/>
              </w:rPr>
              <w:t>49</w:t>
            </w:r>
          </w:p>
        </w:tc>
        <w:tc>
          <w:tcPr>
            <w:tcW w:w="1267" w:type="dxa"/>
            <w:noWrap/>
          </w:tcPr>
          <w:p w:rsidR="005301E3" w:rsidRPr="00F9095F" w:rsidRDefault="005301E3" w:rsidP="00DE41A6">
            <w:pPr>
              <w:jc w:val="right"/>
              <w:rPr>
                <w:b/>
                <w:bCs/>
                <w:iCs/>
              </w:rPr>
            </w:pPr>
            <w:r w:rsidRPr="00F9095F">
              <w:rPr>
                <w:b/>
                <w:bCs/>
                <w:iCs/>
              </w:rPr>
              <w:t>49</w:t>
            </w:r>
          </w:p>
        </w:tc>
      </w:tr>
      <w:tr w:rsidR="005301E3" w:rsidRPr="00B14AD5" w:rsidTr="00DE41A6">
        <w:trPr>
          <w:trHeight w:val="70"/>
          <w:jc w:val="center"/>
        </w:trPr>
        <w:tc>
          <w:tcPr>
            <w:tcW w:w="4661" w:type="dxa"/>
            <w:noWrap/>
            <w:vAlign w:val="center"/>
          </w:tcPr>
          <w:p w:rsidR="005301E3" w:rsidRPr="00B14AD5" w:rsidRDefault="005301E3" w:rsidP="00DE41A6">
            <w:pPr>
              <w:rPr>
                <w:b/>
                <w:bCs/>
                <w:i/>
                <w:iCs/>
              </w:rPr>
            </w:pPr>
            <w:r w:rsidRPr="00B14AD5">
              <w:rPr>
                <w:b/>
                <w:bCs/>
                <w:i/>
                <w:iCs/>
              </w:rPr>
              <w:t>- vplyv na obce</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r>
      <w:tr w:rsidR="005301E3" w:rsidRPr="00B14AD5" w:rsidTr="00DE41A6">
        <w:trPr>
          <w:trHeight w:val="70"/>
          <w:jc w:val="center"/>
        </w:trPr>
        <w:tc>
          <w:tcPr>
            <w:tcW w:w="4661" w:type="dxa"/>
            <w:noWrap/>
            <w:vAlign w:val="center"/>
          </w:tcPr>
          <w:p w:rsidR="005301E3" w:rsidRPr="00B14AD5" w:rsidRDefault="005301E3" w:rsidP="00DE41A6">
            <w:pPr>
              <w:rPr>
                <w:b/>
                <w:bCs/>
                <w:i/>
                <w:iCs/>
              </w:rPr>
            </w:pPr>
            <w:r w:rsidRPr="00B14AD5">
              <w:rPr>
                <w:b/>
                <w:bCs/>
                <w:i/>
                <w:iCs/>
              </w:rPr>
              <w:t>- vplyv na vyššie územné celky</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r>
      <w:tr w:rsidR="005301E3" w:rsidRPr="00B14AD5" w:rsidTr="00DE41A6">
        <w:trPr>
          <w:trHeight w:val="70"/>
          <w:jc w:val="center"/>
        </w:trPr>
        <w:tc>
          <w:tcPr>
            <w:tcW w:w="4661" w:type="dxa"/>
            <w:noWrap/>
            <w:vAlign w:val="center"/>
          </w:tcPr>
          <w:p w:rsidR="005301E3" w:rsidRPr="00B14AD5" w:rsidRDefault="005301E3" w:rsidP="00DE41A6">
            <w:pPr>
              <w:rPr>
                <w:b/>
                <w:bCs/>
                <w:i/>
                <w:iCs/>
              </w:rPr>
            </w:pPr>
            <w:r w:rsidRPr="00B14AD5">
              <w:rPr>
                <w:b/>
                <w:bCs/>
                <w:i/>
                <w:iCs/>
              </w:rPr>
              <w:t>- vplyv na ostatné subjekty verejnej správy</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r>
      <w:tr w:rsidR="005301E3" w:rsidRPr="00B14AD5" w:rsidTr="00DE41A6">
        <w:trPr>
          <w:trHeight w:val="70"/>
          <w:jc w:val="center"/>
        </w:trPr>
        <w:tc>
          <w:tcPr>
            <w:tcW w:w="4661" w:type="dxa"/>
            <w:shd w:val="clear" w:color="auto" w:fill="BFBFBF" w:themeFill="background1" w:themeFillShade="BF"/>
            <w:noWrap/>
            <w:vAlign w:val="center"/>
          </w:tcPr>
          <w:p w:rsidR="005301E3" w:rsidRPr="00B14AD5" w:rsidRDefault="005301E3" w:rsidP="00DE41A6">
            <w:pPr>
              <w:rPr>
                <w:b/>
              </w:rPr>
            </w:pPr>
            <w:r w:rsidRPr="00B14AD5">
              <w:rPr>
                <w:b/>
              </w:rPr>
              <w:t>Vplyv na mzdové výdavky</w:t>
            </w:r>
          </w:p>
        </w:tc>
        <w:tc>
          <w:tcPr>
            <w:tcW w:w="1267" w:type="dxa"/>
            <w:shd w:val="clear" w:color="auto" w:fill="BFBFBF" w:themeFill="background1" w:themeFillShade="BF"/>
            <w:noWrap/>
            <w:vAlign w:val="bottom"/>
          </w:tcPr>
          <w:p w:rsidR="005301E3" w:rsidRPr="00166273" w:rsidRDefault="005301E3" w:rsidP="00DE41A6">
            <w:pPr>
              <w:jc w:val="right"/>
              <w:rPr>
                <w:b/>
                <w:bCs/>
              </w:rPr>
            </w:pPr>
            <w:r>
              <w:rPr>
                <w:b/>
                <w:bCs/>
              </w:rPr>
              <w:t>154</w:t>
            </w:r>
            <w:r w:rsidRPr="00166273">
              <w:rPr>
                <w:b/>
                <w:bCs/>
              </w:rPr>
              <w:t xml:space="preserve"> </w:t>
            </w:r>
            <w:r>
              <w:rPr>
                <w:b/>
                <w:bCs/>
              </w:rPr>
              <w:t>0</w:t>
            </w:r>
            <w:r w:rsidRPr="00166273">
              <w:rPr>
                <w:b/>
                <w:bCs/>
              </w:rPr>
              <w:t>00</w:t>
            </w:r>
          </w:p>
        </w:tc>
        <w:tc>
          <w:tcPr>
            <w:tcW w:w="1267" w:type="dxa"/>
            <w:shd w:val="clear" w:color="auto" w:fill="BFBFBF" w:themeFill="background1" w:themeFillShade="BF"/>
            <w:noWrap/>
            <w:vAlign w:val="bottom"/>
          </w:tcPr>
          <w:p w:rsidR="005301E3" w:rsidRPr="00166273" w:rsidRDefault="005301E3" w:rsidP="00DE41A6">
            <w:pPr>
              <w:jc w:val="right"/>
              <w:rPr>
                <w:b/>
                <w:bCs/>
              </w:rPr>
            </w:pPr>
            <w:r w:rsidRPr="00166273">
              <w:rPr>
                <w:b/>
                <w:bCs/>
              </w:rPr>
              <w:t>844 800</w:t>
            </w:r>
          </w:p>
        </w:tc>
        <w:tc>
          <w:tcPr>
            <w:tcW w:w="1267" w:type="dxa"/>
            <w:shd w:val="clear" w:color="auto" w:fill="BFBFBF" w:themeFill="background1" w:themeFillShade="BF"/>
            <w:noWrap/>
            <w:vAlign w:val="bottom"/>
          </w:tcPr>
          <w:p w:rsidR="005301E3" w:rsidRPr="00166273" w:rsidRDefault="005301E3" w:rsidP="00DE41A6">
            <w:pPr>
              <w:jc w:val="right"/>
              <w:rPr>
                <w:b/>
                <w:bCs/>
              </w:rPr>
            </w:pPr>
            <w:r w:rsidRPr="00166273">
              <w:rPr>
                <w:b/>
                <w:bCs/>
              </w:rPr>
              <w:t>1 293 600</w:t>
            </w:r>
          </w:p>
        </w:tc>
        <w:tc>
          <w:tcPr>
            <w:tcW w:w="1267" w:type="dxa"/>
            <w:shd w:val="clear" w:color="auto" w:fill="BFBFBF" w:themeFill="background1" w:themeFillShade="BF"/>
            <w:noWrap/>
            <w:vAlign w:val="bottom"/>
          </w:tcPr>
          <w:p w:rsidR="005301E3" w:rsidRPr="00166273" w:rsidRDefault="005301E3" w:rsidP="00DE41A6">
            <w:pPr>
              <w:jc w:val="right"/>
              <w:rPr>
                <w:b/>
                <w:bCs/>
              </w:rPr>
            </w:pPr>
            <w:r w:rsidRPr="00166273">
              <w:rPr>
                <w:b/>
                <w:bCs/>
              </w:rPr>
              <w:t>1 293 600</w:t>
            </w:r>
          </w:p>
        </w:tc>
      </w:tr>
      <w:tr w:rsidR="005301E3" w:rsidRPr="00B14AD5" w:rsidTr="00DE41A6">
        <w:trPr>
          <w:trHeight w:val="70"/>
          <w:jc w:val="center"/>
        </w:trPr>
        <w:tc>
          <w:tcPr>
            <w:tcW w:w="4661" w:type="dxa"/>
            <w:noWrap/>
            <w:vAlign w:val="center"/>
          </w:tcPr>
          <w:p w:rsidR="005301E3" w:rsidRPr="00B14AD5" w:rsidRDefault="005301E3" w:rsidP="00DE41A6">
            <w:pPr>
              <w:rPr>
                <w:b/>
                <w:bCs/>
                <w:i/>
                <w:iCs/>
              </w:rPr>
            </w:pPr>
            <w:r w:rsidRPr="00B14AD5">
              <w:rPr>
                <w:b/>
                <w:bCs/>
                <w:i/>
                <w:iCs/>
              </w:rPr>
              <w:t>- vplyv na ŠR</w:t>
            </w:r>
          </w:p>
        </w:tc>
        <w:tc>
          <w:tcPr>
            <w:tcW w:w="1267" w:type="dxa"/>
            <w:noWrap/>
            <w:vAlign w:val="bottom"/>
          </w:tcPr>
          <w:p w:rsidR="005301E3" w:rsidRPr="00166273" w:rsidRDefault="005301E3" w:rsidP="00DE41A6">
            <w:pPr>
              <w:jc w:val="right"/>
              <w:rPr>
                <w:b/>
                <w:bCs/>
                <w:iCs/>
              </w:rPr>
            </w:pPr>
            <w:r>
              <w:rPr>
                <w:szCs w:val="20"/>
              </w:rPr>
              <w:t>154 0</w:t>
            </w:r>
            <w:r w:rsidRPr="00166273">
              <w:rPr>
                <w:szCs w:val="20"/>
              </w:rPr>
              <w:t>00</w:t>
            </w:r>
          </w:p>
        </w:tc>
        <w:tc>
          <w:tcPr>
            <w:tcW w:w="1267" w:type="dxa"/>
            <w:noWrap/>
            <w:vAlign w:val="bottom"/>
          </w:tcPr>
          <w:p w:rsidR="005301E3" w:rsidRPr="00166273" w:rsidRDefault="005301E3" w:rsidP="00DE41A6">
            <w:pPr>
              <w:jc w:val="right"/>
              <w:rPr>
                <w:b/>
                <w:bCs/>
                <w:iCs/>
              </w:rPr>
            </w:pPr>
            <w:r w:rsidRPr="00166273">
              <w:rPr>
                <w:szCs w:val="20"/>
              </w:rPr>
              <w:t>844 800</w:t>
            </w:r>
          </w:p>
        </w:tc>
        <w:tc>
          <w:tcPr>
            <w:tcW w:w="1267" w:type="dxa"/>
            <w:noWrap/>
            <w:vAlign w:val="bottom"/>
          </w:tcPr>
          <w:p w:rsidR="005301E3" w:rsidRPr="00166273" w:rsidRDefault="005301E3" w:rsidP="00DE41A6">
            <w:pPr>
              <w:jc w:val="right"/>
              <w:rPr>
                <w:b/>
              </w:rPr>
            </w:pPr>
            <w:r w:rsidRPr="00166273">
              <w:rPr>
                <w:szCs w:val="20"/>
              </w:rPr>
              <w:t>1 293 600</w:t>
            </w:r>
          </w:p>
        </w:tc>
        <w:tc>
          <w:tcPr>
            <w:tcW w:w="1267" w:type="dxa"/>
            <w:noWrap/>
            <w:vAlign w:val="bottom"/>
          </w:tcPr>
          <w:p w:rsidR="005301E3" w:rsidRPr="00166273" w:rsidRDefault="005301E3" w:rsidP="00DE41A6">
            <w:pPr>
              <w:jc w:val="right"/>
              <w:rPr>
                <w:b/>
              </w:rPr>
            </w:pPr>
            <w:r w:rsidRPr="00166273">
              <w:rPr>
                <w:szCs w:val="20"/>
              </w:rPr>
              <w:t>1 293 600</w:t>
            </w:r>
          </w:p>
        </w:tc>
      </w:tr>
      <w:tr w:rsidR="005301E3" w:rsidRPr="00B14AD5" w:rsidTr="00DE41A6">
        <w:trPr>
          <w:trHeight w:val="70"/>
          <w:jc w:val="center"/>
        </w:trPr>
        <w:tc>
          <w:tcPr>
            <w:tcW w:w="4661" w:type="dxa"/>
            <w:noWrap/>
            <w:vAlign w:val="center"/>
          </w:tcPr>
          <w:p w:rsidR="005301E3" w:rsidRPr="00B14AD5" w:rsidRDefault="005301E3" w:rsidP="00DE41A6">
            <w:pPr>
              <w:rPr>
                <w:b/>
                <w:bCs/>
                <w:i/>
                <w:iCs/>
              </w:rPr>
            </w:pPr>
            <w:r w:rsidRPr="00B14AD5">
              <w:rPr>
                <w:b/>
                <w:bCs/>
                <w:i/>
                <w:iCs/>
              </w:rPr>
              <w:t>- vplyv na obce</w:t>
            </w:r>
          </w:p>
        </w:tc>
        <w:tc>
          <w:tcPr>
            <w:tcW w:w="1267" w:type="dxa"/>
            <w:noWrap/>
            <w:vAlign w:val="center"/>
          </w:tcPr>
          <w:p w:rsidR="005301E3" w:rsidRPr="000861FE" w:rsidRDefault="005301E3" w:rsidP="00DE41A6">
            <w:pPr>
              <w:jc w:val="right"/>
              <w:rPr>
                <w:b/>
                <w:bCs/>
                <w:iCs/>
              </w:rPr>
            </w:pPr>
            <w:r w:rsidRPr="000861FE">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r>
      <w:tr w:rsidR="005301E3" w:rsidRPr="00B14AD5" w:rsidTr="00DE41A6">
        <w:trPr>
          <w:trHeight w:val="70"/>
          <w:jc w:val="center"/>
        </w:trPr>
        <w:tc>
          <w:tcPr>
            <w:tcW w:w="4661" w:type="dxa"/>
            <w:noWrap/>
            <w:vAlign w:val="center"/>
          </w:tcPr>
          <w:p w:rsidR="005301E3" w:rsidRPr="00B14AD5" w:rsidRDefault="005301E3" w:rsidP="00DE41A6">
            <w:pPr>
              <w:rPr>
                <w:b/>
                <w:bCs/>
                <w:i/>
                <w:iCs/>
              </w:rPr>
            </w:pPr>
            <w:r w:rsidRPr="00B14AD5">
              <w:rPr>
                <w:b/>
                <w:bCs/>
                <w:i/>
                <w:iCs/>
              </w:rPr>
              <w:t>- vplyv na vyššie územné celky</w:t>
            </w:r>
          </w:p>
        </w:tc>
        <w:tc>
          <w:tcPr>
            <w:tcW w:w="1267" w:type="dxa"/>
            <w:noWrap/>
            <w:vAlign w:val="center"/>
          </w:tcPr>
          <w:p w:rsidR="005301E3" w:rsidRPr="000861FE" w:rsidRDefault="005301E3" w:rsidP="00DE41A6">
            <w:pPr>
              <w:jc w:val="right"/>
              <w:rPr>
                <w:b/>
                <w:bCs/>
                <w:iCs/>
              </w:rPr>
            </w:pPr>
            <w:r w:rsidRPr="000861FE">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r>
      <w:tr w:rsidR="005301E3" w:rsidRPr="00B14AD5" w:rsidTr="00DE41A6">
        <w:trPr>
          <w:trHeight w:val="70"/>
          <w:jc w:val="center"/>
        </w:trPr>
        <w:tc>
          <w:tcPr>
            <w:tcW w:w="4661" w:type="dxa"/>
            <w:noWrap/>
            <w:vAlign w:val="center"/>
          </w:tcPr>
          <w:p w:rsidR="005301E3" w:rsidRPr="00B14AD5" w:rsidRDefault="005301E3" w:rsidP="00DE41A6">
            <w:pPr>
              <w:rPr>
                <w:b/>
                <w:bCs/>
              </w:rPr>
            </w:pPr>
            <w:r w:rsidRPr="00B14AD5">
              <w:rPr>
                <w:b/>
                <w:bCs/>
                <w:i/>
                <w:iCs/>
              </w:rPr>
              <w:t>- vplyv na ostatné subjekty verejnej správy</w:t>
            </w:r>
          </w:p>
        </w:tc>
        <w:tc>
          <w:tcPr>
            <w:tcW w:w="1267" w:type="dxa"/>
            <w:noWrap/>
            <w:vAlign w:val="center"/>
          </w:tcPr>
          <w:p w:rsidR="005301E3" w:rsidRPr="000861FE" w:rsidRDefault="005301E3" w:rsidP="00DE41A6">
            <w:pPr>
              <w:jc w:val="right"/>
              <w:rPr>
                <w:b/>
                <w:bCs/>
                <w:iCs/>
              </w:rPr>
            </w:pPr>
            <w:r w:rsidRPr="000861FE">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c>
          <w:tcPr>
            <w:tcW w:w="1267" w:type="dxa"/>
            <w:noWrap/>
            <w:vAlign w:val="center"/>
          </w:tcPr>
          <w:p w:rsidR="005301E3" w:rsidRPr="00B14AD5" w:rsidRDefault="005301E3" w:rsidP="00DE41A6">
            <w:pPr>
              <w:jc w:val="right"/>
              <w:rPr>
                <w:b/>
                <w:bCs/>
                <w:iCs/>
              </w:rPr>
            </w:pPr>
            <w:r w:rsidRPr="00B14AD5">
              <w:rPr>
                <w:b/>
                <w:bCs/>
                <w:iCs/>
              </w:rPr>
              <w:t>0</w:t>
            </w:r>
          </w:p>
        </w:tc>
      </w:tr>
      <w:tr w:rsidR="005301E3" w:rsidRPr="00B14AD5" w:rsidTr="00DE41A6">
        <w:trPr>
          <w:trHeight w:val="70"/>
          <w:jc w:val="center"/>
        </w:trPr>
        <w:tc>
          <w:tcPr>
            <w:tcW w:w="4661" w:type="dxa"/>
            <w:shd w:val="clear" w:color="auto" w:fill="C0C0C0"/>
            <w:noWrap/>
            <w:vAlign w:val="center"/>
          </w:tcPr>
          <w:p w:rsidR="005301E3" w:rsidRPr="00B14AD5" w:rsidRDefault="005301E3" w:rsidP="00DE41A6">
            <w:pPr>
              <w:rPr>
                <w:b/>
                <w:bCs/>
              </w:rPr>
            </w:pPr>
            <w:r w:rsidRPr="00B14AD5">
              <w:rPr>
                <w:b/>
                <w:bCs/>
              </w:rPr>
              <w:t>Financovanie zabezpečené v rozpočte</w:t>
            </w:r>
          </w:p>
        </w:tc>
        <w:tc>
          <w:tcPr>
            <w:tcW w:w="1267" w:type="dxa"/>
            <w:shd w:val="clear" w:color="auto" w:fill="C0C0C0"/>
            <w:noWrap/>
            <w:vAlign w:val="center"/>
          </w:tcPr>
          <w:p w:rsidR="005301E3" w:rsidRPr="000861FE" w:rsidRDefault="005301E3" w:rsidP="00DE41A6">
            <w:pPr>
              <w:jc w:val="right"/>
              <w:rPr>
                <w:b/>
                <w:bCs/>
              </w:rPr>
            </w:pPr>
            <w:r w:rsidRPr="000861FE">
              <w:rPr>
                <w:b/>
                <w:bCs/>
              </w:rPr>
              <w:t>0</w:t>
            </w:r>
          </w:p>
        </w:tc>
        <w:tc>
          <w:tcPr>
            <w:tcW w:w="1267" w:type="dxa"/>
            <w:shd w:val="clear" w:color="auto" w:fill="C0C0C0"/>
            <w:noWrap/>
            <w:vAlign w:val="center"/>
          </w:tcPr>
          <w:p w:rsidR="005301E3" w:rsidRPr="00B14AD5" w:rsidRDefault="005301E3" w:rsidP="00DE41A6">
            <w:pPr>
              <w:jc w:val="right"/>
              <w:rPr>
                <w:b/>
                <w:bCs/>
              </w:rPr>
            </w:pPr>
            <w:r w:rsidRPr="00B14AD5">
              <w:rPr>
                <w:b/>
                <w:bCs/>
              </w:rPr>
              <w:t>0</w:t>
            </w:r>
          </w:p>
        </w:tc>
        <w:tc>
          <w:tcPr>
            <w:tcW w:w="1267" w:type="dxa"/>
            <w:shd w:val="clear" w:color="auto" w:fill="C0C0C0"/>
            <w:noWrap/>
            <w:vAlign w:val="center"/>
          </w:tcPr>
          <w:p w:rsidR="005301E3" w:rsidRPr="00B14AD5" w:rsidRDefault="005301E3" w:rsidP="00DE41A6">
            <w:pPr>
              <w:jc w:val="right"/>
              <w:rPr>
                <w:b/>
                <w:bCs/>
              </w:rPr>
            </w:pPr>
            <w:r w:rsidRPr="00B14AD5">
              <w:rPr>
                <w:b/>
                <w:bCs/>
              </w:rPr>
              <w:t>0</w:t>
            </w:r>
          </w:p>
        </w:tc>
        <w:tc>
          <w:tcPr>
            <w:tcW w:w="1267" w:type="dxa"/>
            <w:shd w:val="clear" w:color="auto" w:fill="C0C0C0"/>
            <w:noWrap/>
            <w:vAlign w:val="center"/>
          </w:tcPr>
          <w:p w:rsidR="005301E3" w:rsidRPr="00B14AD5" w:rsidRDefault="005301E3" w:rsidP="00DE41A6">
            <w:pPr>
              <w:jc w:val="right"/>
              <w:rPr>
                <w:b/>
                <w:bCs/>
              </w:rPr>
            </w:pPr>
            <w:r w:rsidRPr="00B14AD5">
              <w:rPr>
                <w:b/>
                <w:bCs/>
              </w:rPr>
              <w:t>0</w:t>
            </w:r>
          </w:p>
        </w:tc>
      </w:tr>
      <w:tr w:rsidR="005301E3" w:rsidRPr="00B14AD5" w:rsidTr="00DE41A6">
        <w:trPr>
          <w:trHeight w:val="70"/>
          <w:jc w:val="center"/>
        </w:trPr>
        <w:tc>
          <w:tcPr>
            <w:tcW w:w="4661" w:type="dxa"/>
            <w:noWrap/>
            <w:vAlign w:val="center"/>
          </w:tcPr>
          <w:p w:rsidR="005301E3" w:rsidRPr="00B14AD5" w:rsidRDefault="005301E3" w:rsidP="00DE41A6">
            <w:r w:rsidRPr="00B14AD5">
              <w:t>v tom: za každý subjekt verejnej správy / program zvlášť</w:t>
            </w:r>
          </w:p>
        </w:tc>
        <w:tc>
          <w:tcPr>
            <w:tcW w:w="1267" w:type="dxa"/>
            <w:noWrap/>
            <w:vAlign w:val="center"/>
          </w:tcPr>
          <w:p w:rsidR="005301E3" w:rsidRPr="000861FE" w:rsidRDefault="005301E3" w:rsidP="00DE41A6">
            <w:pPr>
              <w:jc w:val="right"/>
            </w:pPr>
            <w:r w:rsidRPr="000861FE">
              <w:t>0</w:t>
            </w:r>
          </w:p>
        </w:tc>
        <w:tc>
          <w:tcPr>
            <w:tcW w:w="1267" w:type="dxa"/>
            <w:noWrap/>
            <w:vAlign w:val="center"/>
          </w:tcPr>
          <w:p w:rsidR="005301E3" w:rsidRPr="00B14AD5" w:rsidRDefault="005301E3" w:rsidP="00DE41A6">
            <w:pPr>
              <w:jc w:val="right"/>
            </w:pPr>
            <w:r w:rsidRPr="00B14AD5">
              <w:t>0</w:t>
            </w:r>
          </w:p>
        </w:tc>
        <w:tc>
          <w:tcPr>
            <w:tcW w:w="1267" w:type="dxa"/>
            <w:noWrap/>
            <w:vAlign w:val="center"/>
          </w:tcPr>
          <w:p w:rsidR="005301E3" w:rsidRPr="00B14AD5" w:rsidRDefault="005301E3" w:rsidP="00DE41A6">
            <w:pPr>
              <w:jc w:val="right"/>
            </w:pPr>
            <w:r w:rsidRPr="00B14AD5">
              <w:t>0</w:t>
            </w:r>
          </w:p>
        </w:tc>
        <w:tc>
          <w:tcPr>
            <w:tcW w:w="1267" w:type="dxa"/>
            <w:noWrap/>
            <w:vAlign w:val="center"/>
          </w:tcPr>
          <w:p w:rsidR="005301E3" w:rsidRPr="00B14AD5" w:rsidRDefault="005301E3" w:rsidP="00DE41A6">
            <w:pPr>
              <w:jc w:val="right"/>
            </w:pPr>
            <w:r w:rsidRPr="00B14AD5">
              <w:t>0</w:t>
            </w:r>
          </w:p>
        </w:tc>
      </w:tr>
      <w:tr w:rsidR="005301E3" w:rsidRPr="00B14AD5" w:rsidTr="00DE41A6">
        <w:trPr>
          <w:trHeight w:val="70"/>
          <w:jc w:val="center"/>
        </w:trPr>
        <w:tc>
          <w:tcPr>
            <w:tcW w:w="4661" w:type="dxa"/>
            <w:shd w:val="clear" w:color="auto" w:fill="BFBFBF" w:themeFill="background1" w:themeFillShade="BF"/>
            <w:noWrap/>
            <w:vAlign w:val="center"/>
          </w:tcPr>
          <w:p w:rsidR="005301E3" w:rsidRPr="00B14AD5" w:rsidRDefault="005301E3" w:rsidP="00DE41A6">
            <w:pPr>
              <w:rPr>
                <w:b/>
              </w:rPr>
            </w:pPr>
            <w:r w:rsidRPr="00B14AD5">
              <w:rPr>
                <w:b/>
              </w:rPr>
              <w:t>Iné ako rozpočtové zdroje</w:t>
            </w:r>
          </w:p>
        </w:tc>
        <w:tc>
          <w:tcPr>
            <w:tcW w:w="1267" w:type="dxa"/>
            <w:shd w:val="clear" w:color="auto" w:fill="BFBFBF" w:themeFill="background1" w:themeFillShade="BF"/>
            <w:noWrap/>
            <w:vAlign w:val="center"/>
          </w:tcPr>
          <w:p w:rsidR="005301E3" w:rsidRPr="000861FE" w:rsidRDefault="005301E3" w:rsidP="00DE41A6">
            <w:pPr>
              <w:jc w:val="right"/>
              <w:rPr>
                <w:b/>
                <w:bCs/>
              </w:rPr>
            </w:pPr>
            <w:r w:rsidRPr="000861FE">
              <w:rPr>
                <w:b/>
                <w:bCs/>
              </w:rPr>
              <w:t>0</w:t>
            </w:r>
          </w:p>
        </w:tc>
        <w:tc>
          <w:tcPr>
            <w:tcW w:w="1267" w:type="dxa"/>
            <w:shd w:val="clear" w:color="auto" w:fill="BFBFBF" w:themeFill="background1" w:themeFillShade="BF"/>
            <w:noWrap/>
            <w:vAlign w:val="center"/>
          </w:tcPr>
          <w:p w:rsidR="005301E3" w:rsidRPr="00B14AD5" w:rsidRDefault="005301E3" w:rsidP="00DE41A6">
            <w:pPr>
              <w:jc w:val="right"/>
              <w:rPr>
                <w:b/>
                <w:bCs/>
              </w:rPr>
            </w:pPr>
            <w:r w:rsidRPr="00B14AD5">
              <w:rPr>
                <w:b/>
                <w:bCs/>
              </w:rPr>
              <w:t>0</w:t>
            </w:r>
          </w:p>
        </w:tc>
        <w:tc>
          <w:tcPr>
            <w:tcW w:w="1267" w:type="dxa"/>
            <w:shd w:val="clear" w:color="auto" w:fill="BFBFBF" w:themeFill="background1" w:themeFillShade="BF"/>
            <w:noWrap/>
            <w:vAlign w:val="center"/>
          </w:tcPr>
          <w:p w:rsidR="005301E3" w:rsidRPr="00B14AD5" w:rsidRDefault="005301E3" w:rsidP="00DE41A6">
            <w:pPr>
              <w:jc w:val="right"/>
              <w:rPr>
                <w:b/>
                <w:bCs/>
              </w:rPr>
            </w:pPr>
            <w:r w:rsidRPr="00B14AD5">
              <w:rPr>
                <w:b/>
                <w:bCs/>
              </w:rPr>
              <w:t>0</w:t>
            </w:r>
          </w:p>
        </w:tc>
        <w:tc>
          <w:tcPr>
            <w:tcW w:w="1267" w:type="dxa"/>
            <w:shd w:val="clear" w:color="auto" w:fill="BFBFBF" w:themeFill="background1" w:themeFillShade="BF"/>
            <w:noWrap/>
            <w:vAlign w:val="center"/>
          </w:tcPr>
          <w:p w:rsidR="005301E3" w:rsidRPr="00B14AD5" w:rsidRDefault="005301E3" w:rsidP="00DE41A6">
            <w:pPr>
              <w:jc w:val="right"/>
              <w:rPr>
                <w:b/>
                <w:bCs/>
              </w:rPr>
            </w:pPr>
            <w:r w:rsidRPr="00B14AD5">
              <w:rPr>
                <w:b/>
                <w:bCs/>
              </w:rPr>
              <w:t>0</w:t>
            </w:r>
          </w:p>
        </w:tc>
      </w:tr>
      <w:tr w:rsidR="005301E3" w:rsidRPr="00B14AD5" w:rsidTr="00DE41A6">
        <w:trPr>
          <w:trHeight w:val="70"/>
          <w:jc w:val="center"/>
        </w:trPr>
        <w:tc>
          <w:tcPr>
            <w:tcW w:w="4661" w:type="dxa"/>
            <w:shd w:val="clear" w:color="auto" w:fill="A6A6A6" w:themeFill="background1" w:themeFillShade="A6"/>
            <w:noWrap/>
            <w:vAlign w:val="center"/>
          </w:tcPr>
          <w:p w:rsidR="005301E3" w:rsidRPr="00B14AD5" w:rsidRDefault="005301E3" w:rsidP="00DE41A6">
            <w:pPr>
              <w:rPr>
                <w:b/>
                <w:bCs/>
              </w:rPr>
            </w:pPr>
            <w:r w:rsidRPr="00B14AD5">
              <w:rPr>
                <w:b/>
                <w:bCs/>
              </w:rPr>
              <w:t>Rozpočtovo nekrytý vplyv / úspora</w:t>
            </w:r>
          </w:p>
        </w:tc>
        <w:tc>
          <w:tcPr>
            <w:tcW w:w="1267" w:type="dxa"/>
            <w:shd w:val="clear" w:color="auto" w:fill="A6A6A6" w:themeFill="background1" w:themeFillShade="A6"/>
            <w:noWrap/>
            <w:vAlign w:val="bottom"/>
          </w:tcPr>
          <w:p w:rsidR="005301E3" w:rsidRPr="004E7AB6" w:rsidRDefault="005301E3" w:rsidP="00DE41A6">
            <w:pPr>
              <w:jc w:val="right"/>
              <w:rPr>
                <w:b/>
                <w:bCs/>
              </w:rPr>
            </w:pPr>
            <w:r w:rsidRPr="00AF0961">
              <w:rPr>
                <w:b/>
                <w:bCs/>
              </w:rPr>
              <w:t>413 030</w:t>
            </w:r>
          </w:p>
        </w:tc>
        <w:tc>
          <w:tcPr>
            <w:tcW w:w="1267" w:type="dxa"/>
            <w:shd w:val="clear" w:color="auto" w:fill="A6A6A6" w:themeFill="background1" w:themeFillShade="A6"/>
            <w:noWrap/>
            <w:vAlign w:val="bottom"/>
          </w:tcPr>
          <w:p w:rsidR="005301E3" w:rsidRPr="004E7AB6" w:rsidRDefault="005301E3" w:rsidP="00DE41A6">
            <w:pPr>
              <w:jc w:val="right"/>
              <w:rPr>
                <w:b/>
                <w:bCs/>
              </w:rPr>
            </w:pPr>
            <w:r w:rsidRPr="00AF0961">
              <w:rPr>
                <w:b/>
                <w:bCs/>
              </w:rPr>
              <w:t>1 621 169</w:t>
            </w:r>
          </w:p>
        </w:tc>
        <w:tc>
          <w:tcPr>
            <w:tcW w:w="1267" w:type="dxa"/>
            <w:shd w:val="clear" w:color="auto" w:fill="A6A6A6" w:themeFill="background1" w:themeFillShade="A6"/>
            <w:noWrap/>
            <w:vAlign w:val="bottom"/>
          </w:tcPr>
          <w:p w:rsidR="005301E3" w:rsidRPr="004E7AB6" w:rsidRDefault="005301E3" w:rsidP="00DE41A6">
            <w:pPr>
              <w:jc w:val="right"/>
              <w:rPr>
                <w:b/>
                <w:bCs/>
              </w:rPr>
            </w:pPr>
            <w:r w:rsidRPr="00AF0961">
              <w:rPr>
                <w:b/>
                <w:bCs/>
              </w:rPr>
              <w:t>2 461 939</w:t>
            </w:r>
          </w:p>
        </w:tc>
        <w:tc>
          <w:tcPr>
            <w:tcW w:w="1267" w:type="dxa"/>
            <w:shd w:val="clear" w:color="auto" w:fill="A6A6A6" w:themeFill="background1" w:themeFillShade="A6"/>
            <w:noWrap/>
            <w:vAlign w:val="bottom"/>
          </w:tcPr>
          <w:p w:rsidR="005301E3" w:rsidRPr="004E7AB6" w:rsidRDefault="005301E3" w:rsidP="00DE41A6">
            <w:pPr>
              <w:jc w:val="right"/>
              <w:rPr>
                <w:b/>
                <w:bCs/>
              </w:rPr>
            </w:pPr>
            <w:r w:rsidRPr="00AF0961">
              <w:rPr>
                <w:b/>
                <w:bCs/>
              </w:rPr>
              <w:t>2 461 939</w:t>
            </w:r>
          </w:p>
        </w:tc>
      </w:tr>
    </w:tbl>
    <w:bookmarkEnd w:id="2"/>
    <w:p w:rsidR="005301E3" w:rsidRDefault="005301E3" w:rsidP="005301E3">
      <w:pPr>
        <w:rPr>
          <w:bCs/>
          <w:sz w:val="20"/>
          <w:szCs w:val="20"/>
        </w:rPr>
      </w:pPr>
      <w:r w:rsidRPr="007B7470">
        <w:rPr>
          <w:bCs/>
          <w:sz w:val="20"/>
          <w:szCs w:val="20"/>
        </w:rPr>
        <w:t xml:space="preserve">                                                                                                                                                           </w:t>
      </w:r>
    </w:p>
    <w:p w:rsidR="005301E3" w:rsidRPr="007B7470" w:rsidRDefault="005301E3" w:rsidP="005301E3">
      <w:pPr>
        <w:rPr>
          <w:bCs/>
          <w:sz w:val="20"/>
          <w:szCs w:val="20"/>
        </w:rPr>
      </w:pPr>
      <w:r w:rsidRPr="007B7470">
        <w:rPr>
          <w:bCs/>
          <w:sz w:val="20"/>
          <w:szCs w:val="20"/>
        </w:rPr>
        <w:lastRenderedPageBreak/>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5301E3" w:rsidRPr="007B7470" w:rsidTr="00DE41A6">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301E3" w:rsidRPr="007B7470" w:rsidRDefault="005301E3" w:rsidP="00DE41A6">
            <w:pPr>
              <w:rPr>
                <w:color w:val="000000"/>
              </w:rPr>
            </w:pPr>
            <w:r w:rsidRPr="007B7470">
              <w:rPr>
                <w:color w:val="000000"/>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301E3" w:rsidRPr="007B7470" w:rsidRDefault="005301E3" w:rsidP="00DE41A6">
            <w:pPr>
              <w:jc w:val="center"/>
              <w:rPr>
                <w:b/>
                <w:bCs/>
                <w:color w:val="000000"/>
              </w:rPr>
            </w:pPr>
            <w:r>
              <w:rPr>
                <w:b/>
                <w:bCs/>
                <w:color w:val="000000"/>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301E3" w:rsidRPr="007B7470" w:rsidRDefault="005301E3" w:rsidP="00DE41A6">
            <w:pPr>
              <w:jc w:val="center"/>
              <w:rPr>
                <w:b/>
                <w:bCs/>
                <w:color w:val="000000"/>
              </w:rPr>
            </w:pPr>
            <w:r>
              <w:rPr>
                <w:b/>
                <w:bCs/>
                <w:color w:val="000000"/>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301E3" w:rsidRPr="007B7470" w:rsidRDefault="005301E3" w:rsidP="00DE41A6">
            <w:pPr>
              <w:jc w:val="center"/>
              <w:rPr>
                <w:b/>
                <w:bCs/>
                <w:color w:val="000000"/>
              </w:rPr>
            </w:pPr>
            <w:r>
              <w:rPr>
                <w:b/>
                <w:bCs/>
                <w:color w:val="000000"/>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301E3" w:rsidRPr="007B7470" w:rsidRDefault="005301E3" w:rsidP="00DE41A6">
            <w:pPr>
              <w:jc w:val="center"/>
              <w:rPr>
                <w:b/>
                <w:bCs/>
                <w:color w:val="000000"/>
              </w:rPr>
            </w:pPr>
            <w:r>
              <w:rPr>
                <w:b/>
                <w:bCs/>
                <w:color w:val="000000"/>
              </w:rPr>
              <w:t>2027</w:t>
            </w:r>
          </w:p>
        </w:tc>
      </w:tr>
      <w:tr w:rsidR="005301E3" w:rsidRPr="007B7470" w:rsidTr="00DE41A6">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301E3" w:rsidRPr="007B7470" w:rsidRDefault="005301E3" w:rsidP="00DE41A6">
            <w:pPr>
              <w:rPr>
                <w:b/>
                <w:bCs/>
                <w:color w:val="000000" w:themeColor="text1"/>
              </w:rPr>
            </w:pPr>
            <w:r w:rsidRPr="007B7470">
              <w:rPr>
                <w:b/>
                <w:bCs/>
                <w:color w:val="000000" w:themeColor="text1"/>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bottom"/>
            <w:hideMark/>
          </w:tcPr>
          <w:p w:rsidR="005301E3" w:rsidRPr="004E7AB6" w:rsidRDefault="005301E3" w:rsidP="00DE41A6">
            <w:pPr>
              <w:jc w:val="center"/>
              <w:rPr>
                <w:b/>
                <w:color w:val="000000"/>
              </w:rPr>
            </w:pPr>
            <w:r w:rsidRPr="00AF0961">
              <w:rPr>
                <w:b/>
                <w:bCs/>
              </w:rPr>
              <w:t>413 030</w:t>
            </w:r>
          </w:p>
        </w:tc>
        <w:tc>
          <w:tcPr>
            <w:tcW w:w="1417" w:type="dxa"/>
            <w:tcBorders>
              <w:top w:val="nil"/>
              <w:left w:val="nil"/>
              <w:bottom w:val="single" w:sz="4" w:space="0" w:color="auto"/>
              <w:right w:val="single" w:sz="4" w:space="0" w:color="auto"/>
            </w:tcBorders>
            <w:shd w:val="clear" w:color="auto" w:fill="auto"/>
            <w:noWrap/>
            <w:vAlign w:val="bottom"/>
            <w:hideMark/>
          </w:tcPr>
          <w:p w:rsidR="005301E3" w:rsidRPr="004E7AB6" w:rsidRDefault="005301E3" w:rsidP="00DE41A6">
            <w:pPr>
              <w:jc w:val="center"/>
              <w:rPr>
                <w:b/>
                <w:color w:val="000000"/>
              </w:rPr>
            </w:pPr>
            <w:r w:rsidRPr="00AF0961">
              <w:rPr>
                <w:b/>
                <w:bCs/>
              </w:rPr>
              <w:t>1 621 169</w:t>
            </w:r>
          </w:p>
        </w:tc>
        <w:tc>
          <w:tcPr>
            <w:tcW w:w="1134" w:type="dxa"/>
            <w:tcBorders>
              <w:top w:val="nil"/>
              <w:left w:val="nil"/>
              <w:bottom w:val="single" w:sz="4" w:space="0" w:color="auto"/>
              <w:right w:val="single" w:sz="4" w:space="0" w:color="auto"/>
            </w:tcBorders>
            <w:shd w:val="clear" w:color="auto" w:fill="auto"/>
            <w:noWrap/>
            <w:vAlign w:val="bottom"/>
            <w:hideMark/>
          </w:tcPr>
          <w:p w:rsidR="005301E3" w:rsidRPr="004E7AB6" w:rsidRDefault="005301E3" w:rsidP="00DE41A6">
            <w:pPr>
              <w:jc w:val="center"/>
              <w:rPr>
                <w:b/>
                <w:color w:val="000000"/>
              </w:rPr>
            </w:pPr>
            <w:r w:rsidRPr="00AF0961">
              <w:rPr>
                <w:b/>
                <w:bCs/>
              </w:rPr>
              <w:t>2 461 939</w:t>
            </w:r>
          </w:p>
        </w:tc>
        <w:tc>
          <w:tcPr>
            <w:tcW w:w="1418" w:type="dxa"/>
            <w:tcBorders>
              <w:top w:val="nil"/>
              <w:left w:val="nil"/>
              <w:bottom w:val="single" w:sz="4" w:space="0" w:color="auto"/>
              <w:right w:val="single" w:sz="4" w:space="0" w:color="auto"/>
            </w:tcBorders>
            <w:shd w:val="clear" w:color="auto" w:fill="auto"/>
            <w:noWrap/>
            <w:vAlign w:val="bottom"/>
            <w:hideMark/>
          </w:tcPr>
          <w:p w:rsidR="005301E3" w:rsidRPr="004E7AB6" w:rsidRDefault="005301E3" w:rsidP="00DE41A6">
            <w:pPr>
              <w:jc w:val="center"/>
              <w:rPr>
                <w:b/>
                <w:color w:val="000000"/>
              </w:rPr>
            </w:pPr>
            <w:r w:rsidRPr="00AF0961">
              <w:rPr>
                <w:b/>
                <w:bCs/>
              </w:rPr>
              <w:t>2 461 939</w:t>
            </w:r>
          </w:p>
        </w:tc>
      </w:tr>
      <w:tr w:rsidR="005301E3" w:rsidRPr="007B7470" w:rsidTr="00DE41A6">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301E3" w:rsidRPr="007B7470" w:rsidRDefault="005301E3" w:rsidP="00DE41A6">
            <w:pPr>
              <w:rPr>
                <w:color w:val="000000" w:themeColor="text1"/>
              </w:rPr>
            </w:pPr>
            <w:r w:rsidRPr="00B14AD5">
              <w:t xml:space="preserve">v tom: </w:t>
            </w:r>
            <w:r>
              <w:t>Rada pre mediálne služby</w:t>
            </w:r>
          </w:p>
        </w:tc>
        <w:tc>
          <w:tcPr>
            <w:tcW w:w="1134" w:type="dxa"/>
            <w:tcBorders>
              <w:top w:val="nil"/>
              <w:left w:val="nil"/>
              <w:bottom w:val="single" w:sz="4" w:space="0" w:color="auto"/>
              <w:right w:val="single" w:sz="4" w:space="0" w:color="auto"/>
            </w:tcBorders>
            <w:shd w:val="clear" w:color="auto" w:fill="auto"/>
            <w:noWrap/>
            <w:vAlign w:val="bottom"/>
            <w:hideMark/>
          </w:tcPr>
          <w:p w:rsidR="005301E3" w:rsidRPr="004E7AB6" w:rsidRDefault="005301E3" w:rsidP="00DE41A6">
            <w:pPr>
              <w:jc w:val="center"/>
              <w:rPr>
                <w:color w:val="000000"/>
              </w:rPr>
            </w:pPr>
            <w:r w:rsidRPr="00AF0961">
              <w:rPr>
                <w:b/>
                <w:bCs/>
              </w:rPr>
              <w:t>413 030</w:t>
            </w:r>
          </w:p>
        </w:tc>
        <w:tc>
          <w:tcPr>
            <w:tcW w:w="1417" w:type="dxa"/>
            <w:tcBorders>
              <w:top w:val="nil"/>
              <w:left w:val="nil"/>
              <w:bottom w:val="single" w:sz="4" w:space="0" w:color="auto"/>
              <w:right w:val="single" w:sz="4" w:space="0" w:color="auto"/>
            </w:tcBorders>
            <w:shd w:val="clear" w:color="auto" w:fill="auto"/>
            <w:noWrap/>
            <w:vAlign w:val="bottom"/>
            <w:hideMark/>
          </w:tcPr>
          <w:p w:rsidR="005301E3" w:rsidRPr="004E7AB6" w:rsidRDefault="005301E3" w:rsidP="00DE41A6">
            <w:pPr>
              <w:jc w:val="center"/>
              <w:rPr>
                <w:color w:val="000000"/>
              </w:rPr>
            </w:pPr>
            <w:r w:rsidRPr="00AF0961">
              <w:rPr>
                <w:b/>
                <w:bCs/>
              </w:rPr>
              <w:t>1 621 169</w:t>
            </w:r>
          </w:p>
        </w:tc>
        <w:tc>
          <w:tcPr>
            <w:tcW w:w="1134" w:type="dxa"/>
            <w:tcBorders>
              <w:top w:val="nil"/>
              <w:left w:val="nil"/>
              <w:bottom w:val="single" w:sz="4" w:space="0" w:color="auto"/>
              <w:right w:val="single" w:sz="4" w:space="0" w:color="auto"/>
            </w:tcBorders>
            <w:shd w:val="clear" w:color="auto" w:fill="auto"/>
            <w:noWrap/>
            <w:vAlign w:val="bottom"/>
            <w:hideMark/>
          </w:tcPr>
          <w:p w:rsidR="005301E3" w:rsidRPr="004E7AB6" w:rsidRDefault="005301E3" w:rsidP="00DE41A6">
            <w:pPr>
              <w:jc w:val="center"/>
              <w:rPr>
                <w:color w:val="000000"/>
              </w:rPr>
            </w:pPr>
            <w:r w:rsidRPr="00AF0961">
              <w:rPr>
                <w:b/>
                <w:bCs/>
              </w:rPr>
              <w:t>2 461 939</w:t>
            </w:r>
          </w:p>
        </w:tc>
        <w:tc>
          <w:tcPr>
            <w:tcW w:w="1418" w:type="dxa"/>
            <w:tcBorders>
              <w:top w:val="nil"/>
              <w:left w:val="nil"/>
              <w:bottom w:val="single" w:sz="4" w:space="0" w:color="auto"/>
              <w:right w:val="single" w:sz="4" w:space="0" w:color="auto"/>
            </w:tcBorders>
            <w:shd w:val="clear" w:color="auto" w:fill="auto"/>
            <w:noWrap/>
            <w:vAlign w:val="bottom"/>
            <w:hideMark/>
          </w:tcPr>
          <w:p w:rsidR="005301E3" w:rsidRPr="004E7AB6" w:rsidRDefault="005301E3" w:rsidP="00DE41A6">
            <w:pPr>
              <w:jc w:val="center"/>
              <w:rPr>
                <w:color w:val="000000"/>
              </w:rPr>
            </w:pPr>
            <w:r w:rsidRPr="00AF0961">
              <w:rPr>
                <w:b/>
                <w:bCs/>
              </w:rPr>
              <w:t>2 461 939</w:t>
            </w:r>
          </w:p>
        </w:tc>
      </w:tr>
      <w:tr w:rsidR="005301E3" w:rsidRPr="007B7470" w:rsidTr="00DE41A6">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301E3" w:rsidRPr="007B7470" w:rsidRDefault="005301E3" w:rsidP="00DE41A6">
            <w:pPr>
              <w:rPr>
                <w:b/>
                <w:color w:val="000000" w:themeColor="text1"/>
              </w:rPr>
            </w:pPr>
            <w:r w:rsidRPr="007B7470">
              <w:rPr>
                <w:b/>
                <w:color w:val="000000" w:themeColor="text1"/>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5301E3" w:rsidRPr="004E7AB6" w:rsidRDefault="005301E3" w:rsidP="00DE41A6">
            <w:pPr>
              <w:rPr>
                <w:color w:val="000000"/>
              </w:rPr>
            </w:pPr>
            <w:r w:rsidRPr="004E7AB6">
              <w:rPr>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rsidR="005301E3" w:rsidRPr="004E7AB6" w:rsidRDefault="005301E3" w:rsidP="00DE41A6">
            <w:pPr>
              <w:rPr>
                <w:color w:val="000000"/>
              </w:rPr>
            </w:pPr>
            <w:r w:rsidRPr="004E7AB6">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5301E3" w:rsidRPr="004E7AB6" w:rsidRDefault="005301E3" w:rsidP="00DE41A6">
            <w:pPr>
              <w:rPr>
                <w:color w:val="000000"/>
              </w:rPr>
            </w:pPr>
            <w:r w:rsidRPr="004E7AB6">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5301E3" w:rsidRPr="004E7AB6" w:rsidRDefault="005301E3" w:rsidP="00DE41A6">
            <w:pPr>
              <w:rPr>
                <w:color w:val="000000"/>
              </w:rPr>
            </w:pPr>
            <w:r w:rsidRPr="004E7AB6">
              <w:rPr>
                <w:color w:val="000000"/>
              </w:rPr>
              <w:t> </w:t>
            </w:r>
          </w:p>
        </w:tc>
      </w:tr>
      <w:tr w:rsidR="005301E3" w:rsidRPr="007B7470" w:rsidTr="00DE41A6">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301E3" w:rsidRPr="007B7470" w:rsidRDefault="005301E3" w:rsidP="00DE41A6">
            <w:pPr>
              <w:rPr>
                <w:b/>
                <w:bCs/>
                <w:color w:val="000000" w:themeColor="text1"/>
              </w:rPr>
            </w:pPr>
            <w:r w:rsidRPr="007B7470">
              <w:rPr>
                <w:b/>
                <w:bCs/>
                <w:color w:val="000000" w:themeColor="text1"/>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bottom"/>
            <w:hideMark/>
          </w:tcPr>
          <w:p w:rsidR="005301E3" w:rsidRPr="004E7AB6" w:rsidRDefault="005301E3" w:rsidP="00DE41A6">
            <w:pPr>
              <w:jc w:val="center"/>
              <w:rPr>
                <w:b/>
                <w:color w:val="000000"/>
              </w:rPr>
            </w:pPr>
            <w:r w:rsidRPr="00AF0961">
              <w:rPr>
                <w:b/>
                <w:bCs/>
              </w:rPr>
              <w:t>413 030</w:t>
            </w:r>
          </w:p>
        </w:tc>
        <w:tc>
          <w:tcPr>
            <w:tcW w:w="1417" w:type="dxa"/>
            <w:tcBorders>
              <w:top w:val="nil"/>
              <w:left w:val="nil"/>
              <w:bottom w:val="single" w:sz="4" w:space="0" w:color="auto"/>
              <w:right w:val="single" w:sz="4" w:space="0" w:color="auto"/>
            </w:tcBorders>
            <w:shd w:val="clear" w:color="auto" w:fill="auto"/>
            <w:noWrap/>
            <w:vAlign w:val="bottom"/>
            <w:hideMark/>
          </w:tcPr>
          <w:p w:rsidR="005301E3" w:rsidRPr="004E7AB6" w:rsidRDefault="005301E3" w:rsidP="00DE41A6">
            <w:pPr>
              <w:jc w:val="center"/>
              <w:rPr>
                <w:b/>
                <w:color w:val="000000"/>
              </w:rPr>
            </w:pPr>
            <w:r w:rsidRPr="00AF0961">
              <w:rPr>
                <w:b/>
                <w:bCs/>
              </w:rPr>
              <w:t>1 621 169</w:t>
            </w:r>
          </w:p>
        </w:tc>
        <w:tc>
          <w:tcPr>
            <w:tcW w:w="1134" w:type="dxa"/>
            <w:tcBorders>
              <w:top w:val="nil"/>
              <w:left w:val="nil"/>
              <w:bottom w:val="single" w:sz="4" w:space="0" w:color="auto"/>
              <w:right w:val="single" w:sz="4" w:space="0" w:color="auto"/>
            </w:tcBorders>
            <w:shd w:val="clear" w:color="auto" w:fill="auto"/>
            <w:noWrap/>
            <w:vAlign w:val="bottom"/>
            <w:hideMark/>
          </w:tcPr>
          <w:p w:rsidR="005301E3" w:rsidRPr="004E7AB6" w:rsidRDefault="005301E3" w:rsidP="00DE41A6">
            <w:pPr>
              <w:jc w:val="center"/>
              <w:rPr>
                <w:b/>
                <w:color w:val="000000"/>
              </w:rPr>
            </w:pPr>
            <w:r w:rsidRPr="00AF0961">
              <w:rPr>
                <w:b/>
                <w:bCs/>
              </w:rPr>
              <w:t>2 461 939</w:t>
            </w:r>
          </w:p>
        </w:tc>
        <w:tc>
          <w:tcPr>
            <w:tcW w:w="1418" w:type="dxa"/>
            <w:tcBorders>
              <w:top w:val="nil"/>
              <w:left w:val="nil"/>
              <w:bottom w:val="single" w:sz="4" w:space="0" w:color="auto"/>
              <w:right w:val="single" w:sz="4" w:space="0" w:color="auto"/>
            </w:tcBorders>
            <w:shd w:val="clear" w:color="auto" w:fill="auto"/>
            <w:noWrap/>
            <w:vAlign w:val="bottom"/>
            <w:hideMark/>
          </w:tcPr>
          <w:p w:rsidR="005301E3" w:rsidRPr="004E7AB6" w:rsidRDefault="005301E3" w:rsidP="00DE41A6">
            <w:pPr>
              <w:jc w:val="center"/>
              <w:rPr>
                <w:b/>
                <w:color w:val="000000"/>
              </w:rPr>
            </w:pPr>
            <w:r w:rsidRPr="00AF0961">
              <w:rPr>
                <w:b/>
                <w:bCs/>
              </w:rPr>
              <w:t>2 461 939</w:t>
            </w:r>
          </w:p>
        </w:tc>
      </w:tr>
      <w:tr w:rsidR="005301E3" w:rsidRPr="007B7470" w:rsidTr="00DE41A6">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301E3" w:rsidRPr="007B7470" w:rsidRDefault="005301E3" w:rsidP="00DE41A6">
            <w:pPr>
              <w:rPr>
                <w:b/>
                <w:bCs/>
                <w:color w:val="000000" w:themeColor="text1"/>
              </w:rPr>
            </w:pPr>
            <w:r w:rsidRPr="007B7470">
              <w:rPr>
                <w:b/>
                <w:bCs/>
                <w:color w:val="000000" w:themeColor="text1"/>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5301E3" w:rsidRPr="004E7AB6" w:rsidRDefault="005301E3" w:rsidP="00DE41A6">
            <w:pPr>
              <w:jc w:val="center"/>
              <w:rPr>
                <w:b/>
                <w:color w:val="000000"/>
              </w:rPr>
            </w:pPr>
            <w:r w:rsidRPr="004E7AB6">
              <w:rPr>
                <w:b/>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5301E3" w:rsidRPr="004E7AB6" w:rsidRDefault="005301E3" w:rsidP="00DE41A6">
            <w:pPr>
              <w:jc w:val="center"/>
              <w:rPr>
                <w:b/>
                <w:color w:val="000000"/>
              </w:rPr>
            </w:pPr>
            <w:r w:rsidRPr="004E7AB6">
              <w:rPr>
                <w:b/>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rsidR="005301E3" w:rsidRPr="004E7AB6" w:rsidRDefault="005301E3" w:rsidP="00DE41A6">
            <w:pPr>
              <w:jc w:val="center"/>
              <w:rPr>
                <w:b/>
                <w:color w:val="000000"/>
              </w:rPr>
            </w:pPr>
            <w:r w:rsidRPr="004E7AB6">
              <w:rPr>
                <w:b/>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rsidR="005301E3" w:rsidRPr="004E7AB6" w:rsidRDefault="005301E3" w:rsidP="00DE41A6">
            <w:pPr>
              <w:jc w:val="center"/>
              <w:rPr>
                <w:b/>
                <w:color w:val="000000"/>
              </w:rPr>
            </w:pPr>
            <w:r w:rsidRPr="004E7AB6">
              <w:rPr>
                <w:b/>
                <w:color w:val="000000"/>
              </w:rPr>
              <w:t>0</w:t>
            </w:r>
          </w:p>
        </w:tc>
      </w:tr>
      <w:tr w:rsidR="005301E3" w:rsidRPr="007B7470" w:rsidTr="00DE41A6">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5301E3" w:rsidRPr="007B7470" w:rsidRDefault="005301E3" w:rsidP="00DE41A6">
            <w:pPr>
              <w:rPr>
                <w:b/>
                <w:bCs/>
                <w:color w:val="000000" w:themeColor="text1"/>
              </w:rPr>
            </w:pPr>
            <w:r w:rsidRPr="007B7470">
              <w:rPr>
                <w:b/>
                <w:bCs/>
                <w:color w:val="000000" w:themeColor="text1"/>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301E3" w:rsidRPr="007B7470" w:rsidRDefault="005301E3" w:rsidP="00DE41A6">
            <w:pPr>
              <w:jc w:val="center"/>
              <w:rPr>
                <w:b/>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301E3" w:rsidRPr="007B7470" w:rsidRDefault="005301E3" w:rsidP="00DE41A6">
            <w:pPr>
              <w:jc w:val="center"/>
              <w:rPr>
                <w:b/>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301E3" w:rsidRPr="007B7470" w:rsidRDefault="005301E3" w:rsidP="00DE41A6">
            <w:pPr>
              <w:jc w:val="center"/>
              <w:rPr>
                <w:b/>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301E3" w:rsidRPr="007B7470" w:rsidRDefault="005301E3" w:rsidP="00DE41A6">
            <w:pPr>
              <w:jc w:val="center"/>
              <w:rPr>
                <w:b/>
                <w:color w:val="000000"/>
              </w:rPr>
            </w:pPr>
          </w:p>
        </w:tc>
      </w:tr>
    </w:tbl>
    <w:p w:rsidR="005301E3" w:rsidRPr="00B14AD5" w:rsidRDefault="005301E3" w:rsidP="005301E3">
      <w:pPr>
        <w:rPr>
          <w:b/>
          <w:bCs/>
        </w:rPr>
      </w:pPr>
      <w:r w:rsidRPr="00B14AD5">
        <w:rPr>
          <w:b/>
          <w:bCs/>
        </w:rPr>
        <w:br w:type="page"/>
      </w:r>
      <w:r w:rsidRPr="00B14AD5">
        <w:rPr>
          <w:b/>
          <w:bCs/>
        </w:rPr>
        <w:lastRenderedPageBreak/>
        <w:t>2.1.1. Financovanie návrhu - Návrh na riešenie úbytku príjmov alebo zvýšených výdavkov podľa § 33 ods. 1 zákona č. 523/2004 Z. z. o rozpočtových pravidlách verejnej správy:</w:t>
      </w:r>
    </w:p>
    <w:p w:rsidR="005301E3" w:rsidRPr="00B14AD5" w:rsidRDefault="005301E3" w:rsidP="005301E3">
      <w:pPr>
        <w:jc w:val="both"/>
        <w:rPr>
          <w:b/>
          <w:bCs/>
          <w:sz w:val="12"/>
        </w:rPr>
      </w:pPr>
    </w:p>
    <w:p w:rsidR="005301E3" w:rsidRPr="00DB0362" w:rsidRDefault="005301E3" w:rsidP="005301E3">
      <w:pPr>
        <w:pBdr>
          <w:top w:val="single" w:sz="4" w:space="1" w:color="auto"/>
          <w:left w:val="single" w:sz="4" w:space="4" w:color="auto"/>
          <w:bottom w:val="single" w:sz="4" w:space="0" w:color="auto"/>
          <w:right w:val="single" w:sz="4" w:space="4" w:color="auto"/>
        </w:pBdr>
        <w:rPr>
          <w:b/>
          <w:bCs/>
        </w:rPr>
      </w:pPr>
    </w:p>
    <w:p w:rsidR="00F55A99" w:rsidRDefault="005301E3" w:rsidP="005301E3">
      <w:pPr>
        <w:pBdr>
          <w:top w:val="single" w:sz="4" w:space="1" w:color="auto"/>
          <w:left w:val="single" w:sz="4" w:space="4" w:color="auto"/>
          <w:bottom w:val="single" w:sz="4" w:space="0" w:color="auto"/>
          <w:right w:val="single" w:sz="4" w:space="4" w:color="auto"/>
        </w:pBdr>
      </w:pPr>
      <w:r>
        <w:t>Návrh si</w:t>
      </w:r>
      <w:r w:rsidRPr="00DB0362">
        <w:t xml:space="preserve"> vyž</w:t>
      </w:r>
      <w:r>
        <w:t>aduje</w:t>
      </w:r>
      <w:r w:rsidRPr="00DB0362">
        <w:t xml:space="preserve"> vplyv na rozpočet verejnej správy vo </w:t>
      </w:r>
      <w:r w:rsidRPr="00381FC2">
        <w:t>výške 413 030 eur v roku 2024, 1 621 169 eur v roku 2025, 2 461 939 eur v roku 2026, 2 461 939 eur v roku 2027.</w:t>
      </w:r>
    </w:p>
    <w:p w:rsidR="005301E3" w:rsidRPr="00381FC2" w:rsidRDefault="005301E3" w:rsidP="005301E3">
      <w:pPr>
        <w:pBdr>
          <w:top w:val="single" w:sz="4" w:space="1" w:color="auto"/>
          <w:left w:val="single" w:sz="4" w:space="4" w:color="auto"/>
          <w:bottom w:val="single" w:sz="4" w:space="0" w:color="auto"/>
          <w:right w:val="single" w:sz="4" w:space="4" w:color="auto"/>
        </w:pBdr>
      </w:pPr>
      <w:r w:rsidRPr="00381FC2">
        <w:t xml:space="preserve"> </w:t>
      </w:r>
    </w:p>
    <w:p w:rsidR="005301E3" w:rsidRPr="00381FC2" w:rsidRDefault="005301E3" w:rsidP="005301E3">
      <w:pPr>
        <w:pBdr>
          <w:top w:val="single" w:sz="4" w:space="1" w:color="auto"/>
          <w:left w:val="single" w:sz="4" w:space="4" w:color="auto"/>
          <w:bottom w:val="single" w:sz="4" w:space="0" w:color="auto"/>
          <w:right w:val="single" w:sz="4" w:space="4" w:color="auto"/>
        </w:pBdr>
        <w:jc w:val="both"/>
      </w:pPr>
      <w:r w:rsidRPr="00381FC2">
        <w:t>Financovanie v roku 2024 sa bude riešiť na základe žiadosti Rady pre mediálne služby o rozpočtové opatrenie, ktoré bude zohľadňovať aktuálnu potrebu postupného nástupu zamestnancov. Vplyv v ďalších rokoch bude riešený v rámci rokovaní o návrhu rozpočtu verejnej správy na roky 2025 až 2027 a bude zohľadňovať potrebu nástupu zamestnancov.</w:t>
      </w:r>
    </w:p>
    <w:p w:rsidR="00F55A99" w:rsidRDefault="00F55A99" w:rsidP="005301E3">
      <w:pPr>
        <w:pBdr>
          <w:top w:val="single" w:sz="4" w:space="1" w:color="auto"/>
          <w:left w:val="single" w:sz="4" w:space="4" w:color="auto"/>
          <w:bottom w:val="single" w:sz="4" w:space="0" w:color="auto"/>
          <w:right w:val="single" w:sz="4" w:space="4" w:color="auto"/>
        </w:pBdr>
      </w:pPr>
    </w:p>
    <w:p w:rsidR="005301E3" w:rsidRPr="00381FC2" w:rsidRDefault="005301E3" w:rsidP="005301E3">
      <w:pPr>
        <w:pBdr>
          <w:top w:val="single" w:sz="4" w:space="1" w:color="auto"/>
          <w:left w:val="single" w:sz="4" w:space="4" w:color="auto"/>
          <w:bottom w:val="single" w:sz="4" w:space="0" w:color="auto"/>
          <w:right w:val="single" w:sz="4" w:space="4" w:color="auto"/>
        </w:pBdr>
      </w:pPr>
      <w:r w:rsidRPr="00381FC2">
        <w:t xml:space="preserve">Pozn.: Každoročne sa na základe reálnych potrieb aktualizuje rozpočet na ďalší rok, pričom na základe výročnej správy za rok 2026 bude možné prvý krát vyčíslenie príjmov verejnej správy. </w:t>
      </w:r>
    </w:p>
    <w:p w:rsidR="005301E3" w:rsidRPr="00AF0961" w:rsidRDefault="005301E3" w:rsidP="005301E3">
      <w:pPr>
        <w:pBdr>
          <w:top w:val="single" w:sz="4" w:space="1" w:color="auto"/>
          <w:left w:val="single" w:sz="4" w:space="4" w:color="auto"/>
          <w:bottom w:val="single" w:sz="4" w:space="0" w:color="auto"/>
          <w:right w:val="single" w:sz="4" w:space="4" w:color="auto"/>
        </w:pBdr>
        <w:rPr>
          <w:b/>
          <w:bCs/>
        </w:rPr>
      </w:pPr>
      <w:r w:rsidRPr="00866454">
        <w:rPr>
          <w:b/>
          <w:bCs/>
        </w:rPr>
        <w:tab/>
      </w:r>
      <w:r w:rsidRPr="00866454">
        <w:rPr>
          <w:b/>
          <w:bCs/>
        </w:rPr>
        <w:tab/>
      </w:r>
      <w:r w:rsidRPr="00866454">
        <w:rPr>
          <w:b/>
          <w:bCs/>
        </w:rPr>
        <w:tab/>
      </w:r>
    </w:p>
    <w:p w:rsidR="005301E3" w:rsidRPr="00B14AD5" w:rsidRDefault="005301E3" w:rsidP="005301E3">
      <w:pPr>
        <w:rPr>
          <w:b/>
          <w:bCs/>
        </w:rPr>
      </w:pPr>
      <w:r w:rsidRPr="00B14AD5">
        <w:rPr>
          <w:b/>
          <w:bCs/>
        </w:rPr>
        <w:t>2.2. Popis a charakteristika návrhu</w:t>
      </w:r>
    </w:p>
    <w:p w:rsidR="005301E3" w:rsidRPr="00B14AD5" w:rsidRDefault="005301E3" w:rsidP="005301E3"/>
    <w:p w:rsidR="005301E3" w:rsidRPr="00B14AD5" w:rsidRDefault="005301E3" w:rsidP="005301E3">
      <w:pPr>
        <w:jc w:val="both"/>
        <w:rPr>
          <w:b/>
          <w:bCs/>
        </w:rPr>
      </w:pPr>
      <w:r w:rsidRPr="00B14AD5">
        <w:rPr>
          <w:b/>
          <w:bCs/>
        </w:rPr>
        <w:t>2.2.1. Popis návrhu:</w:t>
      </w:r>
    </w:p>
    <w:p w:rsidR="005301E3" w:rsidRPr="00B14AD5" w:rsidRDefault="005301E3" w:rsidP="005301E3">
      <w:pPr>
        <w:jc w:val="both"/>
        <w:rPr>
          <w:b/>
          <w:bCs/>
        </w:rPr>
      </w:pPr>
    </w:p>
    <w:p w:rsidR="005301E3" w:rsidRPr="00B14AD5" w:rsidRDefault="005301E3" w:rsidP="005301E3">
      <w:pPr>
        <w:ind w:firstLine="708"/>
        <w:jc w:val="both"/>
      </w:pPr>
      <w:r w:rsidRPr="00B14AD5">
        <w:t>Akú problematiku návrh rieši? Kto bude návrh implementovať? Kde sa budú služby poskytovať?</w:t>
      </w:r>
    </w:p>
    <w:p w:rsidR="005301E3" w:rsidRPr="00B14AD5" w:rsidRDefault="005301E3" w:rsidP="005301E3"/>
    <w:p w:rsidR="005301E3" w:rsidRPr="0092634D" w:rsidRDefault="005301E3" w:rsidP="005301E3">
      <w:pPr>
        <w:ind w:firstLine="708"/>
        <w:jc w:val="both"/>
      </w:pPr>
      <w:r w:rsidRPr="0092634D">
        <w:t>Nariadenie je novou celoeurópskou reguláciou internetového obsahu v rámci poskytovania sprostredkovateľských služieb. Zavádza nové harmonizované pravidlá pre poskytovateľov sprostredkovateľských služieb, vrátane sociálnych sietí, online trhovísk, internetových vyhľadávačov, webhostingových a cloudových služieb, online cestovných a ubytovacích platforiem, obchodov s aplikáciami a iných typov online platforiem.</w:t>
      </w:r>
    </w:p>
    <w:p w:rsidR="005301E3" w:rsidRPr="0092634D" w:rsidRDefault="005301E3" w:rsidP="005301E3">
      <w:pPr>
        <w:ind w:firstLine="708"/>
        <w:jc w:val="both"/>
      </w:pPr>
    </w:p>
    <w:p w:rsidR="005301E3" w:rsidRPr="0092634D" w:rsidRDefault="005301E3" w:rsidP="005301E3">
      <w:pPr>
        <w:ind w:firstLine="708"/>
        <w:jc w:val="both"/>
      </w:pPr>
      <w:r w:rsidRPr="0092634D">
        <w:t>V zmysle nariadenia majú členské štáty Európskej únie povinnosť určiť národného koordinátora digitálnych služieb, ktorý bude zodpovedný za všetky záležitosti týkajúce sa dohľadu a presadzovania tohto nariadenia.</w:t>
      </w:r>
    </w:p>
    <w:p w:rsidR="005301E3" w:rsidRPr="0092634D" w:rsidRDefault="005301E3" w:rsidP="005301E3">
      <w:pPr>
        <w:ind w:firstLine="708"/>
        <w:jc w:val="both"/>
      </w:pPr>
      <w:r w:rsidRPr="0092634D">
        <w:t>Presadzovanie nariadenia (EÚ) 2019/1150 (tzv. nariadenie P2B) bolo doposiaľ v Slovenskej republike ponechané na súdy.</w:t>
      </w:r>
    </w:p>
    <w:p w:rsidR="005301E3" w:rsidRPr="0092634D" w:rsidRDefault="005301E3" w:rsidP="005301E3">
      <w:pPr>
        <w:ind w:firstLine="708"/>
        <w:jc w:val="both"/>
      </w:pPr>
      <w:bookmarkStart w:id="3" w:name="_Hlk132122587"/>
      <w:r w:rsidRPr="0092634D">
        <w:t xml:space="preserve">V rámci implementácie nariadenia Európskeho parlamentu a Rady 2022/2065 o jednotnom trhu s digitálnymi službami (tzv. DSA – Digital Services Act) sa navrhuje poverenie Rady pre mediálne služby (ďalej ako „RMS“) úlohou koordinátora digitálnych služieb (tzv. DSC - Digital Services Coordinator), ktorý bude dohliadať nad dodržiavaním ustanovení nariadenia zo strany všetkých dotknutých subjektov. </w:t>
      </w:r>
      <w:bookmarkEnd w:id="3"/>
      <w:r w:rsidRPr="0092634D">
        <w:t>DSC má byť nestranný orgán s dostatočnými finančnými, ľudskými zdrojmi a technickým zabezpečením. DSC je oprávnený požadovať informácie od poskytovateľov online platforiem a poskytovateľov sprostredkovateľských služieb, vykonávať kontroly a ukladať sankcie.</w:t>
      </w:r>
    </w:p>
    <w:p w:rsidR="005301E3" w:rsidRPr="0092634D" w:rsidRDefault="005301E3" w:rsidP="005301E3">
      <w:pPr>
        <w:ind w:firstLine="708"/>
        <w:jc w:val="both"/>
      </w:pPr>
      <w:r w:rsidRPr="0092634D">
        <w:t>Kľúčové úlohy a kompetencie DSC sa týkajú predovšetkým nasledujúcich oblastí:</w:t>
      </w:r>
    </w:p>
    <w:p w:rsidR="005301E3" w:rsidRPr="0092634D" w:rsidRDefault="005301E3" w:rsidP="005301E3">
      <w:pPr>
        <w:pStyle w:val="Odsekzoznamu"/>
        <w:numPr>
          <w:ilvl w:val="0"/>
          <w:numId w:val="30"/>
        </w:numPr>
        <w:jc w:val="both"/>
      </w:pPr>
      <w:r w:rsidRPr="0092634D">
        <w:t>nezákonný obsah,</w:t>
      </w:r>
    </w:p>
    <w:p w:rsidR="005301E3" w:rsidRPr="0092634D" w:rsidRDefault="005301E3" w:rsidP="005301E3">
      <w:pPr>
        <w:pStyle w:val="Odsekzoznamu"/>
        <w:numPr>
          <w:ilvl w:val="0"/>
          <w:numId w:val="30"/>
        </w:numPr>
        <w:jc w:val="both"/>
      </w:pPr>
      <w:r w:rsidRPr="0092634D">
        <w:t>dohľad nad online obchodom s tovarom a službami prostredníctvom online sprostredkovateľov,</w:t>
      </w:r>
    </w:p>
    <w:p w:rsidR="005301E3" w:rsidRPr="0092634D" w:rsidRDefault="005301E3" w:rsidP="005301E3">
      <w:pPr>
        <w:pStyle w:val="Odsekzoznamu"/>
        <w:numPr>
          <w:ilvl w:val="0"/>
          <w:numId w:val="30"/>
        </w:numPr>
        <w:jc w:val="both"/>
      </w:pPr>
      <w:r w:rsidRPr="0092634D">
        <w:t>riešenie sťažností používateľov online platforiem,</w:t>
      </w:r>
    </w:p>
    <w:p w:rsidR="005301E3" w:rsidRPr="0092634D" w:rsidRDefault="005301E3" w:rsidP="005301E3">
      <w:pPr>
        <w:pStyle w:val="Odsekzoznamu"/>
        <w:numPr>
          <w:ilvl w:val="0"/>
          <w:numId w:val="30"/>
        </w:numPr>
        <w:jc w:val="both"/>
      </w:pPr>
      <w:r w:rsidRPr="0092634D">
        <w:t xml:space="preserve">dohľad nad dodržiavaním povinností veľmi veľkých online platforiem a veľmi veľkých internetových vyhľadávačov (VLOP/VLOS; iba za určitých </w:t>
      </w:r>
      <w:r w:rsidRPr="0092634D">
        <w:lastRenderedPageBreak/>
        <w:t>podmienok – v obmedzených oblastiach a iba vtedy, ak Európska komisia už nezačala konanie v tej veci),</w:t>
      </w:r>
    </w:p>
    <w:p w:rsidR="005301E3" w:rsidRPr="0092634D" w:rsidRDefault="005301E3" w:rsidP="005301E3">
      <w:pPr>
        <w:pStyle w:val="Odsekzoznamu"/>
        <w:numPr>
          <w:ilvl w:val="0"/>
          <w:numId w:val="30"/>
        </w:numPr>
        <w:jc w:val="both"/>
      </w:pPr>
      <w:r w:rsidRPr="0092634D">
        <w:t>kontrolné a sankčné právomoci vrátane medzinárodnej spolupráce s Európskou komisiou a DSC iných členských štátov v rámci Európskeho výboru pre digitálne služby,</w:t>
      </w:r>
    </w:p>
    <w:p w:rsidR="005301E3" w:rsidRPr="0092634D" w:rsidRDefault="005301E3" w:rsidP="005301E3">
      <w:pPr>
        <w:pStyle w:val="Odsekzoznamu"/>
        <w:numPr>
          <w:ilvl w:val="0"/>
          <w:numId w:val="30"/>
        </w:numPr>
        <w:jc w:val="both"/>
      </w:pPr>
      <w:r w:rsidRPr="0092634D">
        <w:t>administratívne úlohy (napr. certifikácia orgánov mimosúdneho riešenia sporov, udeľovanie štatútu dôveryhodných nahlasovateľov alebo preverených výskumných pracovníkov).</w:t>
      </w:r>
    </w:p>
    <w:p w:rsidR="005301E3" w:rsidRPr="0092634D" w:rsidRDefault="005301E3" w:rsidP="005301E3">
      <w:pPr>
        <w:jc w:val="both"/>
      </w:pPr>
    </w:p>
    <w:p w:rsidR="005301E3" w:rsidRPr="0092634D" w:rsidRDefault="005301E3" w:rsidP="005301E3">
      <w:pPr>
        <w:ind w:firstLine="708"/>
        <w:jc w:val="both"/>
      </w:pPr>
      <w:r w:rsidRPr="0092634D">
        <w:t xml:space="preserve">Návrh ráta aj s novými príjmami do štátneho rozpočtu, avšak ich výška závisí jednak od dodržiavania zákonných predpisov poskytovateľmi sprostredkovateľských služieb a vzhľadom na percentuálne vyjadrenie sankcií bude závisieť aj od finančnej situácie posudzovaného subjektu v reálnom čase. Táto však bude môcť byť preverovaná až v rámci administratívneho konania voči dotknutým poskytovateľom sprostredkovateľských služieb, ktorých počet vzhľadom na chýbajúce mapovanie digitálneho prostredia na Slovensku tiež nie je možné s istotou predikovať. Z uvedených dôvodov RMS nedokáže presne kvantifikovať možné príjmy. </w:t>
      </w:r>
    </w:p>
    <w:p w:rsidR="005301E3" w:rsidRPr="0092634D" w:rsidRDefault="005301E3" w:rsidP="005301E3">
      <w:pPr>
        <w:pStyle w:val="Odsekzoznamu"/>
        <w:numPr>
          <w:ilvl w:val="0"/>
          <w:numId w:val="31"/>
        </w:numPr>
        <w:jc w:val="both"/>
      </w:pPr>
      <w:r w:rsidRPr="0092634D">
        <w:t xml:space="preserve">Jedným z možných zdrojov príjmov môžu byť, podľa recitálu 101 DSA, poplatky uložené členským štátom poskytovateľom usadeným na území SR za dohľad v súvislosti s úlohami dohľadu a presadzovania, ktoré vykonávajú orgány dohľadu. </w:t>
      </w:r>
    </w:p>
    <w:p w:rsidR="005301E3" w:rsidRPr="0092634D" w:rsidRDefault="005301E3" w:rsidP="005301E3">
      <w:pPr>
        <w:pStyle w:val="Odsekzoznamu"/>
        <w:numPr>
          <w:ilvl w:val="0"/>
          <w:numId w:val="31"/>
        </w:numPr>
        <w:jc w:val="both"/>
      </w:pPr>
      <w:r w:rsidRPr="0092634D">
        <w:t xml:space="preserve">Ďalším zdrojom možných príjmov sú sankčné režimy ustanovené čl. 52 DSA a čl. 15 P2B. </w:t>
      </w:r>
    </w:p>
    <w:p w:rsidR="005301E3" w:rsidRPr="0092634D" w:rsidRDefault="005301E3" w:rsidP="005301E3">
      <w:pPr>
        <w:pStyle w:val="Odsekzoznamu"/>
        <w:numPr>
          <w:ilvl w:val="0"/>
          <w:numId w:val="31"/>
        </w:numPr>
        <w:jc w:val="both"/>
      </w:pPr>
      <w:r w:rsidRPr="0092634D">
        <w:t xml:space="preserve">Za porušenie povinností v rámci DSA môže regulátor uložiť poskytovateľovi sprostredkovateľských služieb pokutu až do výšky </w:t>
      </w:r>
      <w:r w:rsidRPr="0092634D">
        <w:rPr>
          <w:b/>
          <w:bCs/>
        </w:rPr>
        <w:t xml:space="preserve">6 % </w:t>
      </w:r>
      <w:r w:rsidRPr="0092634D">
        <w:t xml:space="preserve">jeho ročného svetového obratu za predchádzajúce účtovné obdobie. </w:t>
      </w:r>
    </w:p>
    <w:p w:rsidR="005301E3" w:rsidRPr="0092634D" w:rsidRDefault="005301E3" w:rsidP="005301E3">
      <w:pPr>
        <w:pStyle w:val="Odsekzoznamu"/>
        <w:numPr>
          <w:ilvl w:val="0"/>
          <w:numId w:val="31"/>
        </w:numPr>
        <w:jc w:val="both"/>
      </w:pPr>
      <w:r w:rsidRPr="0092634D">
        <w:t xml:space="preserve">Za nesplnenie povinností podľa P2B môže regulátor, podľa predloženej novely zákona o mediálnych službách, uložiť poskytovateľovi sprostredkovateľských služieb pokutu až do výšky </w:t>
      </w:r>
      <w:r w:rsidRPr="0092634D">
        <w:rPr>
          <w:b/>
          <w:bCs/>
        </w:rPr>
        <w:t xml:space="preserve">50 000 </w:t>
      </w:r>
      <w:r w:rsidRPr="0092634D">
        <w:t xml:space="preserve">eur. </w:t>
      </w:r>
    </w:p>
    <w:p w:rsidR="005301E3" w:rsidRPr="0092634D" w:rsidRDefault="005301E3" w:rsidP="005301E3">
      <w:pPr>
        <w:pStyle w:val="Odsekzoznamu"/>
        <w:numPr>
          <w:ilvl w:val="0"/>
          <w:numId w:val="31"/>
        </w:numPr>
        <w:jc w:val="both"/>
      </w:pPr>
      <w:r w:rsidRPr="0092634D">
        <w:t xml:space="preserve">V prípade, že poskytovateľ sprostredkovateľských služieb poskytne neúplné, nepresné alebo zavádzajúce odpovede, neposkytne odpoveď v stanovenej lehote alebo sa nepodrobí výkonu dohľadu regulátorom, môže regulátor uložiť takémuto poskytovateľovi pokutu do výšky </w:t>
      </w:r>
      <w:r w:rsidRPr="0092634D">
        <w:rPr>
          <w:b/>
          <w:bCs/>
        </w:rPr>
        <w:t xml:space="preserve">1 % </w:t>
      </w:r>
      <w:r w:rsidRPr="0092634D">
        <w:t xml:space="preserve">jeho ročného svetového obratu za predchádzajúce účtovné obdobie. </w:t>
      </w:r>
    </w:p>
    <w:p w:rsidR="005301E3" w:rsidRPr="0092634D" w:rsidRDefault="005301E3" w:rsidP="005301E3">
      <w:pPr>
        <w:pStyle w:val="Odsekzoznamu"/>
        <w:numPr>
          <w:ilvl w:val="0"/>
          <w:numId w:val="31"/>
        </w:numPr>
        <w:jc w:val="both"/>
      </w:pPr>
      <w:r w:rsidRPr="0092634D">
        <w:t xml:space="preserve">Do právomoci regulátora podľa čl. 51 ods. 2 písm. d) ďalej patrí aj právomoc ukladať pravidelné penále do výšky </w:t>
      </w:r>
      <w:r w:rsidRPr="0092634D">
        <w:rPr>
          <w:b/>
          <w:bCs/>
        </w:rPr>
        <w:t xml:space="preserve">5% </w:t>
      </w:r>
      <w:r w:rsidRPr="0092634D">
        <w:t xml:space="preserve">priemerného denného svetového obratu alebo príjmu poskytovateľa sprostredkovateľskej služby za predchádzajúce účtovné obdobie vypočítaného od dátumu uvedeného v rozhodnutí o uložení pravidelného penále, aby sa zabezpečilo ukončenie porušovania ustanovení DSA. </w:t>
      </w:r>
    </w:p>
    <w:p w:rsidR="005301E3" w:rsidRDefault="005301E3" w:rsidP="005301E3">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7"/>
        <w:gridCol w:w="3685"/>
      </w:tblGrid>
      <w:tr w:rsidR="005301E3" w:rsidRPr="00C10CBC" w:rsidTr="00DE41A6">
        <w:trPr>
          <w:trHeight w:val="330"/>
        </w:trPr>
        <w:tc>
          <w:tcPr>
            <w:tcW w:w="5387" w:type="dxa"/>
            <w:shd w:val="clear" w:color="auto" w:fill="auto"/>
            <w:vAlign w:val="bottom"/>
            <w:hideMark/>
          </w:tcPr>
          <w:p w:rsidR="005301E3" w:rsidRPr="00C10CBC" w:rsidRDefault="005301E3" w:rsidP="00DE41A6">
            <w:pPr>
              <w:rPr>
                <w:color w:val="000000"/>
              </w:rPr>
            </w:pPr>
            <w:r w:rsidRPr="00C10CBC">
              <w:rPr>
                <w:color w:val="000000"/>
              </w:rPr>
              <w:t>Typ služieb informačnej spoločnosti regulovaný DSA</w:t>
            </w:r>
          </w:p>
        </w:tc>
        <w:tc>
          <w:tcPr>
            <w:tcW w:w="3685" w:type="dxa"/>
            <w:shd w:val="clear" w:color="auto" w:fill="auto"/>
            <w:vAlign w:val="bottom"/>
            <w:hideMark/>
          </w:tcPr>
          <w:p w:rsidR="005301E3" w:rsidRPr="00C10CBC" w:rsidRDefault="005301E3" w:rsidP="00DE41A6">
            <w:pPr>
              <w:rPr>
                <w:color w:val="000000"/>
              </w:rPr>
            </w:pPr>
            <w:r w:rsidRPr="00C10CBC">
              <w:rPr>
                <w:color w:val="000000"/>
              </w:rPr>
              <w:t>Počet služieb (vyjadrený v intervale)</w:t>
            </w:r>
          </w:p>
        </w:tc>
      </w:tr>
      <w:tr w:rsidR="005301E3" w:rsidRPr="00C10CBC" w:rsidTr="00DE41A6">
        <w:trPr>
          <w:trHeight w:val="70"/>
        </w:trPr>
        <w:tc>
          <w:tcPr>
            <w:tcW w:w="5387" w:type="dxa"/>
            <w:shd w:val="clear" w:color="auto" w:fill="auto"/>
            <w:vAlign w:val="bottom"/>
            <w:hideMark/>
          </w:tcPr>
          <w:p w:rsidR="005301E3" w:rsidRPr="00C10CBC" w:rsidRDefault="005301E3" w:rsidP="00DE41A6">
            <w:pPr>
              <w:rPr>
                <w:color w:val="000000"/>
              </w:rPr>
            </w:pPr>
            <w:r w:rsidRPr="00C10CBC">
              <w:rPr>
                <w:color w:val="000000"/>
              </w:rPr>
              <w:t>Infraštrukturálne služby (púhy kanál a caching)</w:t>
            </w:r>
          </w:p>
        </w:tc>
        <w:tc>
          <w:tcPr>
            <w:tcW w:w="3685" w:type="dxa"/>
            <w:shd w:val="clear" w:color="auto" w:fill="auto"/>
            <w:vAlign w:val="bottom"/>
            <w:hideMark/>
          </w:tcPr>
          <w:p w:rsidR="005301E3" w:rsidRPr="00C10CBC" w:rsidRDefault="005301E3" w:rsidP="00DE41A6">
            <w:pPr>
              <w:rPr>
                <w:color w:val="000000"/>
              </w:rPr>
            </w:pPr>
            <w:r w:rsidRPr="00C10CBC">
              <w:rPr>
                <w:color w:val="000000"/>
              </w:rPr>
              <w:t>500-2000</w:t>
            </w:r>
          </w:p>
        </w:tc>
      </w:tr>
      <w:tr w:rsidR="005301E3" w:rsidRPr="00C10CBC" w:rsidTr="00DE41A6">
        <w:trPr>
          <w:trHeight w:val="300"/>
        </w:trPr>
        <w:tc>
          <w:tcPr>
            <w:tcW w:w="5387" w:type="dxa"/>
            <w:shd w:val="clear" w:color="auto" w:fill="auto"/>
            <w:vAlign w:val="bottom"/>
            <w:hideMark/>
          </w:tcPr>
          <w:p w:rsidR="005301E3" w:rsidRPr="00C10CBC" w:rsidRDefault="005301E3" w:rsidP="00DE41A6">
            <w:pPr>
              <w:rPr>
                <w:color w:val="000000"/>
              </w:rPr>
            </w:pPr>
            <w:r w:rsidRPr="00C10CBC">
              <w:rPr>
                <w:color w:val="000000"/>
              </w:rPr>
              <w:t>Hostingové služby</w:t>
            </w:r>
          </w:p>
        </w:tc>
        <w:tc>
          <w:tcPr>
            <w:tcW w:w="3685" w:type="dxa"/>
            <w:shd w:val="clear" w:color="auto" w:fill="auto"/>
            <w:vAlign w:val="bottom"/>
            <w:hideMark/>
          </w:tcPr>
          <w:p w:rsidR="005301E3" w:rsidRPr="00C10CBC" w:rsidRDefault="005301E3" w:rsidP="00DE41A6">
            <w:pPr>
              <w:rPr>
                <w:color w:val="000000"/>
              </w:rPr>
            </w:pPr>
            <w:r w:rsidRPr="00C10CBC">
              <w:rPr>
                <w:color w:val="000000"/>
              </w:rPr>
              <w:t>10-200</w:t>
            </w:r>
          </w:p>
        </w:tc>
      </w:tr>
      <w:tr w:rsidR="005301E3" w:rsidRPr="00C10CBC" w:rsidTr="00DE41A6">
        <w:trPr>
          <w:trHeight w:val="300"/>
        </w:trPr>
        <w:tc>
          <w:tcPr>
            <w:tcW w:w="5387" w:type="dxa"/>
            <w:tcBorders>
              <w:bottom w:val="single" w:sz="4" w:space="0" w:color="auto"/>
            </w:tcBorders>
            <w:shd w:val="clear" w:color="auto" w:fill="auto"/>
            <w:vAlign w:val="bottom"/>
            <w:hideMark/>
          </w:tcPr>
          <w:p w:rsidR="005301E3" w:rsidRPr="00C10CBC" w:rsidRDefault="005301E3" w:rsidP="00DE41A6">
            <w:pPr>
              <w:rPr>
                <w:color w:val="000000"/>
              </w:rPr>
            </w:pPr>
            <w:r w:rsidRPr="00C10CBC">
              <w:rPr>
                <w:color w:val="000000"/>
              </w:rPr>
              <w:t>Platformy</w:t>
            </w:r>
          </w:p>
        </w:tc>
        <w:tc>
          <w:tcPr>
            <w:tcW w:w="3685" w:type="dxa"/>
            <w:tcBorders>
              <w:bottom w:val="single" w:sz="4" w:space="0" w:color="auto"/>
            </w:tcBorders>
            <w:shd w:val="clear" w:color="auto" w:fill="auto"/>
            <w:vAlign w:val="bottom"/>
            <w:hideMark/>
          </w:tcPr>
          <w:p w:rsidR="005301E3" w:rsidRPr="00C10CBC" w:rsidRDefault="005301E3" w:rsidP="00DE41A6">
            <w:pPr>
              <w:rPr>
                <w:color w:val="000000"/>
              </w:rPr>
            </w:pPr>
            <w:r w:rsidRPr="00C10CBC">
              <w:rPr>
                <w:color w:val="000000"/>
              </w:rPr>
              <w:t>2-5</w:t>
            </w:r>
          </w:p>
        </w:tc>
      </w:tr>
      <w:tr w:rsidR="005301E3" w:rsidRPr="00C10CBC" w:rsidTr="00DE41A6">
        <w:trPr>
          <w:trHeight w:val="166"/>
        </w:trPr>
        <w:tc>
          <w:tcPr>
            <w:tcW w:w="9072" w:type="dxa"/>
            <w:gridSpan w:val="2"/>
            <w:tcBorders>
              <w:top w:val="single" w:sz="4" w:space="0" w:color="auto"/>
              <w:left w:val="nil"/>
              <w:bottom w:val="nil"/>
              <w:right w:val="nil"/>
            </w:tcBorders>
            <w:shd w:val="clear" w:color="auto" w:fill="auto"/>
            <w:vAlign w:val="bottom"/>
            <w:hideMark/>
          </w:tcPr>
          <w:p w:rsidR="005301E3" w:rsidRPr="00C10CBC" w:rsidRDefault="005301E3" w:rsidP="00DE41A6">
            <w:pPr>
              <w:jc w:val="right"/>
              <w:rPr>
                <w:i/>
                <w:color w:val="000000"/>
              </w:rPr>
            </w:pPr>
            <w:r w:rsidRPr="00C10CBC">
              <w:rPr>
                <w:i/>
                <w:color w:val="000000"/>
              </w:rPr>
              <w:t xml:space="preserve">Tabuľka odhadovaného množstva služieb informačnej spoločnosti spadajúcich do pôsobnosti DSA </w:t>
            </w:r>
          </w:p>
        </w:tc>
      </w:tr>
    </w:tbl>
    <w:p w:rsidR="005301E3" w:rsidRPr="00C10CBC" w:rsidRDefault="005301E3" w:rsidP="005301E3">
      <w:pPr>
        <w:jc w:val="both"/>
      </w:pPr>
    </w:p>
    <w:p w:rsidR="005301E3" w:rsidRDefault="005301E3" w:rsidP="005301E3"/>
    <w:p w:rsidR="00F55A99" w:rsidRDefault="00F55A99" w:rsidP="005301E3"/>
    <w:p w:rsidR="00F55A99" w:rsidRPr="00B14AD5" w:rsidRDefault="00F55A99" w:rsidP="005301E3"/>
    <w:p w:rsidR="005301E3" w:rsidRPr="00B14AD5" w:rsidRDefault="005301E3" w:rsidP="005301E3">
      <w:pPr>
        <w:rPr>
          <w:b/>
          <w:bCs/>
        </w:rPr>
      </w:pPr>
      <w:r w:rsidRPr="00B14AD5">
        <w:rPr>
          <w:b/>
          <w:bCs/>
        </w:rPr>
        <w:lastRenderedPageBreak/>
        <w:t>2.2.2. Charakteristika návrhu:</w:t>
      </w:r>
    </w:p>
    <w:p w:rsidR="005301E3" w:rsidRPr="00B14AD5" w:rsidRDefault="005301E3" w:rsidP="005301E3"/>
    <w:p w:rsidR="005301E3" w:rsidRPr="00B14AD5" w:rsidRDefault="005301E3" w:rsidP="005301E3">
      <w:r w:rsidRPr="00B14AD5">
        <w:rPr>
          <w:b/>
          <w:bdr w:val="single" w:sz="4" w:space="0" w:color="auto"/>
        </w:rPr>
        <w:t xml:space="preserve">     </w:t>
      </w:r>
      <w:r w:rsidRPr="00B14AD5">
        <w:rPr>
          <w:b/>
        </w:rPr>
        <w:t xml:space="preserve">  </w:t>
      </w:r>
      <w:r w:rsidRPr="00B14AD5">
        <w:t>zmena sadzby</w:t>
      </w:r>
    </w:p>
    <w:p w:rsidR="005301E3" w:rsidRPr="00B14AD5" w:rsidRDefault="005301E3" w:rsidP="005301E3">
      <w:r w:rsidRPr="00B14AD5">
        <w:rPr>
          <w:bdr w:val="single" w:sz="4" w:space="0" w:color="auto"/>
        </w:rPr>
        <w:t xml:space="preserve">     </w:t>
      </w:r>
      <w:r w:rsidRPr="00B14AD5">
        <w:t xml:space="preserve">  zmena v nároku</w:t>
      </w:r>
    </w:p>
    <w:p w:rsidR="005301E3" w:rsidRPr="00B14AD5" w:rsidRDefault="005301E3" w:rsidP="005301E3">
      <w:r w:rsidRPr="00B14AD5">
        <w:rPr>
          <w:bdr w:val="single" w:sz="4" w:space="0" w:color="auto"/>
        </w:rPr>
        <w:t xml:space="preserve">     </w:t>
      </w:r>
      <w:r w:rsidRPr="00B14AD5">
        <w:t xml:space="preserve">  nová služba alebo nariadenie (alebo ich zrušenie)</w:t>
      </w:r>
    </w:p>
    <w:p w:rsidR="005301E3" w:rsidRPr="00B14AD5" w:rsidRDefault="005301E3" w:rsidP="005301E3">
      <w:r w:rsidRPr="00B14AD5">
        <w:rPr>
          <w:bdr w:val="single" w:sz="4" w:space="0" w:color="auto"/>
        </w:rPr>
        <w:t xml:space="preserve">  </w:t>
      </w:r>
      <w:r>
        <w:rPr>
          <w:bdr w:val="single" w:sz="4" w:space="0" w:color="auto"/>
        </w:rPr>
        <w:t>x</w:t>
      </w:r>
      <w:r w:rsidRPr="00B14AD5">
        <w:rPr>
          <w:bdr w:val="single" w:sz="4" w:space="0" w:color="auto"/>
        </w:rPr>
        <w:t xml:space="preserve"> </w:t>
      </w:r>
      <w:r w:rsidRPr="00B14AD5">
        <w:t xml:space="preserve">  kombinovaný návrh</w:t>
      </w:r>
    </w:p>
    <w:p w:rsidR="005301E3" w:rsidRPr="00B14AD5" w:rsidRDefault="005301E3" w:rsidP="005301E3">
      <w:r w:rsidRPr="00B14AD5">
        <w:rPr>
          <w:bdr w:val="single" w:sz="4" w:space="0" w:color="auto"/>
        </w:rPr>
        <w:t xml:space="preserve">     </w:t>
      </w:r>
      <w:r w:rsidRPr="00B14AD5">
        <w:t xml:space="preserve">  iné </w:t>
      </w:r>
    </w:p>
    <w:p w:rsidR="005301E3" w:rsidRPr="00B14AD5" w:rsidRDefault="005301E3" w:rsidP="005301E3"/>
    <w:p w:rsidR="005301E3" w:rsidRPr="00B14AD5" w:rsidRDefault="005301E3" w:rsidP="005301E3"/>
    <w:p w:rsidR="005301E3" w:rsidRPr="00B14AD5" w:rsidRDefault="005301E3" w:rsidP="005301E3">
      <w:r w:rsidRPr="00B14AD5">
        <w:rPr>
          <w:b/>
          <w:bCs/>
        </w:rPr>
        <w:t>2.2.3. Predpoklady vývoja objemu aktivít:</w:t>
      </w:r>
    </w:p>
    <w:p w:rsidR="005301E3" w:rsidRPr="00B14AD5" w:rsidRDefault="005301E3" w:rsidP="005301E3"/>
    <w:p w:rsidR="005301E3" w:rsidRDefault="005301E3" w:rsidP="005301E3">
      <w:pPr>
        <w:ind w:firstLine="708"/>
        <w:jc w:val="both"/>
      </w:pPr>
      <w:r w:rsidRPr="00B14AD5">
        <w:t>Jasne popíšte, v prípade potreby použite nižšie uvedenú tabuľku. Uveďte aj odhady základov daní a/alebo poplatkov, ak sa ich táto zmena týka.</w:t>
      </w:r>
    </w:p>
    <w:p w:rsidR="005301E3" w:rsidRDefault="005301E3" w:rsidP="005301E3">
      <w:pPr>
        <w:ind w:firstLine="708"/>
        <w:jc w:val="both"/>
      </w:pPr>
    </w:p>
    <w:p w:rsidR="005301E3" w:rsidRPr="00B14AD5" w:rsidRDefault="005301E3" w:rsidP="005301E3">
      <w:pPr>
        <w:ind w:firstLine="708"/>
        <w:jc w:val="both"/>
      </w:pPr>
    </w:p>
    <w:p w:rsidR="005301E3" w:rsidRPr="00B14AD5" w:rsidRDefault="005301E3" w:rsidP="005301E3">
      <w:pPr>
        <w:jc w:val="right"/>
        <w:rPr>
          <w:sz w:val="20"/>
          <w:szCs w:val="20"/>
        </w:rPr>
      </w:pPr>
      <w:r w:rsidRPr="00B14AD5">
        <w:rPr>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5301E3" w:rsidRPr="00B14AD5" w:rsidTr="00DE41A6">
        <w:trPr>
          <w:cantSplit/>
          <w:trHeight w:val="70"/>
        </w:trPr>
        <w:tc>
          <w:tcPr>
            <w:tcW w:w="4530" w:type="dxa"/>
            <w:vMerge w:val="restart"/>
            <w:shd w:val="clear" w:color="auto" w:fill="BFBFBF" w:themeFill="background1" w:themeFillShade="BF"/>
            <w:vAlign w:val="center"/>
          </w:tcPr>
          <w:p w:rsidR="005301E3" w:rsidRPr="00B14AD5" w:rsidRDefault="005301E3" w:rsidP="00DE41A6">
            <w:pPr>
              <w:autoSpaceDE w:val="0"/>
              <w:autoSpaceDN w:val="0"/>
              <w:jc w:val="center"/>
              <w:rPr>
                <w:b/>
                <w:bCs/>
              </w:rPr>
            </w:pPr>
            <w:r w:rsidRPr="00B14AD5">
              <w:rPr>
                <w:b/>
                <w:bCs/>
              </w:rPr>
              <w:t>Objem aktivít</w:t>
            </w:r>
          </w:p>
        </w:tc>
        <w:tc>
          <w:tcPr>
            <w:tcW w:w="4536" w:type="dxa"/>
            <w:gridSpan w:val="4"/>
            <w:shd w:val="clear" w:color="auto" w:fill="BFBFBF" w:themeFill="background1" w:themeFillShade="BF"/>
            <w:vAlign w:val="center"/>
          </w:tcPr>
          <w:p w:rsidR="005301E3" w:rsidRPr="00B14AD5" w:rsidRDefault="005301E3" w:rsidP="00DE41A6">
            <w:pPr>
              <w:autoSpaceDE w:val="0"/>
              <w:autoSpaceDN w:val="0"/>
              <w:jc w:val="center"/>
              <w:rPr>
                <w:b/>
                <w:bCs/>
              </w:rPr>
            </w:pPr>
            <w:r w:rsidRPr="00B14AD5">
              <w:rPr>
                <w:b/>
                <w:bCs/>
              </w:rPr>
              <w:t>Odhadované objemy</w:t>
            </w:r>
          </w:p>
        </w:tc>
      </w:tr>
      <w:tr w:rsidR="005301E3" w:rsidRPr="00B14AD5" w:rsidTr="00DE41A6">
        <w:trPr>
          <w:cantSplit/>
          <w:trHeight w:val="70"/>
        </w:trPr>
        <w:tc>
          <w:tcPr>
            <w:tcW w:w="4530" w:type="dxa"/>
            <w:vMerge/>
            <w:shd w:val="clear" w:color="auto" w:fill="BFBFBF" w:themeFill="background1" w:themeFillShade="BF"/>
          </w:tcPr>
          <w:p w:rsidR="005301E3" w:rsidRPr="00B14AD5" w:rsidRDefault="005301E3" w:rsidP="00DE41A6">
            <w:pPr>
              <w:autoSpaceDE w:val="0"/>
              <w:autoSpaceDN w:val="0"/>
              <w:jc w:val="center"/>
              <w:rPr>
                <w:b/>
                <w:bCs/>
              </w:rPr>
            </w:pPr>
          </w:p>
        </w:tc>
        <w:tc>
          <w:tcPr>
            <w:tcW w:w="1134" w:type="dxa"/>
            <w:shd w:val="clear" w:color="auto" w:fill="BFBFBF" w:themeFill="background1" w:themeFillShade="BF"/>
          </w:tcPr>
          <w:p w:rsidR="005301E3" w:rsidRPr="00DE61E4" w:rsidRDefault="005301E3" w:rsidP="00DE41A6">
            <w:pPr>
              <w:jc w:val="center"/>
              <w:rPr>
                <w:b/>
                <w:bCs/>
                <w:sz w:val="20"/>
                <w:szCs w:val="20"/>
              </w:rPr>
            </w:pPr>
            <w:r w:rsidRPr="00DE61E4">
              <w:rPr>
                <w:b/>
                <w:bCs/>
                <w:sz w:val="20"/>
                <w:szCs w:val="20"/>
              </w:rPr>
              <w:t>2024</w:t>
            </w:r>
          </w:p>
        </w:tc>
        <w:tc>
          <w:tcPr>
            <w:tcW w:w="1134" w:type="dxa"/>
            <w:shd w:val="clear" w:color="auto" w:fill="BFBFBF" w:themeFill="background1" w:themeFillShade="BF"/>
          </w:tcPr>
          <w:p w:rsidR="005301E3" w:rsidRPr="00DE61E4" w:rsidRDefault="005301E3" w:rsidP="00DE41A6">
            <w:pPr>
              <w:jc w:val="center"/>
              <w:rPr>
                <w:b/>
                <w:bCs/>
                <w:sz w:val="20"/>
                <w:szCs w:val="20"/>
              </w:rPr>
            </w:pPr>
            <w:r w:rsidRPr="00DE61E4">
              <w:rPr>
                <w:b/>
                <w:bCs/>
                <w:sz w:val="20"/>
                <w:szCs w:val="20"/>
              </w:rPr>
              <w:t>2025</w:t>
            </w:r>
          </w:p>
        </w:tc>
        <w:tc>
          <w:tcPr>
            <w:tcW w:w="1134" w:type="dxa"/>
            <w:shd w:val="clear" w:color="auto" w:fill="BFBFBF" w:themeFill="background1" w:themeFillShade="BF"/>
          </w:tcPr>
          <w:p w:rsidR="005301E3" w:rsidRPr="00DE61E4" w:rsidRDefault="005301E3" w:rsidP="00DE41A6">
            <w:pPr>
              <w:jc w:val="center"/>
              <w:rPr>
                <w:b/>
                <w:bCs/>
                <w:sz w:val="20"/>
                <w:szCs w:val="20"/>
              </w:rPr>
            </w:pPr>
            <w:r w:rsidRPr="00DE61E4">
              <w:rPr>
                <w:b/>
                <w:bCs/>
                <w:sz w:val="20"/>
                <w:szCs w:val="20"/>
              </w:rPr>
              <w:t>2026</w:t>
            </w:r>
          </w:p>
        </w:tc>
        <w:tc>
          <w:tcPr>
            <w:tcW w:w="1134" w:type="dxa"/>
            <w:shd w:val="clear" w:color="auto" w:fill="BFBFBF" w:themeFill="background1" w:themeFillShade="BF"/>
          </w:tcPr>
          <w:p w:rsidR="005301E3" w:rsidRPr="00DE61E4" w:rsidRDefault="005301E3" w:rsidP="00DE41A6">
            <w:pPr>
              <w:jc w:val="center"/>
              <w:rPr>
                <w:b/>
                <w:bCs/>
                <w:sz w:val="20"/>
                <w:szCs w:val="20"/>
              </w:rPr>
            </w:pPr>
            <w:r>
              <w:rPr>
                <w:b/>
                <w:bCs/>
                <w:sz w:val="20"/>
                <w:szCs w:val="20"/>
              </w:rPr>
              <w:t>2027</w:t>
            </w:r>
          </w:p>
        </w:tc>
      </w:tr>
      <w:tr w:rsidR="005301E3" w:rsidRPr="00B14AD5" w:rsidTr="00DE41A6">
        <w:trPr>
          <w:trHeight w:val="70"/>
        </w:trPr>
        <w:tc>
          <w:tcPr>
            <w:tcW w:w="4530" w:type="dxa"/>
          </w:tcPr>
          <w:p w:rsidR="005301E3" w:rsidRPr="00B14AD5" w:rsidRDefault="005301E3" w:rsidP="00DE41A6">
            <w:pPr>
              <w:autoSpaceDE w:val="0"/>
              <w:autoSpaceDN w:val="0"/>
            </w:pPr>
            <w:r w:rsidRPr="00B14AD5">
              <w:t>Indikátor ABC</w:t>
            </w:r>
          </w:p>
        </w:tc>
        <w:tc>
          <w:tcPr>
            <w:tcW w:w="1134" w:type="dxa"/>
          </w:tcPr>
          <w:p w:rsidR="005301E3" w:rsidRPr="00B14AD5" w:rsidRDefault="005301E3" w:rsidP="00DE41A6">
            <w:pPr>
              <w:autoSpaceDE w:val="0"/>
              <w:autoSpaceDN w:val="0"/>
              <w:jc w:val="right"/>
            </w:pPr>
          </w:p>
        </w:tc>
        <w:tc>
          <w:tcPr>
            <w:tcW w:w="1134" w:type="dxa"/>
          </w:tcPr>
          <w:p w:rsidR="005301E3" w:rsidRPr="00B14AD5" w:rsidRDefault="005301E3" w:rsidP="00DE41A6">
            <w:pPr>
              <w:autoSpaceDE w:val="0"/>
              <w:autoSpaceDN w:val="0"/>
              <w:jc w:val="right"/>
            </w:pPr>
          </w:p>
        </w:tc>
        <w:tc>
          <w:tcPr>
            <w:tcW w:w="1134" w:type="dxa"/>
          </w:tcPr>
          <w:p w:rsidR="005301E3" w:rsidRPr="00B14AD5" w:rsidRDefault="005301E3" w:rsidP="00DE41A6">
            <w:pPr>
              <w:autoSpaceDE w:val="0"/>
              <w:autoSpaceDN w:val="0"/>
              <w:jc w:val="right"/>
            </w:pPr>
          </w:p>
        </w:tc>
        <w:tc>
          <w:tcPr>
            <w:tcW w:w="1134" w:type="dxa"/>
          </w:tcPr>
          <w:p w:rsidR="005301E3" w:rsidRPr="00B14AD5" w:rsidRDefault="005301E3" w:rsidP="00DE41A6">
            <w:pPr>
              <w:autoSpaceDE w:val="0"/>
              <w:autoSpaceDN w:val="0"/>
              <w:jc w:val="right"/>
            </w:pPr>
          </w:p>
        </w:tc>
      </w:tr>
      <w:tr w:rsidR="005301E3" w:rsidRPr="00B14AD5" w:rsidTr="00DE41A6">
        <w:trPr>
          <w:trHeight w:val="70"/>
        </w:trPr>
        <w:tc>
          <w:tcPr>
            <w:tcW w:w="4530" w:type="dxa"/>
          </w:tcPr>
          <w:p w:rsidR="005301E3" w:rsidRPr="00B14AD5" w:rsidRDefault="005301E3" w:rsidP="00DE41A6">
            <w:pPr>
              <w:autoSpaceDE w:val="0"/>
              <w:autoSpaceDN w:val="0"/>
            </w:pPr>
            <w:r w:rsidRPr="00B14AD5">
              <w:t>Indikátor KLM</w:t>
            </w:r>
          </w:p>
        </w:tc>
        <w:tc>
          <w:tcPr>
            <w:tcW w:w="1134" w:type="dxa"/>
          </w:tcPr>
          <w:p w:rsidR="005301E3" w:rsidRPr="00B14AD5" w:rsidRDefault="005301E3" w:rsidP="00DE41A6">
            <w:pPr>
              <w:autoSpaceDE w:val="0"/>
              <w:autoSpaceDN w:val="0"/>
              <w:jc w:val="right"/>
            </w:pPr>
          </w:p>
        </w:tc>
        <w:tc>
          <w:tcPr>
            <w:tcW w:w="1134" w:type="dxa"/>
          </w:tcPr>
          <w:p w:rsidR="005301E3" w:rsidRPr="00B14AD5" w:rsidRDefault="005301E3" w:rsidP="00DE41A6">
            <w:pPr>
              <w:autoSpaceDE w:val="0"/>
              <w:autoSpaceDN w:val="0"/>
              <w:jc w:val="right"/>
            </w:pPr>
          </w:p>
        </w:tc>
        <w:tc>
          <w:tcPr>
            <w:tcW w:w="1134" w:type="dxa"/>
          </w:tcPr>
          <w:p w:rsidR="005301E3" w:rsidRPr="00B14AD5" w:rsidRDefault="005301E3" w:rsidP="00DE41A6">
            <w:pPr>
              <w:autoSpaceDE w:val="0"/>
              <w:autoSpaceDN w:val="0"/>
              <w:jc w:val="right"/>
            </w:pPr>
          </w:p>
        </w:tc>
        <w:tc>
          <w:tcPr>
            <w:tcW w:w="1134" w:type="dxa"/>
          </w:tcPr>
          <w:p w:rsidR="005301E3" w:rsidRPr="00B14AD5" w:rsidRDefault="005301E3" w:rsidP="00DE41A6">
            <w:pPr>
              <w:autoSpaceDE w:val="0"/>
              <w:autoSpaceDN w:val="0"/>
              <w:jc w:val="right"/>
            </w:pPr>
          </w:p>
        </w:tc>
      </w:tr>
      <w:tr w:rsidR="005301E3" w:rsidRPr="00B14AD5" w:rsidTr="00DE41A6">
        <w:trPr>
          <w:trHeight w:val="70"/>
        </w:trPr>
        <w:tc>
          <w:tcPr>
            <w:tcW w:w="4530" w:type="dxa"/>
          </w:tcPr>
          <w:p w:rsidR="005301E3" w:rsidRPr="00B14AD5" w:rsidRDefault="005301E3" w:rsidP="00DE41A6">
            <w:pPr>
              <w:autoSpaceDE w:val="0"/>
              <w:autoSpaceDN w:val="0"/>
            </w:pPr>
            <w:r w:rsidRPr="00B14AD5">
              <w:t>Indikátor XYZ</w:t>
            </w:r>
          </w:p>
        </w:tc>
        <w:tc>
          <w:tcPr>
            <w:tcW w:w="1134" w:type="dxa"/>
          </w:tcPr>
          <w:p w:rsidR="005301E3" w:rsidRPr="00B14AD5" w:rsidRDefault="005301E3" w:rsidP="00DE41A6">
            <w:pPr>
              <w:autoSpaceDE w:val="0"/>
              <w:autoSpaceDN w:val="0"/>
              <w:jc w:val="right"/>
            </w:pPr>
          </w:p>
        </w:tc>
        <w:tc>
          <w:tcPr>
            <w:tcW w:w="1134" w:type="dxa"/>
          </w:tcPr>
          <w:p w:rsidR="005301E3" w:rsidRPr="00B14AD5" w:rsidRDefault="005301E3" w:rsidP="00DE41A6">
            <w:pPr>
              <w:autoSpaceDE w:val="0"/>
              <w:autoSpaceDN w:val="0"/>
              <w:jc w:val="right"/>
            </w:pPr>
          </w:p>
        </w:tc>
        <w:tc>
          <w:tcPr>
            <w:tcW w:w="1134" w:type="dxa"/>
          </w:tcPr>
          <w:p w:rsidR="005301E3" w:rsidRPr="00B14AD5" w:rsidRDefault="005301E3" w:rsidP="00DE41A6">
            <w:pPr>
              <w:autoSpaceDE w:val="0"/>
              <w:autoSpaceDN w:val="0"/>
              <w:jc w:val="right"/>
            </w:pPr>
          </w:p>
        </w:tc>
        <w:tc>
          <w:tcPr>
            <w:tcW w:w="1134" w:type="dxa"/>
          </w:tcPr>
          <w:p w:rsidR="005301E3" w:rsidRPr="00B14AD5" w:rsidRDefault="005301E3" w:rsidP="00DE41A6">
            <w:pPr>
              <w:autoSpaceDE w:val="0"/>
              <w:autoSpaceDN w:val="0"/>
              <w:jc w:val="right"/>
            </w:pPr>
          </w:p>
        </w:tc>
      </w:tr>
    </w:tbl>
    <w:p w:rsidR="005301E3" w:rsidRPr="00B14AD5" w:rsidRDefault="005301E3" w:rsidP="005301E3"/>
    <w:p w:rsidR="005301E3" w:rsidRPr="00B14AD5" w:rsidRDefault="005301E3" w:rsidP="005301E3"/>
    <w:p w:rsidR="005301E3" w:rsidRPr="00B14AD5" w:rsidRDefault="005301E3" w:rsidP="005301E3">
      <w:pPr>
        <w:rPr>
          <w:b/>
          <w:bCs/>
        </w:rPr>
      </w:pPr>
      <w:r w:rsidRPr="00B14AD5">
        <w:rPr>
          <w:b/>
          <w:bCs/>
        </w:rPr>
        <w:t>2.2.4. Výpočty vplyvov na verejné financie</w:t>
      </w:r>
    </w:p>
    <w:p w:rsidR="005301E3" w:rsidRPr="00B14AD5" w:rsidRDefault="005301E3" w:rsidP="005301E3"/>
    <w:p w:rsidR="005301E3" w:rsidRPr="00B14AD5" w:rsidRDefault="005301E3" w:rsidP="005301E3">
      <w:pPr>
        <w:ind w:firstLine="708"/>
        <w:jc w:val="both"/>
      </w:pPr>
      <w:r w:rsidRPr="00B14AD5">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5301E3" w:rsidRDefault="005301E3" w:rsidP="005301E3">
      <w:pPr>
        <w:jc w:val="both"/>
      </w:pPr>
    </w:p>
    <w:p w:rsidR="005301E3" w:rsidRDefault="005301E3" w:rsidP="005301E3">
      <w:pPr>
        <w:ind w:firstLine="708"/>
        <w:jc w:val="both"/>
      </w:pPr>
      <w:r w:rsidRPr="001D58D6">
        <w:t xml:space="preserve">Na základe odhadov prácnosti a početnosti činností súvisiacich s rolou DSC bol počet zamestnancov potrebných na ich realizáciu odhadnutý </w:t>
      </w:r>
      <w:r>
        <w:t xml:space="preserve">RMS </w:t>
      </w:r>
      <w:r w:rsidRPr="001D58D6">
        <w:t>v počte 49 (FTE).</w:t>
      </w:r>
      <w:r>
        <w:t xml:space="preserve"> Funkčné pracovné miesta sa v najvyššej miere týkajú administratívy (18), analytiky (12) a práva (14), zvyšné pracovné miesta budú potrebné pre oblasť komunikácie a IT.</w:t>
      </w:r>
    </w:p>
    <w:p w:rsidR="005301E3" w:rsidRPr="001A681A" w:rsidRDefault="005301E3" w:rsidP="005301E3">
      <w:pPr>
        <w:ind w:firstLine="708"/>
        <w:jc w:val="both"/>
      </w:pPr>
      <w:r>
        <w:t>Výdavky</w:t>
      </w:r>
      <w:r w:rsidRPr="001A681A">
        <w:t xml:space="preserve"> pre rok 2024 sú vypočítané na 7 mesiacov</w:t>
      </w:r>
      <w:r>
        <w:t>, nakoľko p</w:t>
      </w:r>
      <w:r w:rsidRPr="001A681A">
        <w:t xml:space="preserve">redpokladaná účinnosť zákona je od júna 2024. </w:t>
      </w:r>
    </w:p>
    <w:p w:rsidR="005301E3" w:rsidRPr="006577FB" w:rsidRDefault="005301E3" w:rsidP="005301E3">
      <w:pPr>
        <w:jc w:val="both"/>
        <w:rPr>
          <w:b/>
          <w:sz w:val="20"/>
        </w:rPr>
      </w:pPr>
    </w:p>
    <w:tbl>
      <w:tblPr>
        <w:tblStyle w:val="Mriekatabuky"/>
        <w:tblW w:w="9286" w:type="dxa"/>
        <w:tblLook w:val="04A0" w:firstRow="1" w:lastRow="0" w:firstColumn="1" w:lastColumn="0" w:noHBand="0" w:noVBand="1"/>
      </w:tblPr>
      <w:tblGrid>
        <w:gridCol w:w="4195"/>
        <w:gridCol w:w="1143"/>
        <w:gridCol w:w="1365"/>
        <w:gridCol w:w="1338"/>
        <w:gridCol w:w="1245"/>
      </w:tblGrid>
      <w:tr w:rsidR="005301E3" w:rsidRPr="001B31A5" w:rsidTr="00DE41A6">
        <w:tc>
          <w:tcPr>
            <w:tcW w:w="4195" w:type="dxa"/>
          </w:tcPr>
          <w:p w:rsidR="005301E3" w:rsidRDefault="005301E3" w:rsidP="00DE41A6">
            <w:pPr>
              <w:jc w:val="both"/>
            </w:pPr>
            <w:r>
              <w:t>Počet potrebných funkčných pracovných miest</w:t>
            </w:r>
          </w:p>
        </w:tc>
        <w:tc>
          <w:tcPr>
            <w:tcW w:w="1143" w:type="dxa"/>
          </w:tcPr>
          <w:p w:rsidR="005301E3" w:rsidRDefault="005301E3" w:rsidP="00DE41A6">
            <w:pPr>
              <w:jc w:val="both"/>
            </w:pPr>
            <w:r>
              <w:t>2024</w:t>
            </w:r>
          </w:p>
        </w:tc>
        <w:tc>
          <w:tcPr>
            <w:tcW w:w="1365" w:type="dxa"/>
          </w:tcPr>
          <w:p w:rsidR="005301E3" w:rsidRDefault="005301E3" w:rsidP="00DE41A6">
            <w:pPr>
              <w:jc w:val="both"/>
            </w:pPr>
            <w:r>
              <w:t>2025</w:t>
            </w:r>
          </w:p>
        </w:tc>
        <w:tc>
          <w:tcPr>
            <w:tcW w:w="1338" w:type="dxa"/>
          </w:tcPr>
          <w:p w:rsidR="005301E3" w:rsidRDefault="005301E3" w:rsidP="00DE41A6">
            <w:pPr>
              <w:jc w:val="both"/>
            </w:pPr>
            <w:r>
              <w:t>2026</w:t>
            </w:r>
          </w:p>
        </w:tc>
        <w:tc>
          <w:tcPr>
            <w:tcW w:w="1245" w:type="dxa"/>
          </w:tcPr>
          <w:p w:rsidR="005301E3" w:rsidRDefault="005301E3" w:rsidP="00DE41A6">
            <w:pPr>
              <w:jc w:val="both"/>
            </w:pPr>
            <w:r>
              <w:t>2027</w:t>
            </w:r>
          </w:p>
        </w:tc>
      </w:tr>
      <w:tr w:rsidR="005301E3" w:rsidRPr="001B31A5" w:rsidTr="00DE41A6">
        <w:tc>
          <w:tcPr>
            <w:tcW w:w="4195" w:type="dxa"/>
          </w:tcPr>
          <w:p w:rsidR="005301E3" w:rsidRDefault="005301E3" w:rsidP="00DE41A6">
            <w:pPr>
              <w:jc w:val="both"/>
            </w:pPr>
            <w:r>
              <w:t>Administratíva</w:t>
            </w:r>
          </w:p>
        </w:tc>
        <w:tc>
          <w:tcPr>
            <w:tcW w:w="1143" w:type="dxa"/>
          </w:tcPr>
          <w:p w:rsidR="005301E3" w:rsidRDefault="005301E3" w:rsidP="00DE41A6">
            <w:pPr>
              <w:jc w:val="both"/>
            </w:pPr>
            <w:r>
              <w:t>3</w:t>
            </w:r>
          </w:p>
        </w:tc>
        <w:tc>
          <w:tcPr>
            <w:tcW w:w="1365" w:type="dxa"/>
          </w:tcPr>
          <w:p w:rsidR="005301E3" w:rsidRPr="001B31A5" w:rsidRDefault="005301E3" w:rsidP="00DE41A6">
            <w:pPr>
              <w:jc w:val="both"/>
            </w:pPr>
            <w:r w:rsidRPr="001B31A5">
              <w:t>12</w:t>
            </w:r>
          </w:p>
        </w:tc>
        <w:tc>
          <w:tcPr>
            <w:tcW w:w="1338" w:type="dxa"/>
          </w:tcPr>
          <w:p w:rsidR="005301E3" w:rsidRPr="001B31A5" w:rsidRDefault="005301E3" w:rsidP="00DE41A6">
            <w:pPr>
              <w:jc w:val="both"/>
            </w:pPr>
            <w:r w:rsidRPr="001B31A5">
              <w:t>18</w:t>
            </w:r>
          </w:p>
        </w:tc>
        <w:tc>
          <w:tcPr>
            <w:tcW w:w="1245" w:type="dxa"/>
          </w:tcPr>
          <w:p w:rsidR="005301E3" w:rsidRPr="001B31A5" w:rsidRDefault="005301E3" w:rsidP="00DE41A6">
            <w:pPr>
              <w:jc w:val="both"/>
            </w:pPr>
            <w:r w:rsidRPr="001B31A5">
              <w:t>18</w:t>
            </w:r>
          </w:p>
        </w:tc>
      </w:tr>
      <w:tr w:rsidR="005301E3" w:rsidRPr="001B31A5" w:rsidTr="00DE41A6">
        <w:tc>
          <w:tcPr>
            <w:tcW w:w="4195" w:type="dxa"/>
          </w:tcPr>
          <w:p w:rsidR="005301E3" w:rsidRDefault="005301E3" w:rsidP="00DE41A6">
            <w:pPr>
              <w:jc w:val="both"/>
            </w:pPr>
            <w:r>
              <w:t>Analytika</w:t>
            </w:r>
          </w:p>
        </w:tc>
        <w:tc>
          <w:tcPr>
            <w:tcW w:w="1143" w:type="dxa"/>
          </w:tcPr>
          <w:p w:rsidR="005301E3" w:rsidRDefault="005301E3" w:rsidP="00DE41A6">
            <w:pPr>
              <w:jc w:val="both"/>
            </w:pPr>
            <w:r>
              <w:t>2</w:t>
            </w:r>
          </w:p>
        </w:tc>
        <w:tc>
          <w:tcPr>
            <w:tcW w:w="1365" w:type="dxa"/>
          </w:tcPr>
          <w:p w:rsidR="005301E3" w:rsidRPr="001B31A5" w:rsidRDefault="005301E3" w:rsidP="00DE41A6">
            <w:pPr>
              <w:jc w:val="both"/>
            </w:pPr>
            <w:r w:rsidRPr="001B31A5">
              <w:t>8</w:t>
            </w:r>
          </w:p>
        </w:tc>
        <w:tc>
          <w:tcPr>
            <w:tcW w:w="1338" w:type="dxa"/>
          </w:tcPr>
          <w:p w:rsidR="005301E3" w:rsidRPr="001B31A5" w:rsidRDefault="005301E3" w:rsidP="00DE41A6">
            <w:pPr>
              <w:jc w:val="both"/>
            </w:pPr>
            <w:r w:rsidRPr="001B31A5">
              <w:t>12</w:t>
            </w:r>
          </w:p>
        </w:tc>
        <w:tc>
          <w:tcPr>
            <w:tcW w:w="1245" w:type="dxa"/>
          </w:tcPr>
          <w:p w:rsidR="005301E3" w:rsidRPr="001B31A5" w:rsidRDefault="005301E3" w:rsidP="00DE41A6">
            <w:pPr>
              <w:jc w:val="both"/>
            </w:pPr>
            <w:r w:rsidRPr="001B31A5">
              <w:t>12</w:t>
            </w:r>
          </w:p>
        </w:tc>
      </w:tr>
      <w:tr w:rsidR="005301E3" w:rsidRPr="001B31A5" w:rsidTr="00DE41A6">
        <w:tc>
          <w:tcPr>
            <w:tcW w:w="4195" w:type="dxa"/>
          </w:tcPr>
          <w:p w:rsidR="005301E3" w:rsidRDefault="005301E3" w:rsidP="00DE41A6">
            <w:pPr>
              <w:jc w:val="both"/>
            </w:pPr>
            <w:r>
              <w:t>Právo</w:t>
            </w:r>
          </w:p>
        </w:tc>
        <w:tc>
          <w:tcPr>
            <w:tcW w:w="1143" w:type="dxa"/>
          </w:tcPr>
          <w:p w:rsidR="005301E3" w:rsidRDefault="005301E3" w:rsidP="00DE41A6">
            <w:pPr>
              <w:jc w:val="both"/>
            </w:pPr>
            <w:r>
              <w:t>3</w:t>
            </w:r>
          </w:p>
        </w:tc>
        <w:tc>
          <w:tcPr>
            <w:tcW w:w="1365" w:type="dxa"/>
          </w:tcPr>
          <w:p w:rsidR="005301E3" w:rsidRPr="001B31A5" w:rsidRDefault="005301E3" w:rsidP="00DE41A6">
            <w:pPr>
              <w:jc w:val="both"/>
            </w:pPr>
            <w:r w:rsidRPr="001B31A5">
              <w:t>9</w:t>
            </w:r>
          </w:p>
        </w:tc>
        <w:tc>
          <w:tcPr>
            <w:tcW w:w="1338" w:type="dxa"/>
          </w:tcPr>
          <w:p w:rsidR="005301E3" w:rsidRPr="001B31A5" w:rsidRDefault="005301E3" w:rsidP="00DE41A6">
            <w:pPr>
              <w:jc w:val="both"/>
            </w:pPr>
            <w:r w:rsidRPr="001B31A5">
              <w:t>14</w:t>
            </w:r>
          </w:p>
        </w:tc>
        <w:tc>
          <w:tcPr>
            <w:tcW w:w="1245" w:type="dxa"/>
          </w:tcPr>
          <w:p w:rsidR="005301E3" w:rsidRPr="001B31A5" w:rsidRDefault="005301E3" w:rsidP="00DE41A6">
            <w:pPr>
              <w:jc w:val="both"/>
            </w:pPr>
            <w:r w:rsidRPr="001B31A5">
              <w:t>14</w:t>
            </w:r>
          </w:p>
        </w:tc>
      </w:tr>
      <w:tr w:rsidR="005301E3" w:rsidRPr="001B31A5" w:rsidTr="00DE41A6">
        <w:tc>
          <w:tcPr>
            <w:tcW w:w="4195" w:type="dxa"/>
          </w:tcPr>
          <w:p w:rsidR="005301E3" w:rsidRDefault="005301E3" w:rsidP="00DE41A6">
            <w:pPr>
              <w:jc w:val="both"/>
            </w:pPr>
            <w:r>
              <w:t>Komunikácia</w:t>
            </w:r>
          </w:p>
        </w:tc>
        <w:tc>
          <w:tcPr>
            <w:tcW w:w="1143" w:type="dxa"/>
          </w:tcPr>
          <w:p w:rsidR="005301E3" w:rsidRDefault="005301E3" w:rsidP="00DE41A6">
            <w:pPr>
              <w:jc w:val="both"/>
            </w:pPr>
            <w:r>
              <w:t>1</w:t>
            </w:r>
          </w:p>
        </w:tc>
        <w:tc>
          <w:tcPr>
            <w:tcW w:w="1365" w:type="dxa"/>
          </w:tcPr>
          <w:p w:rsidR="005301E3" w:rsidRPr="001B31A5" w:rsidRDefault="005301E3" w:rsidP="00DE41A6">
            <w:pPr>
              <w:jc w:val="both"/>
            </w:pPr>
            <w:r w:rsidRPr="001B31A5">
              <w:t>2</w:t>
            </w:r>
          </w:p>
        </w:tc>
        <w:tc>
          <w:tcPr>
            <w:tcW w:w="1338" w:type="dxa"/>
          </w:tcPr>
          <w:p w:rsidR="005301E3" w:rsidRPr="001B31A5" w:rsidRDefault="005301E3" w:rsidP="00DE41A6">
            <w:pPr>
              <w:jc w:val="both"/>
            </w:pPr>
            <w:r w:rsidRPr="001B31A5">
              <w:t>3</w:t>
            </w:r>
          </w:p>
        </w:tc>
        <w:tc>
          <w:tcPr>
            <w:tcW w:w="1245" w:type="dxa"/>
          </w:tcPr>
          <w:p w:rsidR="005301E3" w:rsidRPr="001B31A5" w:rsidRDefault="005301E3" w:rsidP="00DE41A6">
            <w:pPr>
              <w:jc w:val="both"/>
            </w:pPr>
            <w:r w:rsidRPr="001B31A5">
              <w:t>3</w:t>
            </w:r>
          </w:p>
        </w:tc>
      </w:tr>
      <w:tr w:rsidR="005301E3" w:rsidRPr="001B31A5" w:rsidTr="00DE41A6">
        <w:tc>
          <w:tcPr>
            <w:tcW w:w="4195" w:type="dxa"/>
          </w:tcPr>
          <w:p w:rsidR="005301E3" w:rsidRDefault="005301E3" w:rsidP="00DE41A6">
            <w:pPr>
              <w:jc w:val="both"/>
            </w:pPr>
            <w:r>
              <w:t>IT</w:t>
            </w:r>
          </w:p>
        </w:tc>
        <w:tc>
          <w:tcPr>
            <w:tcW w:w="1143" w:type="dxa"/>
          </w:tcPr>
          <w:p w:rsidR="005301E3" w:rsidRDefault="005301E3" w:rsidP="00DE41A6">
            <w:pPr>
              <w:jc w:val="both"/>
            </w:pPr>
            <w:r>
              <w:t>1</w:t>
            </w:r>
          </w:p>
        </w:tc>
        <w:tc>
          <w:tcPr>
            <w:tcW w:w="1365" w:type="dxa"/>
          </w:tcPr>
          <w:p w:rsidR="005301E3" w:rsidRPr="001B31A5" w:rsidRDefault="005301E3" w:rsidP="00DE41A6">
            <w:pPr>
              <w:jc w:val="both"/>
            </w:pPr>
            <w:r w:rsidRPr="001B31A5">
              <w:t>1</w:t>
            </w:r>
          </w:p>
        </w:tc>
        <w:tc>
          <w:tcPr>
            <w:tcW w:w="1338" w:type="dxa"/>
          </w:tcPr>
          <w:p w:rsidR="005301E3" w:rsidRPr="001B31A5" w:rsidRDefault="005301E3" w:rsidP="00DE41A6">
            <w:pPr>
              <w:jc w:val="both"/>
            </w:pPr>
            <w:r w:rsidRPr="001B31A5">
              <w:t>2</w:t>
            </w:r>
          </w:p>
        </w:tc>
        <w:tc>
          <w:tcPr>
            <w:tcW w:w="1245" w:type="dxa"/>
          </w:tcPr>
          <w:p w:rsidR="005301E3" w:rsidRPr="001B31A5" w:rsidRDefault="005301E3" w:rsidP="00DE41A6">
            <w:pPr>
              <w:jc w:val="both"/>
            </w:pPr>
            <w:r w:rsidRPr="001B31A5">
              <w:t>2</w:t>
            </w:r>
          </w:p>
        </w:tc>
      </w:tr>
      <w:tr w:rsidR="005301E3" w:rsidRPr="001B31A5" w:rsidTr="00DE41A6">
        <w:trPr>
          <w:trHeight w:val="269"/>
        </w:trPr>
        <w:tc>
          <w:tcPr>
            <w:tcW w:w="4195" w:type="dxa"/>
          </w:tcPr>
          <w:p w:rsidR="005301E3" w:rsidRPr="001B31A5" w:rsidRDefault="005301E3" w:rsidP="00DE41A6">
            <w:pPr>
              <w:jc w:val="both"/>
            </w:pPr>
            <w:r w:rsidRPr="001B31A5">
              <w:t>Spolu</w:t>
            </w:r>
          </w:p>
        </w:tc>
        <w:tc>
          <w:tcPr>
            <w:tcW w:w="1143" w:type="dxa"/>
          </w:tcPr>
          <w:p w:rsidR="005301E3" w:rsidRPr="001B31A5" w:rsidRDefault="005301E3" w:rsidP="00DE41A6">
            <w:pPr>
              <w:jc w:val="both"/>
            </w:pPr>
            <w:r w:rsidRPr="001B31A5">
              <w:t>10</w:t>
            </w:r>
          </w:p>
        </w:tc>
        <w:tc>
          <w:tcPr>
            <w:tcW w:w="1365" w:type="dxa"/>
          </w:tcPr>
          <w:p w:rsidR="005301E3" w:rsidRPr="001B31A5" w:rsidRDefault="005301E3" w:rsidP="00DE41A6">
            <w:pPr>
              <w:jc w:val="both"/>
            </w:pPr>
            <w:r w:rsidRPr="001B31A5">
              <w:t>32</w:t>
            </w:r>
          </w:p>
        </w:tc>
        <w:tc>
          <w:tcPr>
            <w:tcW w:w="1338" w:type="dxa"/>
          </w:tcPr>
          <w:p w:rsidR="005301E3" w:rsidRPr="001B31A5" w:rsidRDefault="005301E3" w:rsidP="00DE41A6">
            <w:pPr>
              <w:jc w:val="both"/>
            </w:pPr>
            <w:r w:rsidRPr="001B31A5">
              <w:t>49</w:t>
            </w:r>
          </w:p>
        </w:tc>
        <w:tc>
          <w:tcPr>
            <w:tcW w:w="1245" w:type="dxa"/>
          </w:tcPr>
          <w:p w:rsidR="005301E3" w:rsidRPr="001B31A5" w:rsidRDefault="005301E3" w:rsidP="00DE41A6">
            <w:pPr>
              <w:jc w:val="both"/>
            </w:pPr>
            <w:r w:rsidRPr="001B31A5">
              <w:t>49</w:t>
            </w:r>
          </w:p>
        </w:tc>
      </w:tr>
    </w:tbl>
    <w:p w:rsidR="005301E3" w:rsidRPr="000E06B3" w:rsidRDefault="005301E3" w:rsidP="005301E3">
      <w:pPr>
        <w:rPr>
          <w:i/>
        </w:rPr>
      </w:pPr>
      <w:r w:rsidRPr="000E06B3">
        <w:rPr>
          <w:i/>
        </w:rPr>
        <w:t>Zdroj: Rada pre mediálne služ</w:t>
      </w:r>
      <w:r>
        <w:rPr>
          <w:i/>
        </w:rPr>
        <w:t>by, 2024</w:t>
      </w:r>
    </w:p>
    <w:p w:rsidR="005301E3" w:rsidRDefault="005301E3" w:rsidP="005301E3">
      <w:pPr>
        <w:ind w:firstLine="708"/>
        <w:jc w:val="both"/>
      </w:pPr>
    </w:p>
    <w:p w:rsidR="005301E3" w:rsidRPr="00381FC2" w:rsidRDefault="005301E3" w:rsidP="005301E3">
      <w:pPr>
        <w:ind w:firstLine="708"/>
        <w:jc w:val="both"/>
      </w:pPr>
      <w:r w:rsidRPr="00381FC2">
        <w:t>Novo obsadené kapacity administratívy by sa mali zamerať na spracovanie všetkých sťažností, ktoré RMS obdrží, a iných procedurálnych úkonov v rámci DSA. Aktuálny počet zamestnancov RMS k februáru 2024 je 47 zamestnancov. Nové pracovné miesta sú potrebné na nasledovné úlohy:</w:t>
      </w:r>
    </w:p>
    <w:p w:rsidR="005301E3" w:rsidRDefault="005301E3" w:rsidP="005301E3">
      <w:pPr>
        <w:ind w:firstLine="708"/>
        <w:jc w:val="both"/>
      </w:pPr>
      <w:r w:rsidRPr="00381FC2">
        <w:lastRenderedPageBreak/>
        <w:t xml:space="preserve">Analytické kapacity </w:t>
      </w:r>
      <w:r>
        <w:t xml:space="preserve">budú potrebné na posúdenie sťažností, vrátane porušení, ktoré si vyžadujú osobitné odborné znalosti, ako napr. posudzovanie transparentnosti odporúčacích systémov, opatrení na ochranu maloletých, zrozumiteľnosti a férovosti obchodných podmienok. </w:t>
      </w:r>
    </w:p>
    <w:p w:rsidR="005301E3" w:rsidRDefault="005301E3" w:rsidP="005301E3">
      <w:pPr>
        <w:ind w:firstLine="708"/>
        <w:jc w:val="both"/>
      </w:pPr>
      <w:r w:rsidRPr="00816250">
        <w:t xml:space="preserve">Poverený koordinátor digitálnych služieb bude mať </w:t>
      </w:r>
      <w:r>
        <w:t xml:space="preserve">v oblasti práva </w:t>
      </w:r>
      <w:r w:rsidRPr="00816250">
        <w:t>vyšetrovacie kompetencie, ako aj právomoci udeľovať pokuty, penále či predbežné opatrenia</w:t>
      </w:r>
      <w:r>
        <w:t xml:space="preserve">, budú preto potrebné kapacity na formálne požadovanie informácií, vykonávanie kontrol alebo ukladanie sankcií. </w:t>
      </w:r>
    </w:p>
    <w:p w:rsidR="005301E3" w:rsidRDefault="005301E3" w:rsidP="005301E3">
      <w:pPr>
        <w:ind w:firstLine="708"/>
        <w:jc w:val="both"/>
      </w:pPr>
      <w:r>
        <w:t xml:space="preserve">Komunikačné oddelenie by sa malo zamerať na </w:t>
      </w:r>
      <w:r w:rsidRPr="00080CC0">
        <w:t>zvyšovanie povedomia občanov SR o ich právach v digitálnom prostredí.</w:t>
      </w:r>
    </w:p>
    <w:p w:rsidR="005301E3" w:rsidRDefault="005301E3" w:rsidP="005301E3">
      <w:pPr>
        <w:ind w:firstLine="708"/>
        <w:jc w:val="both"/>
      </w:pPr>
      <w:r>
        <w:t xml:space="preserve">Nové pracovné miesta sú potrebné taktiež pre zabezpečenie efektívnej koordinácie s ostatnými koordinátormi digitálnych služieb a na participáciu koordinátora v Európskom výbore pre digitálne služby (ďalej len „výbor“). Náplň práce sa bude týkať hlavne prípravy </w:t>
      </w:r>
      <w:r w:rsidRPr="00816250">
        <w:t>podkladov na zasadnu</w:t>
      </w:r>
      <w:r>
        <w:t xml:space="preserve">tia a pracovné činnosti výboru, </w:t>
      </w:r>
      <w:r w:rsidRPr="00DC4497">
        <w:t xml:space="preserve">monitorovacie aktivity regulátora súvisiace s dodržiavaním </w:t>
      </w:r>
      <w:r>
        <w:t>DSA</w:t>
      </w:r>
      <w:r w:rsidRPr="00DC4497">
        <w:t xml:space="preserve"> či zhromažďovanie informácií o počte aktívnych príjemcov služie</w:t>
      </w:r>
      <w:r>
        <w:t>b</w:t>
      </w:r>
      <w:r w:rsidRPr="00DC4497">
        <w:t>.</w:t>
      </w:r>
      <w:r>
        <w:t xml:space="preserve"> </w:t>
      </w:r>
    </w:p>
    <w:p w:rsidR="005301E3" w:rsidRPr="00381FC2" w:rsidRDefault="005301E3" w:rsidP="005301E3">
      <w:pPr>
        <w:ind w:firstLine="708"/>
        <w:jc w:val="both"/>
      </w:pPr>
      <w:r w:rsidRPr="001D58D6">
        <w:t xml:space="preserve">Možno predpokladať, že po </w:t>
      </w:r>
      <w:r>
        <w:t>ustanovení</w:t>
      </w:r>
      <w:r w:rsidRPr="001D58D6">
        <w:t xml:space="preserve"> RMS </w:t>
      </w:r>
      <w:r>
        <w:t>d</w:t>
      </w:r>
      <w:r w:rsidRPr="001D58D6">
        <w:t>o funkci</w:t>
      </w:r>
      <w:r>
        <w:t>e</w:t>
      </w:r>
      <w:r w:rsidRPr="001D58D6">
        <w:t xml:space="preserve"> DSC budú činnosti súvisiace s DSA pribúdať postupne, preto sa navrhuje dosiahnutie cieľového počtu pracovníkov počas obdobia 3 rokov. Zároveň sa navrhuje prehodnotiť odhady prácnosti a početnosti po uplynutí kontrolovaného obdobia a stabilizácii DSC procesov tak, aby vychádzali z reálneho množstva podnetov a ich prácnosti. V prípade zistenia zásadných odklonov reálnej prácnosti a početnosti činností v priebehu kontrolovaného obdobia sa vykoná korekcia medziročne v rámci procesu tvorby rozpočtu na nasledujúci rozpočtový </w:t>
      </w:r>
      <w:r w:rsidRPr="00381FC2">
        <w:t xml:space="preserve">rok. Prvé preskúmanie účelnosti bude možné uskutočniť najneskôr z výročnej správy Rady pre mediálne služby za rok 2024, ktorú je regulátor povinný predložiť Národnej rade SR do 90 dní po skončení kalendárneho roka. </w:t>
      </w:r>
    </w:p>
    <w:p w:rsidR="005301E3" w:rsidRPr="00381FC2" w:rsidRDefault="005301E3" w:rsidP="005301E3">
      <w:pPr>
        <w:ind w:firstLine="708"/>
        <w:jc w:val="both"/>
      </w:pPr>
      <w:r w:rsidRPr="00381FC2">
        <w:t>V súvislosti s určením koordinátora digitálnych služieb podľa DSA aktuálne predkladateľ v návrhu zákona odhaduje počet 49 nových zamestnancov Rady pre mediálne služby do roku 2026. Pri určení počtu nových zamestnancov vychádzal z odhadu týkajúceho sa potreby personálneho zabezpečenia činností v súvislosti s nárastom agendy a úloh RpMS, ktorý však z dôvodu, že ide o úplne novú agendu v rámci celej EÚ, nie je založený na overených a osvedčených dátach a nie je možné čerpať ani zo skúseností zo zahraničia. V súčasnosti existuje oficiálne schválený kvalifikovaný výstup poradcu technickej asistencie, ktorý pre Ministerstvo investícií, regionálneho rozvoja a informatizácie Slovenskej republiky analyzoval legislatívny a inštitucionálny rámec pre digitálnu transformáciu SR, vrátane možnosti určenia koordinátora digitálnych služieb podľa DSA na Slovensku. Z predmetnej štúdie vyplýva, že počet je odhadovaný na 67 zamestnancov a 10 podporných zamestnancov, t. j. spolu 77 zamestnancov do roku 2026. Tento model však po konzultácii s Ministerstvom financií SR nebolo možné uplatniť v návrhu zákona, nakoľko nebolo schválené navyšovanie výdavkov v rámci schváleného rozpočtu RpMS na rok 2024 a tiež bolo potrebné reflektovať možnosti navyšovania finančných prostriedkov na nasledujúce rozpočtové roky.</w:t>
      </w:r>
    </w:p>
    <w:p w:rsidR="005301E3" w:rsidRPr="00381FC2" w:rsidRDefault="005301E3" w:rsidP="005301E3">
      <w:pPr>
        <w:ind w:firstLine="708"/>
        <w:jc w:val="both"/>
      </w:pPr>
      <w:r w:rsidRPr="00381FC2">
        <w:t>V rámci nasledujúcich rokov však bude možné prehodnotiť skutočne potrebný počet zamestnancov RpMS podľa reálnych potrieb a úloh v súvislosti s výkonom kompetencie koordinátora digitálnych služieb a zvážiť prípadné legislatívne zmeny. Pri analyzovaní dát bude môcť predkladateľ vychádzať aj z avizovaného iniciatívneho materiálu, ktorý v súčasnosti pripravuje MIRRI SR a ktorý by mal komplexnejšie pokrývať problematiku implementácie európskych právnych predpisov pre oblasť digitalizácie v podmienkach Slovenskej republiky.</w:t>
      </w:r>
    </w:p>
    <w:p w:rsidR="005301E3" w:rsidRDefault="005301E3" w:rsidP="005301E3">
      <w:pPr>
        <w:ind w:firstLine="708"/>
        <w:jc w:val="both"/>
      </w:pPr>
    </w:p>
    <w:p w:rsidR="005301E3" w:rsidRDefault="005301E3" w:rsidP="005301E3">
      <w:pPr>
        <w:ind w:firstLine="708"/>
        <w:jc w:val="both"/>
      </w:pPr>
    </w:p>
    <w:p w:rsidR="005301E3" w:rsidRPr="00BC0685" w:rsidRDefault="005301E3" w:rsidP="005301E3">
      <w:pPr>
        <w:ind w:firstLine="708"/>
        <w:jc w:val="both"/>
      </w:pPr>
    </w:p>
    <w:p w:rsidR="005301E3" w:rsidRPr="001D58D6" w:rsidRDefault="005301E3" w:rsidP="005301E3">
      <w:pPr>
        <w:jc w:val="both"/>
      </w:pPr>
      <w:r w:rsidRPr="001D58D6">
        <w:t>Náklady sú odhadnuté na základe podkladov dodaných RMS.</w:t>
      </w:r>
    </w:p>
    <w:p w:rsidR="005301E3" w:rsidRPr="00B14AD5" w:rsidRDefault="005301E3" w:rsidP="005301E3">
      <w:pPr>
        <w:tabs>
          <w:tab w:val="num" w:pos="1080"/>
        </w:tabs>
        <w:jc w:val="both"/>
        <w:rPr>
          <w:bCs/>
        </w:rPr>
      </w:pPr>
    </w:p>
    <w:tbl>
      <w:tblPr>
        <w:tblStyle w:val="Mriekatabuky"/>
        <w:tblW w:w="0" w:type="auto"/>
        <w:tblLook w:val="04A0" w:firstRow="1" w:lastRow="0" w:firstColumn="1" w:lastColumn="0" w:noHBand="0" w:noVBand="1"/>
      </w:tblPr>
      <w:tblGrid>
        <w:gridCol w:w="1786"/>
        <w:gridCol w:w="1514"/>
        <w:gridCol w:w="1380"/>
        <w:gridCol w:w="1513"/>
        <w:gridCol w:w="1646"/>
        <w:gridCol w:w="1221"/>
      </w:tblGrid>
      <w:tr w:rsidR="005301E3" w:rsidRPr="000E356F" w:rsidTr="00DE41A6">
        <w:trPr>
          <w:trHeight w:val="198"/>
        </w:trPr>
        <w:tc>
          <w:tcPr>
            <w:tcW w:w="1786" w:type="dxa"/>
            <w:shd w:val="clear" w:color="auto" w:fill="BFBFBF" w:themeFill="background1" w:themeFillShade="BF"/>
          </w:tcPr>
          <w:p w:rsidR="005301E3" w:rsidRPr="000E356F" w:rsidRDefault="005301E3" w:rsidP="00DE41A6">
            <w:pPr>
              <w:autoSpaceDE w:val="0"/>
              <w:autoSpaceDN w:val="0"/>
              <w:jc w:val="center"/>
              <w:rPr>
                <w:b/>
                <w:bCs/>
              </w:rPr>
            </w:pPr>
            <w:r w:rsidRPr="000E356F">
              <w:rPr>
                <w:b/>
                <w:bCs/>
              </w:rPr>
              <w:t>Rok</w:t>
            </w:r>
          </w:p>
        </w:tc>
        <w:tc>
          <w:tcPr>
            <w:tcW w:w="1514" w:type="dxa"/>
            <w:shd w:val="clear" w:color="auto" w:fill="BFBFBF" w:themeFill="background1" w:themeFillShade="BF"/>
          </w:tcPr>
          <w:p w:rsidR="005301E3" w:rsidRPr="000E356F" w:rsidRDefault="005301E3" w:rsidP="00DE41A6">
            <w:pPr>
              <w:autoSpaceDE w:val="0"/>
              <w:autoSpaceDN w:val="0"/>
              <w:jc w:val="center"/>
              <w:rPr>
                <w:b/>
                <w:bCs/>
              </w:rPr>
            </w:pPr>
            <w:r w:rsidRPr="000E356F">
              <w:rPr>
                <w:b/>
                <w:bCs/>
              </w:rPr>
              <w:t>2024</w:t>
            </w:r>
          </w:p>
        </w:tc>
        <w:tc>
          <w:tcPr>
            <w:tcW w:w="1380" w:type="dxa"/>
            <w:shd w:val="clear" w:color="auto" w:fill="BFBFBF" w:themeFill="background1" w:themeFillShade="BF"/>
          </w:tcPr>
          <w:p w:rsidR="005301E3" w:rsidRPr="000E356F" w:rsidRDefault="005301E3" w:rsidP="00DE41A6">
            <w:pPr>
              <w:autoSpaceDE w:val="0"/>
              <w:autoSpaceDN w:val="0"/>
              <w:jc w:val="center"/>
              <w:rPr>
                <w:b/>
                <w:bCs/>
              </w:rPr>
            </w:pPr>
            <w:r w:rsidRPr="000E356F">
              <w:rPr>
                <w:b/>
                <w:bCs/>
              </w:rPr>
              <w:t>2025</w:t>
            </w:r>
          </w:p>
        </w:tc>
        <w:tc>
          <w:tcPr>
            <w:tcW w:w="1513" w:type="dxa"/>
            <w:shd w:val="clear" w:color="auto" w:fill="BFBFBF" w:themeFill="background1" w:themeFillShade="BF"/>
          </w:tcPr>
          <w:p w:rsidR="005301E3" w:rsidRPr="000E356F" w:rsidRDefault="005301E3" w:rsidP="00DE41A6">
            <w:pPr>
              <w:autoSpaceDE w:val="0"/>
              <w:autoSpaceDN w:val="0"/>
              <w:jc w:val="center"/>
              <w:rPr>
                <w:b/>
                <w:bCs/>
              </w:rPr>
            </w:pPr>
            <w:r w:rsidRPr="000E356F">
              <w:rPr>
                <w:b/>
                <w:bCs/>
              </w:rPr>
              <w:t>2026</w:t>
            </w:r>
          </w:p>
        </w:tc>
        <w:tc>
          <w:tcPr>
            <w:tcW w:w="1646" w:type="dxa"/>
            <w:shd w:val="clear" w:color="auto" w:fill="BFBFBF" w:themeFill="background1" w:themeFillShade="BF"/>
          </w:tcPr>
          <w:p w:rsidR="005301E3" w:rsidRPr="000E356F" w:rsidRDefault="005301E3" w:rsidP="00DE41A6">
            <w:pPr>
              <w:autoSpaceDE w:val="0"/>
              <w:autoSpaceDN w:val="0"/>
              <w:jc w:val="center"/>
              <w:rPr>
                <w:b/>
                <w:bCs/>
              </w:rPr>
            </w:pPr>
            <w:r w:rsidRPr="000E356F">
              <w:rPr>
                <w:b/>
                <w:bCs/>
              </w:rPr>
              <w:t>2027</w:t>
            </w:r>
          </w:p>
        </w:tc>
        <w:tc>
          <w:tcPr>
            <w:tcW w:w="1221" w:type="dxa"/>
            <w:shd w:val="clear" w:color="auto" w:fill="BFBFBF" w:themeFill="background1" w:themeFillShade="BF"/>
          </w:tcPr>
          <w:p w:rsidR="005301E3" w:rsidRPr="000E356F" w:rsidRDefault="005301E3" w:rsidP="00DE41A6">
            <w:pPr>
              <w:autoSpaceDE w:val="0"/>
              <w:autoSpaceDN w:val="0"/>
              <w:jc w:val="center"/>
              <w:rPr>
                <w:b/>
                <w:bCs/>
              </w:rPr>
            </w:pPr>
            <w:r w:rsidRPr="000E356F">
              <w:rPr>
                <w:b/>
                <w:bCs/>
              </w:rPr>
              <w:t>Pozn.</w:t>
            </w:r>
          </w:p>
        </w:tc>
      </w:tr>
      <w:tr w:rsidR="005301E3" w:rsidRPr="00381FC2" w:rsidTr="00DE41A6">
        <w:tc>
          <w:tcPr>
            <w:tcW w:w="1786" w:type="dxa"/>
            <w:vAlign w:val="center"/>
          </w:tcPr>
          <w:p w:rsidR="005301E3" w:rsidRPr="00381FC2" w:rsidRDefault="005301E3" w:rsidP="00DE41A6">
            <w:pPr>
              <w:autoSpaceDE w:val="0"/>
              <w:autoSpaceDN w:val="0"/>
            </w:pPr>
            <w:r w:rsidRPr="00381FC2">
              <w:t>Počet zamestnancov</w:t>
            </w:r>
          </w:p>
        </w:tc>
        <w:tc>
          <w:tcPr>
            <w:tcW w:w="1514" w:type="dxa"/>
            <w:vAlign w:val="center"/>
          </w:tcPr>
          <w:p w:rsidR="005301E3" w:rsidRPr="00381FC2" w:rsidRDefault="005301E3" w:rsidP="00DE41A6">
            <w:pPr>
              <w:autoSpaceDE w:val="0"/>
              <w:autoSpaceDN w:val="0"/>
            </w:pPr>
            <w:r w:rsidRPr="00381FC2">
              <w:t>10</w:t>
            </w:r>
          </w:p>
        </w:tc>
        <w:tc>
          <w:tcPr>
            <w:tcW w:w="1380" w:type="dxa"/>
            <w:vAlign w:val="center"/>
          </w:tcPr>
          <w:p w:rsidR="005301E3" w:rsidRPr="00381FC2" w:rsidRDefault="005301E3" w:rsidP="00DE41A6">
            <w:pPr>
              <w:autoSpaceDE w:val="0"/>
              <w:autoSpaceDN w:val="0"/>
            </w:pPr>
            <w:r w:rsidRPr="00381FC2">
              <w:t>32</w:t>
            </w:r>
          </w:p>
        </w:tc>
        <w:tc>
          <w:tcPr>
            <w:tcW w:w="1513" w:type="dxa"/>
            <w:vAlign w:val="center"/>
          </w:tcPr>
          <w:p w:rsidR="005301E3" w:rsidRPr="00381FC2" w:rsidRDefault="005301E3" w:rsidP="00DE41A6">
            <w:pPr>
              <w:autoSpaceDE w:val="0"/>
              <w:autoSpaceDN w:val="0"/>
            </w:pPr>
            <w:r w:rsidRPr="00381FC2">
              <w:t>49</w:t>
            </w:r>
          </w:p>
        </w:tc>
        <w:tc>
          <w:tcPr>
            <w:tcW w:w="1646" w:type="dxa"/>
            <w:vAlign w:val="center"/>
          </w:tcPr>
          <w:p w:rsidR="005301E3" w:rsidRPr="00381FC2" w:rsidRDefault="005301E3" w:rsidP="00DE41A6">
            <w:pPr>
              <w:autoSpaceDE w:val="0"/>
              <w:autoSpaceDN w:val="0"/>
            </w:pPr>
            <w:r w:rsidRPr="00381FC2">
              <w:t>49</w:t>
            </w:r>
          </w:p>
        </w:tc>
        <w:tc>
          <w:tcPr>
            <w:tcW w:w="1221" w:type="dxa"/>
          </w:tcPr>
          <w:p w:rsidR="005301E3" w:rsidRPr="00381FC2" w:rsidRDefault="005301E3" w:rsidP="00DE41A6">
            <w:pPr>
              <w:autoSpaceDE w:val="0"/>
              <w:autoSpaceDN w:val="0"/>
            </w:pPr>
          </w:p>
        </w:tc>
      </w:tr>
      <w:tr w:rsidR="005301E3" w:rsidRPr="00381FC2" w:rsidTr="00DE41A6">
        <w:trPr>
          <w:trHeight w:val="558"/>
        </w:trPr>
        <w:tc>
          <w:tcPr>
            <w:tcW w:w="1786" w:type="dxa"/>
            <w:vAlign w:val="center"/>
          </w:tcPr>
          <w:p w:rsidR="005301E3" w:rsidRPr="00381FC2" w:rsidRDefault="005301E3" w:rsidP="00DE41A6">
            <w:pPr>
              <w:autoSpaceDE w:val="0"/>
              <w:autoSpaceDN w:val="0"/>
            </w:pPr>
            <w:r w:rsidRPr="00381FC2">
              <w:t>Mzdy</w:t>
            </w:r>
          </w:p>
        </w:tc>
        <w:tc>
          <w:tcPr>
            <w:tcW w:w="1514" w:type="dxa"/>
            <w:vAlign w:val="center"/>
          </w:tcPr>
          <w:p w:rsidR="005301E3" w:rsidRPr="00381FC2" w:rsidRDefault="005301E3" w:rsidP="00DE41A6">
            <w:pPr>
              <w:autoSpaceDE w:val="0"/>
              <w:autoSpaceDN w:val="0"/>
            </w:pPr>
            <w:r w:rsidRPr="00381FC2">
              <w:t>154 000 €</w:t>
            </w:r>
          </w:p>
        </w:tc>
        <w:tc>
          <w:tcPr>
            <w:tcW w:w="1380" w:type="dxa"/>
            <w:vAlign w:val="center"/>
          </w:tcPr>
          <w:p w:rsidR="005301E3" w:rsidRPr="00381FC2" w:rsidRDefault="005301E3" w:rsidP="00DE41A6">
            <w:pPr>
              <w:autoSpaceDE w:val="0"/>
              <w:autoSpaceDN w:val="0"/>
            </w:pPr>
            <w:r w:rsidRPr="00381FC2">
              <w:t>844 800 €</w:t>
            </w:r>
          </w:p>
        </w:tc>
        <w:tc>
          <w:tcPr>
            <w:tcW w:w="1513" w:type="dxa"/>
            <w:vAlign w:val="center"/>
          </w:tcPr>
          <w:p w:rsidR="005301E3" w:rsidRPr="00381FC2" w:rsidRDefault="005301E3" w:rsidP="00DE41A6">
            <w:pPr>
              <w:autoSpaceDE w:val="0"/>
              <w:autoSpaceDN w:val="0"/>
            </w:pPr>
            <w:r w:rsidRPr="00381FC2">
              <w:t>1 293 600 €</w:t>
            </w:r>
          </w:p>
        </w:tc>
        <w:tc>
          <w:tcPr>
            <w:tcW w:w="1646" w:type="dxa"/>
            <w:vAlign w:val="center"/>
          </w:tcPr>
          <w:p w:rsidR="005301E3" w:rsidRPr="00381FC2" w:rsidRDefault="005301E3" w:rsidP="00DE41A6">
            <w:pPr>
              <w:autoSpaceDE w:val="0"/>
              <w:autoSpaceDN w:val="0"/>
            </w:pPr>
            <w:r w:rsidRPr="00381FC2">
              <w:t>1 293 600 €</w:t>
            </w:r>
          </w:p>
        </w:tc>
        <w:tc>
          <w:tcPr>
            <w:tcW w:w="1221" w:type="dxa"/>
            <w:vAlign w:val="center"/>
          </w:tcPr>
          <w:p w:rsidR="005301E3" w:rsidRPr="00381FC2" w:rsidRDefault="005301E3" w:rsidP="00DE41A6">
            <w:pPr>
              <w:autoSpaceDE w:val="0"/>
              <w:autoSpaceDN w:val="0"/>
            </w:pPr>
            <w:r w:rsidRPr="00381FC2">
              <w:t>2200 € / mesiac, priemer</w:t>
            </w:r>
          </w:p>
        </w:tc>
      </w:tr>
      <w:tr w:rsidR="005301E3" w:rsidRPr="00381FC2" w:rsidTr="00DE41A6">
        <w:tc>
          <w:tcPr>
            <w:tcW w:w="1786" w:type="dxa"/>
            <w:vAlign w:val="center"/>
          </w:tcPr>
          <w:p w:rsidR="005301E3" w:rsidRPr="00381FC2" w:rsidRDefault="005301E3" w:rsidP="00DE41A6">
            <w:pPr>
              <w:autoSpaceDE w:val="0"/>
              <w:autoSpaceDN w:val="0"/>
            </w:pPr>
            <w:r w:rsidRPr="00381FC2">
              <w:t>Poistné a príspevok do poisťovní</w:t>
            </w:r>
          </w:p>
        </w:tc>
        <w:tc>
          <w:tcPr>
            <w:tcW w:w="1514" w:type="dxa"/>
            <w:shd w:val="clear" w:color="auto" w:fill="auto"/>
            <w:vAlign w:val="center"/>
          </w:tcPr>
          <w:p w:rsidR="005301E3" w:rsidRPr="00381FC2" w:rsidRDefault="005301E3" w:rsidP="00DE41A6">
            <w:pPr>
              <w:autoSpaceDE w:val="0"/>
              <w:autoSpaceDN w:val="0"/>
            </w:pPr>
            <w:r w:rsidRPr="00381FC2">
              <w:t>55 363 €</w:t>
            </w:r>
          </w:p>
        </w:tc>
        <w:tc>
          <w:tcPr>
            <w:tcW w:w="1380" w:type="dxa"/>
            <w:shd w:val="clear" w:color="auto" w:fill="auto"/>
            <w:vAlign w:val="center"/>
          </w:tcPr>
          <w:p w:rsidR="005301E3" w:rsidRPr="00381FC2" w:rsidRDefault="005301E3" w:rsidP="00DE41A6">
            <w:pPr>
              <w:autoSpaceDE w:val="0"/>
              <w:autoSpaceDN w:val="0"/>
            </w:pPr>
            <w:r w:rsidRPr="00381FC2">
              <w:t>303 706 €</w:t>
            </w:r>
          </w:p>
        </w:tc>
        <w:tc>
          <w:tcPr>
            <w:tcW w:w="1513" w:type="dxa"/>
            <w:shd w:val="clear" w:color="auto" w:fill="auto"/>
            <w:vAlign w:val="center"/>
          </w:tcPr>
          <w:p w:rsidR="005301E3" w:rsidRPr="00381FC2" w:rsidRDefault="005301E3" w:rsidP="00DE41A6">
            <w:pPr>
              <w:autoSpaceDE w:val="0"/>
              <w:autoSpaceDN w:val="0"/>
            </w:pPr>
            <w:r w:rsidRPr="00381FC2">
              <w:t>465 049 €</w:t>
            </w:r>
          </w:p>
        </w:tc>
        <w:tc>
          <w:tcPr>
            <w:tcW w:w="1646" w:type="dxa"/>
            <w:shd w:val="clear" w:color="auto" w:fill="auto"/>
            <w:vAlign w:val="center"/>
          </w:tcPr>
          <w:p w:rsidR="005301E3" w:rsidRPr="00381FC2" w:rsidRDefault="005301E3" w:rsidP="00DE41A6">
            <w:pPr>
              <w:autoSpaceDE w:val="0"/>
              <w:autoSpaceDN w:val="0"/>
            </w:pPr>
            <w:r w:rsidRPr="00381FC2">
              <w:t>465 049 €</w:t>
            </w:r>
          </w:p>
        </w:tc>
        <w:tc>
          <w:tcPr>
            <w:tcW w:w="1221" w:type="dxa"/>
            <w:shd w:val="clear" w:color="auto" w:fill="auto"/>
            <w:vAlign w:val="center"/>
          </w:tcPr>
          <w:p w:rsidR="005301E3" w:rsidRPr="00381FC2" w:rsidRDefault="005301E3" w:rsidP="00DE41A6">
            <w:pPr>
              <w:autoSpaceDE w:val="0"/>
              <w:autoSpaceDN w:val="0"/>
            </w:pPr>
            <w:r w:rsidRPr="00381FC2">
              <w:t>790,9 € / mesiac, priemer</w:t>
            </w:r>
          </w:p>
        </w:tc>
      </w:tr>
      <w:tr w:rsidR="005301E3" w:rsidRPr="00381FC2" w:rsidTr="00DE41A6">
        <w:tc>
          <w:tcPr>
            <w:tcW w:w="1786" w:type="dxa"/>
            <w:vAlign w:val="center"/>
          </w:tcPr>
          <w:p w:rsidR="005301E3" w:rsidRPr="00381FC2" w:rsidRDefault="005301E3" w:rsidP="00DE41A6">
            <w:pPr>
              <w:autoSpaceDE w:val="0"/>
              <w:autoSpaceDN w:val="0"/>
            </w:pPr>
            <w:r w:rsidRPr="00381FC2">
              <w:t>Nájom, prevádzka*</w:t>
            </w:r>
          </w:p>
        </w:tc>
        <w:tc>
          <w:tcPr>
            <w:tcW w:w="1514" w:type="dxa"/>
            <w:shd w:val="clear" w:color="auto" w:fill="auto"/>
            <w:vAlign w:val="center"/>
          </w:tcPr>
          <w:p w:rsidR="005301E3" w:rsidRPr="00381FC2" w:rsidRDefault="005301E3" w:rsidP="00DE41A6">
            <w:pPr>
              <w:autoSpaceDE w:val="0"/>
              <w:autoSpaceDN w:val="0"/>
            </w:pPr>
            <w:r w:rsidRPr="00381FC2">
              <w:t xml:space="preserve">22 550 € </w:t>
            </w:r>
          </w:p>
        </w:tc>
        <w:tc>
          <w:tcPr>
            <w:tcW w:w="1380" w:type="dxa"/>
            <w:shd w:val="clear" w:color="auto" w:fill="auto"/>
            <w:vAlign w:val="center"/>
          </w:tcPr>
          <w:p w:rsidR="005301E3" w:rsidRPr="00381FC2" w:rsidRDefault="005301E3" w:rsidP="00DE41A6">
            <w:pPr>
              <w:autoSpaceDE w:val="0"/>
              <w:autoSpaceDN w:val="0"/>
            </w:pPr>
            <w:r w:rsidRPr="00381FC2">
              <w:t>123 703 €</w:t>
            </w:r>
          </w:p>
        </w:tc>
        <w:tc>
          <w:tcPr>
            <w:tcW w:w="1513" w:type="dxa"/>
            <w:shd w:val="clear" w:color="auto" w:fill="auto"/>
            <w:vAlign w:val="center"/>
          </w:tcPr>
          <w:p w:rsidR="005301E3" w:rsidRPr="00381FC2" w:rsidRDefault="005301E3" w:rsidP="00DE41A6">
            <w:pPr>
              <w:autoSpaceDE w:val="0"/>
              <w:autoSpaceDN w:val="0"/>
            </w:pPr>
            <w:r w:rsidRPr="00381FC2">
              <w:t>189 420 €</w:t>
            </w:r>
          </w:p>
        </w:tc>
        <w:tc>
          <w:tcPr>
            <w:tcW w:w="1646" w:type="dxa"/>
            <w:shd w:val="clear" w:color="auto" w:fill="auto"/>
            <w:vAlign w:val="center"/>
          </w:tcPr>
          <w:p w:rsidR="005301E3" w:rsidRPr="00381FC2" w:rsidRDefault="005301E3" w:rsidP="00DE41A6">
            <w:pPr>
              <w:autoSpaceDE w:val="0"/>
              <w:autoSpaceDN w:val="0"/>
            </w:pPr>
            <w:r w:rsidRPr="00381FC2">
              <w:t>189 420 €</w:t>
            </w:r>
          </w:p>
        </w:tc>
        <w:tc>
          <w:tcPr>
            <w:tcW w:w="1221" w:type="dxa"/>
            <w:shd w:val="clear" w:color="auto" w:fill="auto"/>
            <w:vAlign w:val="center"/>
          </w:tcPr>
          <w:p w:rsidR="005301E3" w:rsidRPr="00381FC2" w:rsidRDefault="005301E3" w:rsidP="00DE41A6">
            <w:pPr>
              <w:autoSpaceDE w:val="0"/>
              <w:autoSpaceDN w:val="0"/>
            </w:pPr>
          </w:p>
        </w:tc>
      </w:tr>
      <w:tr w:rsidR="005301E3" w:rsidRPr="00381FC2" w:rsidTr="00DE41A6">
        <w:tc>
          <w:tcPr>
            <w:tcW w:w="1786" w:type="dxa"/>
            <w:vAlign w:val="center"/>
          </w:tcPr>
          <w:p w:rsidR="005301E3" w:rsidRPr="00381FC2" w:rsidRDefault="005301E3" w:rsidP="00DE41A6">
            <w:pPr>
              <w:autoSpaceDE w:val="0"/>
              <w:autoSpaceDN w:val="0"/>
            </w:pPr>
            <w:r w:rsidRPr="00381FC2">
              <w:t>Iné ročné náklady na zamestnancov</w:t>
            </w:r>
          </w:p>
        </w:tc>
        <w:tc>
          <w:tcPr>
            <w:tcW w:w="1514" w:type="dxa"/>
            <w:shd w:val="clear" w:color="auto" w:fill="auto"/>
            <w:vAlign w:val="center"/>
          </w:tcPr>
          <w:p w:rsidR="005301E3" w:rsidRPr="00381FC2" w:rsidRDefault="005301E3" w:rsidP="00DE41A6">
            <w:pPr>
              <w:autoSpaceDE w:val="0"/>
              <w:autoSpaceDN w:val="0"/>
            </w:pPr>
            <w:r w:rsidRPr="00381FC2">
              <w:t>84 817 €</w:t>
            </w:r>
          </w:p>
        </w:tc>
        <w:tc>
          <w:tcPr>
            <w:tcW w:w="1380" w:type="dxa"/>
            <w:shd w:val="clear" w:color="auto" w:fill="auto"/>
            <w:vAlign w:val="center"/>
          </w:tcPr>
          <w:p w:rsidR="005301E3" w:rsidRPr="00381FC2" w:rsidRDefault="005301E3" w:rsidP="00DE41A6">
            <w:pPr>
              <w:autoSpaceDE w:val="0"/>
              <w:autoSpaceDN w:val="0"/>
            </w:pPr>
            <w:r w:rsidRPr="00381FC2">
              <w:t>305 280 €</w:t>
            </w:r>
          </w:p>
        </w:tc>
        <w:tc>
          <w:tcPr>
            <w:tcW w:w="1513" w:type="dxa"/>
            <w:shd w:val="clear" w:color="auto" w:fill="auto"/>
            <w:vAlign w:val="center"/>
          </w:tcPr>
          <w:p w:rsidR="005301E3" w:rsidRPr="00381FC2" w:rsidRDefault="005301E3" w:rsidP="00DE41A6">
            <w:pPr>
              <w:autoSpaceDE w:val="0"/>
              <w:autoSpaceDN w:val="0"/>
            </w:pPr>
            <w:r w:rsidRPr="00381FC2">
              <w:t>467 460 €</w:t>
            </w:r>
          </w:p>
        </w:tc>
        <w:tc>
          <w:tcPr>
            <w:tcW w:w="1646" w:type="dxa"/>
            <w:shd w:val="clear" w:color="auto" w:fill="auto"/>
            <w:vAlign w:val="center"/>
          </w:tcPr>
          <w:p w:rsidR="005301E3" w:rsidRPr="00381FC2" w:rsidRDefault="005301E3" w:rsidP="00DE41A6">
            <w:pPr>
              <w:autoSpaceDE w:val="0"/>
              <w:autoSpaceDN w:val="0"/>
            </w:pPr>
            <w:r w:rsidRPr="00381FC2">
              <w:t>467 460 €</w:t>
            </w:r>
          </w:p>
        </w:tc>
        <w:tc>
          <w:tcPr>
            <w:tcW w:w="1221" w:type="dxa"/>
            <w:shd w:val="clear" w:color="auto" w:fill="auto"/>
            <w:vAlign w:val="center"/>
          </w:tcPr>
          <w:p w:rsidR="005301E3" w:rsidRPr="00381FC2" w:rsidRDefault="005301E3" w:rsidP="00DE41A6">
            <w:pPr>
              <w:autoSpaceDE w:val="0"/>
              <w:autoSpaceDN w:val="0"/>
            </w:pPr>
            <w:r w:rsidRPr="00381FC2">
              <w:t xml:space="preserve">14 540 € v 2024; </w:t>
            </w:r>
          </w:p>
          <w:p w:rsidR="005301E3" w:rsidRPr="00381FC2" w:rsidRDefault="005301E3" w:rsidP="00DE41A6">
            <w:pPr>
              <w:autoSpaceDE w:val="0"/>
              <w:autoSpaceDN w:val="0"/>
            </w:pPr>
            <w:r w:rsidRPr="00381FC2">
              <w:t>9 540 € ročne od 2025, viď nižšie.</w:t>
            </w:r>
          </w:p>
        </w:tc>
      </w:tr>
      <w:tr w:rsidR="005301E3" w:rsidRPr="00381FC2" w:rsidTr="00DE41A6">
        <w:tc>
          <w:tcPr>
            <w:tcW w:w="1786" w:type="dxa"/>
            <w:vAlign w:val="center"/>
          </w:tcPr>
          <w:p w:rsidR="005301E3" w:rsidRPr="00381FC2" w:rsidRDefault="005301E3" w:rsidP="00DE41A6">
            <w:pPr>
              <w:autoSpaceDE w:val="0"/>
              <w:autoSpaceDN w:val="0"/>
            </w:pPr>
            <w:r w:rsidRPr="00381FC2">
              <w:t>Iné jednorazové náklady na zamestnancov</w:t>
            </w:r>
          </w:p>
        </w:tc>
        <w:tc>
          <w:tcPr>
            <w:tcW w:w="1514" w:type="dxa"/>
            <w:shd w:val="clear" w:color="auto" w:fill="auto"/>
            <w:vAlign w:val="center"/>
          </w:tcPr>
          <w:p w:rsidR="005301E3" w:rsidRPr="00381FC2" w:rsidRDefault="005301E3" w:rsidP="00DE41A6">
            <w:pPr>
              <w:autoSpaceDE w:val="0"/>
              <w:autoSpaceDN w:val="0"/>
            </w:pPr>
            <w:r w:rsidRPr="00381FC2">
              <w:t xml:space="preserve">27 300 € </w:t>
            </w:r>
          </w:p>
        </w:tc>
        <w:tc>
          <w:tcPr>
            <w:tcW w:w="1380" w:type="dxa"/>
            <w:shd w:val="clear" w:color="auto" w:fill="auto"/>
            <w:vAlign w:val="center"/>
          </w:tcPr>
          <w:p w:rsidR="005301E3" w:rsidRPr="00381FC2" w:rsidRDefault="005301E3" w:rsidP="00DE41A6">
            <w:pPr>
              <w:autoSpaceDE w:val="0"/>
              <w:autoSpaceDN w:val="0"/>
            </w:pPr>
            <w:r w:rsidRPr="00381FC2">
              <w:t xml:space="preserve">43 680 € </w:t>
            </w:r>
          </w:p>
        </w:tc>
        <w:tc>
          <w:tcPr>
            <w:tcW w:w="1513" w:type="dxa"/>
            <w:shd w:val="clear" w:color="auto" w:fill="auto"/>
            <w:vAlign w:val="center"/>
          </w:tcPr>
          <w:p w:rsidR="005301E3" w:rsidRPr="00381FC2" w:rsidRDefault="005301E3" w:rsidP="00DE41A6">
            <w:pPr>
              <w:autoSpaceDE w:val="0"/>
              <w:autoSpaceDN w:val="0"/>
            </w:pPr>
            <w:r w:rsidRPr="00381FC2">
              <w:t xml:space="preserve">46 410 € </w:t>
            </w:r>
          </w:p>
        </w:tc>
        <w:tc>
          <w:tcPr>
            <w:tcW w:w="1646" w:type="dxa"/>
            <w:shd w:val="clear" w:color="auto" w:fill="auto"/>
            <w:vAlign w:val="center"/>
          </w:tcPr>
          <w:p w:rsidR="005301E3" w:rsidRPr="00381FC2" w:rsidRDefault="005301E3" w:rsidP="00DE41A6">
            <w:pPr>
              <w:autoSpaceDE w:val="0"/>
              <w:autoSpaceDN w:val="0"/>
            </w:pPr>
            <w:r w:rsidRPr="00381FC2">
              <w:t xml:space="preserve">46 410 € </w:t>
            </w:r>
          </w:p>
        </w:tc>
        <w:tc>
          <w:tcPr>
            <w:tcW w:w="1221" w:type="dxa"/>
            <w:shd w:val="clear" w:color="auto" w:fill="auto"/>
            <w:vAlign w:val="center"/>
          </w:tcPr>
          <w:p w:rsidR="005301E3" w:rsidRPr="00381FC2" w:rsidRDefault="005301E3" w:rsidP="00DE41A6">
            <w:pPr>
              <w:autoSpaceDE w:val="0"/>
              <w:autoSpaceDN w:val="0"/>
            </w:pPr>
            <w:r w:rsidRPr="00381FC2">
              <w:t>2 730 €, viď nižšie.</w:t>
            </w:r>
          </w:p>
        </w:tc>
      </w:tr>
      <w:tr w:rsidR="005301E3" w:rsidRPr="00381FC2" w:rsidTr="00DE41A6">
        <w:tc>
          <w:tcPr>
            <w:tcW w:w="1786" w:type="dxa"/>
            <w:vAlign w:val="center"/>
          </w:tcPr>
          <w:p w:rsidR="005301E3" w:rsidRPr="00381FC2" w:rsidRDefault="005301E3" w:rsidP="00DE41A6">
            <w:pPr>
              <w:autoSpaceDE w:val="0"/>
              <w:autoSpaceDN w:val="0"/>
            </w:pPr>
            <w:r w:rsidRPr="00381FC2">
              <w:t>Ostatné jednorazové náklady</w:t>
            </w:r>
          </w:p>
        </w:tc>
        <w:tc>
          <w:tcPr>
            <w:tcW w:w="1514" w:type="dxa"/>
            <w:shd w:val="clear" w:color="auto" w:fill="auto"/>
            <w:vAlign w:val="center"/>
          </w:tcPr>
          <w:p w:rsidR="005301E3" w:rsidRPr="00381FC2" w:rsidRDefault="005301E3" w:rsidP="00DE41A6">
            <w:pPr>
              <w:autoSpaceDE w:val="0"/>
              <w:autoSpaceDN w:val="0"/>
            </w:pPr>
            <w:r w:rsidRPr="00381FC2">
              <w:t xml:space="preserve">69 000 € </w:t>
            </w:r>
          </w:p>
        </w:tc>
        <w:tc>
          <w:tcPr>
            <w:tcW w:w="1380" w:type="dxa"/>
            <w:shd w:val="clear" w:color="auto" w:fill="auto"/>
            <w:vAlign w:val="center"/>
          </w:tcPr>
          <w:p w:rsidR="005301E3" w:rsidRPr="00381FC2" w:rsidRDefault="005301E3" w:rsidP="00DE41A6">
            <w:pPr>
              <w:autoSpaceDE w:val="0"/>
              <w:autoSpaceDN w:val="0"/>
            </w:pPr>
            <w:r w:rsidRPr="00381FC2">
              <w:t xml:space="preserve">-   € </w:t>
            </w:r>
          </w:p>
        </w:tc>
        <w:tc>
          <w:tcPr>
            <w:tcW w:w="1513" w:type="dxa"/>
            <w:shd w:val="clear" w:color="auto" w:fill="auto"/>
            <w:vAlign w:val="center"/>
          </w:tcPr>
          <w:p w:rsidR="005301E3" w:rsidRPr="00381FC2" w:rsidRDefault="005301E3" w:rsidP="00DE41A6">
            <w:pPr>
              <w:autoSpaceDE w:val="0"/>
              <w:autoSpaceDN w:val="0"/>
            </w:pPr>
            <w:r w:rsidRPr="00381FC2">
              <w:t xml:space="preserve">-   € </w:t>
            </w:r>
          </w:p>
        </w:tc>
        <w:tc>
          <w:tcPr>
            <w:tcW w:w="1646" w:type="dxa"/>
            <w:shd w:val="clear" w:color="auto" w:fill="auto"/>
            <w:vAlign w:val="center"/>
          </w:tcPr>
          <w:p w:rsidR="005301E3" w:rsidRPr="00381FC2" w:rsidRDefault="005301E3" w:rsidP="00DE41A6">
            <w:pPr>
              <w:autoSpaceDE w:val="0"/>
              <w:autoSpaceDN w:val="0"/>
            </w:pPr>
            <w:r w:rsidRPr="00381FC2">
              <w:t xml:space="preserve">-   € </w:t>
            </w:r>
          </w:p>
        </w:tc>
        <w:tc>
          <w:tcPr>
            <w:tcW w:w="1221" w:type="dxa"/>
            <w:shd w:val="clear" w:color="auto" w:fill="auto"/>
            <w:vAlign w:val="center"/>
          </w:tcPr>
          <w:p w:rsidR="005301E3" w:rsidRPr="00381FC2" w:rsidRDefault="005301E3" w:rsidP="00DE41A6">
            <w:pPr>
              <w:autoSpaceDE w:val="0"/>
              <w:autoSpaceDN w:val="0"/>
            </w:pPr>
            <w:r w:rsidRPr="00381FC2">
              <w:t>viď nižšie.</w:t>
            </w:r>
          </w:p>
        </w:tc>
      </w:tr>
      <w:tr w:rsidR="005301E3" w:rsidRPr="00381FC2" w:rsidTr="00DE41A6">
        <w:tc>
          <w:tcPr>
            <w:tcW w:w="1786" w:type="dxa"/>
            <w:shd w:val="clear" w:color="auto" w:fill="BFBFBF" w:themeFill="background1" w:themeFillShade="BF"/>
            <w:vAlign w:val="center"/>
          </w:tcPr>
          <w:p w:rsidR="005301E3" w:rsidRPr="00381FC2" w:rsidRDefault="005301E3" w:rsidP="00DE41A6">
            <w:pPr>
              <w:autoSpaceDE w:val="0"/>
              <w:autoSpaceDN w:val="0"/>
              <w:jc w:val="center"/>
              <w:rPr>
                <w:b/>
                <w:bCs/>
              </w:rPr>
            </w:pPr>
            <w:r w:rsidRPr="00381FC2">
              <w:rPr>
                <w:b/>
                <w:bCs/>
              </w:rPr>
              <w:t>Spolu</w:t>
            </w:r>
          </w:p>
        </w:tc>
        <w:tc>
          <w:tcPr>
            <w:tcW w:w="1514" w:type="dxa"/>
            <w:shd w:val="clear" w:color="auto" w:fill="auto"/>
          </w:tcPr>
          <w:p w:rsidR="005301E3" w:rsidRPr="00381FC2" w:rsidRDefault="005301E3" w:rsidP="00DE41A6">
            <w:pPr>
              <w:autoSpaceDE w:val="0"/>
              <w:autoSpaceDN w:val="0"/>
              <w:jc w:val="center"/>
              <w:rPr>
                <w:b/>
              </w:rPr>
            </w:pPr>
            <w:r w:rsidRPr="00381FC2">
              <w:rPr>
                <w:b/>
              </w:rPr>
              <w:t>413 030 €</w:t>
            </w:r>
          </w:p>
        </w:tc>
        <w:tc>
          <w:tcPr>
            <w:tcW w:w="1380" w:type="dxa"/>
            <w:shd w:val="clear" w:color="auto" w:fill="auto"/>
          </w:tcPr>
          <w:p w:rsidR="005301E3" w:rsidRPr="00381FC2" w:rsidRDefault="005301E3" w:rsidP="00DE41A6">
            <w:pPr>
              <w:autoSpaceDE w:val="0"/>
              <w:autoSpaceDN w:val="0"/>
              <w:jc w:val="center"/>
              <w:rPr>
                <w:b/>
              </w:rPr>
            </w:pPr>
            <w:r w:rsidRPr="00381FC2">
              <w:rPr>
                <w:b/>
              </w:rPr>
              <w:t>1 621 169 €</w:t>
            </w:r>
          </w:p>
        </w:tc>
        <w:tc>
          <w:tcPr>
            <w:tcW w:w="1513" w:type="dxa"/>
            <w:shd w:val="clear" w:color="auto" w:fill="auto"/>
          </w:tcPr>
          <w:p w:rsidR="005301E3" w:rsidRPr="00381FC2" w:rsidRDefault="005301E3" w:rsidP="00DE41A6">
            <w:pPr>
              <w:autoSpaceDE w:val="0"/>
              <w:autoSpaceDN w:val="0"/>
              <w:jc w:val="center"/>
              <w:rPr>
                <w:b/>
              </w:rPr>
            </w:pPr>
            <w:r w:rsidRPr="00381FC2">
              <w:rPr>
                <w:b/>
              </w:rPr>
              <w:t>2 461 939 €</w:t>
            </w:r>
          </w:p>
        </w:tc>
        <w:tc>
          <w:tcPr>
            <w:tcW w:w="1646" w:type="dxa"/>
            <w:shd w:val="clear" w:color="auto" w:fill="auto"/>
          </w:tcPr>
          <w:p w:rsidR="005301E3" w:rsidRPr="00381FC2" w:rsidRDefault="005301E3" w:rsidP="00DE41A6">
            <w:pPr>
              <w:autoSpaceDE w:val="0"/>
              <w:autoSpaceDN w:val="0"/>
              <w:jc w:val="center"/>
              <w:rPr>
                <w:b/>
              </w:rPr>
            </w:pPr>
            <w:r w:rsidRPr="00381FC2">
              <w:rPr>
                <w:b/>
              </w:rPr>
              <w:t>2 461 939 €</w:t>
            </w:r>
          </w:p>
        </w:tc>
        <w:tc>
          <w:tcPr>
            <w:tcW w:w="1221" w:type="dxa"/>
            <w:shd w:val="clear" w:color="auto" w:fill="auto"/>
            <w:vAlign w:val="center"/>
          </w:tcPr>
          <w:p w:rsidR="005301E3" w:rsidRPr="00381FC2" w:rsidRDefault="005301E3" w:rsidP="00DE41A6">
            <w:pPr>
              <w:autoSpaceDE w:val="0"/>
              <w:autoSpaceDN w:val="0"/>
              <w:jc w:val="center"/>
              <w:rPr>
                <w:b/>
                <w:bCs/>
              </w:rPr>
            </w:pPr>
          </w:p>
        </w:tc>
      </w:tr>
    </w:tbl>
    <w:p w:rsidR="005301E3" w:rsidRPr="00381FC2" w:rsidRDefault="005301E3" w:rsidP="005301E3">
      <w:pPr>
        <w:rPr>
          <w:i/>
        </w:rPr>
      </w:pPr>
      <w:r w:rsidRPr="00381FC2">
        <w:rPr>
          <w:i/>
        </w:rPr>
        <w:t>Zdroj: Rada pre mediálne služby, 2024</w:t>
      </w:r>
    </w:p>
    <w:p w:rsidR="005301E3" w:rsidRDefault="005301E3" w:rsidP="005301E3">
      <w:pPr>
        <w:jc w:val="both"/>
      </w:pPr>
      <w:r w:rsidRPr="00381FC2">
        <w:t>* Náklady na nájom a prevádzku boli odhadnuté na základe súčasných nákladov RMS, aktualizovaných k februáru 2024. Priemerné ročné náklady na jedného zamestnanca sú vo výške 3 865,7 €.</w:t>
      </w:r>
    </w:p>
    <w:p w:rsidR="005301E3" w:rsidRPr="00381FC2" w:rsidRDefault="005301E3" w:rsidP="005301E3">
      <w:pPr>
        <w:jc w:val="both"/>
      </w:pPr>
    </w:p>
    <w:tbl>
      <w:tblPr>
        <w:tblW w:w="8931" w:type="dxa"/>
        <w:tblInd w:w="-5" w:type="dxa"/>
        <w:tblCellMar>
          <w:left w:w="70" w:type="dxa"/>
          <w:right w:w="70" w:type="dxa"/>
        </w:tblCellMar>
        <w:tblLook w:val="04A0" w:firstRow="1" w:lastRow="0" w:firstColumn="1" w:lastColumn="0" w:noHBand="0" w:noVBand="1"/>
      </w:tblPr>
      <w:tblGrid>
        <w:gridCol w:w="4600"/>
        <w:gridCol w:w="4331"/>
      </w:tblGrid>
      <w:tr w:rsidR="005301E3" w:rsidTr="00DE41A6">
        <w:trPr>
          <w:trHeight w:val="615"/>
        </w:trPr>
        <w:tc>
          <w:tcPr>
            <w:tcW w:w="4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5301E3" w:rsidRDefault="005301E3" w:rsidP="00DE41A6">
            <w:pPr>
              <w:rPr>
                <w:sz w:val="20"/>
                <w:szCs w:val="20"/>
              </w:rPr>
            </w:pPr>
            <w:r>
              <w:rPr>
                <w:sz w:val="20"/>
                <w:szCs w:val="20"/>
              </w:rPr>
              <w:t> </w:t>
            </w:r>
          </w:p>
        </w:tc>
        <w:tc>
          <w:tcPr>
            <w:tcW w:w="433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5301E3" w:rsidRDefault="005301E3" w:rsidP="00DE41A6">
            <w:pPr>
              <w:rPr>
                <w:sz w:val="20"/>
                <w:szCs w:val="20"/>
              </w:rPr>
            </w:pPr>
            <w:r>
              <w:rPr>
                <w:sz w:val="20"/>
                <w:szCs w:val="20"/>
              </w:rPr>
              <w:t>Iné ročné náklady na jedného zamestnanca pre rok 2024</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 xml:space="preserve">631001 - cestovné náklady zahraničné </w:t>
            </w:r>
          </w:p>
        </w:tc>
        <w:tc>
          <w:tcPr>
            <w:tcW w:w="4331" w:type="dxa"/>
            <w:tcBorders>
              <w:top w:val="nil"/>
              <w:left w:val="nil"/>
              <w:bottom w:val="single" w:sz="4" w:space="0" w:color="auto"/>
              <w:right w:val="single" w:sz="4" w:space="0" w:color="auto"/>
            </w:tcBorders>
            <w:shd w:val="clear" w:color="auto" w:fill="FFFFFF"/>
            <w:vAlign w:val="bottom"/>
            <w:hideMark/>
          </w:tcPr>
          <w:p w:rsidR="005301E3" w:rsidRPr="00381FC2" w:rsidRDefault="005301E3" w:rsidP="00DE41A6">
            <w:pPr>
              <w:jc w:val="right"/>
              <w:rPr>
                <w:sz w:val="20"/>
                <w:szCs w:val="20"/>
              </w:rPr>
            </w:pPr>
            <w:r w:rsidRPr="00381FC2">
              <w:rPr>
                <w:sz w:val="20"/>
                <w:szCs w:val="20"/>
              </w:rPr>
              <w:t>10 000,00 €</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632003 - poštové služby</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                                                                    60,00 € </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632005 - telekomunikačné služby</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                                                                  180,00 € </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633006 - všeobecný materiál</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                                                                  150,00 € </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 xml:space="preserve">633013 - softvér </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                                                                  600,00 € </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635002 - údržba výpočtovej techniky</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                                                                  400,00 € </w:t>
            </w:r>
          </w:p>
        </w:tc>
      </w:tr>
      <w:tr w:rsidR="005301E3" w:rsidRPr="00381FC2" w:rsidTr="00DE41A6">
        <w:trPr>
          <w:trHeight w:val="9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637001 - školenia, kurzy, semináre, porady, konferencie, sympóziá (interné školenia zamestnancov- výška určená podľa odporúčania MIRRI SR)</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1 250,00 € </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637004 - všeobecné služby (ostatné)</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                                                         1 020,00 € </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637014 - stravovanie</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                                                                  660,00 € </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637016 - prídel do sociálneho fondu</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                                                                  220,00 € </w:t>
            </w:r>
          </w:p>
        </w:tc>
      </w:tr>
      <w:tr w:rsidR="005301E3" w:rsidRPr="00381FC2" w:rsidTr="00DE41A6">
        <w:trPr>
          <w:trHeight w:val="304"/>
        </w:trPr>
        <w:tc>
          <w:tcPr>
            <w:tcW w:w="46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5301E3" w:rsidRPr="00381FC2" w:rsidRDefault="005301E3" w:rsidP="00DE41A6">
            <w:pPr>
              <w:rPr>
                <w:sz w:val="20"/>
                <w:szCs w:val="20"/>
              </w:rPr>
            </w:pPr>
            <w:r w:rsidRPr="00381FC2">
              <w:rPr>
                <w:sz w:val="20"/>
                <w:szCs w:val="20"/>
              </w:rPr>
              <w:t>Spolu</w:t>
            </w:r>
          </w:p>
        </w:tc>
        <w:tc>
          <w:tcPr>
            <w:tcW w:w="4331" w:type="dxa"/>
            <w:tcBorders>
              <w:top w:val="nil"/>
              <w:left w:val="nil"/>
              <w:bottom w:val="single" w:sz="4" w:space="0" w:color="auto"/>
              <w:right w:val="single" w:sz="4" w:space="0" w:color="auto"/>
            </w:tcBorders>
            <w:shd w:val="clear" w:color="auto" w:fill="D9D9D9" w:themeFill="background1" w:themeFillShade="D9"/>
            <w:vAlign w:val="bottom"/>
            <w:hideMark/>
          </w:tcPr>
          <w:p w:rsidR="005301E3" w:rsidRPr="00381FC2" w:rsidRDefault="005301E3" w:rsidP="00DE41A6">
            <w:pPr>
              <w:jc w:val="right"/>
              <w:rPr>
                <w:sz w:val="20"/>
                <w:szCs w:val="20"/>
              </w:rPr>
            </w:pPr>
            <w:r w:rsidRPr="00381FC2">
              <w:rPr>
                <w:sz w:val="20"/>
                <w:szCs w:val="20"/>
              </w:rPr>
              <w:t>14 540,00 €</w:t>
            </w:r>
          </w:p>
        </w:tc>
      </w:tr>
    </w:tbl>
    <w:p w:rsidR="005301E3" w:rsidRPr="00381FC2" w:rsidRDefault="005301E3" w:rsidP="005301E3">
      <w:pPr>
        <w:rPr>
          <w:i/>
        </w:rPr>
      </w:pPr>
      <w:r w:rsidRPr="00381FC2">
        <w:rPr>
          <w:i/>
        </w:rPr>
        <w:lastRenderedPageBreak/>
        <w:t>Zdroj: Rada pre mediálne služby, 2024</w:t>
      </w:r>
    </w:p>
    <w:tbl>
      <w:tblPr>
        <w:tblW w:w="8931" w:type="dxa"/>
        <w:tblInd w:w="-5" w:type="dxa"/>
        <w:tblCellMar>
          <w:left w:w="70" w:type="dxa"/>
          <w:right w:w="70" w:type="dxa"/>
        </w:tblCellMar>
        <w:tblLook w:val="04A0" w:firstRow="1" w:lastRow="0" w:firstColumn="1" w:lastColumn="0" w:noHBand="0" w:noVBand="1"/>
      </w:tblPr>
      <w:tblGrid>
        <w:gridCol w:w="4600"/>
        <w:gridCol w:w="4331"/>
      </w:tblGrid>
      <w:tr w:rsidR="005301E3" w:rsidRPr="00381FC2" w:rsidTr="00DE41A6">
        <w:trPr>
          <w:trHeight w:val="615"/>
        </w:trPr>
        <w:tc>
          <w:tcPr>
            <w:tcW w:w="4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5301E3" w:rsidRPr="00381FC2" w:rsidRDefault="005301E3" w:rsidP="00DE41A6">
            <w:pPr>
              <w:rPr>
                <w:sz w:val="20"/>
                <w:szCs w:val="20"/>
              </w:rPr>
            </w:pPr>
            <w:r w:rsidRPr="00381FC2">
              <w:rPr>
                <w:sz w:val="20"/>
                <w:szCs w:val="20"/>
              </w:rPr>
              <w:t> </w:t>
            </w:r>
          </w:p>
        </w:tc>
        <w:tc>
          <w:tcPr>
            <w:tcW w:w="433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5301E3" w:rsidRPr="00381FC2" w:rsidRDefault="005301E3" w:rsidP="00DE41A6">
            <w:pPr>
              <w:rPr>
                <w:sz w:val="20"/>
                <w:szCs w:val="20"/>
              </w:rPr>
            </w:pPr>
            <w:r w:rsidRPr="00381FC2">
              <w:rPr>
                <w:sz w:val="20"/>
                <w:szCs w:val="20"/>
              </w:rPr>
              <w:t>Iné ročné náklady na jedného zamestnanca od roku 2025</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 xml:space="preserve">631001 - cestovné náklady zahraničné </w:t>
            </w:r>
          </w:p>
        </w:tc>
        <w:tc>
          <w:tcPr>
            <w:tcW w:w="4331" w:type="dxa"/>
            <w:tcBorders>
              <w:top w:val="nil"/>
              <w:left w:val="nil"/>
              <w:bottom w:val="single" w:sz="4" w:space="0" w:color="auto"/>
              <w:right w:val="single" w:sz="4" w:space="0" w:color="auto"/>
            </w:tcBorders>
            <w:shd w:val="clear" w:color="auto" w:fill="FFFFFF"/>
            <w:vAlign w:val="bottom"/>
            <w:hideMark/>
          </w:tcPr>
          <w:p w:rsidR="005301E3" w:rsidRPr="00381FC2" w:rsidRDefault="005301E3" w:rsidP="00DE41A6">
            <w:pPr>
              <w:jc w:val="right"/>
              <w:rPr>
                <w:sz w:val="20"/>
                <w:szCs w:val="20"/>
              </w:rPr>
            </w:pPr>
            <w:r w:rsidRPr="00381FC2">
              <w:rPr>
                <w:sz w:val="20"/>
                <w:szCs w:val="20"/>
              </w:rPr>
              <w:t>5 000,00 €</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632003 - poštové služby</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                                                                    60,00 € </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632005 - telekomunikačné služby</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                                                                  180,00 € </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633006 - všeobecný materiál</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                                                                  150,00 € </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 xml:space="preserve">633013 - softvér </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                                                                  600,00 € </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635002 - údržba výpočtovej techniky</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                                                                  400,00 € </w:t>
            </w:r>
          </w:p>
        </w:tc>
      </w:tr>
      <w:tr w:rsidR="005301E3" w:rsidRPr="00381FC2" w:rsidTr="00DE41A6">
        <w:trPr>
          <w:trHeight w:val="9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637001 - školenia, kurzy, semináre, porady, konferencie, sympóziá (interné školenia zamestnancov - výška určená podľa odporúčania MIRRI SR)</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1 250,00 € </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637004 - všeobecné služby (ostatné)</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                                                         1 020,00 € </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637014 - stravovanie</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                                                                  660,00 € </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637016 - prídel do sociálneho fondu</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                                                                  220,00 € </w:t>
            </w:r>
          </w:p>
        </w:tc>
      </w:tr>
      <w:tr w:rsidR="005301E3" w:rsidRPr="00381FC2" w:rsidTr="00DE41A6">
        <w:trPr>
          <w:trHeight w:val="304"/>
        </w:trPr>
        <w:tc>
          <w:tcPr>
            <w:tcW w:w="46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5301E3" w:rsidRPr="00381FC2" w:rsidRDefault="005301E3" w:rsidP="00DE41A6">
            <w:pPr>
              <w:rPr>
                <w:sz w:val="20"/>
                <w:szCs w:val="20"/>
              </w:rPr>
            </w:pPr>
            <w:r w:rsidRPr="00381FC2">
              <w:rPr>
                <w:sz w:val="20"/>
                <w:szCs w:val="20"/>
              </w:rPr>
              <w:t>Spolu</w:t>
            </w:r>
          </w:p>
        </w:tc>
        <w:tc>
          <w:tcPr>
            <w:tcW w:w="4331" w:type="dxa"/>
            <w:tcBorders>
              <w:top w:val="nil"/>
              <w:left w:val="nil"/>
              <w:bottom w:val="single" w:sz="4" w:space="0" w:color="auto"/>
              <w:right w:val="single" w:sz="4" w:space="0" w:color="auto"/>
            </w:tcBorders>
            <w:shd w:val="clear" w:color="auto" w:fill="D9D9D9" w:themeFill="background1" w:themeFillShade="D9"/>
            <w:vAlign w:val="bottom"/>
            <w:hideMark/>
          </w:tcPr>
          <w:p w:rsidR="005301E3" w:rsidRPr="00381FC2" w:rsidRDefault="005301E3" w:rsidP="00DE41A6">
            <w:pPr>
              <w:jc w:val="right"/>
              <w:rPr>
                <w:sz w:val="20"/>
                <w:szCs w:val="20"/>
              </w:rPr>
            </w:pPr>
            <w:r w:rsidRPr="00381FC2">
              <w:rPr>
                <w:sz w:val="20"/>
                <w:szCs w:val="20"/>
              </w:rPr>
              <w:t>9 540,00 €</w:t>
            </w:r>
          </w:p>
        </w:tc>
      </w:tr>
    </w:tbl>
    <w:p w:rsidR="005301E3" w:rsidRPr="00381FC2" w:rsidRDefault="005301E3" w:rsidP="005301E3">
      <w:pPr>
        <w:rPr>
          <w:rFonts w:eastAsia="Calibri"/>
          <w:i/>
        </w:rPr>
      </w:pPr>
      <w:r w:rsidRPr="00381FC2">
        <w:rPr>
          <w:i/>
        </w:rPr>
        <w:t>Zdroj: Rada pre mediálne služby, 2024</w:t>
      </w:r>
    </w:p>
    <w:tbl>
      <w:tblPr>
        <w:tblW w:w="8931" w:type="dxa"/>
        <w:tblInd w:w="-5" w:type="dxa"/>
        <w:tblCellMar>
          <w:left w:w="70" w:type="dxa"/>
          <w:right w:w="70" w:type="dxa"/>
        </w:tblCellMar>
        <w:tblLook w:val="04A0" w:firstRow="1" w:lastRow="0" w:firstColumn="1" w:lastColumn="0" w:noHBand="0" w:noVBand="1"/>
      </w:tblPr>
      <w:tblGrid>
        <w:gridCol w:w="4600"/>
        <w:gridCol w:w="4331"/>
      </w:tblGrid>
      <w:tr w:rsidR="005301E3" w:rsidRPr="00381FC2" w:rsidTr="00DE41A6">
        <w:trPr>
          <w:trHeight w:val="615"/>
        </w:trPr>
        <w:tc>
          <w:tcPr>
            <w:tcW w:w="4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5301E3" w:rsidRPr="00381FC2" w:rsidRDefault="005301E3" w:rsidP="00DE41A6">
            <w:pPr>
              <w:rPr>
                <w:sz w:val="20"/>
                <w:szCs w:val="20"/>
              </w:rPr>
            </w:pPr>
            <w:r w:rsidRPr="00381FC2">
              <w:rPr>
                <w:sz w:val="20"/>
                <w:szCs w:val="20"/>
              </w:rPr>
              <w:t> </w:t>
            </w:r>
          </w:p>
        </w:tc>
        <w:tc>
          <w:tcPr>
            <w:tcW w:w="433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5301E3" w:rsidRPr="00381FC2" w:rsidRDefault="005301E3" w:rsidP="00DE41A6">
            <w:pPr>
              <w:rPr>
                <w:sz w:val="20"/>
                <w:szCs w:val="20"/>
              </w:rPr>
            </w:pPr>
            <w:r w:rsidRPr="00381FC2">
              <w:rPr>
                <w:sz w:val="20"/>
                <w:szCs w:val="20"/>
              </w:rPr>
              <w:t>Iné jednorazové náklady na jedného zamestnanca</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 xml:space="preserve">633001 - interiérové vybavenie </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1 000,00 € </w:t>
            </w:r>
          </w:p>
        </w:tc>
      </w:tr>
      <w:tr w:rsidR="005301E3" w:rsidRPr="00381FC2" w:rsidTr="00DE41A6">
        <w:trPr>
          <w:trHeight w:val="3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 xml:space="preserve">633002 - výpočtová technika </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1 600,00 € </w:t>
            </w:r>
          </w:p>
        </w:tc>
      </w:tr>
      <w:tr w:rsidR="005301E3" w:rsidRPr="00381FC2" w:rsidTr="00DE41A6">
        <w:trPr>
          <w:trHeight w:val="615"/>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633003 - telekomunikačná tech. - telefónny aparát (pevná linka)</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 xml:space="preserve">                                                                  130,00 € </w:t>
            </w:r>
          </w:p>
        </w:tc>
      </w:tr>
      <w:tr w:rsidR="005301E3" w:rsidRPr="00381FC2" w:rsidTr="00DE41A6">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5301E3" w:rsidRPr="00381FC2" w:rsidRDefault="005301E3" w:rsidP="00DE41A6">
            <w:pPr>
              <w:rPr>
                <w:sz w:val="20"/>
                <w:szCs w:val="20"/>
              </w:rPr>
            </w:pPr>
            <w:r w:rsidRPr="00381FC2">
              <w:rPr>
                <w:sz w:val="20"/>
                <w:szCs w:val="20"/>
              </w:rPr>
              <w:t>Spolu</w:t>
            </w:r>
          </w:p>
        </w:tc>
        <w:tc>
          <w:tcPr>
            <w:tcW w:w="43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5301E3" w:rsidRPr="00381FC2" w:rsidRDefault="005301E3" w:rsidP="00DE41A6">
            <w:pPr>
              <w:jc w:val="right"/>
              <w:rPr>
                <w:sz w:val="20"/>
                <w:szCs w:val="20"/>
              </w:rPr>
            </w:pPr>
            <w:r w:rsidRPr="00381FC2">
              <w:rPr>
                <w:sz w:val="20"/>
                <w:szCs w:val="20"/>
              </w:rPr>
              <w:t xml:space="preserve">2 730,00 € </w:t>
            </w:r>
          </w:p>
        </w:tc>
      </w:tr>
    </w:tbl>
    <w:p w:rsidR="005301E3" w:rsidRPr="00381FC2" w:rsidRDefault="005301E3" w:rsidP="005301E3">
      <w:pPr>
        <w:rPr>
          <w:i/>
        </w:rPr>
      </w:pPr>
      <w:r w:rsidRPr="00381FC2">
        <w:rPr>
          <w:i/>
        </w:rPr>
        <w:t>Zdroj: Rada pre mediálne služby, 2024</w:t>
      </w:r>
    </w:p>
    <w:tbl>
      <w:tblPr>
        <w:tblW w:w="8931" w:type="dxa"/>
        <w:tblInd w:w="-5" w:type="dxa"/>
        <w:tblCellMar>
          <w:left w:w="70" w:type="dxa"/>
          <w:right w:w="70" w:type="dxa"/>
        </w:tblCellMar>
        <w:tblLook w:val="04A0" w:firstRow="1" w:lastRow="0" w:firstColumn="1" w:lastColumn="0" w:noHBand="0" w:noVBand="1"/>
      </w:tblPr>
      <w:tblGrid>
        <w:gridCol w:w="4600"/>
        <w:gridCol w:w="4331"/>
      </w:tblGrid>
      <w:tr w:rsidR="005301E3" w:rsidRPr="00381FC2" w:rsidTr="00DE41A6">
        <w:trPr>
          <w:trHeight w:val="300"/>
        </w:trPr>
        <w:tc>
          <w:tcPr>
            <w:tcW w:w="4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5301E3" w:rsidRPr="00381FC2" w:rsidRDefault="005301E3" w:rsidP="00DE41A6">
            <w:pPr>
              <w:rPr>
                <w:sz w:val="20"/>
                <w:szCs w:val="20"/>
              </w:rPr>
            </w:pPr>
            <w:r w:rsidRPr="00381FC2">
              <w:rPr>
                <w:sz w:val="20"/>
                <w:szCs w:val="20"/>
              </w:rPr>
              <w:t> </w:t>
            </w:r>
          </w:p>
        </w:tc>
        <w:tc>
          <w:tcPr>
            <w:tcW w:w="433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5301E3" w:rsidRPr="00381FC2" w:rsidRDefault="005301E3" w:rsidP="00DE41A6">
            <w:pPr>
              <w:rPr>
                <w:sz w:val="20"/>
                <w:szCs w:val="20"/>
              </w:rPr>
            </w:pPr>
            <w:r w:rsidRPr="00381FC2">
              <w:rPr>
                <w:sz w:val="20"/>
                <w:szCs w:val="20"/>
              </w:rPr>
              <w:t>Ostatné jednorazové náklady</w:t>
            </w:r>
          </w:p>
        </w:tc>
      </w:tr>
      <w:tr w:rsidR="005301E3" w:rsidRPr="00381FC2" w:rsidTr="00DE41A6">
        <w:trPr>
          <w:trHeight w:val="452"/>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 xml:space="preserve">637001 - školenia, kurzy, semináre, porady, konferencie, sympóziá (náklady na organizovanie podujatí) </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15 000,00 €</w:t>
            </w:r>
          </w:p>
        </w:tc>
      </w:tr>
      <w:tr w:rsidR="005301E3" w:rsidRPr="00381FC2" w:rsidTr="00DE41A6">
        <w:trPr>
          <w:trHeight w:val="600"/>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637004 - všeobecné služby (náklady na monitoring sociálnych médií)</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30 000,00 €</w:t>
            </w:r>
          </w:p>
        </w:tc>
      </w:tr>
      <w:tr w:rsidR="005301E3" w:rsidRPr="00381FC2" w:rsidTr="00DE41A6">
        <w:trPr>
          <w:trHeight w:val="70"/>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710 - obstaranie kapitálových aktív (rozšírenie dátového úložiska - SQL licencie)</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15 000,00 €</w:t>
            </w:r>
          </w:p>
        </w:tc>
      </w:tr>
      <w:tr w:rsidR="005301E3" w:rsidRPr="00381FC2" w:rsidTr="00DE41A6">
        <w:trPr>
          <w:trHeight w:val="374"/>
        </w:trPr>
        <w:tc>
          <w:tcPr>
            <w:tcW w:w="4600" w:type="dxa"/>
            <w:tcBorders>
              <w:top w:val="nil"/>
              <w:left w:val="single" w:sz="4" w:space="0" w:color="auto"/>
              <w:bottom w:val="single" w:sz="4" w:space="0" w:color="auto"/>
              <w:right w:val="single" w:sz="4" w:space="0" w:color="auto"/>
            </w:tcBorders>
            <w:vAlign w:val="bottom"/>
            <w:hideMark/>
          </w:tcPr>
          <w:p w:rsidR="005301E3" w:rsidRPr="00381FC2" w:rsidRDefault="005301E3" w:rsidP="00DE41A6">
            <w:pPr>
              <w:rPr>
                <w:sz w:val="20"/>
                <w:szCs w:val="20"/>
              </w:rPr>
            </w:pPr>
            <w:r w:rsidRPr="00381FC2">
              <w:rPr>
                <w:sz w:val="20"/>
                <w:szCs w:val="20"/>
              </w:rPr>
              <w:t>710 - obstaranie kapitálových aktív (veľkokapacitné multifunkčné kopírovacie zariadenie)</w:t>
            </w:r>
          </w:p>
        </w:tc>
        <w:tc>
          <w:tcPr>
            <w:tcW w:w="4331" w:type="dxa"/>
            <w:tcBorders>
              <w:top w:val="nil"/>
              <w:left w:val="nil"/>
              <w:bottom w:val="single" w:sz="4" w:space="0" w:color="auto"/>
              <w:right w:val="single" w:sz="4" w:space="0" w:color="auto"/>
            </w:tcBorders>
            <w:vAlign w:val="bottom"/>
            <w:hideMark/>
          </w:tcPr>
          <w:p w:rsidR="005301E3" w:rsidRPr="00381FC2" w:rsidRDefault="005301E3" w:rsidP="00DE41A6">
            <w:pPr>
              <w:jc w:val="right"/>
              <w:rPr>
                <w:sz w:val="20"/>
                <w:szCs w:val="20"/>
              </w:rPr>
            </w:pPr>
            <w:r w:rsidRPr="00381FC2">
              <w:rPr>
                <w:sz w:val="20"/>
                <w:szCs w:val="20"/>
              </w:rPr>
              <w:t>9 000,00 €</w:t>
            </w:r>
          </w:p>
        </w:tc>
      </w:tr>
      <w:tr w:rsidR="005301E3" w:rsidRPr="00381FC2" w:rsidTr="00DE41A6">
        <w:trPr>
          <w:trHeight w:val="300"/>
        </w:trPr>
        <w:tc>
          <w:tcPr>
            <w:tcW w:w="46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5301E3" w:rsidRPr="00381FC2" w:rsidRDefault="005301E3" w:rsidP="00DE41A6">
            <w:pPr>
              <w:rPr>
                <w:sz w:val="20"/>
                <w:szCs w:val="20"/>
              </w:rPr>
            </w:pPr>
            <w:r w:rsidRPr="00381FC2">
              <w:rPr>
                <w:sz w:val="20"/>
                <w:szCs w:val="20"/>
              </w:rPr>
              <w:t>Spolu</w:t>
            </w:r>
          </w:p>
        </w:tc>
        <w:tc>
          <w:tcPr>
            <w:tcW w:w="4331" w:type="dxa"/>
            <w:tcBorders>
              <w:top w:val="nil"/>
              <w:left w:val="nil"/>
              <w:bottom w:val="single" w:sz="4" w:space="0" w:color="auto"/>
              <w:right w:val="single" w:sz="4" w:space="0" w:color="auto"/>
            </w:tcBorders>
            <w:shd w:val="clear" w:color="auto" w:fill="D9D9D9" w:themeFill="background1" w:themeFillShade="D9"/>
            <w:vAlign w:val="bottom"/>
            <w:hideMark/>
          </w:tcPr>
          <w:p w:rsidR="005301E3" w:rsidRPr="00381FC2" w:rsidRDefault="005301E3" w:rsidP="00DE41A6">
            <w:pPr>
              <w:jc w:val="right"/>
              <w:rPr>
                <w:sz w:val="20"/>
                <w:szCs w:val="20"/>
              </w:rPr>
            </w:pPr>
            <w:r w:rsidRPr="00381FC2">
              <w:rPr>
                <w:sz w:val="20"/>
                <w:szCs w:val="20"/>
              </w:rPr>
              <w:t>69 000,00 €</w:t>
            </w:r>
          </w:p>
        </w:tc>
      </w:tr>
    </w:tbl>
    <w:p w:rsidR="005301E3" w:rsidRDefault="005301E3" w:rsidP="005301E3">
      <w:pPr>
        <w:rPr>
          <w:rFonts w:eastAsia="Calibri"/>
          <w:i/>
        </w:rPr>
      </w:pPr>
      <w:r>
        <w:rPr>
          <w:i/>
        </w:rPr>
        <w:t>Zdroj: Rada pre mediálne služby, 2024</w:t>
      </w:r>
    </w:p>
    <w:p w:rsidR="005301E3" w:rsidRDefault="005301E3" w:rsidP="005301E3">
      <w:pPr>
        <w:tabs>
          <w:tab w:val="num" w:pos="1080"/>
        </w:tabs>
        <w:jc w:val="both"/>
        <w:rPr>
          <w:bCs/>
          <w:szCs w:val="20"/>
        </w:rPr>
        <w:sectPr w:rsidR="005301E3" w:rsidSect="00DD40FA">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pPr>
    </w:p>
    <w:p w:rsidR="005301E3" w:rsidRPr="00B14AD5" w:rsidRDefault="005301E3" w:rsidP="005301E3">
      <w:pPr>
        <w:tabs>
          <w:tab w:val="num" w:pos="1080"/>
        </w:tabs>
        <w:jc w:val="right"/>
        <w:rPr>
          <w:bCs/>
        </w:rPr>
      </w:pPr>
      <w:r w:rsidRPr="00B14AD5">
        <w:rPr>
          <w:bCs/>
        </w:rPr>
        <w:lastRenderedPageBreak/>
        <w:t xml:space="preserve">Tabuľka č. 3 </w:t>
      </w:r>
    </w:p>
    <w:p w:rsidR="005301E3" w:rsidRPr="00B14AD5" w:rsidRDefault="005301E3" w:rsidP="005301E3">
      <w:pPr>
        <w:tabs>
          <w:tab w:val="num" w:pos="1080"/>
        </w:tabs>
        <w:jc w:val="both"/>
        <w:rPr>
          <w:bCs/>
          <w:szCs w:val="20"/>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5301E3" w:rsidRPr="00B14AD5" w:rsidTr="00DE41A6">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301E3" w:rsidRPr="00B14AD5" w:rsidRDefault="005301E3" w:rsidP="00DE41A6">
            <w:pPr>
              <w:jc w:val="center"/>
              <w:rPr>
                <w:b/>
                <w:bCs/>
              </w:rPr>
            </w:pPr>
            <w:r w:rsidRPr="00B14AD5">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301E3" w:rsidRPr="00B14AD5" w:rsidRDefault="005301E3" w:rsidP="00DE41A6">
            <w:pPr>
              <w:jc w:val="center"/>
              <w:rPr>
                <w:b/>
                <w:bCs/>
              </w:rPr>
            </w:pPr>
            <w:r w:rsidRPr="00B14AD5">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301E3" w:rsidRPr="00B14AD5" w:rsidRDefault="005301E3" w:rsidP="00DE41A6">
            <w:pPr>
              <w:jc w:val="center"/>
              <w:rPr>
                <w:b/>
                <w:bCs/>
              </w:rPr>
            </w:pPr>
            <w:r w:rsidRPr="00B14AD5">
              <w:rPr>
                <w:b/>
                <w:bCs/>
              </w:rPr>
              <w:t>poznámka</w:t>
            </w:r>
          </w:p>
        </w:tc>
      </w:tr>
      <w:tr w:rsidR="005301E3" w:rsidRPr="00B14AD5" w:rsidTr="00DE41A6">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5301E3" w:rsidRPr="00B14AD5" w:rsidRDefault="005301E3" w:rsidP="00DE41A6">
            <w:pPr>
              <w:rPr>
                <w:b/>
                <w:bCs/>
              </w:rPr>
            </w:pPr>
          </w:p>
        </w:tc>
        <w:tc>
          <w:tcPr>
            <w:tcW w:w="1500" w:type="dxa"/>
            <w:tcBorders>
              <w:top w:val="nil"/>
              <w:left w:val="nil"/>
              <w:bottom w:val="single" w:sz="4" w:space="0" w:color="auto"/>
              <w:right w:val="single" w:sz="4" w:space="0" w:color="auto"/>
            </w:tcBorders>
            <w:shd w:val="clear" w:color="auto" w:fill="BFBFBF" w:themeFill="background1" w:themeFillShade="BF"/>
          </w:tcPr>
          <w:p w:rsidR="005301E3" w:rsidRPr="00DE61E4" w:rsidRDefault="005301E3" w:rsidP="00DE41A6">
            <w:pPr>
              <w:jc w:val="center"/>
              <w:rPr>
                <w:b/>
                <w:bCs/>
                <w:sz w:val="20"/>
                <w:szCs w:val="20"/>
              </w:rPr>
            </w:pPr>
            <w:r>
              <w:rPr>
                <w:b/>
                <w:bCs/>
                <w:sz w:val="20"/>
                <w:szCs w:val="20"/>
              </w:rPr>
              <w:t>2024</w:t>
            </w:r>
          </w:p>
        </w:tc>
        <w:tc>
          <w:tcPr>
            <w:tcW w:w="1500" w:type="dxa"/>
            <w:tcBorders>
              <w:top w:val="nil"/>
              <w:left w:val="nil"/>
              <w:bottom w:val="single" w:sz="4" w:space="0" w:color="auto"/>
              <w:right w:val="single" w:sz="4" w:space="0" w:color="auto"/>
            </w:tcBorders>
            <w:shd w:val="clear" w:color="auto" w:fill="BFBFBF" w:themeFill="background1" w:themeFillShade="BF"/>
          </w:tcPr>
          <w:p w:rsidR="005301E3" w:rsidRPr="00DE61E4" w:rsidRDefault="005301E3" w:rsidP="00DE41A6">
            <w:pPr>
              <w:jc w:val="center"/>
              <w:rPr>
                <w:b/>
                <w:bCs/>
                <w:sz w:val="20"/>
                <w:szCs w:val="20"/>
              </w:rPr>
            </w:pPr>
            <w:r>
              <w:rPr>
                <w:b/>
                <w:bCs/>
                <w:sz w:val="20"/>
                <w:szCs w:val="20"/>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5301E3" w:rsidRPr="00DE61E4" w:rsidRDefault="005301E3" w:rsidP="00DE41A6">
            <w:pPr>
              <w:jc w:val="center"/>
              <w:rPr>
                <w:b/>
                <w:bCs/>
                <w:sz w:val="20"/>
                <w:szCs w:val="20"/>
              </w:rPr>
            </w:pPr>
            <w:r>
              <w:rPr>
                <w:b/>
                <w:bCs/>
                <w:sz w:val="20"/>
                <w:szCs w:val="20"/>
              </w:rPr>
              <w:t>2026</w:t>
            </w:r>
          </w:p>
        </w:tc>
        <w:tc>
          <w:tcPr>
            <w:tcW w:w="1500" w:type="dxa"/>
            <w:tcBorders>
              <w:top w:val="nil"/>
              <w:left w:val="nil"/>
              <w:bottom w:val="single" w:sz="4" w:space="0" w:color="auto"/>
              <w:right w:val="single" w:sz="4" w:space="0" w:color="auto"/>
            </w:tcBorders>
            <w:shd w:val="clear" w:color="auto" w:fill="BFBFBF" w:themeFill="background1" w:themeFillShade="BF"/>
          </w:tcPr>
          <w:p w:rsidR="005301E3" w:rsidRPr="00DE61E4" w:rsidRDefault="005301E3" w:rsidP="00DE41A6">
            <w:pPr>
              <w:jc w:val="center"/>
              <w:rPr>
                <w:b/>
                <w:bCs/>
                <w:sz w:val="20"/>
                <w:szCs w:val="20"/>
              </w:rPr>
            </w:pPr>
            <w:r>
              <w:rPr>
                <w:b/>
                <w:bCs/>
                <w:sz w:val="20"/>
                <w:szCs w:val="20"/>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rsidR="005301E3" w:rsidRPr="00B14AD5" w:rsidRDefault="005301E3" w:rsidP="00DE41A6">
            <w:pPr>
              <w:rPr>
                <w:b/>
                <w:bCs/>
              </w:rPr>
            </w:pPr>
          </w:p>
        </w:tc>
      </w:tr>
      <w:tr w:rsidR="005301E3" w:rsidRPr="00B14AD5" w:rsidTr="00DE41A6">
        <w:trPr>
          <w:trHeight w:val="255"/>
        </w:trPr>
        <w:tc>
          <w:tcPr>
            <w:tcW w:w="4950" w:type="dxa"/>
            <w:tcBorders>
              <w:top w:val="nil"/>
              <w:left w:val="single" w:sz="4" w:space="0" w:color="auto"/>
              <w:bottom w:val="single" w:sz="4" w:space="0" w:color="auto"/>
              <w:right w:val="single" w:sz="4" w:space="0" w:color="auto"/>
            </w:tcBorders>
          </w:tcPr>
          <w:p w:rsidR="005301E3" w:rsidRPr="00B14AD5" w:rsidRDefault="005301E3" w:rsidP="00DE41A6">
            <w:pPr>
              <w:rPr>
                <w:b/>
                <w:bCs/>
                <w:vertAlign w:val="superscript"/>
              </w:rPr>
            </w:pPr>
            <w:r w:rsidRPr="00B14AD5">
              <w:rPr>
                <w:b/>
                <w:bCs/>
              </w:rPr>
              <w:t>Daňové príjmy (100)</w:t>
            </w:r>
            <w:r w:rsidRPr="00B14AD5">
              <w:rPr>
                <w:b/>
                <w:bCs/>
                <w:vertAlign w:val="superscript"/>
              </w:rPr>
              <w:t>1</w:t>
            </w:r>
          </w:p>
        </w:tc>
        <w:tc>
          <w:tcPr>
            <w:tcW w:w="1500" w:type="dxa"/>
            <w:tcBorders>
              <w:top w:val="nil"/>
              <w:left w:val="nil"/>
              <w:bottom w:val="single" w:sz="4" w:space="0" w:color="auto"/>
              <w:right w:val="single" w:sz="4" w:space="0" w:color="auto"/>
            </w:tcBorders>
          </w:tcPr>
          <w:p w:rsidR="005301E3" w:rsidRPr="00B14AD5" w:rsidRDefault="005301E3" w:rsidP="00DE41A6">
            <w:pPr>
              <w:jc w:val="center"/>
              <w:rPr>
                <w:b/>
                <w:bCs/>
              </w:rPr>
            </w:pPr>
          </w:p>
        </w:tc>
        <w:tc>
          <w:tcPr>
            <w:tcW w:w="1500" w:type="dxa"/>
            <w:tcBorders>
              <w:top w:val="nil"/>
              <w:left w:val="nil"/>
              <w:bottom w:val="single" w:sz="4" w:space="0" w:color="auto"/>
              <w:right w:val="single" w:sz="4" w:space="0" w:color="auto"/>
            </w:tcBorders>
          </w:tcPr>
          <w:p w:rsidR="005301E3" w:rsidRPr="00B14AD5" w:rsidRDefault="005301E3" w:rsidP="00DE41A6">
            <w:pPr>
              <w:jc w:val="center"/>
              <w:rPr>
                <w:b/>
                <w:bCs/>
              </w:rPr>
            </w:pPr>
          </w:p>
        </w:tc>
        <w:tc>
          <w:tcPr>
            <w:tcW w:w="1500" w:type="dxa"/>
            <w:tcBorders>
              <w:top w:val="nil"/>
              <w:left w:val="nil"/>
              <w:bottom w:val="single" w:sz="4" w:space="0" w:color="auto"/>
              <w:right w:val="single" w:sz="4" w:space="0" w:color="auto"/>
            </w:tcBorders>
          </w:tcPr>
          <w:p w:rsidR="005301E3" w:rsidRPr="00B14AD5" w:rsidRDefault="005301E3" w:rsidP="00DE41A6">
            <w:pPr>
              <w:jc w:val="center"/>
              <w:rPr>
                <w:b/>
                <w:bCs/>
              </w:rPr>
            </w:pPr>
          </w:p>
        </w:tc>
        <w:tc>
          <w:tcPr>
            <w:tcW w:w="1500" w:type="dxa"/>
            <w:tcBorders>
              <w:top w:val="nil"/>
              <w:left w:val="nil"/>
              <w:bottom w:val="single" w:sz="4" w:space="0" w:color="auto"/>
              <w:right w:val="single" w:sz="4" w:space="0" w:color="auto"/>
            </w:tcBorders>
          </w:tcPr>
          <w:p w:rsidR="005301E3" w:rsidRPr="00B14AD5" w:rsidRDefault="005301E3" w:rsidP="00DE41A6">
            <w:pPr>
              <w:jc w:val="center"/>
              <w:rPr>
                <w:b/>
                <w:bCs/>
              </w:rPr>
            </w:pPr>
          </w:p>
        </w:tc>
        <w:tc>
          <w:tcPr>
            <w:tcW w:w="3000" w:type="dxa"/>
            <w:tcBorders>
              <w:top w:val="nil"/>
              <w:left w:val="nil"/>
              <w:bottom w:val="single" w:sz="4" w:space="0" w:color="auto"/>
              <w:right w:val="single" w:sz="4" w:space="0" w:color="auto"/>
            </w:tcBorders>
            <w:noWrap/>
            <w:vAlign w:val="bottom"/>
          </w:tcPr>
          <w:p w:rsidR="005301E3" w:rsidRPr="00B14AD5" w:rsidRDefault="005301E3" w:rsidP="00DE41A6">
            <w:r w:rsidRPr="00B14AD5">
              <w:t> </w:t>
            </w:r>
          </w:p>
        </w:tc>
      </w:tr>
      <w:tr w:rsidR="005301E3" w:rsidRPr="00B14AD5" w:rsidTr="00DE41A6">
        <w:trPr>
          <w:trHeight w:val="255"/>
        </w:trPr>
        <w:tc>
          <w:tcPr>
            <w:tcW w:w="4950" w:type="dxa"/>
            <w:tcBorders>
              <w:top w:val="nil"/>
              <w:left w:val="single" w:sz="4" w:space="0" w:color="auto"/>
              <w:bottom w:val="single" w:sz="4" w:space="0" w:color="auto"/>
              <w:right w:val="single" w:sz="4" w:space="0" w:color="auto"/>
            </w:tcBorders>
          </w:tcPr>
          <w:p w:rsidR="005301E3" w:rsidRPr="00B14AD5" w:rsidRDefault="005301E3" w:rsidP="00DE41A6">
            <w:pPr>
              <w:rPr>
                <w:b/>
                <w:bCs/>
              </w:rPr>
            </w:pPr>
            <w:r w:rsidRPr="00B14AD5">
              <w:rPr>
                <w:b/>
                <w:bCs/>
              </w:rPr>
              <w:t>Nedaňové príjmy (200)</w:t>
            </w:r>
            <w:r w:rsidRPr="00B14AD5">
              <w:rPr>
                <w:b/>
                <w:bCs/>
                <w:vertAlign w:val="superscript"/>
              </w:rPr>
              <w:t>1</w:t>
            </w:r>
          </w:p>
        </w:tc>
        <w:tc>
          <w:tcPr>
            <w:tcW w:w="1500" w:type="dxa"/>
            <w:tcBorders>
              <w:top w:val="nil"/>
              <w:left w:val="nil"/>
              <w:bottom w:val="single" w:sz="4" w:space="0" w:color="auto"/>
              <w:right w:val="single" w:sz="4" w:space="0" w:color="auto"/>
            </w:tcBorders>
          </w:tcPr>
          <w:p w:rsidR="005301E3" w:rsidRPr="00B14AD5" w:rsidRDefault="005301E3" w:rsidP="00DE41A6">
            <w:pPr>
              <w:jc w:val="center"/>
              <w:rPr>
                <w:b/>
                <w:bCs/>
              </w:rPr>
            </w:pPr>
          </w:p>
        </w:tc>
        <w:tc>
          <w:tcPr>
            <w:tcW w:w="1500" w:type="dxa"/>
            <w:tcBorders>
              <w:top w:val="nil"/>
              <w:left w:val="nil"/>
              <w:bottom w:val="single" w:sz="4" w:space="0" w:color="auto"/>
              <w:right w:val="single" w:sz="4" w:space="0" w:color="auto"/>
            </w:tcBorders>
          </w:tcPr>
          <w:p w:rsidR="005301E3" w:rsidRPr="00B14AD5" w:rsidRDefault="005301E3" w:rsidP="00DE41A6">
            <w:pPr>
              <w:jc w:val="center"/>
              <w:rPr>
                <w:b/>
                <w:bCs/>
              </w:rPr>
            </w:pPr>
          </w:p>
        </w:tc>
        <w:tc>
          <w:tcPr>
            <w:tcW w:w="1500" w:type="dxa"/>
            <w:tcBorders>
              <w:top w:val="nil"/>
              <w:left w:val="nil"/>
              <w:bottom w:val="single" w:sz="4" w:space="0" w:color="auto"/>
              <w:right w:val="single" w:sz="4" w:space="0" w:color="auto"/>
            </w:tcBorders>
          </w:tcPr>
          <w:p w:rsidR="005301E3" w:rsidRPr="00B14AD5" w:rsidRDefault="005301E3" w:rsidP="00DE41A6">
            <w:pPr>
              <w:jc w:val="center"/>
              <w:rPr>
                <w:b/>
                <w:bCs/>
              </w:rPr>
            </w:pPr>
          </w:p>
        </w:tc>
        <w:tc>
          <w:tcPr>
            <w:tcW w:w="1500" w:type="dxa"/>
            <w:tcBorders>
              <w:top w:val="nil"/>
              <w:left w:val="nil"/>
              <w:bottom w:val="single" w:sz="4" w:space="0" w:color="auto"/>
              <w:right w:val="single" w:sz="4" w:space="0" w:color="auto"/>
            </w:tcBorders>
          </w:tcPr>
          <w:p w:rsidR="005301E3" w:rsidRPr="00B14AD5" w:rsidRDefault="005301E3" w:rsidP="00DE41A6">
            <w:pPr>
              <w:jc w:val="center"/>
              <w:rPr>
                <w:b/>
                <w:bCs/>
              </w:rPr>
            </w:pPr>
          </w:p>
        </w:tc>
        <w:tc>
          <w:tcPr>
            <w:tcW w:w="3000" w:type="dxa"/>
            <w:tcBorders>
              <w:top w:val="nil"/>
              <w:left w:val="nil"/>
              <w:bottom w:val="single" w:sz="4" w:space="0" w:color="auto"/>
              <w:right w:val="single" w:sz="4" w:space="0" w:color="auto"/>
            </w:tcBorders>
            <w:noWrap/>
            <w:vAlign w:val="bottom"/>
          </w:tcPr>
          <w:p w:rsidR="005301E3" w:rsidRPr="00B14AD5" w:rsidRDefault="005301E3" w:rsidP="00DE41A6">
            <w:r w:rsidRPr="00B14AD5">
              <w:t> </w:t>
            </w:r>
          </w:p>
        </w:tc>
      </w:tr>
      <w:tr w:rsidR="005301E3" w:rsidRPr="00B14AD5" w:rsidTr="00DE41A6">
        <w:trPr>
          <w:trHeight w:val="255"/>
        </w:trPr>
        <w:tc>
          <w:tcPr>
            <w:tcW w:w="4950" w:type="dxa"/>
            <w:tcBorders>
              <w:top w:val="nil"/>
              <w:left w:val="single" w:sz="4" w:space="0" w:color="auto"/>
              <w:bottom w:val="single" w:sz="4" w:space="0" w:color="auto"/>
              <w:right w:val="single" w:sz="4" w:space="0" w:color="auto"/>
            </w:tcBorders>
          </w:tcPr>
          <w:p w:rsidR="005301E3" w:rsidRPr="00B14AD5" w:rsidRDefault="005301E3" w:rsidP="00DE41A6">
            <w:pPr>
              <w:rPr>
                <w:b/>
                <w:bCs/>
              </w:rPr>
            </w:pPr>
            <w:r w:rsidRPr="00B14AD5">
              <w:rPr>
                <w:b/>
                <w:bCs/>
              </w:rPr>
              <w:t>Granty a transfery (300)</w:t>
            </w:r>
            <w:r w:rsidRPr="00B14AD5">
              <w:rPr>
                <w:b/>
                <w:bCs/>
                <w:vertAlign w:val="superscript"/>
              </w:rPr>
              <w:t>1</w:t>
            </w:r>
          </w:p>
        </w:tc>
        <w:tc>
          <w:tcPr>
            <w:tcW w:w="1500" w:type="dxa"/>
            <w:tcBorders>
              <w:top w:val="nil"/>
              <w:left w:val="nil"/>
              <w:bottom w:val="single" w:sz="4" w:space="0" w:color="auto"/>
              <w:right w:val="single" w:sz="4" w:space="0" w:color="auto"/>
            </w:tcBorders>
          </w:tcPr>
          <w:p w:rsidR="005301E3" w:rsidRPr="00B14AD5" w:rsidRDefault="005301E3" w:rsidP="00DE41A6">
            <w:pPr>
              <w:jc w:val="center"/>
              <w:rPr>
                <w:b/>
                <w:bCs/>
              </w:rPr>
            </w:pPr>
          </w:p>
        </w:tc>
        <w:tc>
          <w:tcPr>
            <w:tcW w:w="1500" w:type="dxa"/>
            <w:tcBorders>
              <w:top w:val="nil"/>
              <w:left w:val="nil"/>
              <w:bottom w:val="single" w:sz="4" w:space="0" w:color="auto"/>
              <w:right w:val="single" w:sz="4" w:space="0" w:color="auto"/>
            </w:tcBorders>
          </w:tcPr>
          <w:p w:rsidR="005301E3" w:rsidRPr="00B14AD5" w:rsidRDefault="005301E3" w:rsidP="00DE41A6">
            <w:pPr>
              <w:jc w:val="center"/>
              <w:rPr>
                <w:b/>
                <w:bCs/>
              </w:rPr>
            </w:pPr>
          </w:p>
        </w:tc>
        <w:tc>
          <w:tcPr>
            <w:tcW w:w="1500" w:type="dxa"/>
            <w:tcBorders>
              <w:top w:val="nil"/>
              <w:left w:val="nil"/>
              <w:bottom w:val="single" w:sz="4" w:space="0" w:color="auto"/>
              <w:right w:val="single" w:sz="4" w:space="0" w:color="auto"/>
            </w:tcBorders>
          </w:tcPr>
          <w:p w:rsidR="005301E3" w:rsidRPr="00B14AD5" w:rsidRDefault="005301E3" w:rsidP="00DE41A6">
            <w:pPr>
              <w:jc w:val="center"/>
              <w:rPr>
                <w:b/>
                <w:bCs/>
              </w:rPr>
            </w:pPr>
          </w:p>
        </w:tc>
        <w:tc>
          <w:tcPr>
            <w:tcW w:w="1500" w:type="dxa"/>
            <w:tcBorders>
              <w:top w:val="nil"/>
              <w:left w:val="nil"/>
              <w:bottom w:val="single" w:sz="4" w:space="0" w:color="auto"/>
              <w:right w:val="single" w:sz="4" w:space="0" w:color="auto"/>
            </w:tcBorders>
          </w:tcPr>
          <w:p w:rsidR="005301E3" w:rsidRPr="00B14AD5" w:rsidRDefault="005301E3" w:rsidP="00DE41A6">
            <w:pPr>
              <w:jc w:val="center"/>
              <w:rPr>
                <w:b/>
                <w:bCs/>
              </w:rPr>
            </w:pPr>
          </w:p>
        </w:tc>
        <w:tc>
          <w:tcPr>
            <w:tcW w:w="3000" w:type="dxa"/>
            <w:tcBorders>
              <w:top w:val="nil"/>
              <w:left w:val="nil"/>
              <w:bottom w:val="single" w:sz="4" w:space="0" w:color="auto"/>
              <w:right w:val="single" w:sz="4" w:space="0" w:color="auto"/>
            </w:tcBorders>
            <w:noWrap/>
            <w:vAlign w:val="bottom"/>
          </w:tcPr>
          <w:p w:rsidR="005301E3" w:rsidRPr="00B14AD5" w:rsidRDefault="005301E3" w:rsidP="00DE41A6">
            <w:r w:rsidRPr="00B14AD5">
              <w:t> </w:t>
            </w:r>
          </w:p>
        </w:tc>
      </w:tr>
      <w:tr w:rsidR="005301E3" w:rsidRPr="00B14AD5" w:rsidTr="00DE41A6">
        <w:trPr>
          <w:trHeight w:val="255"/>
        </w:trPr>
        <w:tc>
          <w:tcPr>
            <w:tcW w:w="4950" w:type="dxa"/>
            <w:tcBorders>
              <w:top w:val="nil"/>
              <w:left w:val="single" w:sz="4" w:space="0" w:color="auto"/>
              <w:bottom w:val="single" w:sz="4" w:space="0" w:color="auto"/>
              <w:right w:val="single" w:sz="4" w:space="0" w:color="auto"/>
            </w:tcBorders>
          </w:tcPr>
          <w:p w:rsidR="005301E3" w:rsidRPr="00B14AD5" w:rsidRDefault="005301E3" w:rsidP="00DE41A6">
            <w:pPr>
              <w:rPr>
                <w:b/>
                <w:bCs/>
              </w:rPr>
            </w:pPr>
            <w:r w:rsidRPr="00B14AD5">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5301E3" w:rsidRPr="00B14AD5" w:rsidRDefault="005301E3" w:rsidP="00DE41A6">
            <w:pPr>
              <w:jc w:val="center"/>
              <w:rPr>
                <w:b/>
                <w:bCs/>
              </w:rPr>
            </w:pPr>
            <w:r w:rsidRPr="00B14AD5">
              <w:rPr>
                <w:b/>
                <w:bCs/>
              </w:rPr>
              <w:t> </w:t>
            </w:r>
          </w:p>
        </w:tc>
        <w:tc>
          <w:tcPr>
            <w:tcW w:w="1500" w:type="dxa"/>
            <w:tcBorders>
              <w:top w:val="nil"/>
              <w:left w:val="nil"/>
              <w:bottom w:val="single" w:sz="4" w:space="0" w:color="auto"/>
              <w:right w:val="single" w:sz="4" w:space="0" w:color="auto"/>
            </w:tcBorders>
            <w:shd w:val="clear" w:color="auto" w:fill="FFFF99"/>
          </w:tcPr>
          <w:p w:rsidR="005301E3" w:rsidRPr="00B14AD5" w:rsidRDefault="005301E3" w:rsidP="00DE41A6">
            <w:pPr>
              <w:jc w:val="center"/>
              <w:rPr>
                <w:b/>
                <w:bCs/>
              </w:rPr>
            </w:pPr>
            <w:r w:rsidRPr="00B14AD5">
              <w:rPr>
                <w:b/>
                <w:bCs/>
              </w:rPr>
              <w:t> </w:t>
            </w:r>
          </w:p>
        </w:tc>
        <w:tc>
          <w:tcPr>
            <w:tcW w:w="1500" w:type="dxa"/>
            <w:tcBorders>
              <w:top w:val="nil"/>
              <w:left w:val="nil"/>
              <w:bottom w:val="single" w:sz="4" w:space="0" w:color="auto"/>
              <w:right w:val="single" w:sz="4" w:space="0" w:color="auto"/>
            </w:tcBorders>
            <w:shd w:val="clear" w:color="auto" w:fill="FFFF99"/>
          </w:tcPr>
          <w:p w:rsidR="005301E3" w:rsidRPr="00B14AD5" w:rsidRDefault="005301E3" w:rsidP="00DE41A6">
            <w:pPr>
              <w:jc w:val="center"/>
              <w:rPr>
                <w:b/>
                <w:bCs/>
              </w:rPr>
            </w:pPr>
            <w:r w:rsidRPr="00B14AD5">
              <w:rPr>
                <w:b/>
                <w:bCs/>
              </w:rPr>
              <w:t> </w:t>
            </w:r>
          </w:p>
        </w:tc>
        <w:tc>
          <w:tcPr>
            <w:tcW w:w="1500" w:type="dxa"/>
            <w:tcBorders>
              <w:top w:val="nil"/>
              <w:left w:val="nil"/>
              <w:bottom w:val="single" w:sz="4" w:space="0" w:color="auto"/>
              <w:right w:val="single" w:sz="4" w:space="0" w:color="auto"/>
            </w:tcBorders>
            <w:shd w:val="clear" w:color="auto" w:fill="FFFF99"/>
          </w:tcPr>
          <w:p w:rsidR="005301E3" w:rsidRPr="00B14AD5" w:rsidRDefault="005301E3" w:rsidP="00DE41A6">
            <w:pPr>
              <w:jc w:val="center"/>
              <w:rPr>
                <w:b/>
                <w:bCs/>
              </w:rPr>
            </w:pPr>
            <w:r w:rsidRPr="00B14AD5">
              <w:rPr>
                <w:b/>
                <w:bCs/>
              </w:rPr>
              <w:t> </w:t>
            </w:r>
          </w:p>
        </w:tc>
        <w:tc>
          <w:tcPr>
            <w:tcW w:w="3000" w:type="dxa"/>
            <w:tcBorders>
              <w:top w:val="nil"/>
              <w:left w:val="nil"/>
              <w:bottom w:val="single" w:sz="4" w:space="0" w:color="auto"/>
              <w:right w:val="single" w:sz="4" w:space="0" w:color="auto"/>
            </w:tcBorders>
            <w:noWrap/>
            <w:vAlign w:val="bottom"/>
          </w:tcPr>
          <w:p w:rsidR="005301E3" w:rsidRPr="00B14AD5" w:rsidRDefault="005301E3" w:rsidP="00DE41A6">
            <w:r w:rsidRPr="00B14AD5">
              <w:t> </w:t>
            </w:r>
          </w:p>
        </w:tc>
      </w:tr>
      <w:tr w:rsidR="005301E3" w:rsidRPr="00B14AD5" w:rsidTr="00DE41A6">
        <w:trPr>
          <w:trHeight w:val="255"/>
        </w:trPr>
        <w:tc>
          <w:tcPr>
            <w:tcW w:w="4950" w:type="dxa"/>
            <w:tcBorders>
              <w:top w:val="nil"/>
              <w:left w:val="single" w:sz="4" w:space="0" w:color="auto"/>
              <w:bottom w:val="single" w:sz="4" w:space="0" w:color="auto"/>
              <w:right w:val="single" w:sz="4" w:space="0" w:color="auto"/>
            </w:tcBorders>
          </w:tcPr>
          <w:p w:rsidR="005301E3" w:rsidRPr="00B14AD5" w:rsidRDefault="005301E3" w:rsidP="00DE41A6">
            <w:pPr>
              <w:rPr>
                <w:b/>
                <w:bCs/>
              </w:rPr>
            </w:pPr>
            <w:r w:rsidRPr="00B14AD5">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5301E3" w:rsidRPr="00B14AD5" w:rsidRDefault="005301E3" w:rsidP="00DE41A6">
            <w:pPr>
              <w:jc w:val="center"/>
              <w:rPr>
                <w:b/>
                <w:bCs/>
              </w:rPr>
            </w:pPr>
            <w:r w:rsidRPr="00B14AD5">
              <w:rPr>
                <w:b/>
                <w:bCs/>
              </w:rPr>
              <w:t> </w:t>
            </w:r>
          </w:p>
        </w:tc>
        <w:tc>
          <w:tcPr>
            <w:tcW w:w="1500" w:type="dxa"/>
            <w:tcBorders>
              <w:top w:val="nil"/>
              <w:left w:val="nil"/>
              <w:bottom w:val="single" w:sz="4" w:space="0" w:color="auto"/>
              <w:right w:val="single" w:sz="4" w:space="0" w:color="auto"/>
            </w:tcBorders>
            <w:shd w:val="clear" w:color="auto" w:fill="FFFF99"/>
          </w:tcPr>
          <w:p w:rsidR="005301E3" w:rsidRPr="00B14AD5" w:rsidRDefault="005301E3" w:rsidP="00DE41A6">
            <w:pPr>
              <w:jc w:val="center"/>
              <w:rPr>
                <w:b/>
                <w:bCs/>
              </w:rPr>
            </w:pPr>
            <w:r w:rsidRPr="00B14AD5">
              <w:rPr>
                <w:b/>
                <w:bCs/>
              </w:rPr>
              <w:t> </w:t>
            </w:r>
          </w:p>
        </w:tc>
        <w:tc>
          <w:tcPr>
            <w:tcW w:w="1500" w:type="dxa"/>
            <w:tcBorders>
              <w:top w:val="nil"/>
              <w:left w:val="nil"/>
              <w:bottom w:val="single" w:sz="4" w:space="0" w:color="auto"/>
              <w:right w:val="single" w:sz="4" w:space="0" w:color="auto"/>
            </w:tcBorders>
            <w:shd w:val="clear" w:color="auto" w:fill="FFFF99"/>
          </w:tcPr>
          <w:p w:rsidR="005301E3" w:rsidRPr="00B14AD5" w:rsidRDefault="005301E3" w:rsidP="00DE41A6">
            <w:pPr>
              <w:jc w:val="center"/>
              <w:rPr>
                <w:b/>
                <w:bCs/>
              </w:rPr>
            </w:pPr>
            <w:r w:rsidRPr="00B14AD5">
              <w:rPr>
                <w:b/>
                <w:bCs/>
              </w:rPr>
              <w:t> </w:t>
            </w:r>
          </w:p>
        </w:tc>
        <w:tc>
          <w:tcPr>
            <w:tcW w:w="1500" w:type="dxa"/>
            <w:tcBorders>
              <w:top w:val="nil"/>
              <w:left w:val="nil"/>
              <w:bottom w:val="single" w:sz="4" w:space="0" w:color="auto"/>
              <w:right w:val="single" w:sz="4" w:space="0" w:color="auto"/>
            </w:tcBorders>
            <w:shd w:val="clear" w:color="auto" w:fill="FFFF99"/>
          </w:tcPr>
          <w:p w:rsidR="005301E3" w:rsidRPr="00B14AD5" w:rsidRDefault="005301E3" w:rsidP="00DE41A6">
            <w:pPr>
              <w:jc w:val="center"/>
              <w:rPr>
                <w:b/>
                <w:bCs/>
              </w:rPr>
            </w:pPr>
            <w:r w:rsidRPr="00B14AD5">
              <w:rPr>
                <w:b/>
                <w:bCs/>
              </w:rPr>
              <w:t> </w:t>
            </w:r>
          </w:p>
        </w:tc>
        <w:tc>
          <w:tcPr>
            <w:tcW w:w="3000" w:type="dxa"/>
            <w:tcBorders>
              <w:top w:val="nil"/>
              <w:left w:val="nil"/>
              <w:bottom w:val="single" w:sz="4" w:space="0" w:color="auto"/>
              <w:right w:val="single" w:sz="4" w:space="0" w:color="auto"/>
            </w:tcBorders>
            <w:noWrap/>
            <w:vAlign w:val="bottom"/>
          </w:tcPr>
          <w:p w:rsidR="005301E3" w:rsidRPr="00B14AD5" w:rsidRDefault="005301E3" w:rsidP="00DE41A6">
            <w:r w:rsidRPr="00B14AD5">
              <w:t> </w:t>
            </w:r>
          </w:p>
        </w:tc>
      </w:tr>
      <w:tr w:rsidR="005301E3" w:rsidRPr="00B14AD5" w:rsidTr="00DE41A6">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5301E3" w:rsidRPr="00B14AD5" w:rsidRDefault="005301E3" w:rsidP="00DE41A6">
            <w:pPr>
              <w:rPr>
                <w:b/>
                <w:bCs/>
              </w:rPr>
            </w:pPr>
            <w:r w:rsidRPr="00B14AD5">
              <w:rPr>
                <w:b/>
                <w:bCs/>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5301E3" w:rsidRPr="00B14AD5" w:rsidRDefault="005301E3" w:rsidP="00DE41A6">
            <w:pPr>
              <w:jc w:val="center"/>
              <w:rPr>
                <w:b/>
                <w:bCs/>
              </w:rPr>
            </w:pPr>
            <w:r w:rsidRPr="00B14AD5">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5301E3" w:rsidRPr="00B14AD5" w:rsidRDefault="005301E3" w:rsidP="00DE41A6">
            <w:pPr>
              <w:jc w:val="center"/>
              <w:rPr>
                <w:b/>
                <w:bCs/>
              </w:rPr>
            </w:pPr>
            <w:r w:rsidRPr="00B14AD5">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5301E3" w:rsidRPr="00B14AD5" w:rsidRDefault="005301E3" w:rsidP="00DE41A6">
            <w:pPr>
              <w:jc w:val="center"/>
              <w:rPr>
                <w:b/>
                <w:bCs/>
              </w:rPr>
            </w:pPr>
            <w:r w:rsidRPr="00B14AD5">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5301E3" w:rsidRPr="00B14AD5" w:rsidRDefault="005301E3" w:rsidP="00DE41A6">
            <w:pPr>
              <w:jc w:val="center"/>
              <w:rPr>
                <w:b/>
                <w:bCs/>
              </w:rPr>
            </w:pPr>
            <w:r w:rsidRPr="00B14AD5">
              <w:rPr>
                <w:b/>
                <w:bCs/>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5301E3" w:rsidRPr="00B14AD5" w:rsidRDefault="005301E3" w:rsidP="00DE41A6">
            <w:r w:rsidRPr="00B14AD5">
              <w:t> </w:t>
            </w:r>
          </w:p>
        </w:tc>
      </w:tr>
    </w:tbl>
    <w:p w:rsidR="005301E3" w:rsidRDefault="005301E3" w:rsidP="005301E3">
      <w:pPr>
        <w:tabs>
          <w:tab w:val="num" w:pos="1080"/>
        </w:tabs>
        <w:jc w:val="both"/>
        <w:rPr>
          <w:bCs/>
          <w:sz w:val="20"/>
          <w:szCs w:val="20"/>
        </w:rPr>
      </w:pPr>
    </w:p>
    <w:p w:rsidR="005301E3" w:rsidRPr="00B14AD5" w:rsidRDefault="005301E3" w:rsidP="005301E3">
      <w:pPr>
        <w:tabs>
          <w:tab w:val="left" w:pos="1875"/>
        </w:tabs>
        <w:rPr>
          <w:bCs/>
          <w:sz w:val="20"/>
          <w:szCs w:val="20"/>
        </w:rPr>
      </w:pPr>
      <w:r w:rsidRPr="00B14AD5">
        <w:rPr>
          <w:bCs/>
          <w:sz w:val="20"/>
          <w:szCs w:val="20"/>
        </w:rPr>
        <w:t>1 –  príjmy rozpísať až do položiek platnej ekonomickej klasifikácie</w:t>
      </w:r>
    </w:p>
    <w:p w:rsidR="005301E3" w:rsidRPr="00B14AD5" w:rsidRDefault="005301E3" w:rsidP="005301E3">
      <w:pPr>
        <w:tabs>
          <w:tab w:val="num" w:pos="1080"/>
        </w:tabs>
        <w:jc w:val="both"/>
        <w:rPr>
          <w:bCs/>
          <w:szCs w:val="20"/>
        </w:rPr>
      </w:pPr>
    </w:p>
    <w:p w:rsidR="005301E3" w:rsidRPr="00B14AD5" w:rsidRDefault="005301E3" w:rsidP="005301E3">
      <w:pPr>
        <w:tabs>
          <w:tab w:val="num" w:pos="1080"/>
        </w:tabs>
        <w:jc w:val="both"/>
        <w:rPr>
          <w:b/>
          <w:bCs/>
          <w:szCs w:val="20"/>
        </w:rPr>
      </w:pPr>
      <w:r w:rsidRPr="00B14AD5">
        <w:rPr>
          <w:b/>
          <w:bCs/>
          <w:szCs w:val="20"/>
        </w:rPr>
        <w:t>Poznámka:</w:t>
      </w:r>
    </w:p>
    <w:p w:rsidR="005301E3" w:rsidRDefault="005301E3" w:rsidP="005301E3">
      <w:pPr>
        <w:tabs>
          <w:tab w:val="num" w:pos="1080"/>
        </w:tabs>
        <w:jc w:val="both"/>
        <w:rPr>
          <w:bCs/>
          <w:szCs w:val="20"/>
        </w:rPr>
      </w:pPr>
      <w:r w:rsidRPr="00B14AD5">
        <w:rPr>
          <w:bCs/>
          <w:szCs w:val="20"/>
        </w:rPr>
        <w:t>Ak sa vplyv týka viacerých subjektov verejnej správy, vypĺňa sa samostatná tabuľka za každý subjekt.</w:t>
      </w:r>
    </w:p>
    <w:p w:rsidR="005301E3" w:rsidRDefault="005301E3" w:rsidP="005301E3">
      <w:pPr>
        <w:tabs>
          <w:tab w:val="num" w:pos="1080"/>
        </w:tabs>
        <w:jc w:val="both"/>
        <w:rPr>
          <w:bCs/>
          <w:szCs w:val="20"/>
        </w:rPr>
      </w:pPr>
    </w:p>
    <w:p w:rsidR="005301E3" w:rsidRDefault="005301E3" w:rsidP="005301E3">
      <w:pPr>
        <w:tabs>
          <w:tab w:val="num" w:pos="1080"/>
        </w:tabs>
        <w:jc w:val="both"/>
        <w:rPr>
          <w:bCs/>
          <w:szCs w:val="20"/>
        </w:rPr>
      </w:pPr>
    </w:p>
    <w:p w:rsidR="005301E3" w:rsidRDefault="005301E3" w:rsidP="005301E3">
      <w:pPr>
        <w:tabs>
          <w:tab w:val="num" w:pos="1080"/>
        </w:tabs>
        <w:jc w:val="both"/>
        <w:rPr>
          <w:bCs/>
          <w:szCs w:val="20"/>
        </w:rPr>
      </w:pPr>
    </w:p>
    <w:p w:rsidR="005301E3" w:rsidRDefault="005301E3" w:rsidP="005301E3">
      <w:pPr>
        <w:tabs>
          <w:tab w:val="num" w:pos="1080"/>
        </w:tabs>
        <w:jc w:val="both"/>
        <w:rPr>
          <w:bCs/>
          <w:szCs w:val="20"/>
        </w:rPr>
      </w:pPr>
    </w:p>
    <w:p w:rsidR="005301E3" w:rsidRDefault="005301E3" w:rsidP="005301E3">
      <w:pPr>
        <w:tabs>
          <w:tab w:val="num" w:pos="1080"/>
        </w:tabs>
        <w:jc w:val="both"/>
        <w:rPr>
          <w:bCs/>
          <w:szCs w:val="20"/>
        </w:rPr>
      </w:pPr>
    </w:p>
    <w:p w:rsidR="005301E3" w:rsidRDefault="005301E3" w:rsidP="005301E3">
      <w:pPr>
        <w:tabs>
          <w:tab w:val="num" w:pos="1080"/>
        </w:tabs>
        <w:jc w:val="both"/>
        <w:rPr>
          <w:bCs/>
          <w:szCs w:val="20"/>
        </w:rPr>
      </w:pPr>
    </w:p>
    <w:p w:rsidR="005301E3" w:rsidRDefault="005301E3" w:rsidP="005301E3">
      <w:pPr>
        <w:tabs>
          <w:tab w:val="num" w:pos="1080"/>
        </w:tabs>
        <w:jc w:val="both"/>
        <w:rPr>
          <w:bCs/>
          <w:szCs w:val="20"/>
        </w:rPr>
      </w:pPr>
    </w:p>
    <w:p w:rsidR="005301E3" w:rsidRDefault="005301E3" w:rsidP="005301E3">
      <w:pPr>
        <w:tabs>
          <w:tab w:val="num" w:pos="1080"/>
        </w:tabs>
        <w:jc w:val="both"/>
        <w:rPr>
          <w:bCs/>
          <w:szCs w:val="20"/>
        </w:rPr>
      </w:pPr>
    </w:p>
    <w:p w:rsidR="005301E3" w:rsidRDefault="005301E3" w:rsidP="005301E3">
      <w:pPr>
        <w:tabs>
          <w:tab w:val="num" w:pos="1080"/>
        </w:tabs>
        <w:jc w:val="both"/>
        <w:rPr>
          <w:bCs/>
          <w:szCs w:val="20"/>
        </w:rPr>
      </w:pPr>
    </w:p>
    <w:p w:rsidR="005301E3" w:rsidRDefault="005301E3" w:rsidP="005301E3">
      <w:pPr>
        <w:tabs>
          <w:tab w:val="num" w:pos="1080"/>
        </w:tabs>
        <w:jc w:val="both"/>
        <w:rPr>
          <w:bCs/>
          <w:szCs w:val="20"/>
        </w:rPr>
      </w:pPr>
    </w:p>
    <w:p w:rsidR="005301E3" w:rsidRDefault="005301E3" w:rsidP="005301E3">
      <w:pPr>
        <w:tabs>
          <w:tab w:val="num" w:pos="1080"/>
        </w:tabs>
        <w:jc w:val="both"/>
        <w:rPr>
          <w:bCs/>
          <w:szCs w:val="20"/>
        </w:rPr>
      </w:pPr>
    </w:p>
    <w:p w:rsidR="005301E3" w:rsidRDefault="005301E3" w:rsidP="005301E3">
      <w:pPr>
        <w:tabs>
          <w:tab w:val="num" w:pos="1080"/>
        </w:tabs>
        <w:jc w:val="both"/>
        <w:rPr>
          <w:bCs/>
          <w:szCs w:val="20"/>
        </w:rPr>
      </w:pPr>
    </w:p>
    <w:p w:rsidR="005301E3" w:rsidRPr="00B14AD5" w:rsidRDefault="005301E3" w:rsidP="005301E3">
      <w:pPr>
        <w:tabs>
          <w:tab w:val="num" w:pos="1080"/>
        </w:tabs>
        <w:jc w:val="both"/>
        <w:rPr>
          <w:bCs/>
          <w:szCs w:val="20"/>
        </w:rPr>
      </w:pPr>
    </w:p>
    <w:p w:rsidR="005301E3" w:rsidRDefault="005301E3" w:rsidP="005301E3">
      <w:pPr>
        <w:tabs>
          <w:tab w:val="num" w:pos="1080"/>
        </w:tabs>
        <w:ind w:right="-578"/>
        <w:jc w:val="right"/>
        <w:rPr>
          <w:bCs/>
        </w:rPr>
      </w:pPr>
    </w:p>
    <w:p w:rsidR="005301E3" w:rsidRPr="00B14AD5" w:rsidRDefault="005301E3" w:rsidP="005301E3">
      <w:pPr>
        <w:tabs>
          <w:tab w:val="num" w:pos="1080"/>
        </w:tabs>
        <w:ind w:right="-578"/>
        <w:jc w:val="right"/>
        <w:rPr>
          <w:bCs/>
        </w:rPr>
      </w:pPr>
    </w:p>
    <w:p w:rsidR="005301E3" w:rsidRPr="00B14AD5" w:rsidRDefault="005301E3" w:rsidP="005301E3">
      <w:pPr>
        <w:tabs>
          <w:tab w:val="num" w:pos="1080"/>
        </w:tabs>
        <w:ind w:right="-32"/>
        <w:jc w:val="right"/>
        <w:rPr>
          <w:bCs/>
        </w:rPr>
      </w:pPr>
      <w:r w:rsidRPr="00B14AD5">
        <w:rPr>
          <w:bCs/>
        </w:rPr>
        <w:lastRenderedPageBreak/>
        <w:t>Tabuľka č. 4</w:t>
      </w:r>
      <w:r>
        <w:rPr>
          <w:bCs/>
        </w:rPr>
        <w:t>/A</w:t>
      </w:r>
      <w:r w:rsidRPr="00B14AD5">
        <w:rPr>
          <w:bCs/>
        </w:rPr>
        <w:t xml:space="preserve"> </w:t>
      </w:r>
    </w:p>
    <w:p w:rsidR="005301E3" w:rsidRPr="00B14AD5" w:rsidRDefault="005301E3" w:rsidP="005301E3">
      <w:pPr>
        <w:tabs>
          <w:tab w:val="num" w:pos="1080"/>
        </w:tabs>
        <w:jc w:val="both"/>
        <w:rPr>
          <w:bCs/>
          <w:szCs w:val="20"/>
        </w:rPr>
      </w:pP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847"/>
        <w:gridCol w:w="1342"/>
      </w:tblGrid>
      <w:tr w:rsidR="005301E3" w:rsidRPr="00B14AD5" w:rsidTr="00DE41A6">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5301E3" w:rsidRPr="00B14AD5" w:rsidRDefault="005301E3" w:rsidP="00DE41A6">
            <w:pPr>
              <w:jc w:val="center"/>
              <w:rPr>
                <w:b/>
                <w:bCs/>
                <w:sz w:val="20"/>
                <w:szCs w:val="20"/>
              </w:rPr>
            </w:pPr>
            <w:r w:rsidRPr="00B14AD5">
              <w:rPr>
                <w:b/>
                <w:bCs/>
                <w:sz w:val="20"/>
                <w:szCs w:val="20"/>
              </w:rPr>
              <w:t>Výdavky (v eurách)</w:t>
            </w:r>
          </w:p>
        </w:tc>
        <w:tc>
          <w:tcPr>
            <w:tcW w:w="6467"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301E3" w:rsidRPr="00B14AD5" w:rsidRDefault="005301E3" w:rsidP="00DE41A6">
            <w:pPr>
              <w:jc w:val="center"/>
              <w:rPr>
                <w:b/>
                <w:bCs/>
                <w:sz w:val="20"/>
                <w:szCs w:val="20"/>
              </w:rPr>
            </w:pPr>
            <w:r w:rsidRPr="00B14AD5">
              <w:rPr>
                <w:b/>
                <w:bCs/>
                <w:sz w:val="20"/>
                <w:szCs w:val="20"/>
              </w:rPr>
              <w:t>Vplyv na rozpočet verejnej správy</w:t>
            </w:r>
          </w:p>
        </w:tc>
        <w:tc>
          <w:tcPr>
            <w:tcW w:w="134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301E3" w:rsidRPr="00B14AD5" w:rsidRDefault="005301E3" w:rsidP="00DE41A6">
            <w:pPr>
              <w:jc w:val="center"/>
              <w:rPr>
                <w:b/>
                <w:bCs/>
              </w:rPr>
            </w:pPr>
            <w:r w:rsidRPr="00F9095F">
              <w:rPr>
                <w:b/>
                <w:bCs/>
                <w:sz w:val="20"/>
                <w:szCs w:val="20"/>
              </w:rPr>
              <w:t>poznámka</w:t>
            </w:r>
          </w:p>
        </w:tc>
      </w:tr>
      <w:tr w:rsidR="005301E3" w:rsidRPr="00B14AD5" w:rsidTr="00DE41A6">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5301E3" w:rsidRPr="00B14AD5" w:rsidRDefault="005301E3" w:rsidP="00DE41A6">
            <w:pPr>
              <w:rPr>
                <w:b/>
                <w:bCs/>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tcPr>
          <w:p w:rsidR="005301E3" w:rsidRPr="000861FE" w:rsidRDefault="005301E3" w:rsidP="00DE41A6">
            <w:pPr>
              <w:jc w:val="center"/>
              <w:rPr>
                <w:b/>
                <w:bCs/>
                <w:sz w:val="20"/>
                <w:szCs w:val="20"/>
              </w:rPr>
            </w:pPr>
            <w:r w:rsidRPr="000861FE">
              <w:rPr>
                <w:b/>
                <w:bCs/>
                <w:sz w:val="20"/>
                <w:szCs w:val="20"/>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5301E3" w:rsidRPr="000861FE" w:rsidRDefault="005301E3" w:rsidP="00DE41A6">
            <w:pPr>
              <w:jc w:val="center"/>
              <w:rPr>
                <w:b/>
                <w:bCs/>
                <w:sz w:val="20"/>
                <w:szCs w:val="20"/>
              </w:rPr>
            </w:pPr>
            <w:r w:rsidRPr="000861FE">
              <w:rPr>
                <w:b/>
                <w:bCs/>
                <w:sz w:val="20"/>
                <w:szCs w:val="20"/>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5301E3" w:rsidRPr="000861FE" w:rsidRDefault="005301E3" w:rsidP="00DE41A6">
            <w:pPr>
              <w:jc w:val="center"/>
              <w:rPr>
                <w:b/>
                <w:bCs/>
                <w:sz w:val="20"/>
                <w:szCs w:val="20"/>
              </w:rPr>
            </w:pPr>
            <w:r w:rsidRPr="000861FE">
              <w:rPr>
                <w:b/>
                <w:bCs/>
                <w:sz w:val="20"/>
                <w:szCs w:val="20"/>
              </w:rPr>
              <w:t>2026</w:t>
            </w:r>
          </w:p>
        </w:tc>
        <w:tc>
          <w:tcPr>
            <w:tcW w:w="1847" w:type="dxa"/>
            <w:tcBorders>
              <w:top w:val="nil"/>
              <w:left w:val="nil"/>
              <w:bottom w:val="single" w:sz="4" w:space="0" w:color="auto"/>
              <w:right w:val="single" w:sz="4" w:space="0" w:color="auto"/>
            </w:tcBorders>
            <w:shd w:val="clear" w:color="auto" w:fill="BFBFBF" w:themeFill="background1" w:themeFillShade="BF"/>
          </w:tcPr>
          <w:p w:rsidR="005301E3" w:rsidRPr="000861FE" w:rsidRDefault="005301E3" w:rsidP="00DE41A6">
            <w:pPr>
              <w:jc w:val="center"/>
              <w:rPr>
                <w:b/>
                <w:bCs/>
                <w:sz w:val="20"/>
                <w:szCs w:val="20"/>
              </w:rPr>
            </w:pPr>
            <w:r w:rsidRPr="000861FE">
              <w:rPr>
                <w:b/>
                <w:bCs/>
                <w:sz w:val="20"/>
                <w:szCs w:val="20"/>
              </w:rPr>
              <w:t>2027</w:t>
            </w:r>
          </w:p>
        </w:tc>
        <w:tc>
          <w:tcPr>
            <w:tcW w:w="1342" w:type="dxa"/>
            <w:vMerge/>
            <w:tcBorders>
              <w:top w:val="single" w:sz="4" w:space="0" w:color="auto"/>
              <w:left w:val="single" w:sz="4" w:space="0" w:color="auto"/>
              <w:bottom w:val="single" w:sz="4" w:space="0" w:color="auto"/>
              <w:right w:val="single" w:sz="4" w:space="0" w:color="auto"/>
            </w:tcBorders>
            <w:vAlign w:val="center"/>
          </w:tcPr>
          <w:p w:rsidR="005301E3" w:rsidRPr="00B14AD5" w:rsidRDefault="005301E3" w:rsidP="00DE41A6">
            <w:pPr>
              <w:rPr>
                <w:b/>
                <w:bCs/>
              </w:rPr>
            </w:pPr>
          </w:p>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b/>
                <w:bCs/>
                <w:sz w:val="20"/>
                <w:szCs w:val="20"/>
              </w:rPr>
            </w:pPr>
            <w:r w:rsidRPr="00B14AD5">
              <w:rPr>
                <w:b/>
                <w:bCs/>
                <w:sz w:val="20"/>
                <w:szCs w:val="20"/>
              </w:rPr>
              <w:t>Bežné výdavky (600)</w:t>
            </w:r>
          </w:p>
        </w:tc>
        <w:tc>
          <w:tcPr>
            <w:tcW w:w="1430" w:type="dxa"/>
            <w:tcBorders>
              <w:top w:val="nil"/>
              <w:left w:val="nil"/>
              <w:bottom w:val="single" w:sz="4" w:space="0" w:color="auto"/>
              <w:right w:val="single" w:sz="4" w:space="0" w:color="auto"/>
            </w:tcBorders>
          </w:tcPr>
          <w:p w:rsidR="005301E3" w:rsidRPr="003863A6" w:rsidRDefault="005301E3" w:rsidP="00DE41A6">
            <w:pPr>
              <w:jc w:val="center"/>
              <w:rPr>
                <w:b/>
                <w:sz w:val="20"/>
                <w:szCs w:val="20"/>
              </w:rPr>
            </w:pPr>
            <w:r w:rsidRPr="003863A6">
              <w:rPr>
                <w:b/>
                <w:sz w:val="20"/>
                <w:szCs w:val="20"/>
              </w:rPr>
              <w:t>389 030</w:t>
            </w:r>
          </w:p>
        </w:tc>
        <w:tc>
          <w:tcPr>
            <w:tcW w:w="1650" w:type="dxa"/>
            <w:tcBorders>
              <w:top w:val="nil"/>
              <w:left w:val="nil"/>
              <w:bottom w:val="single" w:sz="4" w:space="0" w:color="auto"/>
              <w:right w:val="single" w:sz="4" w:space="0" w:color="auto"/>
            </w:tcBorders>
          </w:tcPr>
          <w:p w:rsidR="005301E3" w:rsidRPr="003863A6" w:rsidRDefault="005301E3" w:rsidP="00DE41A6">
            <w:pPr>
              <w:jc w:val="center"/>
              <w:rPr>
                <w:b/>
                <w:sz w:val="20"/>
                <w:szCs w:val="20"/>
              </w:rPr>
            </w:pPr>
            <w:r w:rsidRPr="003863A6">
              <w:rPr>
                <w:b/>
                <w:sz w:val="20"/>
                <w:szCs w:val="20"/>
              </w:rPr>
              <w:t>1 621 169</w:t>
            </w:r>
          </w:p>
        </w:tc>
        <w:tc>
          <w:tcPr>
            <w:tcW w:w="1540" w:type="dxa"/>
            <w:tcBorders>
              <w:top w:val="nil"/>
              <w:left w:val="nil"/>
              <w:bottom w:val="single" w:sz="4" w:space="0" w:color="auto"/>
              <w:right w:val="single" w:sz="4" w:space="0" w:color="auto"/>
            </w:tcBorders>
          </w:tcPr>
          <w:p w:rsidR="005301E3" w:rsidRPr="003863A6" w:rsidRDefault="005301E3" w:rsidP="00DE41A6">
            <w:pPr>
              <w:jc w:val="center"/>
              <w:rPr>
                <w:b/>
                <w:sz w:val="20"/>
                <w:szCs w:val="20"/>
              </w:rPr>
            </w:pPr>
            <w:r w:rsidRPr="003863A6">
              <w:rPr>
                <w:b/>
                <w:sz w:val="20"/>
                <w:szCs w:val="20"/>
              </w:rPr>
              <w:t>2 461 939</w:t>
            </w:r>
          </w:p>
        </w:tc>
        <w:tc>
          <w:tcPr>
            <w:tcW w:w="1847" w:type="dxa"/>
            <w:tcBorders>
              <w:top w:val="nil"/>
              <w:left w:val="nil"/>
              <w:bottom w:val="single" w:sz="4" w:space="0" w:color="auto"/>
              <w:right w:val="single" w:sz="4" w:space="0" w:color="auto"/>
            </w:tcBorders>
          </w:tcPr>
          <w:p w:rsidR="005301E3" w:rsidRPr="003863A6" w:rsidRDefault="005301E3" w:rsidP="00DE41A6">
            <w:pPr>
              <w:jc w:val="center"/>
              <w:rPr>
                <w:b/>
                <w:sz w:val="20"/>
                <w:szCs w:val="20"/>
              </w:rPr>
            </w:pPr>
            <w:r w:rsidRPr="003863A6">
              <w:rPr>
                <w:b/>
                <w:sz w:val="20"/>
                <w:szCs w:val="20"/>
              </w:rPr>
              <w:t>2 461 939</w:t>
            </w: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r w:rsidRPr="00B14AD5">
              <w:t> </w:t>
            </w:r>
          </w:p>
        </w:tc>
      </w:tr>
      <w:tr w:rsidR="005301E3" w:rsidRPr="00B14AD5" w:rsidTr="00DE41A6">
        <w:trPr>
          <w:trHeight w:val="70"/>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B14AD5">
              <w:rPr>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r w:rsidRPr="003863A6">
              <w:rPr>
                <w:sz w:val="20"/>
                <w:szCs w:val="20"/>
              </w:rPr>
              <w:t>154 000</w:t>
            </w:r>
          </w:p>
        </w:tc>
        <w:tc>
          <w:tcPr>
            <w:tcW w:w="1650" w:type="dxa"/>
            <w:tcBorders>
              <w:top w:val="nil"/>
              <w:left w:val="nil"/>
              <w:bottom w:val="single" w:sz="4" w:space="0" w:color="auto"/>
              <w:right w:val="single" w:sz="4" w:space="0" w:color="auto"/>
            </w:tcBorders>
          </w:tcPr>
          <w:p w:rsidR="005301E3" w:rsidRPr="004E7AB6" w:rsidRDefault="005301E3" w:rsidP="00DE41A6">
            <w:pPr>
              <w:jc w:val="center"/>
              <w:rPr>
                <w:sz w:val="20"/>
                <w:szCs w:val="20"/>
              </w:rPr>
            </w:pPr>
            <w:r w:rsidRPr="003863A6">
              <w:rPr>
                <w:sz w:val="20"/>
                <w:szCs w:val="20"/>
              </w:rPr>
              <w:t>844 800</w:t>
            </w:r>
          </w:p>
        </w:tc>
        <w:tc>
          <w:tcPr>
            <w:tcW w:w="1540" w:type="dxa"/>
            <w:tcBorders>
              <w:top w:val="nil"/>
              <w:left w:val="nil"/>
              <w:bottom w:val="single" w:sz="4" w:space="0" w:color="auto"/>
              <w:right w:val="single" w:sz="4" w:space="0" w:color="auto"/>
            </w:tcBorders>
          </w:tcPr>
          <w:p w:rsidR="005301E3" w:rsidRPr="004E7AB6" w:rsidRDefault="005301E3" w:rsidP="00DE41A6">
            <w:pPr>
              <w:jc w:val="center"/>
              <w:rPr>
                <w:sz w:val="20"/>
                <w:szCs w:val="20"/>
              </w:rPr>
            </w:pPr>
            <w:r w:rsidRPr="003863A6">
              <w:rPr>
                <w:sz w:val="20"/>
                <w:szCs w:val="20"/>
              </w:rPr>
              <w:t>1 293 600</w:t>
            </w:r>
          </w:p>
        </w:tc>
        <w:tc>
          <w:tcPr>
            <w:tcW w:w="1847" w:type="dxa"/>
            <w:tcBorders>
              <w:top w:val="nil"/>
              <w:left w:val="nil"/>
              <w:bottom w:val="single" w:sz="4" w:space="0" w:color="auto"/>
              <w:right w:val="single" w:sz="4" w:space="0" w:color="auto"/>
            </w:tcBorders>
          </w:tcPr>
          <w:p w:rsidR="005301E3" w:rsidRPr="004E7AB6" w:rsidRDefault="005301E3" w:rsidP="00DE41A6">
            <w:pPr>
              <w:jc w:val="center"/>
              <w:rPr>
                <w:sz w:val="20"/>
                <w:szCs w:val="20"/>
              </w:rPr>
            </w:pPr>
            <w:r w:rsidRPr="003863A6">
              <w:rPr>
                <w:sz w:val="20"/>
                <w:szCs w:val="20"/>
              </w:rPr>
              <w:t>1 293 600</w:t>
            </w: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r w:rsidRPr="00B14AD5">
              <w:t> </w:t>
            </w:r>
          </w:p>
        </w:tc>
      </w:tr>
      <w:tr w:rsidR="005301E3" w:rsidRPr="00B14AD5" w:rsidTr="00DE41A6">
        <w:trPr>
          <w:trHeight w:val="70"/>
        </w:trPr>
        <w:tc>
          <w:tcPr>
            <w:tcW w:w="7070" w:type="dxa"/>
            <w:tcBorders>
              <w:top w:val="nil"/>
              <w:left w:val="single" w:sz="4" w:space="0" w:color="auto"/>
              <w:bottom w:val="single" w:sz="4" w:space="0" w:color="auto"/>
              <w:right w:val="single" w:sz="4" w:space="0" w:color="auto"/>
            </w:tcBorders>
          </w:tcPr>
          <w:p w:rsidR="005301E3" w:rsidRPr="00DE47DE" w:rsidRDefault="005301E3" w:rsidP="00DE41A6">
            <w:pPr>
              <w:rPr>
                <w:sz w:val="20"/>
                <w:szCs w:val="20"/>
              </w:rPr>
            </w:pPr>
            <w:r w:rsidRPr="00B14AD5">
              <w:rPr>
                <w:sz w:val="20"/>
                <w:szCs w:val="20"/>
              </w:rPr>
              <w:t xml:space="preserve">  Poistné a príspevok do poisťovní (620)</w:t>
            </w:r>
          </w:p>
        </w:tc>
        <w:tc>
          <w:tcPr>
            <w:tcW w:w="1430" w:type="dxa"/>
            <w:tcBorders>
              <w:top w:val="nil"/>
              <w:left w:val="nil"/>
              <w:bottom w:val="single" w:sz="4" w:space="0" w:color="auto"/>
              <w:right w:val="single" w:sz="4" w:space="0" w:color="auto"/>
            </w:tcBorders>
          </w:tcPr>
          <w:p w:rsidR="005301E3" w:rsidRPr="004E7AB6" w:rsidRDefault="005301E3" w:rsidP="00DE41A6">
            <w:pPr>
              <w:jc w:val="center"/>
              <w:rPr>
                <w:sz w:val="20"/>
                <w:szCs w:val="20"/>
              </w:rPr>
            </w:pPr>
            <w:r w:rsidRPr="003863A6">
              <w:rPr>
                <w:sz w:val="20"/>
                <w:szCs w:val="20"/>
              </w:rPr>
              <w:t>55 363</w:t>
            </w:r>
          </w:p>
        </w:tc>
        <w:tc>
          <w:tcPr>
            <w:tcW w:w="1650" w:type="dxa"/>
            <w:tcBorders>
              <w:top w:val="nil"/>
              <w:left w:val="nil"/>
              <w:bottom w:val="single" w:sz="4" w:space="0" w:color="auto"/>
              <w:right w:val="single" w:sz="4" w:space="0" w:color="auto"/>
            </w:tcBorders>
          </w:tcPr>
          <w:p w:rsidR="005301E3" w:rsidRPr="004E7AB6" w:rsidRDefault="005301E3" w:rsidP="00DE41A6">
            <w:pPr>
              <w:jc w:val="center"/>
              <w:rPr>
                <w:sz w:val="20"/>
                <w:szCs w:val="20"/>
              </w:rPr>
            </w:pPr>
            <w:r w:rsidRPr="003863A6">
              <w:rPr>
                <w:sz w:val="20"/>
                <w:szCs w:val="20"/>
              </w:rPr>
              <w:t>303 706</w:t>
            </w:r>
          </w:p>
        </w:tc>
        <w:tc>
          <w:tcPr>
            <w:tcW w:w="1540" w:type="dxa"/>
            <w:tcBorders>
              <w:top w:val="nil"/>
              <w:left w:val="nil"/>
              <w:bottom w:val="single" w:sz="4" w:space="0" w:color="auto"/>
              <w:right w:val="single" w:sz="4" w:space="0" w:color="auto"/>
            </w:tcBorders>
          </w:tcPr>
          <w:p w:rsidR="005301E3" w:rsidRPr="004E7AB6" w:rsidRDefault="005301E3" w:rsidP="00DE41A6">
            <w:pPr>
              <w:jc w:val="center"/>
              <w:rPr>
                <w:sz w:val="20"/>
                <w:szCs w:val="20"/>
              </w:rPr>
            </w:pPr>
            <w:r w:rsidRPr="003863A6">
              <w:rPr>
                <w:sz w:val="20"/>
                <w:szCs w:val="20"/>
              </w:rPr>
              <w:t>465 049</w:t>
            </w:r>
          </w:p>
        </w:tc>
        <w:tc>
          <w:tcPr>
            <w:tcW w:w="1847" w:type="dxa"/>
            <w:tcBorders>
              <w:top w:val="nil"/>
              <w:left w:val="nil"/>
              <w:bottom w:val="single" w:sz="4" w:space="0" w:color="auto"/>
              <w:right w:val="single" w:sz="4" w:space="0" w:color="auto"/>
            </w:tcBorders>
          </w:tcPr>
          <w:p w:rsidR="005301E3" w:rsidRPr="004E7AB6" w:rsidRDefault="005301E3" w:rsidP="00DE41A6">
            <w:pPr>
              <w:jc w:val="center"/>
              <w:rPr>
                <w:sz w:val="20"/>
                <w:szCs w:val="20"/>
              </w:rPr>
            </w:pPr>
            <w:r w:rsidRPr="003863A6">
              <w:rPr>
                <w:sz w:val="20"/>
                <w:szCs w:val="20"/>
              </w:rPr>
              <w:t>465 049</w:t>
            </w: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r w:rsidRPr="00B14AD5">
              <w:t> </w:t>
            </w:r>
          </w:p>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DE47DE" w:rsidRDefault="005301E3" w:rsidP="00DE41A6">
            <w:pPr>
              <w:rPr>
                <w:sz w:val="20"/>
                <w:szCs w:val="20"/>
              </w:rPr>
            </w:pPr>
            <w:r w:rsidRPr="00DE47DE">
              <w:rPr>
                <w:sz w:val="20"/>
                <w:szCs w:val="20"/>
              </w:rPr>
              <w:t xml:space="preserve">  Tovary a služby (630)</w:t>
            </w:r>
            <w:r w:rsidRPr="00B14AD5">
              <w:rPr>
                <w:sz w:val="20"/>
                <w:szCs w:val="20"/>
                <w:vertAlign w:val="superscript"/>
              </w:rPr>
              <w:t>2</w:t>
            </w:r>
            <w:r w:rsidRPr="00DE47DE">
              <w:rPr>
                <w:sz w:val="20"/>
                <w:szCs w:val="20"/>
              </w:rPr>
              <w:t>, z toho</w:t>
            </w:r>
          </w:p>
        </w:tc>
        <w:tc>
          <w:tcPr>
            <w:tcW w:w="1430"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r w:rsidRPr="003863A6">
              <w:rPr>
                <w:sz w:val="20"/>
                <w:szCs w:val="20"/>
              </w:rPr>
              <w:t>157 117</w:t>
            </w:r>
          </w:p>
        </w:tc>
        <w:tc>
          <w:tcPr>
            <w:tcW w:w="1650"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r w:rsidRPr="003863A6">
              <w:rPr>
                <w:sz w:val="20"/>
                <w:szCs w:val="20"/>
              </w:rPr>
              <w:t>348 960</w:t>
            </w:r>
          </w:p>
        </w:tc>
        <w:tc>
          <w:tcPr>
            <w:tcW w:w="1540"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r w:rsidRPr="003863A6">
              <w:rPr>
                <w:sz w:val="20"/>
                <w:szCs w:val="20"/>
              </w:rPr>
              <w:t>513 870</w:t>
            </w:r>
          </w:p>
        </w:tc>
        <w:tc>
          <w:tcPr>
            <w:tcW w:w="1847"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r w:rsidRPr="003863A6">
              <w:rPr>
                <w:sz w:val="20"/>
                <w:szCs w:val="20"/>
              </w:rPr>
              <w:t>513 870</w:t>
            </w: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r w:rsidRPr="00B14AD5">
              <w:t> </w:t>
            </w:r>
          </w:p>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DD1205">
              <w:rPr>
                <w:sz w:val="20"/>
                <w:szCs w:val="20"/>
              </w:rPr>
              <w:t xml:space="preserve">     631001 - cestovné náklady zahraničné</w:t>
            </w:r>
          </w:p>
        </w:tc>
        <w:tc>
          <w:tcPr>
            <w:tcW w:w="143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58 333</w:t>
            </w: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160 000</w:t>
            </w:r>
          </w:p>
        </w:tc>
        <w:tc>
          <w:tcPr>
            <w:tcW w:w="154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245 000</w:t>
            </w:r>
          </w:p>
        </w:tc>
        <w:tc>
          <w:tcPr>
            <w:tcW w:w="1847"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245 000</w:t>
            </w: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DD1205">
              <w:rPr>
                <w:sz w:val="20"/>
                <w:szCs w:val="20"/>
              </w:rPr>
              <w:t xml:space="preserve">     632003 - poštové služby</w:t>
            </w:r>
          </w:p>
        </w:tc>
        <w:tc>
          <w:tcPr>
            <w:tcW w:w="143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350</w:t>
            </w: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1 920</w:t>
            </w:r>
          </w:p>
        </w:tc>
        <w:tc>
          <w:tcPr>
            <w:tcW w:w="154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2 940</w:t>
            </w:r>
          </w:p>
        </w:tc>
        <w:tc>
          <w:tcPr>
            <w:tcW w:w="1847"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2 940</w:t>
            </w: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DD1205">
              <w:rPr>
                <w:sz w:val="20"/>
                <w:szCs w:val="20"/>
              </w:rPr>
              <w:t xml:space="preserve">     632005 - telekomunikačné služby</w:t>
            </w:r>
          </w:p>
        </w:tc>
        <w:tc>
          <w:tcPr>
            <w:tcW w:w="143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1 050</w:t>
            </w: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5 760</w:t>
            </w:r>
          </w:p>
        </w:tc>
        <w:tc>
          <w:tcPr>
            <w:tcW w:w="154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8 820</w:t>
            </w:r>
          </w:p>
        </w:tc>
        <w:tc>
          <w:tcPr>
            <w:tcW w:w="1847"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8 820</w:t>
            </w: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DD1205">
              <w:rPr>
                <w:sz w:val="20"/>
                <w:szCs w:val="20"/>
              </w:rPr>
              <w:t xml:space="preserve">     633006 - všeobecný materiál</w:t>
            </w:r>
          </w:p>
        </w:tc>
        <w:tc>
          <w:tcPr>
            <w:tcW w:w="143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875</w:t>
            </w: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4 800</w:t>
            </w:r>
          </w:p>
        </w:tc>
        <w:tc>
          <w:tcPr>
            <w:tcW w:w="154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7 350</w:t>
            </w:r>
          </w:p>
        </w:tc>
        <w:tc>
          <w:tcPr>
            <w:tcW w:w="1847"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7 350</w:t>
            </w: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DD1205">
              <w:rPr>
                <w:sz w:val="20"/>
                <w:szCs w:val="20"/>
              </w:rPr>
              <w:t xml:space="preserve">     633013 - softvér </w:t>
            </w:r>
          </w:p>
        </w:tc>
        <w:tc>
          <w:tcPr>
            <w:tcW w:w="143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3 500</w:t>
            </w: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19 200</w:t>
            </w:r>
          </w:p>
        </w:tc>
        <w:tc>
          <w:tcPr>
            <w:tcW w:w="154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29 400</w:t>
            </w:r>
          </w:p>
        </w:tc>
        <w:tc>
          <w:tcPr>
            <w:tcW w:w="1847"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29 400</w:t>
            </w: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DD1205">
              <w:rPr>
                <w:sz w:val="20"/>
                <w:szCs w:val="20"/>
              </w:rPr>
              <w:t xml:space="preserve">     635002 - údržba výpočtovej techniky</w:t>
            </w:r>
          </w:p>
        </w:tc>
        <w:tc>
          <w:tcPr>
            <w:tcW w:w="143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2 333</w:t>
            </w: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12 800</w:t>
            </w:r>
          </w:p>
        </w:tc>
        <w:tc>
          <w:tcPr>
            <w:tcW w:w="154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19 600</w:t>
            </w:r>
          </w:p>
        </w:tc>
        <w:tc>
          <w:tcPr>
            <w:tcW w:w="1847"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19 600</w:t>
            </w: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DD1205">
              <w:rPr>
                <w:sz w:val="20"/>
                <w:szCs w:val="20"/>
              </w:rPr>
              <w:t xml:space="preserve">     637001 - školenia, kurzy, semináre, porady, konferencie, sympóziá (interné školenia zamestnancov)</w:t>
            </w:r>
          </w:p>
        </w:tc>
        <w:tc>
          <w:tcPr>
            <w:tcW w:w="143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7 292</w:t>
            </w: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40 000</w:t>
            </w:r>
          </w:p>
        </w:tc>
        <w:tc>
          <w:tcPr>
            <w:tcW w:w="154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61 250</w:t>
            </w:r>
          </w:p>
        </w:tc>
        <w:tc>
          <w:tcPr>
            <w:tcW w:w="1847"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61 250</w:t>
            </w: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DD1205">
              <w:rPr>
                <w:sz w:val="20"/>
                <w:szCs w:val="20"/>
              </w:rPr>
              <w:t xml:space="preserve">     637004 - všeobecné služby (ostatné)</w:t>
            </w:r>
          </w:p>
        </w:tc>
        <w:tc>
          <w:tcPr>
            <w:tcW w:w="143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5 950</w:t>
            </w: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32 640</w:t>
            </w:r>
          </w:p>
        </w:tc>
        <w:tc>
          <w:tcPr>
            <w:tcW w:w="154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49 980</w:t>
            </w:r>
          </w:p>
        </w:tc>
        <w:tc>
          <w:tcPr>
            <w:tcW w:w="1847"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49 980</w:t>
            </w: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DD1205">
              <w:rPr>
                <w:sz w:val="20"/>
                <w:szCs w:val="20"/>
              </w:rPr>
              <w:t xml:space="preserve">     637014 - stravovanie</w:t>
            </w:r>
          </w:p>
        </w:tc>
        <w:tc>
          <w:tcPr>
            <w:tcW w:w="143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3 850</w:t>
            </w: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21 120</w:t>
            </w:r>
          </w:p>
        </w:tc>
        <w:tc>
          <w:tcPr>
            <w:tcW w:w="154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32 340</w:t>
            </w:r>
          </w:p>
        </w:tc>
        <w:tc>
          <w:tcPr>
            <w:tcW w:w="1847"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32 340</w:t>
            </w: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DD1205">
              <w:rPr>
                <w:sz w:val="20"/>
                <w:szCs w:val="20"/>
              </w:rPr>
              <w:t xml:space="preserve">     637016 - prídel do sociálneho fondu</w:t>
            </w:r>
          </w:p>
        </w:tc>
        <w:tc>
          <w:tcPr>
            <w:tcW w:w="143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1 283</w:t>
            </w: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7 040</w:t>
            </w:r>
          </w:p>
        </w:tc>
        <w:tc>
          <w:tcPr>
            <w:tcW w:w="154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10 780</w:t>
            </w:r>
          </w:p>
        </w:tc>
        <w:tc>
          <w:tcPr>
            <w:tcW w:w="1847"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10 780</w:t>
            </w: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DD1205">
              <w:rPr>
                <w:sz w:val="20"/>
                <w:szCs w:val="20"/>
              </w:rPr>
              <w:t xml:space="preserve">     633001 - interiérové vybavenie </w:t>
            </w:r>
          </w:p>
        </w:tc>
        <w:tc>
          <w:tcPr>
            <w:tcW w:w="143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10 000</w:t>
            </w: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16 000</w:t>
            </w:r>
          </w:p>
        </w:tc>
        <w:tc>
          <w:tcPr>
            <w:tcW w:w="154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17 000</w:t>
            </w:r>
          </w:p>
        </w:tc>
        <w:tc>
          <w:tcPr>
            <w:tcW w:w="1847"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17 000</w:t>
            </w: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DD1205">
              <w:rPr>
                <w:sz w:val="20"/>
                <w:szCs w:val="20"/>
              </w:rPr>
              <w:t xml:space="preserve">     633002 - výpočtová technika </w:t>
            </w:r>
          </w:p>
        </w:tc>
        <w:tc>
          <w:tcPr>
            <w:tcW w:w="143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16 000</w:t>
            </w: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25 600</w:t>
            </w:r>
          </w:p>
        </w:tc>
        <w:tc>
          <w:tcPr>
            <w:tcW w:w="154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27 200</w:t>
            </w:r>
          </w:p>
        </w:tc>
        <w:tc>
          <w:tcPr>
            <w:tcW w:w="1847"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27 200</w:t>
            </w: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DD1205">
              <w:rPr>
                <w:sz w:val="20"/>
                <w:szCs w:val="20"/>
              </w:rPr>
              <w:t xml:space="preserve">     633003 - telekomunikačná tech. - telefónny aparát (pevná linka)</w:t>
            </w:r>
          </w:p>
        </w:tc>
        <w:tc>
          <w:tcPr>
            <w:tcW w:w="143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1 300</w:t>
            </w: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2 080</w:t>
            </w:r>
          </w:p>
        </w:tc>
        <w:tc>
          <w:tcPr>
            <w:tcW w:w="154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2 210</w:t>
            </w:r>
          </w:p>
        </w:tc>
        <w:tc>
          <w:tcPr>
            <w:tcW w:w="1847"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2 210</w:t>
            </w: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DD1205">
              <w:rPr>
                <w:sz w:val="20"/>
                <w:szCs w:val="20"/>
              </w:rPr>
              <w:t xml:space="preserve">     637001 - školenia, kurzy, semináre, porady, konferencie, sympóziá (náklady na organizovanie podujatí) </w:t>
            </w:r>
          </w:p>
        </w:tc>
        <w:tc>
          <w:tcPr>
            <w:tcW w:w="143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15 000</w:t>
            </w: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p>
        </w:tc>
        <w:tc>
          <w:tcPr>
            <w:tcW w:w="154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p>
        </w:tc>
        <w:tc>
          <w:tcPr>
            <w:tcW w:w="1847"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DD1205">
              <w:rPr>
                <w:sz w:val="20"/>
                <w:szCs w:val="20"/>
              </w:rPr>
              <w:t xml:space="preserve">     637004 - všeobecné služby (náklady na monitoring sociálnych médií)</w:t>
            </w:r>
          </w:p>
        </w:tc>
        <w:tc>
          <w:tcPr>
            <w:tcW w:w="143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30 000</w:t>
            </w: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p>
        </w:tc>
        <w:tc>
          <w:tcPr>
            <w:tcW w:w="154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p>
        </w:tc>
        <w:tc>
          <w:tcPr>
            <w:tcW w:w="1847"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Pr>
                <w:sz w:val="20"/>
                <w:szCs w:val="20"/>
              </w:rPr>
              <w:t xml:space="preserve">     Nájom</w:t>
            </w:r>
          </w:p>
        </w:tc>
        <w:tc>
          <w:tcPr>
            <w:tcW w:w="143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22 550</w:t>
            </w: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123 703</w:t>
            </w:r>
          </w:p>
        </w:tc>
        <w:tc>
          <w:tcPr>
            <w:tcW w:w="154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189 420</w:t>
            </w:r>
          </w:p>
        </w:tc>
        <w:tc>
          <w:tcPr>
            <w:tcW w:w="1847"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3863A6">
              <w:rPr>
                <w:sz w:val="20"/>
                <w:szCs w:val="20"/>
              </w:rPr>
              <w:t>189 420</w:t>
            </w: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tc>
      </w:tr>
      <w:tr w:rsidR="005301E3" w:rsidRPr="00B14AD5" w:rsidTr="00DE41A6">
        <w:trPr>
          <w:trHeight w:val="169"/>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B14AD5">
              <w:rPr>
                <w:sz w:val="20"/>
                <w:szCs w:val="20"/>
              </w:rPr>
              <w:t xml:space="preserve">  Bežné transfery (640)</w:t>
            </w:r>
            <w:r w:rsidRPr="00B14AD5">
              <w:rPr>
                <w:sz w:val="20"/>
                <w:szCs w:val="20"/>
                <w:vertAlign w:val="superscript"/>
              </w:rPr>
              <w:t>2</w:t>
            </w:r>
          </w:p>
        </w:tc>
        <w:tc>
          <w:tcPr>
            <w:tcW w:w="1430"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p>
        </w:tc>
        <w:tc>
          <w:tcPr>
            <w:tcW w:w="154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p>
        </w:tc>
        <w:tc>
          <w:tcPr>
            <w:tcW w:w="1847"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r w:rsidRPr="00B14AD5">
              <w:t> </w:t>
            </w:r>
          </w:p>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vAlign w:val="center"/>
          </w:tcPr>
          <w:p w:rsidR="005301E3" w:rsidRPr="00B14AD5" w:rsidRDefault="005301E3" w:rsidP="00DE41A6">
            <w:pPr>
              <w:rPr>
                <w:sz w:val="20"/>
                <w:szCs w:val="20"/>
              </w:rPr>
            </w:pPr>
            <w:r w:rsidRPr="00B14AD5">
              <w:rPr>
                <w:sz w:val="20"/>
                <w:szCs w:val="20"/>
              </w:rPr>
              <w:t xml:space="preserve">  Splácanie úrokov a ostatné platby súvisiace s </w:t>
            </w:r>
            <w:r w:rsidRPr="00DE47DE">
              <w:rPr>
                <w:sz w:val="20"/>
                <w:szCs w:val="20"/>
              </w:rPr>
              <w:t xml:space="preserve"> </w:t>
            </w:r>
            <w:r w:rsidRPr="00B14AD5">
              <w:rPr>
                <w:sz w:val="20"/>
                <w:szCs w:val="20"/>
              </w:rPr>
              <w:t>úverom, pôžičkou, návratnou finančnou výpomocou a finančným prenájmom (650)</w:t>
            </w:r>
            <w:r w:rsidRPr="00DE47DE">
              <w:rPr>
                <w:sz w:val="20"/>
                <w:szCs w:val="20"/>
              </w:rPr>
              <w:t>2</w:t>
            </w:r>
          </w:p>
        </w:tc>
        <w:tc>
          <w:tcPr>
            <w:tcW w:w="1430"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p>
        </w:tc>
        <w:tc>
          <w:tcPr>
            <w:tcW w:w="154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p>
        </w:tc>
        <w:tc>
          <w:tcPr>
            <w:tcW w:w="1847"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b/>
                <w:bCs/>
                <w:sz w:val="20"/>
                <w:szCs w:val="20"/>
              </w:rPr>
            </w:pPr>
            <w:r w:rsidRPr="00B14AD5">
              <w:rPr>
                <w:b/>
                <w:bCs/>
                <w:sz w:val="20"/>
                <w:szCs w:val="20"/>
              </w:rPr>
              <w:t>Kapitálové výdavky (700)</w:t>
            </w:r>
          </w:p>
        </w:tc>
        <w:tc>
          <w:tcPr>
            <w:tcW w:w="1430" w:type="dxa"/>
            <w:tcBorders>
              <w:top w:val="nil"/>
              <w:left w:val="nil"/>
              <w:bottom w:val="single" w:sz="4" w:space="0" w:color="auto"/>
              <w:right w:val="single" w:sz="4" w:space="0" w:color="auto"/>
            </w:tcBorders>
          </w:tcPr>
          <w:p w:rsidR="005301E3" w:rsidRPr="003863A6" w:rsidRDefault="005301E3" w:rsidP="00DE41A6">
            <w:pPr>
              <w:jc w:val="center"/>
              <w:rPr>
                <w:b/>
                <w:sz w:val="20"/>
                <w:szCs w:val="20"/>
              </w:rPr>
            </w:pPr>
            <w:r w:rsidRPr="003863A6">
              <w:rPr>
                <w:b/>
                <w:sz w:val="20"/>
                <w:szCs w:val="20"/>
              </w:rPr>
              <w:t>24 000</w:t>
            </w:r>
          </w:p>
        </w:tc>
        <w:tc>
          <w:tcPr>
            <w:tcW w:w="1650" w:type="dxa"/>
            <w:tcBorders>
              <w:top w:val="nil"/>
              <w:left w:val="nil"/>
              <w:bottom w:val="single" w:sz="4" w:space="0" w:color="auto"/>
              <w:right w:val="single" w:sz="4" w:space="0" w:color="auto"/>
            </w:tcBorders>
          </w:tcPr>
          <w:p w:rsidR="005301E3" w:rsidRPr="003863A6" w:rsidRDefault="005301E3" w:rsidP="00DE41A6">
            <w:pPr>
              <w:jc w:val="center"/>
              <w:rPr>
                <w:b/>
                <w:sz w:val="20"/>
                <w:szCs w:val="20"/>
              </w:rPr>
            </w:pPr>
          </w:p>
        </w:tc>
        <w:tc>
          <w:tcPr>
            <w:tcW w:w="1540"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p>
        </w:tc>
        <w:tc>
          <w:tcPr>
            <w:tcW w:w="1847"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p>
        </w:tc>
        <w:tc>
          <w:tcPr>
            <w:tcW w:w="1342" w:type="dxa"/>
            <w:tcBorders>
              <w:top w:val="nil"/>
              <w:left w:val="nil"/>
              <w:bottom w:val="single" w:sz="4" w:space="0" w:color="auto"/>
              <w:right w:val="single" w:sz="4" w:space="0" w:color="auto"/>
            </w:tcBorders>
            <w:noWrap/>
            <w:vAlign w:val="bottom"/>
          </w:tcPr>
          <w:p w:rsidR="005301E3" w:rsidRPr="00DE47DE" w:rsidRDefault="005301E3" w:rsidP="00DE41A6">
            <w:pPr>
              <w:rPr>
                <w:sz w:val="20"/>
                <w:szCs w:val="20"/>
              </w:rPr>
            </w:pPr>
            <w:r w:rsidRPr="00DE47DE">
              <w:rPr>
                <w:sz w:val="20"/>
                <w:szCs w:val="20"/>
              </w:rPr>
              <w:t> </w:t>
            </w:r>
          </w:p>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124684" w:rsidRDefault="005301E3" w:rsidP="00DE41A6">
            <w:pPr>
              <w:rPr>
                <w:i/>
                <w:sz w:val="20"/>
                <w:szCs w:val="20"/>
              </w:rPr>
            </w:pPr>
            <w:r w:rsidRPr="00124684">
              <w:rPr>
                <w:i/>
                <w:sz w:val="20"/>
                <w:szCs w:val="20"/>
              </w:rPr>
              <w:t xml:space="preserve">  Obstarávanie kapitálových aktív (710)</w:t>
            </w:r>
            <w:r w:rsidRPr="00124684">
              <w:rPr>
                <w:i/>
                <w:sz w:val="20"/>
                <w:szCs w:val="20"/>
                <w:vertAlign w:val="superscript"/>
              </w:rPr>
              <w:t>2</w:t>
            </w:r>
            <w:r w:rsidRPr="00124684">
              <w:rPr>
                <w:i/>
                <w:sz w:val="20"/>
                <w:szCs w:val="20"/>
              </w:rPr>
              <w:t>, z toho</w:t>
            </w:r>
          </w:p>
        </w:tc>
        <w:tc>
          <w:tcPr>
            <w:tcW w:w="1430"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r>
              <w:rPr>
                <w:sz w:val="20"/>
                <w:szCs w:val="20"/>
              </w:rPr>
              <w:t>2</w:t>
            </w:r>
            <w:r w:rsidRPr="00DE47DE">
              <w:rPr>
                <w:sz w:val="20"/>
                <w:szCs w:val="20"/>
              </w:rPr>
              <w:t>4 000</w:t>
            </w:r>
          </w:p>
        </w:tc>
        <w:tc>
          <w:tcPr>
            <w:tcW w:w="1650"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p>
        </w:tc>
        <w:tc>
          <w:tcPr>
            <w:tcW w:w="1540"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p>
        </w:tc>
        <w:tc>
          <w:tcPr>
            <w:tcW w:w="1847"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p>
        </w:tc>
        <w:tc>
          <w:tcPr>
            <w:tcW w:w="1342" w:type="dxa"/>
            <w:tcBorders>
              <w:top w:val="nil"/>
              <w:left w:val="nil"/>
              <w:bottom w:val="single" w:sz="4" w:space="0" w:color="auto"/>
              <w:right w:val="single" w:sz="4" w:space="0" w:color="auto"/>
            </w:tcBorders>
            <w:noWrap/>
            <w:vAlign w:val="bottom"/>
          </w:tcPr>
          <w:p w:rsidR="005301E3" w:rsidRPr="00DE47DE" w:rsidRDefault="005301E3" w:rsidP="00DE41A6">
            <w:pPr>
              <w:rPr>
                <w:sz w:val="20"/>
                <w:szCs w:val="20"/>
              </w:rPr>
            </w:pPr>
            <w:r w:rsidRPr="00DE47DE">
              <w:rPr>
                <w:sz w:val="20"/>
                <w:szCs w:val="20"/>
              </w:rPr>
              <w:t> </w:t>
            </w:r>
          </w:p>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124684">
              <w:rPr>
                <w:sz w:val="20"/>
                <w:szCs w:val="20"/>
              </w:rPr>
              <w:t xml:space="preserve">     710 - obstaranie kapitálových aktív (rozšírenie dátového úložiska - SQL licencie)</w:t>
            </w:r>
          </w:p>
        </w:tc>
        <w:tc>
          <w:tcPr>
            <w:tcW w:w="143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0861FE">
              <w:rPr>
                <w:sz w:val="20"/>
                <w:szCs w:val="20"/>
              </w:rPr>
              <w:t>15 000</w:t>
            </w: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p>
        </w:tc>
        <w:tc>
          <w:tcPr>
            <w:tcW w:w="1540"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p>
        </w:tc>
        <w:tc>
          <w:tcPr>
            <w:tcW w:w="1847"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p>
        </w:tc>
        <w:tc>
          <w:tcPr>
            <w:tcW w:w="1342" w:type="dxa"/>
            <w:tcBorders>
              <w:top w:val="nil"/>
              <w:left w:val="nil"/>
              <w:bottom w:val="single" w:sz="4" w:space="0" w:color="auto"/>
              <w:right w:val="single" w:sz="4" w:space="0" w:color="auto"/>
            </w:tcBorders>
            <w:noWrap/>
            <w:vAlign w:val="bottom"/>
          </w:tcPr>
          <w:p w:rsidR="005301E3" w:rsidRPr="00DE47DE" w:rsidRDefault="005301E3" w:rsidP="00DE41A6">
            <w:pPr>
              <w:rPr>
                <w:sz w:val="20"/>
                <w:szCs w:val="20"/>
              </w:rPr>
            </w:pPr>
          </w:p>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Default="005301E3" w:rsidP="00DE41A6">
            <w:pPr>
              <w:rPr>
                <w:sz w:val="20"/>
                <w:szCs w:val="20"/>
              </w:rPr>
            </w:pPr>
            <w:r w:rsidRPr="00124684">
              <w:rPr>
                <w:sz w:val="20"/>
                <w:szCs w:val="20"/>
              </w:rPr>
              <w:t xml:space="preserve">     710 - obstaranie kapitálových aktív (veľkokapacitné multifunkčné kopírovacie </w:t>
            </w:r>
            <w:r>
              <w:rPr>
                <w:sz w:val="20"/>
                <w:szCs w:val="20"/>
              </w:rPr>
              <w:t xml:space="preserve">                    </w:t>
            </w:r>
          </w:p>
          <w:p w:rsidR="005301E3" w:rsidRPr="00B14AD5" w:rsidRDefault="005301E3" w:rsidP="00DE41A6">
            <w:pPr>
              <w:rPr>
                <w:sz w:val="20"/>
                <w:szCs w:val="20"/>
              </w:rPr>
            </w:pPr>
            <w:r>
              <w:rPr>
                <w:sz w:val="20"/>
                <w:szCs w:val="20"/>
              </w:rPr>
              <w:lastRenderedPageBreak/>
              <w:t xml:space="preserve">     </w:t>
            </w:r>
            <w:r w:rsidRPr="00124684">
              <w:rPr>
                <w:sz w:val="20"/>
                <w:szCs w:val="20"/>
              </w:rPr>
              <w:t>zariadenie)</w:t>
            </w:r>
          </w:p>
        </w:tc>
        <w:tc>
          <w:tcPr>
            <w:tcW w:w="143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r w:rsidRPr="000861FE">
              <w:rPr>
                <w:sz w:val="20"/>
                <w:szCs w:val="20"/>
              </w:rPr>
              <w:lastRenderedPageBreak/>
              <w:t>9 000</w:t>
            </w:r>
          </w:p>
        </w:tc>
        <w:tc>
          <w:tcPr>
            <w:tcW w:w="1650" w:type="dxa"/>
            <w:tcBorders>
              <w:top w:val="nil"/>
              <w:left w:val="nil"/>
              <w:bottom w:val="single" w:sz="4" w:space="0" w:color="auto"/>
              <w:right w:val="single" w:sz="4" w:space="0" w:color="auto"/>
            </w:tcBorders>
          </w:tcPr>
          <w:p w:rsidR="005301E3" w:rsidRPr="000861FE" w:rsidRDefault="005301E3" w:rsidP="00DE41A6">
            <w:pPr>
              <w:jc w:val="center"/>
              <w:rPr>
                <w:sz w:val="20"/>
                <w:szCs w:val="20"/>
              </w:rPr>
            </w:pPr>
          </w:p>
        </w:tc>
        <w:tc>
          <w:tcPr>
            <w:tcW w:w="1540"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p>
        </w:tc>
        <w:tc>
          <w:tcPr>
            <w:tcW w:w="1847"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p>
        </w:tc>
        <w:tc>
          <w:tcPr>
            <w:tcW w:w="1342" w:type="dxa"/>
            <w:tcBorders>
              <w:top w:val="nil"/>
              <w:left w:val="nil"/>
              <w:bottom w:val="single" w:sz="4" w:space="0" w:color="auto"/>
              <w:right w:val="single" w:sz="4" w:space="0" w:color="auto"/>
            </w:tcBorders>
            <w:noWrap/>
            <w:vAlign w:val="bottom"/>
          </w:tcPr>
          <w:p w:rsidR="005301E3" w:rsidRPr="00DE47DE" w:rsidRDefault="005301E3" w:rsidP="00DE41A6">
            <w:pPr>
              <w:rPr>
                <w:sz w:val="20"/>
                <w:szCs w:val="20"/>
              </w:rPr>
            </w:pPr>
          </w:p>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sz w:val="20"/>
                <w:szCs w:val="20"/>
              </w:rPr>
            </w:pPr>
            <w:r w:rsidRPr="00B14AD5">
              <w:rPr>
                <w:sz w:val="20"/>
                <w:szCs w:val="20"/>
              </w:rPr>
              <w:t xml:space="preserve">  Kapitálové transfery (720)</w:t>
            </w:r>
            <w:r w:rsidRPr="00B14AD5">
              <w:rPr>
                <w:sz w:val="20"/>
                <w:szCs w:val="20"/>
                <w:vertAlign w:val="superscript"/>
              </w:rPr>
              <w:t>2</w:t>
            </w:r>
          </w:p>
        </w:tc>
        <w:tc>
          <w:tcPr>
            <w:tcW w:w="1430"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p>
        </w:tc>
        <w:tc>
          <w:tcPr>
            <w:tcW w:w="1650"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p>
        </w:tc>
        <w:tc>
          <w:tcPr>
            <w:tcW w:w="1540"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p>
        </w:tc>
        <w:tc>
          <w:tcPr>
            <w:tcW w:w="1847" w:type="dxa"/>
            <w:tcBorders>
              <w:top w:val="nil"/>
              <w:left w:val="nil"/>
              <w:bottom w:val="single" w:sz="4" w:space="0" w:color="auto"/>
              <w:right w:val="single" w:sz="4" w:space="0" w:color="auto"/>
            </w:tcBorders>
          </w:tcPr>
          <w:p w:rsidR="005301E3" w:rsidRPr="00DE47DE" w:rsidRDefault="005301E3" w:rsidP="00DE41A6">
            <w:pPr>
              <w:jc w:val="center"/>
              <w:rPr>
                <w:sz w:val="20"/>
                <w:szCs w:val="20"/>
              </w:rPr>
            </w:pPr>
          </w:p>
        </w:tc>
        <w:tc>
          <w:tcPr>
            <w:tcW w:w="1342" w:type="dxa"/>
            <w:tcBorders>
              <w:top w:val="nil"/>
              <w:left w:val="nil"/>
              <w:bottom w:val="single" w:sz="4" w:space="0" w:color="auto"/>
              <w:right w:val="single" w:sz="4" w:space="0" w:color="auto"/>
            </w:tcBorders>
            <w:noWrap/>
            <w:vAlign w:val="bottom"/>
          </w:tcPr>
          <w:p w:rsidR="005301E3" w:rsidRPr="00DE47DE" w:rsidRDefault="005301E3" w:rsidP="00DE41A6">
            <w:pPr>
              <w:rPr>
                <w:sz w:val="20"/>
                <w:szCs w:val="20"/>
              </w:rPr>
            </w:pPr>
            <w:r w:rsidRPr="00DE47DE">
              <w:rPr>
                <w:sz w:val="20"/>
                <w:szCs w:val="20"/>
              </w:rPr>
              <w:t> </w:t>
            </w:r>
          </w:p>
        </w:tc>
      </w:tr>
      <w:tr w:rsidR="005301E3" w:rsidRPr="00B14AD5" w:rsidTr="00DE41A6">
        <w:trPr>
          <w:trHeight w:val="255"/>
        </w:trPr>
        <w:tc>
          <w:tcPr>
            <w:tcW w:w="7070" w:type="dxa"/>
            <w:tcBorders>
              <w:top w:val="nil"/>
              <w:left w:val="single" w:sz="4" w:space="0" w:color="auto"/>
              <w:bottom w:val="single" w:sz="4" w:space="0" w:color="auto"/>
              <w:right w:val="single" w:sz="4" w:space="0" w:color="auto"/>
            </w:tcBorders>
          </w:tcPr>
          <w:p w:rsidR="005301E3" w:rsidRPr="00B14AD5" w:rsidRDefault="005301E3" w:rsidP="00DE41A6">
            <w:pPr>
              <w:rPr>
                <w:b/>
                <w:bCs/>
                <w:sz w:val="20"/>
                <w:szCs w:val="20"/>
              </w:rPr>
            </w:pPr>
            <w:r w:rsidRPr="00B14AD5">
              <w:rPr>
                <w:b/>
                <w:bCs/>
                <w:sz w:val="20"/>
                <w:szCs w:val="20"/>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FFFF99"/>
          </w:tcPr>
          <w:p w:rsidR="005301E3" w:rsidRPr="000861FE" w:rsidRDefault="005301E3" w:rsidP="00DE41A6">
            <w:pPr>
              <w:jc w:val="center"/>
            </w:pPr>
          </w:p>
        </w:tc>
        <w:tc>
          <w:tcPr>
            <w:tcW w:w="1650" w:type="dxa"/>
            <w:tcBorders>
              <w:top w:val="nil"/>
              <w:left w:val="nil"/>
              <w:bottom w:val="single" w:sz="4" w:space="0" w:color="auto"/>
              <w:right w:val="single" w:sz="4" w:space="0" w:color="auto"/>
            </w:tcBorders>
            <w:shd w:val="clear" w:color="auto" w:fill="FFFF99"/>
          </w:tcPr>
          <w:p w:rsidR="005301E3" w:rsidRPr="000861FE" w:rsidRDefault="005301E3" w:rsidP="00DE41A6">
            <w:pPr>
              <w:jc w:val="center"/>
            </w:pPr>
          </w:p>
        </w:tc>
        <w:tc>
          <w:tcPr>
            <w:tcW w:w="1540" w:type="dxa"/>
            <w:tcBorders>
              <w:top w:val="nil"/>
              <w:left w:val="nil"/>
              <w:bottom w:val="single" w:sz="4" w:space="0" w:color="auto"/>
              <w:right w:val="single" w:sz="4" w:space="0" w:color="auto"/>
            </w:tcBorders>
            <w:shd w:val="clear" w:color="auto" w:fill="FFFF99"/>
          </w:tcPr>
          <w:p w:rsidR="005301E3" w:rsidRPr="000861FE" w:rsidRDefault="005301E3" w:rsidP="00DE41A6">
            <w:pPr>
              <w:jc w:val="center"/>
            </w:pPr>
          </w:p>
        </w:tc>
        <w:tc>
          <w:tcPr>
            <w:tcW w:w="1847" w:type="dxa"/>
            <w:tcBorders>
              <w:top w:val="nil"/>
              <w:left w:val="nil"/>
              <w:bottom w:val="single" w:sz="4" w:space="0" w:color="auto"/>
              <w:right w:val="single" w:sz="4" w:space="0" w:color="auto"/>
            </w:tcBorders>
            <w:shd w:val="clear" w:color="auto" w:fill="FFFF99"/>
          </w:tcPr>
          <w:p w:rsidR="005301E3" w:rsidRPr="000861FE" w:rsidRDefault="005301E3" w:rsidP="00DE41A6">
            <w:pPr>
              <w:jc w:val="center"/>
            </w:pPr>
          </w:p>
        </w:tc>
        <w:tc>
          <w:tcPr>
            <w:tcW w:w="1342" w:type="dxa"/>
            <w:tcBorders>
              <w:top w:val="nil"/>
              <w:left w:val="nil"/>
              <w:bottom w:val="single" w:sz="4" w:space="0" w:color="auto"/>
              <w:right w:val="single" w:sz="4" w:space="0" w:color="auto"/>
            </w:tcBorders>
            <w:noWrap/>
            <w:vAlign w:val="bottom"/>
          </w:tcPr>
          <w:p w:rsidR="005301E3" w:rsidRPr="00B14AD5" w:rsidRDefault="005301E3" w:rsidP="00DE41A6">
            <w:r w:rsidRPr="00B14AD5">
              <w:t> </w:t>
            </w:r>
          </w:p>
        </w:tc>
      </w:tr>
      <w:tr w:rsidR="005301E3" w:rsidRPr="00B14AD5" w:rsidTr="00DE41A6">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01E3" w:rsidRPr="00B14AD5" w:rsidRDefault="005301E3" w:rsidP="00DE41A6">
            <w:pPr>
              <w:rPr>
                <w:b/>
                <w:bCs/>
                <w:sz w:val="20"/>
                <w:szCs w:val="20"/>
              </w:rPr>
            </w:pPr>
            <w:r w:rsidRPr="00B14AD5">
              <w:rPr>
                <w:b/>
                <w:bCs/>
                <w:sz w:val="20"/>
                <w:szCs w:val="20"/>
              </w:rPr>
              <w:t>Dopad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5301E3" w:rsidRPr="003863A6" w:rsidRDefault="005301E3" w:rsidP="00DE41A6">
            <w:pPr>
              <w:jc w:val="center"/>
              <w:rPr>
                <w:b/>
                <w:sz w:val="20"/>
                <w:szCs w:val="20"/>
              </w:rPr>
            </w:pPr>
            <w:r w:rsidRPr="003863A6">
              <w:rPr>
                <w:b/>
                <w:sz w:val="20"/>
                <w:szCs w:val="20"/>
              </w:rPr>
              <w:t>413 030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5301E3" w:rsidRPr="003863A6" w:rsidRDefault="005301E3" w:rsidP="00DE41A6">
            <w:pPr>
              <w:jc w:val="center"/>
              <w:rPr>
                <w:b/>
                <w:sz w:val="20"/>
                <w:szCs w:val="20"/>
              </w:rPr>
            </w:pPr>
            <w:r w:rsidRPr="003863A6">
              <w:rPr>
                <w:b/>
                <w:sz w:val="20"/>
                <w:szCs w:val="20"/>
              </w:rPr>
              <w:t>1 621 169</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5301E3" w:rsidRPr="003863A6" w:rsidRDefault="005301E3" w:rsidP="00DE41A6">
            <w:pPr>
              <w:jc w:val="center"/>
              <w:rPr>
                <w:b/>
                <w:sz w:val="20"/>
                <w:szCs w:val="20"/>
              </w:rPr>
            </w:pPr>
            <w:r w:rsidRPr="003863A6">
              <w:rPr>
                <w:b/>
                <w:sz w:val="20"/>
                <w:szCs w:val="20"/>
              </w:rPr>
              <w:t>2 461 939</w:t>
            </w:r>
          </w:p>
        </w:tc>
        <w:tc>
          <w:tcPr>
            <w:tcW w:w="1847" w:type="dxa"/>
            <w:tcBorders>
              <w:top w:val="single" w:sz="4" w:space="0" w:color="auto"/>
              <w:left w:val="nil"/>
              <w:bottom w:val="single" w:sz="4" w:space="0" w:color="auto"/>
              <w:right w:val="single" w:sz="4" w:space="0" w:color="auto"/>
            </w:tcBorders>
            <w:shd w:val="clear" w:color="auto" w:fill="BFBFBF" w:themeFill="background1" w:themeFillShade="BF"/>
          </w:tcPr>
          <w:p w:rsidR="005301E3" w:rsidRPr="003863A6" w:rsidRDefault="005301E3" w:rsidP="00DE41A6">
            <w:pPr>
              <w:jc w:val="center"/>
              <w:rPr>
                <w:b/>
                <w:sz w:val="20"/>
                <w:szCs w:val="20"/>
              </w:rPr>
            </w:pPr>
            <w:r w:rsidRPr="003863A6">
              <w:rPr>
                <w:b/>
                <w:sz w:val="20"/>
                <w:szCs w:val="20"/>
              </w:rPr>
              <w:t>2 461 939</w:t>
            </w:r>
          </w:p>
        </w:tc>
        <w:tc>
          <w:tcPr>
            <w:tcW w:w="1342"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5301E3" w:rsidRPr="003863A6" w:rsidRDefault="005301E3" w:rsidP="00DE41A6">
            <w:pPr>
              <w:rPr>
                <w:sz w:val="20"/>
                <w:szCs w:val="20"/>
              </w:rPr>
            </w:pPr>
            <w:r w:rsidRPr="003863A6">
              <w:rPr>
                <w:sz w:val="20"/>
                <w:szCs w:val="20"/>
              </w:rPr>
              <w:t> </w:t>
            </w:r>
          </w:p>
        </w:tc>
      </w:tr>
    </w:tbl>
    <w:p w:rsidR="005301E3" w:rsidRPr="00DD40FA" w:rsidRDefault="005301E3" w:rsidP="005301E3">
      <w:pPr>
        <w:tabs>
          <w:tab w:val="num" w:pos="1080"/>
        </w:tabs>
        <w:ind w:left="-900"/>
        <w:jc w:val="both"/>
        <w:rPr>
          <w:bCs/>
          <w:sz w:val="20"/>
          <w:szCs w:val="20"/>
        </w:rPr>
      </w:pPr>
      <w:r w:rsidRPr="00B14AD5">
        <w:rPr>
          <w:bCs/>
          <w:sz w:val="20"/>
          <w:szCs w:val="20"/>
        </w:rPr>
        <w:t>2 –  výdavky rozpísať až do položiek platnej ekonomickej klasifikácie</w:t>
      </w:r>
    </w:p>
    <w:p w:rsidR="005301E3" w:rsidRPr="00B14AD5" w:rsidRDefault="005301E3" w:rsidP="005301E3">
      <w:pPr>
        <w:tabs>
          <w:tab w:val="num" w:pos="1080"/>
        </w:tabs>
        <w:ind w:left="-900"/>
        <w:jc w:val="both"/>
        <w:rPr>
          <w:b/>
          <w:bCs/>
          <w:sz w:val="20"/>
          <w:szCs w:val="20"/>
        </w:rPr>
      </w:pPr>
      <w:r w:rsidRPr="00B14AD5">
        <w:rPr>
          <w:b/>
          <w:bCs/>
          <w:szCs w:val="20"/>
        </w:rPr>
        <w:t>Poznámka:</w:t>
      </w:r>
    </w:p>
    <w:p w:rsidR="005301E3" w:rsidRPr="00B14AD5" w:rsidRDefault="005301E3" w:rsidP="005301E3">
      <w:pPr>
        <w:tabs>
          <w:tab w:val="num" w:pos="1080"/>
        </w:tabs>
        <w:ind w:left="-900"/>
        <w:jc w:val="both"/>
        <w:rPr>
          <w:bCs/>
          <w:sz w:val="20"/>
          <w:szCs w:val="20"/>
        </w:rPr>
      </w:pPr>
      <w:r w:rsidRPr="00B14AD5">
        <w:rPr>
          <w:bCs/>
          <w:szCs w:val="20"/>
        </w:rPr>
        <w:t>Ak sa vplyv týka viacerých subjektov verejnej správy, vypĺňa sa samostatná tabuľka za každý subjekt.</w:t>
      </w:r>
    </w:p>
    <w:p w:rsidR="005301E3" w:rsidRDefault="005301E3" w:rsidP="005301E3">
      <w:pPr>
        <w:tabs>
          <w:tab w:val="num" w:pos="1080"/>
        </w:tabs>
        <w:jc w:val="both"/>
        <w:rPr>
          <w:bCs/>
          <w:sz w:val="20"/>
          <w:szCs w:val="20"/>
        </w:rPr>
      </w:pPr>
    </w:p>
    <w:p w:rsidR="005301E3" w:rsidRDefault="005301E3" w:rsidP="005301E3">
      <w:pPr>
        <w:tabs>
          <w:tab w:val="num" w:pos="1080"/>
        </w:tabs>
        <w:jc w:val="both"/>
        <w:rPr>
          <w:bCs/>
          <w:sz w:val="20"/>
          <w:szCs w:val="20"/>
        </w:rPr>
      </w:pPr>
    </w:p>
    <w:p w:rsidR="005301E3" w:rsidRPr="007B7470" w:rsidRDefault="005301E3" w:rsidP="005301E3">
      <w:pPr>
        <w:tabs>
          <w:tab w:val="num" w:pos="1080"/>
        </w:tabs>
        <w:ind w:left="-900"/>
        <w:jc w:val="both"/>
        <w:rPr>
          <w:bCs/>
          <w:sz w:val="20"/>
          <w:szCs w:val="20"/>
        </w:rPr>
      </w:pPr>
    </w:p>
    <w:p w:rsidR="005301E3" w:rsidRPr="007B7470" w:rsidRDefault="005301E3" w:rsidP="005301E3">
      <w:pPr>
        <w:tabs>
          <w:tab w:val="num" w:pos="1080"/>
        </w:tabs>
        <w:ind w:left="-900"/>
        <w:jc w:val="both"/>
        <w:rPr>
          <w:bCs/>
          <w:sz w:val="20"/>
          <w:szCs w:val="20"/>
        </w:rPr>
      </w:pPr>
      <w:r w:rsidRPr="007B7470">
        <w:rPr>
          <w:bCs/>
          <w:sz w:val="20"/>
          <w:szCs w:val="20"/>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5301E3" w:rsidRPr="007B7470" w:rsidTr="00DE41A6">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5301E3" w:rsidRPr="007B7470" w:rsidRDefault="005301E3" w:rsidP="00DE41A6">
            <w:pPr>
              <w:jc w:val="center"/>
              <w:rPr>
                <w:b/>
                <w:bCs/>
                <w:color w:val="000000" w:themeColor="text1"/>
                <w:sz w:val="20"/>
                <w:szCs w:val="20"/>
              </w:rPr>
            </w:pPr>
            <w:r w:rsidRPr="007B7470">
              <w:rPr>
                <w:b/>
                <w:bCs/>
                <w:color w:val="000000" w:themeColor="text1"/>
                <w:sz w:val="20"/>
                <w:szCs w:val="20"/>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301E3" w:rsidRPr="007B7470" w:rsidRDefault="005301E3" w:rsidP="00DE41A6">
            <w:pPr>
              <w:jc w:val="center"/>
              <w:rPr>
                <w:b/>
                <w:bCs/>
                <w:color w:val="000000" w:themeColor="text1"/>
                <w:sz w:val="20"/>
                <w:szCs w:val="20"/>
              </w:rPr>
            </w:pPr>
            <w:r w:rsidRPr="007B7470">
              <w:rPr>
                <w:b/>
                <w:bCs/>
                <w:color w:val="000000" w:themeColor="text1"/>
                <w:sz w:val="20"/>
                <w:szCs w:val="20"/>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301E3" w:rsidRPr="007B7470" w:rsidRDefault="005301E3" w:rsidP="00DE41A6">
            <w:pPr>
              <w:jc w:val="center"/>
              <w:rPr>
                <w:b/>
                <w:bCs/>
                <w:color w:val="000000" w:themeColor="text1"/>
              </w:rPr>
            </w:pPr>
            <w:r w:rsidRPr="007B7470">
              <w:rPr>
                <w:b/>
                <w:bCs/>
                <w:color w:val="000000" w:themeColor="text1"/>
              </w:rPr>
              <w:t>poznámka</w:t>
            </w:r>
          </w:p>
        </w:tc>
      </w:tr>
      <w:tr w:rsidR="005301E3" w:rsidRPr="007B7470" w:rsidTr="00DE41A6">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5301E3" w:rsidRPr="007B7470" w:rsidRDefault="005301E3" w:rsidP="00DE41A6">
            <w:pPr>
              <w:rPr>
                <w:b/>
                <w:bCs/>
                <w:color w:val="000000" w:themeColor="text1"/>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tcPr>
          <w:p w:rsidR="005301E3" w:rsidRPr="007B7470" w:rsidRDefault="005301E3" w:rsidP="00DE41A6">
            <w:pPr>
              <w:jc w:val="center"/>
              <w:rPr>
                <w:b/>
                <w:bCs/>
              </w:rPr>
            </w:pPr>
            <w:r w:rsidRPr="00DE61E4">
              <w:rPr>
                <w:b/>
                <w:bCs/>
                <w:sz w:val="20"/>
                <w:szCs w:val="20"/>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5301E3" w:rsidRPr="007B7470" w:rsidRDefault="005301E3" w:rsidP="00DE41A6">
            <w:pPr>
              <w:jc w:val="center"/>
              <w:rPr>
                <w:b/>
                <w:bCs/>
              </w:rPr>
            </w:pPr>
            <w:r w:rsidRPr="00DE61E4">
              <w:rPr>
                <w:b/>
                <w:bCs/>
                <w:sz w:val="20"/>
                <w:szCs w:val="20"/>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5301E3" w:rsidRPr="007B7470" w:rsidRDefault="005301E3" w:rsidP="00DE41A6">
            <w:pPr>
              <w:jc w:val="center"/>
              <w:rPr>
                <w:b/>
                <w:bCs/>
              </w:rPr>
            </w:pPr>
            <w:r w:rsidRPr="00DE61E4">
              <w:rPr>
                <w:b/>
                <w:bCs/>
                <w:sz w:val="20"/>
                <w:szCs w:val="20"/>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5301E3" w:rsidRPr="007B7470" w:rsidRDefault="005301E3" w:rsidP="00DE41A6">
            <w:pPr>
              <w:jc w:val="center"/>
              <w:rPr>
                <w:b/>
                <w:bCs/>
              </w:rPr>
            </w:pPr>
            <w:r>
              <w:rPr>
                <w:b/>
                <w:bCs/>
                <w:sz w:val="20"/>
                <w:szCs w:val="20"/>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5301E3" w:rsidRPr="007B7470" w:rsidRDefault="005301E3" w:rsidP="00DE41A6">
            <w:pPr>
              <w:rPr>
                <w:b/>
                <w:bCs/>
                <w:color w:val="000000" w:themeColor="text1"/>
              </w:rPr>
            </w:pPr>
          </w:p>
        </w:tc>
      </w:tr>
      <w:tr w:rsidR="005301E3" w:rsidRPr="007B7470" w:rsidTr="00DE41A6">
        <w:trPr>
          <w:trHeight w:val="322"/>
        </w:trPr>
        <w:tc>
          <w:tcPr>
            <w:tcW w:w="7070" w:type="dxa"/>
            <w:tcBorders>
              <w:top w:val="nil"/>
              <w:left w:val="single" w:sz="4" w:space="0" w:color="auto"/>
              <w:bottom w:val="single" w:sz="4" w:space="0" w:color="auto"/>
              <w:right w:val="single" w:sz="4" w:space="0" w:color="auto"/>
            </w:tcBorders>
          </w:tcPr>
          <w:p w:rsidR="005301E3" w:rsidRPr="007B7470" w:rsidRDefault="005301E3" w:rsidP="00DE41A6">
            <w:pPr>
              <w:rPr>
                <w:b/>
                <w:bCs/>
                <w:color w:val="000000" w:themeColor="text1"/>
                <w:sz w:val="20"/>
                <w:szCs w:val="20"/>
              </w:rPr>
            </w:pPr>
            <w:r w:rsidRPr="007B7470">
              <w:rPr>
                <w:b/>
                <w:bCs/>
                <w:color w:val="000000" w:themeColor="text1"/>
                <w:sz w:val="20"/>
                <w:szCs w:val="20"/>
              </w:rPr>
              <w:t>Kapitálové príjmy (230)</w:t>
            </w:r>
          </w:p>
        </w:tc>
        <w:tc>
          <w:tcPr>
            <w:tcW w:w="1430" w:type="dxa"/>
            <w:tcBorders>
              <w:top w:val="nil"/>
              <w:left w:val="nil"/>
              <w:bottom w:val="single" w:sz="4" w:space="0" w:color="auto"/>
              <w:right w:val="single" w:sz="4" w:space="0" w:color="auto"/>
            </w:tcBorders>
          </w:tcPr>
          <w:p w:rsidR="005301E3" w:rsidRPr="007B7470" w:rsidRDefault="005301E3" w:rsidP="00DE41A6">
            <w:pPr>
              <w:jc w:val="center"/>
              <w:rPr>
                <w:b/>
                <w:bCs/>
                <w:color w:val="000000" w:themeColor="text1"/>
                <w:sz w:val="20"/>
                <w:szCs w:val="20"/>
              </w:rPr>
            </w:pPr>
          </w:p>
        </w:tc>
        <w:tc>
          <w:tcPr>
            <w:tcW w:w="1650" w:type="dxa"/>
            <w:tcBorders>
              <w:top w:val="nil"/>
              <w:left w:val="nil"/>
              <w:bottom w:val="single" w:sz="4" w:space="0" w:color="auto"/>
              <w:right w:val="single" w:sz="4" w:space="0" w:color="auto"/>
            </w:tcBorders>
          </w:tcPr>
          <w:p w:rsidR="005301E3" w:rsidRPr="007B7470" w:rsidRDefault="005301E3" w:rsidP="00DE41A6">
            <w:pPr>
              <w:jc w:val="center"/>
              <w:rPr>
                <w:b/>
                <w:bCs/>
                <w:color w:val="000000" w:themeColor="text1"/>
                <w:sz w:val="20"/>
                <w:szCs w:val="20"/>
              </w:rPr>
            </w:pPr>
          </w:p>
        </w:tc>
        <w:tc>
          <w:tcPr>
            <w:tcW w:w="1540" w:type="dxa"/>
            <w:tcBorders>
              <w:top w:val="nil"/>
              <w:left w:val="nil"/>
              <w:bottom w:val="single" w:sz="4" w:space="0" w:color="auto"/>
              <w:right w:val="single" w:sz="4" w:space="0" w:color="auto"/>
            </w:tcBorders>
          </w:tcPr>
          <w:p w:rsidR="005301E3" w:rsidRPr="007B7470" w:rsidRDefault="005301E3" w:rsidP="00DE41A6">
            <w:pPr>
              <w:jc w:val="center"/>
              <w:rPr>
                <w:b/>
                <w:bCs/>
                <w:color w:val="000000" w:themeColor="text1"/>
                <w:sz w:val="20"/>
                <w:szCs w:val="20"/>
              </w:rPr>
            </w:pPr>
          </w:p>
        </w:tc>
        <w:tc>
          <w:tcPr>
            <w:tcW w:w="1540" w:type="dxa"/>
            <w:tcBorders>
              <w:top w:val="nil"/>
              <w:left w:val="nil"/>
              <w:bottom w:val="single" w:sz="4" w:space="0" w:color="auto"/>
              <w:right w:val="single" w:sz="4" w:space="0" w:color="auto"/>
            </w:tcBorders>
          </w:tcPr>
          <w:p w:rsidR="005301E3" w:rsidRPr="007B7470" w:rsidRDefault="005301E3" w:rsidP="00DE41A6">
            <w:pPr>
              <w:jc w:val="center"/>
              <w:rPr>
                <w:b/>
                <w:bCs/>
                <w:color w:val="000000" w:themeColor="text1"/>
              </w:rPr>
            </w:pPr>
          </w:p>
        </w:tc>
        <w:tc>
          <w:tcPr>
            <w:tcW w:w="1649" w:type="dxa"/>
            <w:tcBorders>
              <w:top w:val="nil"/>
              <w:left w:val="nil"/>
              <w:bottom w:val="single" w:sz="4" w:space="0" w:color="auto"/>
              <w:right w:val="single" w:sz="4" w:space="0" w:color="auto"/>
            </w:tcBorders>
            <w:noWrap/>
            <w:vAlign w:val="bottom"/>
          </w:tcPr>
          <w:p w:rsidR="005301E3" w:rsidRPr="007B7470" w:rsidRDefault="005301E3" w:rsidP="00DE41A6">
            <w:pPr>
              <w:rPr>
                <w:color w:val="000000" w:themeColor="text1"/>
              </w:rPr>
            </w:pPr>
          </w:p>
        </w:tc>
      </w:tr>
      <w:tr w:rsidR="005301E3" w:rsidRPr="007B7470" w:rsidTr="00DE41A6">
        <w:trPr>
          <w:trHeight w:val="255"/>
        </w:trPr>
        <w:tc>
          <w:tcPr>
            <w:tcW w:w="7070" w:type="dxa"/>
            <w:tcBorders>
              <w:top w:val="nil"/>
              <w:left w:val="single" w:sz="4" w:space="0" w:color="auto"/>
              <w:bottom w:val="single" w:sz="4" w:space="0" w:color="auto"/>
              <w:right w:val="single" w:sz="4" w:space="0" w:color="auto"/>
            </w:tcBorders>
          </w:tcPr>
          <w:p w:rsidR="005301E3" w:rsidRPr="007B7470" w:rsidRDefault="005301E3" w:rsidP="00DE41A6">
            <w:pPr>
              <w:rPr>
                <w:b/>
                <w:bCs/>
                <w:color w:val="000000" w:themeColor="text1"/>
                <w:sz w:val="20"/>
                <w:szCs w:val="20"/>
              </w:rPr>
            </w:pPr>
            <w:r w:rsidRPr="007B7470">
              <w:rPr>
                <w:b/>
                <w:bCs/>
                <w:color w:val="000000" w:themeColor="text1"/>
                <w:sz w:val="20"/>
                <w:szCs w:val="20"/>
              </w:rPr>
              <w:t>Bežné výdavky (600)</w:t>
            </w:r>
          </w:p>
        </w:tc>
        <w:tc>
          <w:tcPr>
            <w:tcW w:w="1430" w:type="dxa"/>
            <w:tcBorders>
              <w:top w:val="nil"/>
              <w:left w:val="nil"/>
              <w:bottom w:val="single" w:sz="4" w:space="0" w:color="auto"/>
              <w:right w:val="single" w:sz="4" w:space="0" w:color="auto"/>
            </w:tcBorders>
          </w:tcPr>
          <w:p w:rsidR="005301E3" w:rsidRPr="004E7AB6" w:rsidRDefault="005301E3" w:rsidP="00DE41A6">
            <w:pPr>
              <w:jc w:val="center"/>
              <w:rPr>
                <w:b/>
                <w:bCs/>
                <w:sz w:val="20"/>
                <w:szCs w:val="20"/>
              </w:rPr>
            </w:pPr>
            <w:r w:rsidRPr="00C11D67">
              <w:rPr>
                <w:b/>
                <w:bCs/>
                <w:sz w:val="20"/>
                <w:szCs w:val="20"/>
              </w:rPr>
              <w:t>389 030</w:t>
            </w:r>
          </w:p>
        </w:tc>
        <w:tc>
          <w:tcPr>
            <w:tcW w:w="1650" w:type="dxa"/>
            <w:tcBorders>
              <w:top w:val="nil"/>
              <w:left w:val="nil"/>
              <w:bottom w:val="single" w:sz="4" w:space="0" w:color="auto"/>
              <w:right w:val="single" w:sz="4" w:space="0" w:color="auto"/>
            </w:tcBorders>
          </w:tcPr>
          <w:p w:rsidR="005301E3" w:rsidRPr="004E7AB6" w:rsidRDefault="005301E3" w:rsidP="00DE41A6">
            <w:pPr>
              <w:jc w:val="center"/>
              <w:rPr>
                <w:b/>
                <w:bCs/>
                <w:sz w:val="20"/>
                <w:szCs w:val="20"/>
              </w:rPr>
            </w:pPr>
            <w:r w:rsidRPr="00C11D67">
              <w:rPr>
                <w:b/>
                <w:bCs/>
                <w:sz w:val="20"/>
                <w:szCs w:val="20"/>
              </w:rPr>
              <w:t>1 621 169</w:t>
            </w:r>
          </w:p>
        </w:tc>
        <w:tc>
          <w:tcPr>
            <w:tcW w:w="1540" w:type="dxa"/>
            <w:tcBorders>
              <w:top w:val="nil"/>
              <w:left w:val="nil"/>
              <w:bottom w:val="single" w:sz="4" w:space="0" w:color="auto"/>
              <w:right w:val="single" w:sz="4" w:space="0" w:color="auto"/>
            </w:tcBorders>
          </w:tcPr>
          <w:p w:rsidR="005301E3" w:rsidRPr="004E7AB6" w:rsidRDefault="005301E3" w:rsidP="00DE41A6">
            <w:pPr>
              <w:jc w:val="center"/>
              <w:rPr>
                <w:b/>
                <w:bCs/>
                <w:sz w:val="20"/>
                <w:szCs w:val="20"/>
              </w:rPr>
            </w:pPr>
            <w:r w:rsidRPr="00C11D67">
              <w:rPr>
                <w:b/>
                <w:bCs/>
                <w:sz w:val="20"/>
                <w:szCs w:val="20"/>
              </w:rPr>
              <w:t>2 461 939</w:t>
            </w:r>
          </w:p>
        </w:tc>
        <w:tc>
          <w:tcPr>
            <w:tcW w:w="1540" w:type="dxa"/>
            <w:tcBorders>
              <w:top w:val="nil"/>
              <w:left w:val="nil"/>
              <w:bottom w:val="single" w:sz="4" w:space="0" w:color="auto"/>
              <w:right w:val="single" w:sz="4" w:space="0" w:color="auto"/>
            </w:tcBorders>
          </w:tcPr>
          <w:p w:rsidR="005301E3" w:rsidRPr="004E7AB6" w:rsidRDefault="005301E3" w:rsidP="00DE41A6">
            <w:pPr>
              <w:jc w:val="center"/>
              <w:rPr>
                <w:b/>
                <w:bCs/>
                <w:sz w:val="20"/>
                <w:szCs w:val="20"/>
              </w:rPr>
            </w:pPr>
            <w:r w:rsidRPr="00C11D67">
              <w:rPr>
                <w:b/>
                <w:bCs/>
                <w:sz w:val="20"/>
                <w:szCs w:val="20"/>
              </w:rPr>
              <w:t>2 461 939</w:t>
            </w:r>
          </w:p>
        </w:tc>
        <w:tc>
          <w:tcPr>
            <w:tcW w:w="1649" w:type="dxa"/>
            <w:tcBorders>
              <w:top w:val="nil"/>
              <w:left w:val="nil"/>
              <w:bottom w:val="single" w:sz="4" w:space="0" w:color="auto"/>
              <w:right w:val="single" w:sz="4" w:space="0" w:color="auto"/>
            </w:tcBorders>
            <w:noWrap/>
            <w:vAlign w:val="bottom"/>
          </w:tcPr>
          <w:p w:rsidR="005301E3" w:rsidRPr="007B7470" w:rsidRDefault="005301E3" w:rsidP="00DE41A6">
            <w:pPr>
              <w:rPr>
                <w:color w:val="000000" w:themeColor="text1"/>
              </w:rPr>
            </w:pPr>
            <w:r w:rsidRPr="007B7470">
              <w:rPr>
                <w:color w:val="000000" w:themeColor="text1"/>
              </w:rPr>
              <w:t> </w:t>
            </w:r>
          </w:p>
        </w:tc>
      </w:tr>
      <w:tr w:rsidR="005301E3" w:rsidRPr="007B7470" w:rsidTr="00DE41A6">
        <w:trPr>
          <w:trHeight w:val="255"/>
        </w:trPr>
        <w:tc>
          <w:tcPr>
            <w:tcW w:w="7070" w:type="dxa"/>
            <w:tcBorders>
              <w:top w:val="nil"/>
              <w:left w:val="single" w:sz="4" w:space="0" w:color="auto"/>
              <w:bottom w:val="single" w:sz="4" w:space="0" w:color="auto"/>
              <w:right w:val="single" w:sz="4" w:space="0" w:color="auto"/>
            </w:tcBorders>
          </w:tcPr>
          <w:p w:rsidR="005301E3" w:rsidRPr="007B7470" w:rsidRDefault="005301E3" w:rsidP="00DE41A6">
            <w:pPr>
              <w:rPr>
                <w:color w:val="000000" w:themeColor="text1"/>
                <w:sz w:val="20"/>
                <w:szCs w:val="20"/>
              </w:rPr>
            </w:pPr>
            <w:r w:rsidRPr="007B7470">
              <w:rPr>
                <w:color w:val="000000" w:themeColor="text1"/>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5301E3" w:rsidRPr="00C11D67" w:rsidRDefault="005301E3" w:rsidP="00DE41A6">
            <w:pPr>
              <w:jc w:val="center"/>
              <w:rPr>
                <w:bCs/>
                <w:sz w:val="20"/>
                <w:szCs w:val="20"/>
              </w:rPr>
            </w:pPr>
            <w:r w:rsidRPr="00C11D67">
              <w:rPr>
                <w:bCs/>
                <w:sz w:val="20"/>
                <w:szCs w:val="20"/>
              </w:rPr>
              <w:t>154 000</w:t>
            </w:r>
          </w:p>
        </w:tc>
        <w:tc>
          <w:tcPr>
            <w:tcW w:w="1650" w:type="dxa"/>
            <w:tcBorders>
              <w:top w:val="nil"/>
              <w:left w:val="nil"/>
              <w:bottom w:val="single" w:sz="4" w:space="0" w:color="auto"/>
              <w:right w:val="single" w:sz="4" w:space="0" w:color="auto"/>
            </w:tcBorders>
          </w:tcPr>
          <w:p w:rsidR="005301E3" w:rsidRPr="00C11D67" w:rsidRDefault="005301E3" w:rsidP="00DE41A6">
            <w:pPr>
              <w:jc w:val="center"/>
              <w:rPr>
                <w:bCs/>
                <w:sz w:val="20"/>
                <w:szCs w:val="20"/>
              </w:rPr>
            </w:pPr>
            <w:r w:rsidRPr="00C11D67">
              <w:rPr>
                <w:bCs/>
                <w:sz w:val="20"/>
                <w:szCs w:val="20"/>
              </w:rPr>
              <w:t>844 800</w:t>
            </w:r>
          </w:p>
        </w:tc>
        <w:tc>
          <w:tcPr>
            <w:tcW w:w="1540" w:type="dxa"/>
            <w:tcBorders>
              <w:top w:val="nil"/>
              <w:left w:val="nil"/>
              <w:bottom w:val="single" w:sz="4" w:space="0" w:color="auto"/>
              <w:right w:val="single" w:sz="4" w:space="0" w:color="auto"/>
            </w:tcBorders>
          </w:tcPr>
          <w:p w:rsidR="005301E3" w:rsidRPr="00C11D67" w:rsidRDefault="005301E3" w:rsidP="00DE41A6">
            <w:pPr>
              <w:jc w:val="center"/>
              <w:rPr>
                <w:bCs/>
                <w:sz w:val="20"/>
                <w:szCs w:val="20"/>
              </w:rPr>
            </w:pPr>
            <w:r w:rsidRPr="00C11D67">
              <w:rPr>
                <w:bCs/>
                <w:sz w:val="20"/>
                <w:szCs w:val="20"/>
              </w:rPr>
              <w:t>1 293 600</w:t>
            </w:r>
          </w:p>
        </w:tc>
        <w:tc>
          <w:tcPr>
            <w:tcW w:w="1540" w:type="dxa"/>
            <w:tcBorders>
              <w:top w:val="nil"/>
              <w:left w:val="nil"/>
              <w:bottom w:val="single" w:sz="4" w:space="0" w:color="auto"/>
              <w:right w:val="single" w:sz="4" w:space="0" w:color="auto"/>
            </w:tcBorders>
          </w:tcPr>
          <w:p w:rsidR="005301E3" w:rsidRPr="00C11D67" w:rsidRDefault="005301E3" w:rsidP="00DE41A6">
            <w:pPr>
              <w:jc w:val="center"/>
              <w:rPr>
                <w:bCs/>
                <w:sz w:val="20"/>
                <w:szCs w:val="20"/>
              </w:rPr>
            </w:pPr>
            <w:r w:rsidRPr="00C11D67">
              <w:rPr>
                <w:bCs/>
                <w:sz w:val="20"/>
                <w:szCs w:val="20"/>
              </w:rPr>
              <w:t>1 293 600</w:t>
            </w:r>
          </w:p>
        </w:tc>
        <w:tc>
          <w:tcPr>
            <w:tcW w:w="1649" w:type="dxa"/>
            <w:tcBorders>
              <w:top w:val="nil"/>
              <w:left w:val="nil"/>
              <w:bottom w:val="single" w:sz="4" w:space="0" w:color="auto"/>
              <w:right w:val="single" w:sz="4" w:space="0" w:color="auto"/>
            </w:tcBorders>
            <w:noWrap/>
            <w:vAlign w:val="bottom"/>
          </w:tcPr>
          <w:p w:rsidR="005301E3" w:rsidRPr="007B7470" w:rsidRDefault="005301E3" w:rsidP="00DE41A6">
            <w:pPr>
              <w:rPr>
                <w:color w:val="000000" w:themeColor="text1"/>
              </w:rPr>
            </w:pPr>
            <w:r w:rsidRPr="007B7470">
              <w:rPr>
                <w:color w:val="000000" w:themeColor="text1"/>
              </w:rPr>
              <w:t> </w:t>
            </w:r>
          </w:p>
        </w:tc>
      </w:tr>
      <w:tr w:rsidR="005301E3" w:rsidRPr="007B7470" w:rsidTr="00DE41A6">
        <w:trPr>
          <w:trHeight w:val="255"/>
        </w:trPr>
        <w:tc>
          <w:tcPr>
            <w:tcW w:w="7070" w:type="dxa"/>
            <w:tcBorders>
              <w:top w:val="nil"/>
              <w:left w:val="single" w:sz="4" w:space="0" w:color="auto"/>
              <w:bottom w:val="single" w:sz="4" w:space="0" w:color="auto"/>
              <w:right w:val="single" w:sz="4" w:space="0" w:color="auto"/>
            </w:tcBorders>
          </w:tcPr>
          <w:p w:rsidR="005301E3" w:rsidRPr="007B7470" w:rsidRDefault="005301E3" w:rsidP="00DE41A6">
            <w:pPr>
              <w:rPr>
                <w:color w:val="000000" w:themeColor="text1"/>
                <w:sz w:val="20"/>
                <w:szCs w:val="20"/>
                <w:vertAlign w:val="superscript"/>
              </w:rPr>
            </w:pPr>
            <w:r w:rsidRPr="007B7470">
              <w:rPr>
                <w:color w:val="000000" w:themeColor="text1"/>
                <w:sz w:val="20"/>
                <w:szCs w:val="20"/>
              </w:rPr>
              <w:t xml:space="preserve">  Poistné a príspevok do poisťovní (620)</w:t>
            </w:r>
          </w:p>
        </w:tc>
        <w:tc>
          <w:tcPr>
            <w:tcW w:w="1430" w:type="dxa"/>
            <w:tcBorders>
              <w:top w:val="nil"/>
              <w:left w:val="nil"/>
              <w:bottom w:val="single" w:sz="4" w:space="0" w:color="auto"/>
              <w:right w:val="single" w:sz="4" w:space="0" w:color="auto"/>
            </w:tcBorders>
          </w:tcPr>
          <w:p w:rsidR="005301E3" w:rsidRPr="00C11D67" w:rsidRDefault="005301E3" w:rsidP="00DE41A6">
            <w:pPr>
              <w:jc w:val="center"/>
              <w:rPr>
                <w:bCs/>
                <w:sz w:val="20"/>
                <w:szCs w:val="20"/>
              </w:rPr>
            </w:pPr>
            <w:r w:rsidRPr="00C11D67">
              <w:rPr>
                <w:bCs/>
                <w:sz w:val="20"/>
                <w:szCs w:val="20"/>
              </w:rPr>
              <w:t>55 363</w:t>
            </w:r>
          </w:p>
        </w:tc>
        <w:tc>
          <w:tcPr>
            <w:tcW w:w="1650" w:type="dxa"/>
            <w:tcBorders>
              <w:top w:val="nil"/>
              <w:left w:val="nil"/>
              <w:bottom w:val="single" w:sz="4" w:space="0" w:color="auto"/>
              <w:right w:val="single" w:sz="4" w:space="0" w:color="auto"/>
            </w:tcBorders>
          </w:tcPr>
          <w:p w:rsidR="005301E3" w:rsidRPr="00C11D67" w:rsidRDefault="005301E3" w:rsidP="00DE41A6">
            <w:pPr>
              <w:jc w:val="center"/>
              <w:rPr>
                <w:bCs/>
                <w:sz w:val="20"/>
                <w:szCs w:val="20"/>
              </w:rPr>
            </w:pPr>
            <w:r w:rsidRPr="00C11D67">
              <w:rPr>
                <w:bCs/>
                <w:sz w:val="20"/>
                <w:szCs w:val="20"/>
              </w:rPr>
              <w:t>303 706</w:t>
            </w:r>
          </w:p>
        </w:tc>
        <w:tc>
          <w:tcPr>
            <w:tcW w:w="1540" w:type="dxa"/>
            <w:tcBorders>
              <w:top w:val="nil"/>
              <w:left w:val="nil"/>
              <w:bottom w:val="single" w:sz="4" w:space="0" w:color="auto"/>
              <w:right w:val="single" w:sz="4" w:space="0" w:color="auto"/>
            </w:tcBorders>
          </w:tcPr>
          <w:p w:rsidR="005301E3" w:rsidRPr="00C11D67" w:rsidRDefault="005301E3" w:rsidP="00DE41A6">
            <w:pPr>
              <w:jc w:val="center"/>
              <w:rPr>
                <w:bCs/>
                <w:sz w:val="20"/>
                <w:szCs w:val="20"/>
              </w:rPr>
            </w:pPr>
            <w:r w:rsidRPr="00C11D67">
              <w:rPr>
                <w:bCs/>
                <w:sz w:val="20"/>
                <w:szCs w:val="20"/>
              </w:rPr>
              <w:t>465 049</w:t>
            </w:r>
          </w:p>
        </w:tc>
        <w:tc>
          <w:tcPr>
            <w:tcW w:w="1540" w:type="dxa"/>
            <w:tcBorders>
              <w:top w:val="nil"/>
              <w:left w:val="nil"/>
              <w:bottom w:val="single" w:sz="4" w:space="0" w:color="auto"/>
              <w:right w:val="single" w:sz="4" w:space="0" w:color="auto"/>
            </w:tcBorders>
          </w:tcPr>
          <w:p w:rsidR="005301E3" w:rsidRPr="00C11D67" w:rsidRDefault="005301E3" w:rsidP="00DE41A6">
            <w:pPr>
              <w:jc w:val="center"/>
              <w:rPr>
                <w:bCs/>
                <w:sz w:val="20"/>
                <w:szCs w:val="20"/>
              </w:rPr>
            </w:pPr>
            <w:r w:rsidRPr="00C11D67">
              <w:rPr>
                <w:bCs/>
                <w:sz w:val="20"/>
                <w:szCs w:val="20"/>
              </w:rPr>
              <w:t>465 049</w:t>
            </w:r>
          </w:p>
        </w:tc>
        <w:tc>
          <w:tcPr>
            <w:tcW w:w="1649" w:type="dxa"/>
            <w:tcBorders>
              <w:top w:val="nil"/>
              <w:left w:val="nil"/>
              <w:bottom w:val="single" w:sz="4" w:space="0" w:color="auto"/>
              <w:right w:val="single" w:sz="4" w:space="0" w:color="auto"/>
            </w:tcBorders>
            <w:noWrap/>
            <w:vAlign w:val="bottom"/>
          </w:tcPr>
          <w:p w:rsidR="005301E3" w:rsidRPr="007B7470" w:rsidRDefault="005301E3" w:rsidP="00DE41A6">
            <w:pPr>
              <w:rPr>
                <w:color w:val="000000" w:themeColor="text1"/>
              </w:rPr>
            </w:pPr>
            <w:r w:rsidRPr="007B7470">
              <w:rPr>
                <w:color w:val="000000" w:themeColor="text1"/>
              </w:rPr>
              <w:t> </w:t>
            </w:r>
          </w:p>
        </w:tc>
      </w:tr>
      <w:tr w:rsidR="005301E3" w:rsidRPr="007B7470" w:rsidTr="00DE41A6">
        <w:trPr>
          <w:trHeight w:val="255"/>
        </w:trPr>
        <w:tc>
          <w:tcPr>
            <w:tcW w:w="7070" w:type="dxa"/>
            <w:tcBorders>
              <w:top w:val="nil"/>
              <w:left w:val="single" w:sz="4" w:space="0" w:color="auto"/>
              <w:bottom w:val="single" w:sz="4" w:space="0" w:color="auto"/>
              <w:right w:val="single" w:sz="4" w:space="0" w:color="auto"/>
            </w:tcBorders>
          </w:tcPr>
          <w:p w:rsidR="005301E3" w:rsidRPr="007B7470" w:rsidRDefault="005301E3" w:rsidP="00DE41A6">
            <w:pPr>
              <w:rPr>
                <w:color w:val="000000" w:themeColor="text1"/>
                <w:sz w:val="20"/>
                <w:szCs w:val="20"/>
                <w:vertAlign w:val="superscript"/>
              </w:rPr>
            </w:pPr>
            <w:r w:rsidRPr="007B7470">
              <w:rPr>
                <w:color w:val="000000" w:themeColor="text1"/>
                <w:sz w:val="20"/>
                <w:szCs w:val="20"/>
              </w:rPr>
              <w:t xml:space="preserve">  Tovary a služby (630)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5301E3" w:rsidRPr="00C11D67" w:rsidRDefault="005301E3" w:rsidP="00DE41A6">
            <w:pPr>
              <w:jc w:val="center"/>
              <w:rPr>
                <w:bCs/>
                <w:sz w:val="20"/>
                <w:szCs w:val="20"/>
              </w:rPr>
            </w:pPr>
            <w:r w:rsidRPr="00C11D67">
              <w:rPr>
                <w:bCs/>
                <w:sz w:val="20"/>
                <w:szCs w:val="20"/>
              </w:rPr>
              <w:t>157 117</w:t>
            </w:r>
          </w:p>
        </w:tc>
        <w:tc>
          <w:tcPr>
            <w:tcW w:w="1650" w:type="dxa"/>
            <w:tcBorders>
              <w:top w:val="nil"/>
              <w:left w:val="nil"/>
              <w:bottom w:val="single" w:sz="4" w:space="0" w:color="auto"/>
              <w:right w:val="single" w:sz="4" w:space="0" w:color="auto"/>
            </w:tcBorders>
          </w:tcPr>
          <w:p w:rsidR="005301E3" w:rsidRPr="00C11D67" w:rsidRDefault="005301E3" w:rsidP="00DE41A6">
            <w:pPr>
              <w:jc w:val="center"/>
              <w:rPr>
                <w:bCs/>
                <w:sz w:val="20"/>
                <w:szCs w:val="20"/>
              </w:rPr>
            </w:pPr>
            <w:r w:rsidRPr="00C11D67">
              <w:rPr>
                <w:bCs/>
                <w:sz w:val="20"/>
                <w:szCs w:val="20"/>
              </w:rPr>
              <w:t>348 960</w:t>
            </w:r>
          </w:p>
        </w:tc>
        <w:tc>
          <w:tcPr>
            <w:tcW w:w="1540" w:type="dxa"/>
            <w:tcBorders>
              <w:top w:val="nil"/>
              <w:left w:val="nil"/>
              <w:bottom w:val="single" w:sz="4" w:space="0" w:color="auto"/>
              <w:right w:val="single" w:sz="4" w:space="0" w:color="auto"/>
            </w:tcBorders>
          </w:tcPr>
          <w:p w:rsidR="005301E3" w:rsidRPr="00C11D67" w:rsidRDefault="005301E3" w:rsidP="00DE41A6">
            <w:pPr>
              <w:jc w:val="center"/>
              <w:rPr>
                <w:bCs/>
                <w:sz w:val="20"/>
                <w:szCs w:val="20"/>
              </w:rPr>
            </w:pPr>
            <w:r w:rsidRPr="00C11D67">
              <w:rPr>
                <w:bCs/>
                <w:sz w:val="20"/>
                <w:szCs w:val="20"/>
              </w:rPr>
              <w:t>513 870</w:t>
            </w:r>
          </w:p>
        </w:tc>
        <w:tc>
          <w:tcPr>
            <w:tcW w:w="1540" w:type="dxa"/>
            <w:tcBorders>
              <w:top w:val="nil"/>
              <w:left w:val="nil"/>
              <w:bottom w:val="single" w:sz="4" w:space="0" w:color="auto"/>
              <w:right w:val="single" w:sz="4" w:space="0" w:color="auto"/>
            </w:tcBorders>
          </w:tcPr>
          <w:p w:rsidR="005301E3" w:rsidRPr="00C11D67" w:rsidRDefault="005301E3" w:rsidP="00DE41A6">
            <w:pPr>
              <w:jc w:val="center"/>
              <w:rPr>
                <w:bCs/>
                <w:sz w:val="20"/>
                <w:szCs w:val="20"/>
              </w:rPr>
            </w:pPr>
            <w:r w:rsidRPr="00C11D67">
              <w:rPr>
                <w:bCs/>
                <w:sz w:val="20"/>
                <w:szCs w:val="20"/>
              </w:rPr>
              <w:t>513 870</w:t>
            </w:r>
          </w:p>
        </w:tc>
        <w:tc>
          <w:tcPr>
            <w:tcW w:w="1649" w:type="dxa"/>
            <w:tcBorders>
              <w:top w:val="nil"/>
              <w:left w:val="nil"/>
              <w:bottom w:val="single" w:sz="4" w:space="0" w:color="auto"/>
              <w:right w:val="single" w:sz="4" w:space="0" w:color="auto"/>
            </w:tcBorders>
            <w:noWrap/>
            <w:vAlign w:val="bottom"/>
          </w:tcPr>
          <w:p w:rsidR="005301E3" w:rsidRPr="007B7470" w:rsidRDefault="005301E3" w:rsidP="00DE41A6">
            <w:pPr>
              <w:rPr>
                <w:color w:val="000000" w:themeColor="text1"/>
              </w:rPr>
            </w:pPr>
            <w:r w:rsidRPr="007B7470">
              <w:rPr>
                <w:color w:val="000000" w:themeColor="text1"/>
              </w:rPr>
              <w:t> </w:t>
            </w:r>
          </w:p>
        </w:tc>
      </w:tr>
      <w:tr w:rsidR="005301E3" w:rsidRPr="007B7470" w:rsidTr="00DE41A6">
        <w:trPr>
          <w:trHeight w:val="255"/>
        </w:trPr>
        <w:tc>
          <w:tcPr>
            <w:tcW w:w="7070" w:type="dxa"/>
            <w:tcBorders>
              <w:top w:val="nil"/>
              <w:left w:val="single" w:sz="4" w:space="0" w:color="auto"/>
              <w:bottom w:val="single" w:sz="4" w:space="0" w:color="auto"/>
              <w:right w:val="single" w:sz="4" w:space="0" w:color="auto"/>
            </w:tcBorders>
          </w:tcPr>
          <w:p w:rsidR="005301E3" w:rsidRPr="007B7470" w:rsidRDefault="005301E3" w:rsidP="00DE41A6">
            <w:pPr>
              <w:rPr>
                <w:color w:val="000000" w:themeColor="text1"/>
                <w:sz w:val="20"/>
                <w:szCs w:val="20"/>
              </w:rPr>
            </w:pPr>
            <w:r w:rsidRPr="007B7470">
              <w:rPr>
                <w:color w:val="000000" w:themeColor="text1"/>
                <w:sz w:val="20"/>
                <w:szCs w:val="20"/>
              </w:rPr>
              <w:t xml:space="preserve">  Bežné transfery (640)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65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54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54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649" w:type="dxa"/>
            <w:tcBorders>
              <w:top w:val="nil"/>
              <w:left w:val="nil"/>
              <w:bottom w:val="single" w:sz="4" w:space="0" w:color="auto"/>
              <w:right w:val="single" w:sz="4" w:space="0" w:color="auto"/>
            </w:tcBorders>
            <w:noWrap/>
            <w:vAlign w:val="bottom"/>
          </w:tcPr>
          <w:p w:rsidR="005301E3" w:rsidRPr="007B7470" w:rsidRDefault="005301E3" w:rsidP="00DE41A6">
            <w:pPr>
              <w:rPr>
                <w:color w:val="000000" w:themeColor="text1"/>
              </w:rPr>
            </w:pPr>
            <w:r w:rsidRPr="007B7470">
              <w:rPr>
                <w:color w:val="000000" w:themeColor="text1"/>
              </w:rPr>
              <w:t> </w:t>
            </w:r>
          </w:p>
        </w:tc>
      </w:tr>
      <w:tr w:rsidR="005301E3" w:rsidRPr="007B7470" w:rsidTr="00DE41A6">
        <w:trPr>
          <w:trHeight w:val="255"/>
        </w:trPr>
        <w:tc>
          <w:tcPr>
            <w:tcW w:w="7070" w:type="dxa"/>
            <w:tcBorders>
              <w:top w:val="nil"/>
              <w:left w:val="single" w:sz="4" w:space="0" w:color="auto"/>
              <w:bottom w:val="single" w:sz="4" w:space="0" w:color="auto"/>
              <w:right w:val="single" w:sz="4" w:space="0" w:color="auto"/>
            </w:tcBorders>
            <w:vAlign w:val="center"/>
          </w:tcPr>
          <w:p w:rsidR="005301E3" w:rsidRPr="007B7470" w:rsidRDefault="005301E3" w:rsidP="00DE41A6">
            <w:pPr>
              <w:rPr>
                <w:color w:val="000000" w:themeColor="text1"/>
                <w:sz w:val="20"/>
                <w:szCs w:val="20"/>
              </w:rPr>
            </w:pPr>
            <w:r w:rsidRPr="007B7470">
              <w:rPr>
                <w:color w:val="000000" w:themeColor="text1"/>
                <w:sz w:val="20"/>
                <w:szCs w:val="20"/>
              </w:rPr>
              <w:t xml:space="preserve">  Splácanie úrokov a ostatné platby súvisiace s </w:t>
            </w:r>
            <w:r w:rsidRPr="007B7470">
              <w:rPr>
                <w:color w:val="000000" w:themeColor="text1"/>
              </w:rPr>
              <w:t xml:space="preserve"> </w:t>
            </w:r>
            <w:r w:rsidRPr="007B7470">
              <w:rPr>
                <w:color w:val="000000" w:themeColor="text1"/>
                <w:sz w:val="20"/>
                <w:szCs w:val="20"/>
              </w:rPr>
              <w:t>úverom, pôžičkou, návratnou finančnou výpomocou a finančným prenájmom (650)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65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54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54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649" w:type="dxa"/>
            <w:tcBorders>
              <w:top w:val="nil"/>
              <w:left w:val="nil"/>
              <w:bottom w:val="single" w:sz="4" w:space="0" w:color="auto"/>
              <w:right w:val="single" w:sz="4" w:space="0" w:color="auto"/>
            </w:tcBorders>
            <w:noWrap/>
            <w:vAlign w:val="bottom"/>
          </w:tcPr>
          <w:p w:rsidR="005301E3" w:rsidRPr="007B7470" w:rsidRDefault="005301E3" w:rsidP="00DE41A6">
            <w:pPr>
              <w:rPr>
                <w:color w:val="000000" w:themeColor="text1"/>
              </w:rPr>
            </w:pPr>
          </w:p>
        </w:tc>
      </w:tr>
      <w:tr w:rsidR="005301E3" w:rsidRPr="007B7470" w:rsidTr="00DE41A6">
        <w:trPr>
          <w:trHeight w:val="255"/>
        </w:trPr>
        <w:tc>
          <w:tcPr>
            <w:tcW w:w="7070" w:type="dxa"/>
            <w:tcBorders>
              <w:top w:val="nil"/>
              <w:left w:val="single" w:sz="4" w:space="0" w:color="auto"/>
              <w:bottom w:val="single" w:sz="4" w:space="0" w:color="auto"/>
              <w:right w:val="single" w:sz="4" w:space="0" w:color="auto"/>
            </w:tcBorders>
          </w:tcPr>
          <w:p w:rsidR="005301E3" w:rsidRPr="007B7470" w:rsidRDefault="005301E3" w:rsidP="00DE41A6">
            <w:pPr>
              <w:rPr>
                <w:b/>
                <w:bCs/>
                <w:color w:val="000000" w:themeColor="text1"/>
                <w:sz w:val="20"/>
                <w:szCs w:val="20"/>
              </w:rPr>
            </w:pPr>
            <w:r w:rsidRPr="007B7470">
              <w:rPr>
                <w:b/>
                <w:bCs/>
                <w:color w:val="000000" w:themeColor="text1"/>
                <w:sz w:val="20"/>
                <w:szCs w:val="20"/>
              </w:rPr>
              <w:t>Kapitálové výdavky (700)</w:t>
            </w:r>
          </w:p>
        </w:tc>
        <w:tc>
          <w:tcPr>
            <w:tcW w:w="143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r>
              <w:rPr>
                <w:b/>
                <w:bCs/>
                <w:sz w:val="20"/>
                <w:szCs w:val="20"/>
              </w:rPr>
              <w:t>2</w:t>
            </w:r>
            <w:r w:rsidRPr="004E7AB6">
              <w:rPr>
                <w:b/>
                <w:bCs/>
                <w:sz w:val="20"/>
                <w:szCs w:val="20"/>
              </w:rPr>
              <w:t>4 000</w:t>
            </w:r>
          </w:p>
        </w:tc>
        <w:tc>
          <w:tcPr>
            <w:tcW w:w="165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54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54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649" w:type="dxa"/>
            <w:tcBorders>
              <w:top w:val="nil"/>
              <w:left w:val="nil"/>
              <w:bottom w:val="single" w:sz="4" w:space="0" w:color="auto"/>
              <w:right w:val="single" w:sz="4" w:space="0" w:color="auto"/>
            </w:tcBorders>
            <w:noWrap/>
            <w:vAlign w:val="bottom"/>
          </w:tcPr>
          <w:p w:rsidR="005301E3" w:rsidRPr="007B7470" w:rsidRDefault="005301E3" w:rsidP="00DE41A6">
            <w:pPr>
              <w:rPr>
                <w:color w:val="000000" w:themeColor="text1"/>
              </w:rPr>
            </w:pPr>
            <w:r w:rsidRPr="007B7470">
              <w:rPr>
                <w:color w:val="000000" w:themeColor="text1"/>
              </w:rPr>
              <w:t> </w:t>
            </w:r>
          </w:p>
        </w:tc>
      </w:tr>
      <w:tr w:rsidR="005301E3" w:rsidRPr="007B7470" w:rsidTr="00DE41A6">
        <w:trPr>
          <w:trHeight w:val="255"/>
        </w:trPr>
        <w:tc>
          <w:tcPr>
            <w:tcW w:w="7070" w:type="dxa"/>
            <w:tcBorders>
              <w:top w:val="nil"/>
              <w:left w:val="single" w:sz="4" w:space="0" w:color="auto"/>
              <w:bottom w:val="single" w:sz="4" w:space="0" w:color="auto"/>
              <w:right w:val="single" w:sz="4" w:space="0" w:color="auto"/>
            </w:tcBorders>
          </w:tcPr>
          <w:p w:rsidR="005301E3" w:rsidRPr="007B7470" w:rsidRDefault="005301E3" w:rsidP="00DE41A6">
            <w:pPr>
              <w:rPr>
                <w:color w:val="000000" w:themeColor="text1"/>
                <w:sz w:val="20"/>
                <w:szCs w:val="20"/>
              </w:rPr>
            </w:pPr>
            <w:r w:rsidRPr="007B7470">
              <w:rPr>
                <w:color w:val="000000" w:themeColor="text1"/>
                <w:sz w:val="20"/>
                <w:szCs w:val="20"/>
              </w:rPr>
              <w:t xml:space="preserve">  Obstarávanie kapitálových aktív (710)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65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54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54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649" w:type="dxa"/>
            <w:tcBorders>
              <w:top w:val="nil"/>
              <w:left w:val="nil"/>
              <w:bottom w:val="single" w:sz="4" w:space="0" w:color="auto"/>
              <w:right w:val="single" w:sz="4" w:space="0" w:color="auto"/>
            </w:tcBorders>
            <w:noWrap/>
            <w:vAlign w:val="bottom"/>
          </w:tcPr>
          <w:p w:rsidR="005301E3" w:rsidRPr="007B7470" w:rsidRDefault="005301E3" w:rsidP="00DE41A6">
            <w:pPr>
              <w:rPr>
                <w:color w:val="000000" w:themeColor="text1"/>
              </w:rPr>
            </w:pPr>
            <w:r w:rsidRPr="007B7470">
              <w:rPr>
                <w:color w:val="000000" w:themeColor="text1"/>
              </w:rPr>
              <w:t> </w:t>
            </w:r>
          </w:p>
        </w:tc>
      </w:tr>
      <w:tr w:rsidR="005301E3" w:rsidRPr="007B7470" w:rsidTr="00DE41A6">
        <w:trPr>
          <w:trHeight w:val="255"/>
        </w:trPr>
        <w:tc>
          <w:tcPr>
            <w:tcW w:w="7070" w:type="dxa"/>
            <w:tcBorders>
              <w:top w:val="nil"/>
              <w:left w:val="single" w:sz="4" w:space="0" w:color="auto"/>
              <w:bottom w:val="single" w:sz="4" w:space="0" w:color="auto"/>
              <w:right w:val="single" w:sz="4" w:space="0" w:color="auto"/>
            </w:tcBorders>
          </w:tcPr>
          <w:p w:rsidR="005301E3" w:rsidRPr="007B7470" w:rsidRDefault="005301E3" w:rsidP="00DE41A6">
            <w:pPr>
              <w:rPr>
                <w:color w:val="000000" w:themeColor="text1"/>
                <w:sz w:val="20"/>
                <w:szCs w:val="20"/>
              </w:rPr>
            </w:pPr>
            <w:r w:rsidRPr="007B7470">
              <w:rPr>
                <w:color w:val="000000" w:themeColor="text1"/>
                <w:sz w:val="20"/>
                <w:szCs w:val="20"/>
              </w:rPr>
              <w:t xml:space="preserve">  Kapitálové transfery (720)</w:t>
            </w:r>
            <w:r w:rsidRPr="007B7470">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65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54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540" w:type="dxa"/>
            <w:tcBorders>
              <w:top w:val="nil"/>
              <w:left w:val="nil"/>
              <w:bottom w:val="single" w:sz="4" w:space="0" w:color="auto"/>
              <w:right w:val="single" w:sz="4" w:space="0" w:color="auto"/>
            </w:tcBorders>
          </w:tcPr>
          <w:p w:rsidR="005301E3" w:rsidRPr="00C11D67" w:rsidRDefault="005301E3" w:rsidP="00DE41A6">
            <w:pPr>
              <w:jc w:val="center"/>
              <w:rPr>
                <w:b/>
                <w:bCs/>
                <w:sz w:val="20"/>
                <w:szCs w:val="20"/>
              </w:rPr>
            </w:pPr>
          </w:p>
        </w:tc>
        <w:tc>
          <w:tcPr>
            <w:tcW w:w="1649" w:type="dxa"/>
            <w:tcBorders>
              <w:top w:val="nil"/>
              <w:left w:val="nil"/>
              <w:bottom w:val="single" w:sz="4" w:space="0" w:color="auto"/>
              <w:right w:val="single" w:sz="4" w:space="0" w:color="auto"/>
            </w:tcBorders>
            <w:noWrap/>
            <w:vAlign w:val="bottom"/>
          </w:tcPr>
          <w:p w:rsidR="005301E3" w:rsidRPr="007B7470" w:rsidRDefault="005301E3" w:rsidP="00DE41A6">
            <w:pPr>
              <w:rPr>
                <w:color w:val="000000" w:themeColor="text1"/>
              </w:rPr>
            </w:pPr>
            <w:r w:rsidRPr="007B7470">
              <w:rPr>
                <w:color w:val="000000" w:themeColor="text1"/>
              </w:rPr>
              <w:t> </w:t>
            </w:r>
          </w:p>
        </w:tc>
      </w:tr>
      <w:tr w:rsidR="005301E3" w:rsidRPr="007B7470" w:rsidTr="00DE41A6">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301E3" w:rsidRPr="007B7470" w:rsidRDefault="005301E3" w:rsidP="00DE41A6">
            <w:pPr>
              <w:rPr>
                <w:b/>
                <w:bCs/>
                <w:color w:val="000000" w:themeColor="text1"/>
                <w:sz w:val="20"/>
                <w:szCs w:val="20"/>
              </w:rPr>
            </w:pPr>
            <w:r w:rsidRPr="007B7470">
              <w:rPr>
                <w:b/>
                <w:bCs/>
                <w:color w:val="000000" w:themeColor="text1"/>
                <w:sz w:val="20"/>
                <w:szCs w:val="20"/>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5301E3" w:rsidRPr="004E7AB6" w:rsidRDefault="005301E3" w:rsidP="00DE41A6">
            <w:pPr>
              <w:jc w:val="center"/>
              <w:rPr>
                <w:b/>
                <w:bCs/>
                <w:sz w:val="20"/>
                <w:szCs w:val="20"/>
              </w:rPr>
            </w:pPr>
            <w:r w:rsidRPr="00C11D67">
              <w:rPr>
                <w:b/>
                <w:bCs/>
                <w:sz w:val="20"/>
                <w:szCs w:val="20"/>
              </w:rPr>
              <w:t>413 030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5301E3" w:rsidRPr="004E7AB6" w:rsidRDefault="005301E3" w:rsidP="00DE41A6">
            <w:pPr>
              <w:jc w:val="center"/>
              <w:rPr>
                <w:b/>
                <w:bCs/>
                <w:sz w:val="20"/>
                <w:szCs w:val="20"/>
              </w:rPr>
            </w:pPr>
            <w:r w:rsidRPr="00C11D67">
              <w:rPr>
                <w:b/>
                <w:bCs/>
                <w:sz w:val="20"/>
                <w:szCs w:val="20"/>
              </w:rPr>
              <w:t>1 621 169</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5301E3" w:rsidRPr="004E7AB6" w:rsidRDefault="005301E3" w:rsidP="00DE41A6">
            <w:pPr>
              <w:jc w:val="center"/>
              <w:rPr>
                <w:b/>
                <w:bCs/>
                <w:sz w:val="20"/>
                <w:szCs w:val="20"/>
              </w:rPr>
            </w:pPr>
            <w:r w:rsidRPr="00C11D67">
              <w:rPr>
                <w:b/>
                <w:bCs/>
                <w:sz w:val="20"/>
                <w:szCs w:val="20"/>
              </w:rPr>
              <w:t>2 461 939</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5301E3" w:rsidRPr="004E7AB6" w:rsidRDefault="005301E3" w:rsidP="00DE41A6">
            <w:pPr>
              <w:jc w:val="center"/>
              <w:rPr>
                <w:b/>
                <w:bCs/>
                <w:sz w:val="20"/>
                <w:szCs w:val="20"/>
              </w:rPr>
            </w:pPr>
            <w:r w:rsidRPr="00C11D67">
              <w:rPr>
                <w:b/>
                <w:bCs/>
                <w:sz w:val="20"/>
                <w:szCs w:val="20"/>
              </w:rPr>
              <w:t>2 461 939</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5301E3" w:rsidRPr="007B7470" w:rsidRDefault="005301E3" w:rsidP="00DE41A6">
            <w:pPr>
              <w:rPr>
                <w:color w:val="000000" w:themeColor="text1"/>
              </w:rPr>
            </w:pPr>
            <w:r w:rsidRPr="007B7470">
              <w:rPr>
                <w:color w:val="000000" w:themeColor="text1"/>
              </w:rPr>
              <w:t> </w:t>
            </w:r>
          </w:p>
        </w:tc>
      </w:tr>
    </w:tbl>
    <w:p w:rsidR="005301E3" w:rsidRPr="007B7470" w:rsidRDefault="005301E3" w:rsidP="005301E3">
      <w:pPr>
        <w:tabs>
          <w:tab w:val="num" w:pos="1080"/>
        </w:tabs>
        <w:ind w:left="-900"/>
        <w:jc w:val="both"/>
        <w:rPr>
          <w:bCs/>
          <w:sz w:val="20"/>
          <w:szCs w:val="20"/>
        </w:rPr>
      </w:pPr>
      <w:r w:rsidRPr="007B7470">
        <w:rPr>
          <w:bCs/>
          <w:color w:val="000000" w:themeColor="text1"/>
          <w:sz w:val="20"/>
          <w:szCs w:val="20"/>
        </w:rPr>
        <w:t xml:space="preserve">  2 –  výdavky rozpísať až do podpo</w:t>
      </w:r>
      <w:r w:rsidRPr="007B7470">
        <w:rPr>
          <w:bCs/>
          <w:sz w:val="20"/>
          <w:szCs w:val="20"/>
        </w:rPr>
        <w:t>ložiek platnej ekonomickej klasifikácie</w:t>
      </w:r>
    </w:p>
    <w:p w:rsidR="005301E3" w:rsidRPr="007B7470" w:rsidRDefault="005301E3" w:rsidP="005301E3">
      <w:pPr>
        <w:tabs>
          <w:tab w:val="num" w:pos="1080"/>
        </w:tabs>
        <w:ind w:left="-900"/>
        <w:jc w:val="both"/>
        <w:rPr>
          <w:bCs/>
          <w:szCs w:val="20"/>
        </w:rPr>
      </w:pPr>
    </w:p>
    <w:p w:rsidR="005301E3" w:rsidRPr="007B7470" w:rsidRDefault="005301E3" w:rsidP="005301E3">
      <w:pPr>
        <w:tabs>
          <w:tab w:val="num" w:pos="1080"/>
        </w:tabs>
        <w:ind w:left="-900"/>
        <w:jc w:val="both"/>
        <w:rPr>
          <w:b/>
          <w:bCs/>
          <w:sz w:val="20"/>
          <w:szCs w:val="20"/>
        </w:rPr>
      </w:pPr>
      <w:r w:rsidRPr="007B7470">
        <w:rPr>
          <w:b/>
          <w:bCs/>
          <w:szCs w:val="20"/>
        </w:rPr>
        <w:t xml:space="preserve">  Poznámka:</w:t>
      </w:r>
    </w:p>
    <w:p w:rsidR="005301E3" w:rsidRPr="007B7470" w:rsidRDefault="005301E3" w:rsidP="005301E3">
      <w:pPr>
        <w:tabs>
          <w:tab w:val="num" w:pos="1080"/>
        </w:tabs>
        <w:ind w:left="-900"/>
        <w:jc w:val="both"/>
        <w:rPr>
          <w:bCs/>
          <w:sz w:val="20"/>
          <w:szCs w:val="20"/>
        </w:rPr>
      </w:pPr>
      <w:r w:rsidRPr="007B7470">
        <w:rPr>
          <w:bCs/>
          <w:szCs w:val="20"/>
        </w:rPr>
        <w:t xml:space="preserve">  Ak sa vplyv týka viacerých subjektov verejnej správy, vypĺňa sa samostatná tabuľka za každý subjekt.</w:t>
      </w:r>
    </w:p>
    <w:p w:rsidR="005301E3" w:rsidRPr="007B7470" w:rsidRDefault="005301E3" w:rsidP="005301E3">
      <w:pPr>
        <w:tabs>
          <w:tab w:val="num" w:pos="1080"/>
        </w:tabs>
        <w:ind w:left="-900"/>
        <w:jc w:val="both"/>
        <w:rPr>
          <w:bCs/>
          <w:sz w:val="20"/>
          <w:szCs w:val="20"/>
        </w:rPr>
      </w:pPr>
    </w:p>
    <w:p w:rsidR="005301E3" w:rsidRDefault="005301E3" w:rsidP="005301E3">
      <w:pPr>
        <w:tabs>
          <w:tab w:val="num" w:pos="1080"/>
        </w:tabs>
        <w:jc w:val="both"/>
        <w:rPr>
          <w:bCs/>
          <w:sz w:val="20"/>
          <w:szCs w:val="20"/>
        </w:rPr>
      </w:pPr>
    </w:p>
    <w:p w:rsidR="005301E3" w:rsidRDefault="005301E3" w:rsidP="005301E3">
      <w:pPr>
        <w:tabs>
          <w:tab w:val="num" w:pos="1080"/>
        </w:tabs>
        <w:jc w:val="both"/>
        <w:rPr>
          <w:bCs/>
          <w:sz w:val="20"/>
          <w:szCs w:val="20"/>
        </w:rPr>
      </w:pPr>
    </w:p>
    <w:p w:rsidR="005301E3" w:rsidRDefault="005301E3" w:rsidP="005301E3">
      <w:pPr>
        <w:tabs>
          <w:tab w:val="num" w:pos="1080"/>
        </w:tabs>
        <w:jc w:val="both"/>
        <w:rPr>
          <w:bCs/>
          <w:sz w:val="20"/>
          <w:szCs w:val="20"/>
        </w:rPr>
      </w:pPr>
    </w:p>
    <w:p w:rsidR="005301E3" w:rsidRPr="00B14AD5" w:rsidRDefault="005301E3" w:rsidP="005301E3">
      <w:pPr>
        <w:tabs>
          <w:tab w:val="num" w:pos="1080"/>
        </w:tabs>
        <w:jc w:val="both"/>
        <w:rPr>
          <w:bCs/>
          <w:sz w:val="20"/>
          <w:szCs w:val="20"/>
        </w:rPr>
      </w:pPr>
    </w:p>
    <w:p w:rsidR="005301E3" w:rsidRPr="00B14AD5" w:rsidRDefault="005301E3" w:rsidP="005301E3">
      <w:pPr>
        <w:tabs>
          <w:tab w:val="num" w:pos="1080"/>
        </w:tabs>
        <w:jc w:val="right"/>
        <w:rPr>
          <w:bCs/>
        </w:rPr>
      </w:pPr>
      <w:r w:rsidRPr="00B14AD5">
        <w:rPr>
          <w:bCs/>
        </w:rPr>
        <w:lastRenderedPageBreak/>
        <w:t xml:space="preserve">                 Tabuľka č. 5 </w:t>
      </w:r>
    </w:p>
    <w:p w:rsidR="005301E3" w:rsidRPr="00B14AD5" w:rsidRDefault="005301E3" w:rsidP="005301E3">
      <w:pPr>
        <w:tabs>
          <w:tab w:val="num" w:pos="1080"/>
        </w:tabs>
        <w:jc w:val="both"/>
        <w:rPr>
          <w:bCs/>
          <w:szCs w:val="20"/>
        </w:rPr>
      </w:pP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5301E3" w:rsidRPr="00B14AD5" w:rsidTr="00DE41A6">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301E3" w:rsidRPr="00B14AD5" w:rsidRDefault="005301E3" w:rsidP="00DE41A6">
            <w:pPr>
              <w:jc w:val="center"/>
              <w:rPr>
                <w:b/>
                <w:bCs/>
              </w:rPr>
            </w:pPr>
            <w:r w:rsidRPr="00B14AD5">
              <w:rPr>
                <w:b/>
                <w:bCs/>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5301E3" w:rsidRPr="00B14AD5" w:rsidRDefault="005301E3" w:rsidP="00DE41A6">
            <w:pPr>
              <w:jc w:val="center"/>
              <w:rPr>
                <w:b/>
                <w:bCs/>
              </w:rPr>
            </w:pPr>
            <w:r w:rsidRPr="00B14AD5">
              <w:rPr>
                <w:b/>
                <w:bCs/>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301E3" w:rsidRPr="00B14AD5" w:rsidRDefault="005301E3" w:rsidP="00DE41A6">
            <w:pPr>
              <w:jc w:val="center"/>
              <w:rPr>
                <w:b/>
                <w:bCs/>
              </w:rPr>
            </w:pPr>
            <w:r w:rsidRPr="00B14AD5">
              <w:rPr>
                <w:b/>
                <w:bCs/>
              </w:rPr>
              <w:t>poznámka</w:t>
            </w:r>
          </w:p>
        </w:tc>
      </w:tr>
      <w:tr w:rsidR="005301E3" w:rsidRPr="00B14AD5" w:rsidTr="00DE41A6">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301E3" w:rsidRPr="00B14AD5" w:rsidRDefault="005301E3" w:rsidP="00DE41A6">
            <w:pPr>
              <w:rPr>
                <w:b/>
                <w:bCs/>
              </w:rPr>
            </w:pPr>
          </w:p>
        </w:tc>
        <w:tc>
          <w:tcPr>
            <w:tcW w:w="1698" w:type="dxa"/>
            <w:tcBorders>
              <w:top w:val="nil"/>
              <w:left w:val="nil"/>
              <w:bottom w:val="single" w:sz="4" w:space="0" w:color="auto"/>
              <w:right w:val="single" w:sz="4" w:space="0" w:color="auto"/>
            </w:tcBorders>
            <w:shd w:val="clear" w:color="auto" w:fill="BFBFBF" w:themeFill="background1" w:themeFillShade="BF"/>
          </w:tcPr>
          <w:p w:rsidR="005301E3" w:rsidRPr="00DE61E4" w:rsidRDefault="005301E3" w:rsidP="00DE41A6">
            <w:pPr>
              <w:jc w:val="center"/>
              <w:rPr>
                <w:b/>
                <w:bCs/>
                <w:sz w:val="20"/>
                <w:szCs w:val="20"/>
              </w:rPr>
            </w:pPr>
            <w:r w:rsidRPr="00DE61E4">
              <w:rPr>
                <w:b/>
                <w:bCs/>
                <w:sz w:val="20"/>
                <w:szCs w:val="20"/>
              </w:rPr>
              <w:t>2024</w:t>
            </w:r>
          </w:p>
        </w:tc>
        <w:tc>
          <w:tcPr>
            <w:tcW w:w="1788" w:type="dxa"/>
            <w:tcBorders>
              <w:top w:val="nil"/>
              <w:left w:val="nil"/>
              <w:bottom w:val="single" w:sz="4" w:space="0" w:color="auto"/>
              <w:right w:val="single" w:sz="4" w:space="0" w:color="auto"/>
            </w:tcBorders>
            <w:shd w:val="clear" w:color="auto" w:fill="BFBFBF" w:themeFill="background1" w:themeFillShade="BF"/>
          </w:tcPr>
          <w:p w:rsidR="005301E3" w:rsidRPr="00DE61E4" w:rsidRDefault="005301E3" w:rsidP="00DE41A6">
            <w:pPr>
              <w:jc w:val="center"/>
              <w:rPr>
                <w:b/>
                <w:bCs/>
                <w:sz w:val="20"/>
                <w:szCs w:val="20"/>
              </w:rPr>
            </w:pPr>
            <w:r w:rsidRPr="00DE61E4">
              <w:rPr>
                <w:b/>
                <w:bCs/>
                <w:sz w:val="20"/>
                <w:szCs w:val="20"/>
              </w:rPr>
              <w:t>2025</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5301E3" w:rsidRPr="00DE61E4" w:rsidRDefault="005301E3" w:rsidP="00DE41A6">
            <w:pPr>
              <w:jc w:val="center"/>
              <w:rPr>
                <w:b/>
                <w:bCs/>
                <w:sz w:val="20"/>
                <w:szCs w:val="20"/>
              </w:rPr>
            </w:pPr>
            <w:r w:rsidRPr="00DE61E4">
              <w:rPr>
                <w:b/>
                <w:bCs/>
                <w:sz w:val="20"/>
                <w:szCs w:val="20"/>
              </w:rPr>
              <w:t>2026</w:t>
            </w:r>
          </w:p>
        </w:tc>
        <w:tc>
          <w:tcPr>
            <w:tcW w:w="1560" w:type="dxa"/>
            <w:tcBorders>
              <w:top w:val="nil"/>
              <w:left w:val="nil"/>
              <w:bottom w:val="single" w:sz="4" w:space="0" w:color="auto"/>
              <w:right w:val="single" w:sz="4" w:space="0" w:color="auto"/>
            </w:tcBorders>
            <w:shd w:val="clear" w:color="auto" w:fill="BFBFBF" w:themeFill="background1" w:themeFillShade="BF"/>
          </w:tcPr>
          <w:p w:rsidR="005301E3" w:rsidRPr="00DE61E4" w:rsidRDefault="005301E3" w:rsidP="00DE41A6">
            <w:pPr>
              <w:jc w:val="center"/>
              <w:rPr>
                <w:b/>
                <w:bCs/>
                <w:sz w:val="20"/>
                <w:szCs w:val="20"/>
              </w:rPr>
            </w:pPr>
            <w:r>
              <w:rPr>
                <w:b/>
                <w:bCs/>
                <w:sz w:val="20"/>
                <w:szCs w:val="20"/>
              </w:rPr>
              <w:t>2027</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301E3" w:rsidRPr="00B14AD5" w:rsidRDefault="005301E3" w:rsidP="00DE41A6">
            <w:pPr>
              <w:rPr>
                <w:b/>
                <w:bCs/>
              </w:rPr>
            </w:pPr>
          </w:p>
        </w:tc>
      </w:tr>
      <w:tr w:rsidR="005301E3" w:rsidRPr="00B14AD5" w:rsidTr="00DE41A6">
        <w:trPr>
          <w:trHeight w:val="255"/>
        </w:trPr>
        <w:tc>
          <w:tcPr>
            <w:tcW w:w="6188" w:type="dxa"/>
            <w:tcBorders>
              <w:top w:val="nil"/>
              <w:left w:val="single" w:sz="4" w:space="0" w:color="auto"/>
              <w:bottom w:val="single" w:sz="4" w:space="0" w:color="auto"/>
              <w:right w:val="single" w:sz="4" w:space="0" w:color="auto"/>
            </w:tcBorders>
          </w:tcPr>
          <w:p w:rsidR="005301E3" w:rsidRPr="00B14AD5" w:rsidRDefault="005301E3" w:rsidP="00DE41A6">
            <w:pPr>
              <w:rPr>
                <w:b/>
                <w:bCs/>
              </w:rPr>
            </w:pPr>
            <w:r w:rsidRPr="00B14AD5">
              <w:rPr>
                <w:b/>
                <w:bCs/>
              </w:rPr>
              <w:t>Počet zamestnancov celkom</w:t>
            </w:r>
          </w:p>
        </w:tc>
        <w:tc>
          <w:tcPr>
            <w:tcW w:w="1698" w:type="dxa"/>
            <w:tcBorders>
              <w:top w:val="nil"/>
              <w:left w:val="nil"/>
              <w:bottom w:val="single" w:sz="4" w:space="0" w:color="auto"/>
              <w:right w:val="single" w:sz="4" w:space="0" w:color="auto"/>
            </w:tcBorders>
          </w:tcPr>
          <w:p w:rsidR="005301E3" w:rsidRPr="00B14AD5" w:rsidRDefault="005301E3" w:rsidP="00DE41A6">
            <w:pPr>
              <w:jc w:val="center"/>
              <w:rPr>
                <w:b/>
                <w:bCs/>
              </w:rPr>
            </w:pPr>
            <w:r>
              <w:rPr>
                <w:b/>
                <w:bCs/>
              </w:rPr>
              <w:t>10</w:t>
            </w:r>
          </w:p>
        </w:tc>
        <w:tc>
          <w:tcPr>
            <w:tcW w:w="1788" w:type="dxa"/>
            <w:tcBorders>
              <w:top w:val="nil"/>
              <w:left w:val="nil"/>
              <w:bottom w:val="single" w:sz="4" w:space="0" w:color="auto"/>
              <w:right w:val="single" w:sz="4" w:space="0" w:color="auto"/>
            </w:tcBorders>
          </w:tcPr>
          <w:p w:rsidR="005301E3" w:rsidRPr="00B14AD5" w:rsidRDefault="005301E3" w:rsidP="00DE41A6">
            <w:pPr>
              <w:jc w:val="center"/>
              <w:rPr>
                <w:b/>
                <w:bCs/>
              </w:rPr>
            </w:pPr>
            <w:r>
              <w:rPr>
                <w:b/>
                <w:bCs/>
              </w:rPr>
              <w:t>32</w:t>
            </w:r>
          </w:p>
        </w:tc>
        <w:tc>
          <w:tcPr>
            <w:tcW w:w="1878" w:type="dxa"/>
            <w:gridSpan w:val="2"/>
            <w:tcBorders>
              <w:top w:val="nil"/>
              <w:left w:val="nil"/>
              <w:bottom w:val="single" w:sz="4" w:space="0" w:color="auto"/>
              <w:right w:val="single" w:sz="4" w:space="0" w:color="auto"/>
            </w:tcBorders>
          </w:tcPr>
          <w:p w:rsidR="005301E3" w:rsidRPr="00B14AD5" w:rsidRDefault="005301E3" w:rsidP="00DE41A6">
            <w:pPr>
              <w:jc w:val="center"/>
              <w:rPr>
                <w:b/>
                <w:bCs/>
              </w:rPr>
            </w:pPr>
            <w:r>
              <w:rPr>
                <w:b/>
                <w:bCs/>
              </w:rPr>
              <w:t>49</w:t>
            </w:r>
          </w:p>
        </w:tc>
        <w:tc>
          <w:tcPr>
            <w:tcW w:w="1560" w:type="dxa"/>
            <w:tcBorders>
              <w:top w:val="nil"/>
              <w:left w:val="nil"/>
              <w:bottom w:val="single" w:sz="4" w:space="0" w:color="auto"/>
              <w:right w:val="single" w:sz="4" w:space="0" w:color="auto"/>
            </w:tcBorders>
          </w:tcPr>
          <w:p w:rsidR="005301E3" w:rsidRPr="00B14AD5" w:rsidRDefault="005301E3" w:rsidP="00DE41A6">
            <w:pPr>
              <w:jc w:val="center"/>
              <w:rPr>
                <w:b/>
                <w:bCs/>
              </w:rPr>
            </w:pPr>
            <w:r>
              <w:rPr>
                <w:b/>
                <w:bCs/>
              </w:rPr>
              <w:t>49</w:t>
            </w:r>
          </w:p>
        </w:tc>
        <w:tc>
          <w:tcPr>
            <w:tcW w:w="1842" w:type="dxa"/>
            <w:gridSpan w:val="2"/>
            <w:tcBorders>
              <w:top w:val="nil"/>
              <w:left w:val="nil"/>
              <w:bottom w:val="single" w:sz="4" w:space="0" w:color="auto"/>
              <w:right w:val="single" w:sz="4" w:space="0" w:color="auto"/>
            </w:tcBorders>
            <w:noWrap/>
            <w:vAlign w:val="bottom"/>
          </w:tcPr>
          <w:p w:rsidR="005301E3" w:rsidRPr="00B14AD5" w:rsidRDefault="005301E3" w:rsidP="00DE41A6">
            <w:r w:rsidRPr="00B14AD5">
              <w:t> </w:t>
            </w:r>
          </w:p>
        </w:tc>
      </w:tr>
      <w:tr w:rsidR="005301E3" w:rsidRPr="00B14AD5" w:rsidTr="00DE41A6">
        <w:trPr>
          <w:trHeight w:val="255"/>
        </w:trPr>
        <w:tc>
          <w:tcPr>
            <w:tcW w:w="6188" w:type="dxa"/>
            <w:tcBorders>
              <w:top w:val="nil"/>
              <w:left w:val="single" w:sz="4" w:space="0" w:color="auto"/>
              <w:bottom w:val="single" w:sz="4" w:space="0" w:color="auto"/>
              <w:right w:val="single" w:sz="4" w:space="0" w:color="auto"/>
            </w:tcBorders>
          </w:tcPr>
          <w:p w:rsidR="005301E3" w:rsidRPr="00B14AD5" w:rsidRDefault="005301E3" w:rsidP="00DE41A6">
            <w:pPr>
              <w:rPr>
                <w:b/>
                <w:bCs/>
              </w:rPr>
            </w:pPr>
            <w:r w:rsidRPr="00B14AD5">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5301E3" w:rsidRPr="000861FE" w:rsidRDefault="005301E3" w:rsidP="00DE41A6">
            <w:pPr>
              <w:jc w:val="center"/>
              <w:rPr>
                <w:b/>
                <w:bCs/>
              </w:rPr>
            </w:pPr>
            <w:r w:rsidRPr="000861FE">
              <w:rPr>
                <w:b/>
                <w:bCs/>
              </w:rPr>
              <w:t>1</w:t>
            </w:r>
            <w:r>
              <w:rPr>
                <w:b/>
                <w:bCs/>
              </w:rPr>
              <w:t>0</w:t>
            </w:r>
          </w:p>
        </w:tc>
        <w:tc>
          <w:tcPr>
            <w:tcW w:w="1788" w:type="dxa"/>
            <w:tcBorders>
              <w:top w:val="single" w:sz="4" w:space="0" w:color="auto"/>
              <w:left w:val="nil"/>
              <w:bottom w:val="single" w:sz="4" w:space="0" w:color="auto"/>
              <w:right w:val="single" w:sz="4" w:space="0" w:color="auto"/>
            </w:tcBorders>
          </w:tcPr>
          <w:p w:rsidR="005301E3" w:rsidRPr="00B14AD5" w:rsidRDefault="005301E3" w:rsidP="00DE41A6">
            <w:pPr>
              <w:jc w:val="center"/>
              <w:rPr>
                <w:b/>
                <w:bCs/>
              </w:rPr>
            </w:pPr>
            <w:r>
              <w:rPr>
                <w:b/>
                <w:bCs/>
              </w:rPr>
              <w:t>32</w:t>
            </w:r>
          </w:p>
        </w:tc>
        <w:tc>
          <w:tcPr>
            <w:tcW w:w="1878" w:type="dxa"/>
            <w:gridSpan w:val="2"/>
            <w:tcBorders>
              <w:top w:val="single" w:sz="4" w:space="0" w:color="auto"/>
              <w:left w:val="nil"/>
              <w:bottom w:val="single" w:sz="4" w:space="0" w:color="auto"/>
              <w:right w:val="single" w:sz="4" w:space="0" w:color="auto"/>
            </w:tcBorders>
          </w:tcPr>
          <w:p w:rsidR="005301E3" w:rsidRPr="00B14AD5" w:rsidRDefault="005301E3" w:rsidP="00DE41A6">
            <w:pPr>
              <w:jc w:val="center"/>
              <w:rPr>
                <w:b/>
                <w:bCs/>
              </w:rPr>
            </w:pPr>
            <w:r>
              <w:rPr>
                <w:b/>
                <w:bCs/>
              </w:rPr>
              <w:t>49</w:t>
            </w:r>
          </w:p>
        </w:tc>
        <w:tc>
          <w:tcPr>
            <w:tcW w:w="1560" w:type="dxa"/>
            <w:tcBorders>
              <w:top w:val="single" w:sz="4" w:space="0" w:color="auto"/>
              <w:left w:val="nil"/>
              <w:bottom w:val="single" w:sz="4" w:space="0" w:color="auto"/>
              <w:right w:val="single" w:sz="4" w:space="0" w:color="auto"/>
            </w:tcBorders>
          </w:tcPr>
          <w:p w:rsidR="005301E3" w:rsidRPr="00B14AD5" w:rsidRDefault="005301E3" w:rsidP="00DE41A6">
            <w:pPr>
              <w:jc w:val="center"/>
              <w:rPr>
                <w:b/>
                <w:bCs/>
              </w:rPr>
            </w:pPr>
            <w:r>
              <w:rPr>
                <w:b/>
                <w:bCs/>
              </w:rPr>
              <w:t>49</w:t>
            </w:r>
          </w:p>
        </w:tc>
        <w:tc>
          <w:tcPr>
            <w:tcW w:w="1842" w:type="dxa"/>
            <w:gridSpan w:val="2"/>
            <w:tcBorders>
              <w:top w:val="nil"/>
              <w:left w:val="nil"/>
              <w:bottom w:val="single" w:sz="4" w:space="0" w:color="auto"/>
              <w:right w:val="single" w:sz="4" w:space="0" w:color="auto"/>
            </w:tcBorders>
            <w:noWrap/>
            <w:vAlign w:val="bottom"/>
          </w:tcPr>
          <w:p w:rsidR="005301E3" w:rsidRPr="00B14AD5" w:rsidRDefault="005301E3" w:rsidP="00DE41A6"/>
        </w:tc>
      </w:tr>
      <w:tr w:rsidR="005301E3" w:rsidRPr="00B14AD5" w:rsidTr="00DE41A6">
        <w:trPr>
          <w:trHeight w:val="255"/>
        </w:trPr>
        <w:tc>
          <w:tcPr>
            <w:tcW w:w="6188" w:type="dxa"/>
            <w:tcBorders>
              <w:top w:val="nil"/>
              <w:left w:val="single" w:sz="4" w:space="0" w:color="auto"/>
              <w:bottom w:val="single" w:sz="4" w:space="0" w:color="auto"/>
              <w:right w:val="single" w:sz="4" w:space="0" w:color="auto"/>
            </w:tcBorders>
          </w:tcPr>
          <w:p w:rsidR="005301E3" w:rsidRPr="00B14AD5" w:rsidRDefault="005301E3" w:rsidP="00DE41A6">
            <w:pPr>
              <w:rPr>
                <w:b/>
                <w:bCs/>
              </w:rPr>
            </w:pPr>
            <w:r w:rsidRPr="00B14AD5">
              <w:rPr>
                <w:b/>
                <w:bCs/>
              </w:rPr>
              <w:t>Priemerný mzdový výdavok (v eurách)</w:t>
            </w:r>
          </w:p>
        </w:tc>
        <w:tc>
          <w:tcPr>
            <w:tcW w:w="1698" w:type="dxa"/>
            <w:tcBorders>
              <w:top w:val="single" w:sz="4" w:space="0" w:color="auto"/>
              <w:left w:val="nil"/>
              <w:bottom w:val="single" w:sz="4" w:space="0" w:color="auto"/>
              <w:right w:val="single" w:sz="4" w:space="0" w:color="auto"/>
            </w:tcBorders>
          </w:tcPr>
          <w:p w:rsidR="005301E3" w:rsidRPr="000861FE" w:rsidRDefault="005301E3" w:rsidP="00DE41A6">
            <w:pPr>
              <w:jc w:val="center"/>
              <w:rPr>
                <w:b/>
                <w:bCs/>
              </w:rPr>
            </w:pPr>
            <w:r w:rsidRPr="000861FE">
              <w:rPr>
                <w:sz w:val="20"/>
                <w:szCs w:val="20"/>
              </w:rPr>
              <w:t>2200</w:t>
            </w:r>
          </w:p>
        </w:tc>
        <w:tc>
          <w:tcPr>
            <w:tcW w:w="1788" w:type="dxa"/>
            <w:tcBorders>
              <w:top w:val="single" w:sz="4" w:space="0" w:color="auto"/>
              <w:left w:val="nil"/>
              <w:bottom w:val="single" w:sz="4" w:space="0" w:color="auto"/>
              <w:right w:val="single" w:sz="4" w:space="0" w:color="auto"/>
            </w:tcBorders>
          </w:tcPr>
          <w:p w:rsidR="005301E3" w:rsidRPr="00B14AD5" w:rsidRDefault="005301E3" w:rsidP="00DE41A6">
            <w:pPr>
              <w:jc w:val="center"/>
              <w:rPr>
                <w:b/>
                <w:bCs/>
              </w:rPr>
            </w:pPr>
            <w:r>
              <w:rPr>
                <w:sz w:val="20"/>
                <w:szCs w:val="20"/>
              </w:rPr>
              <w:t>2200</w:t>
            </w:r>
          </w:p>
        </w:tc>
        <w:tc>
          <w:tcPr>
            <w:tcW w:w="1878" w:type="dxa"/>
            <w:gridSpan w:val="2"/>
            <w:tcBorders>
              <w:top w:val="single" w:sz="4" w:space="0" w:color="auto"/>
              <w:left w:val="nil"/>
              <w:bottom w:val="single" w:sz="4" w:space="0" w:color="auto"/>
              <w:right w:val="single" w:sz="4" w:space="0" w:color="auto"/>
            </w:tcBorders>
          </w:tcPr>
          <w:p w:rsidR="005301E3" w:rsidRPr="00B14AD5" w:rsidRDefault="005301E3" w:rsidP="00DE41A6">
            <w:pPr>
              <w:jc w:val="center"/>
              <w:rPr>
                <w:b/>
                <w:bCs/>
              </w:rPr>
            </w:pPr>
            <w:r>
              <w:rPr>
                <w:sz w:val="20"/>
                <w:szCs w:val="20"/>
              </w:rPr>
              <w:t>2200</w:t>
            </w:r>
          </w:p>
        </w:tc>
        <w:tc>
          <w:tcPr>
            <w:tcW w:w="1560" w:type="dxa"/>
            <w:tcBorders>
              <w:top w:val="single" w:sz="4" w:space="0" w:color="auto"/>
              <w:left w:val="nil"/>
              <w:bottom w:val="single" w:sz="4" w:space="0" w:color="auto"/>
              <w:right w:val="single" w:sz="4" w:space="0" w:color="auto"/>
            </w:tcBorders>
          </w:tcPr>
          <w:p w:rsidR="005301E3" w:rsidRPr="00B14AD5" w:rsidRDefault="005301E3" w:rsidP="00DE41A6">
            <w:pPr>
              <w:jc w:val="center"/>
              <w:rPr>
                <w:b/>
                <w:bCs/>
              </w:rPr>
            </w:pPr>
            <w:r>
              <w:rPr>
                <w:sz w:val="20"/>
                <w:szCs w:val="20"/>
              </w:rPr>
              <w:t>2200</w:t>
            </w:r>
          </w:p>
        </w:tc>
        <w:tc>
          <w:tcPr>
            <w:tcW w:w="1842" w:type="dxa"/>
            <w:gridSpan w:val="2"/>
            <w:tcBorders>
              <w:top w:val="nil"/>
              <w:left w:val="nil"/>
              <w:bottom w:val="single" w:sz="4" w:space="0" w:color="auto"/>
              <w:right w:val="single" w:sz="4" w:space="0" w:color="auto"/>
            </w:tcBorders>
            <w:noWrap/>
            <w:vAlign w:val="bottom"/>
          </w:tcPr>
          <w:p w:rsidR="005301E3" w:rsidRPr="00B14AD5" w:rsidRDefault="005301E3" w:rsidP="00DE41A6">
            <w:r w:rsidRPr="00B14AD5">
              <w:t> </w:t>
            </w:r>
          </w:p>
        </w:tc>
      </w:tr>
      <w:tr w:rsidR="005301E3" w:rsidRPr="00B14AD5" w:rsidTr="00DE41A6">
        <w:trPr>
          <w:trHeight w:val="255"/>
        </w:trPr>
        <w:tc>
          <w:tcPr>
            <w:tcW w:w="6188" w:type="dxa"/>
            <w:tcBorders>
              <w:top w:val="nil"/>
              <w:left w:val="single" w:sz="4" w:space="0" w:color="auto"/>
              <w:bottom w:val="single" w:sz="4" w:space="0" w:color="auto"/>
              <w:right w:val="single" w:sz="4" w:space="0" w:color="auto"/>
            </w:tcBorders>
          </w:tcPr>
          <w:p w:rsidR="005301E3" w:rsidRPr="00B14AD5" w:rsidRDefault="005301E3" w:rsidP="00DE41A6">
            <w:r w:rsidRPr="00B14AD5">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5301E3" w:rsidRPr="000861FE" w:rsidRDefault="005301E3" w:rsidP="00DE41A6">
            <w:pPr>
              <w:jc w:val="center"/>
            </w:pPr>
            <w:r w:rsidRPr="000861FE">
              <w:t> </w:t>
            </w:r>
            <w:r w:rsidRPr="000861FE">
              <w:rPr>
                <w:sz w:val="20"/>
                <w:szCs w:val="20"/>
              </w:rPr>
              <w:t>2200</w:t>
            </w:r>
          </w:p>
        </w:tc>
        <w:tc>
          <w:tcPr>
            <w:tcW w:w="1788" w:type="dxa"/>
            <w:tcBorders>
              <w:top w:val="single" w:sz="4" w:space="0" w:color="auto"/>
              <w:left w:val="nil"/>
              <w:bottom w:val="single" w:sz="4" w:space="0" w:color="auto"/>
              <w:right w:val="single" w:sz="4" w:space="0" w:color="auto"/>
            </w:tcBorders>
          </w:tcPr>
          <w:p w:rsidR="005301E3" w:rsidRPr="00B14AD5" w:rsidRDefault="005301E3" w:rsidP="00DE41A6">
            <w:pPr>
              <w:jc w:val="center"/>
            </w:pPr>
            <w:r w:rsidRPr="00B14AD5">
              <w:t> </w:t>
            </w:r>
            <w:r>
              <w:rPr>
                <w:sz w:val="20"/>
                <w:szCs w:val="20"/>
              </w:rPr>
              <w:t>2200</w:t>
            </w:r>
          </w:p>
        </w:tc>
        <w:tc>
          <w:tcPr>
            <w:tcW w:w="1878" w:type="dxa"/>
            <w:gridSpan w:val="2"/>
            <w:tcBorders>
              <w:top w:val="single" w:sz="4" w:space="0" w:color="auto"/>
              <w:left w:val="nil"/>
              <w:bottom w:val="single" w:sz="4" w:space="0" w:color="auto"/>
              <w:right w:val="single" w:sz="4" w:space="0" w:color="auto"/>
            </w:tcBorders>
          </w:tcPr>
          <w:p w:rsidR="005301E3" w:rsidRPr="00B14AD5" w:rsidRDefault="005301E3" w:rsidP="00DE41A6">
            <w:pPr>
              <w:jc w:val="center"/>
            </w:pPr>
            <w:r w:rsidRPr="00B14AD5">
              <w:t> </w:t>
            </w:r>
            <w:r>
              <w:rPr>
                <w:sz w:val="20"/>
                <w:szCs w:val="20"/>
              </w:rPr>
              <w:t>2200</w:t>
            </w:r>
          </w:p>
        </w:tc>
        <w:tc>
          <w:tcPr>
            <w:tcW w:w="1560" w:type="dxa"/>
            <w:tcBorders>
              <w:top w:val="single" w:sz="4" w:space="0" w:color="auto"/>
              <w:left w:val="nil"/>
              <w:bottom w:val="single" w:sz="4" w:space="0" w:color="auto"/>
              <w:right w:val="single" w:sz="4" w:space="0" w:color="auto"/>
            </w:tcBorders>
          </w:tcPr>
          <w:p w:rsidR="005301E3" w:rsidRPr="00B14AD5" w:rsidRDefault="005301E3" w:rsidP="00DE41A6">
            <w:pPr>
              <w:jc w:val="center"/>
            </w:pPr>
            <w:r w:rsidRPr="00B14AD5">
              <w:t> </w:t>
            </w:r>
            <w:r>
              <w:rPr>
                <w:sz w:val="20"/>
                <w:szCs w:val="20"/>
              </w:rPr>
              <w:t>2200</w:t>
            </w:r>
          </w:p>
        </w:tc>
        <w:tc>
          <w:tcPr>
            <w:tcW w:w="1842" w:type="dxa"/>
            <w:gridSpan w:val="2"/>
            <w:tcBorders>
              <w:top w:val="nil"/>
              <w:left w:val="nil"/>
              <w:bottom w:val="single" w:sz="4" w:space="0" w:color="auto"/>
              <w:right w:val="single" w:sz="4" w:space="0" w:color="auto"/>
            </w:tcBorders>
            <w:noWrap/>
            <w:vAlign w:val="bottom"/>
          </w:tcPr>
          <w:p w:rsidR="005301E3" w:rsidRPr="00B14AD5" w:rsidRDefault="005301E3" w:rsidP="00DE41A6">
            <w:r w:rsidRPr="00B14AD5">
              <w:t> </w:t>
            </w:r>
          </w:p>
        </w:tc>
      </w:tr>
      <w:tr w:rsidR="005301E3" w:rsidRPr="00B14AD5" w:rsidTr="00DE41A6">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5301E3" w:rsidRPr="00B14AD5" w:rsidRDefault="005301E3" w:rsidP="00DE41A6">
            <w:pPr>
              <w:rPr>
                <w:b/>
                <w:bCs/>
              </w:rPr>
            </w:pPr>
            <w:r w:rsidRPr="00B14AD5">
              <w:rPr>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5301E3" w:rsidRPr="004E7AB6" w:rsidRDefault="005301E3" w:rsidP="00DE41A6">
            <w:pPr>
              <w:jc w:val="center"/>
              <w:rPr>
                <w:b/>
                <w:bCs/>
              </w:rPr>
            </w:pPr>
            <w:r>
              <w:rPr>
                <w:b/>
                <w:bCs/>
              </w:rPr>
              <w:t>209 363</w:t>
            </w:r>
          </w:p>
        </w:tc>
        <w:tc>
          <w:tcPr>
            <w:tcW w:w="1788" w:type="dxa"/>
            <w:tcBorders>
              <w:top w:val="nil"/>
              <w:left w:val="nil"/>
              <w:bottom w:val="single" w:sz="4" w:space="0" w:color="auto"/>
              <w:right w:val="single" w:sz="4" w:space="0" w:color="auto"/>
            </w:tcBorders>
            <w:shd w:val="clear" w:color="auto" w:fill="BFBFBF" w:themeFill="background1" w:themeFillShade="BF"/>
          </w:tcPr>
          <w:p w:rsidR="005301E3" w:rsidRPr="004E7AB6" w:rsidRDefault="005301E3" w:rsidP="00DE41A6">
            <w:pPr>
              <w:jc w:val="center"/>
              <w:rPr>
                <w:b/>
                <w:bCs/>
              </w:rPr>
            </w:pPr>
            <w:r w:rsidRPr="004E7AB6">
              <w:rPr>
                <w:b/>
                <w:bCs/>
              </w:rPr>
              <w:t>1 148 505,60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5301E3" w:rsidRPr="004E7AB6" w:rsidRDefault="005301E3" w:rsidP="00DE41A6">
            <w:pPr>
              <w:jc w:val="center"/>
              <w:rPr>
                <w:b/>
                <w:bCs/>
              </w:rPr>
            </w:pPr>
            <w:r w:rsidRPr="004E7AB6">
              <w:rPr>
                <w:b/>
                <w:bCs/>
              </w:rPr>
              <w:t>1 758 649,20</w:t>
            </w:r>
          </w:p>
        </w:tc>
        <w:tc>
          <w:tcPr>
            <w:tcW w:w="1560" w:type="dxa"/>
            <w:tcBorders>
              <w:top w:val="nil"/>
              <w:left w:val="nil"/>
              <w:bottom w:val="single" w:sz="4" w:space="0" w:color="auto"/>
              <w:right w:val="single" w:sz="4" w:space="0" w:color="auto"/>
            </w:tcBorders>
            <w:shd w:val="clear" w:color="auto" w:fill="BFBFBF" w:themeFill="background1" w:themeFillShade="BF"/>
          </w:tcPr>
          <w:p w:rsidR="005301E3" w:rsidRPr="004E7AB6" w:rsidRDefault="005301E3" w:rsidP="00DE41A6">
            <w:pPr>
              <w:jc w:val="center"/>
              <w:rPr>
                <w:b/>
                <w:bCs/>
              </w:rPr>
            </w:pPr>
            <w:r w:rsidRPr="004E7AB6">
              <w:rPr>
                <w:b/>
                <w:bCs/>
              </w:rPr>
              <w:t>1 758 649,20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5301E3" w:rsidRPr="00B14AD5" w:rsidRDefault="005301E3" w:rsidP="00DE41A6">
            <w:pPr>
              <w:rPr>
                <w:b/>
                <w:bCs/>
              </w:rPr>
            </w:pPr>
            <w:r w:rsidRPr="00B14AD5">
              <w:rPr>
                <w:b/>
                <w:bCs/>
              </w:rPr>
              <w:t> </w:t>
            </w:r>
          </w:p>
        </w:tc>
      </w:tr>
      <w:tr w:rsidR="005301E3" w:rsidRPr="00B14AD5" w:rsidTr="00DE41A6">
        <w:trPr>
          <w:trHeight w:val="255"/>
        </w:trPr>
        <w:tc>
          <w:tcPr>
            <w:tcW w:w="6188" w:type="dxa"/>
            <w:tcBorders>
              <w:top w:val="nil"/>
              <w:left w:val="single" w:sz="4" w:space="0" w:color="auto"/>
              <w:bottom w:val="single" w:sz="4" w:space="0" w:color="auto"/>
              <w:right w:val="single" w:sz="4" w:space="0" w:color="auto"/>
            </w:tcBorders>
          </w:tcPr>
          <w:p w:rsidR="005301E3" w:rsidRPr="00B14AD5" w:rsidRDefault="005301E3" w:rsidP="00DE41A6">
            <w:pPr>
              <w:rPr>
                <w:b/>
                <w:bCs/>
              </w:rPr>
            </w:pPr>
            <w:r w:rsidRPr="00B14AD5">
              <w:rPr>
                <w:b/>
                <w:bCs/>
              </w:rPr>
              <w:t>Mzdy, platy, služobné príjmy a ostatné osobné vyrovnania (610)</w:t>
            </w:r>
          </w:p>
        </w:tc>
        <w:tc>
          <w:tcPr>
            <w:tcW w:w="1698" w:type="dxa"/>
            <w:tcBorders>
              <w:top w:val="nil"/>
              <w:left w:val="nil"/>
              <w:bottom w:val="single" w:sz="4" w:space="0" w:color="auto"/>
              <w:right w:val="single" w:sz="4" w:space="0" w:color="auto"/>
            </w:tcBorders>
          </w:tcPr>
          <w:p w:rsidR="005301E3" w:rsidRPr="00C11D67" w:rsidRDefault="005301E3" w:rsidP="00DE41A6">
            <w:pPr>
              <w:jc w:val="center"/>
              <w:rPr>
                <w:sz w:val="20"/>
                <w:szCs w:val="20"/>
              </w:rPr>
            </w:pPr>
            <w:r w:rsidRPr="00C11D67">
              <w:rPr>
                <w:sz w:val="20"/>
                <w:szCs w:val="20"/>
              </w:rPr>
              <w:t>154 000</w:t>
            </w:r>
          </w:p>
        </w:tc>
        <w:tc>
          <w:tcPr>
            <w:tcW w:w="1788" w:type="dxa"/>
            <w:tcBorders>
              <w:top w:val="nil"/>
              <w:left w:val="nil"/>
              <w:bottom w:val="single" w:sz="4" w:space="0" w:color="auto"/>
              <w:right w:val="single" w:sz="4" w:space="0" w:color="auto"/>
            </w:tcBorders>
          </w:tcPr>
          <w:p w:rsidR="005301E3" w:rsidRPr="00DE61E4" w:rsidRDefault="005301E3" w:rsidP="00DE41A6">
            <w:pPr>
              <w:jc w:val="center"/>
              <w:rPr>
                <w:sz w:val="20"/>
                <w:szCs w:val="20"/>
              </w:rPr>
            </w:pPr>
            <w:r w:rsidRPr="00DE61E4">
              <w:rPr>
                <w:sz w:val="20"/>
                <w:szCs w:val="20"/>
              </w:rPr>
              <w:t>844 800</w:t>
            </w:r>
          </w:p>
        </w:tc>
        <w:tc>
          <w:tcPr>
            <w:tcW w:w="1878" w:type="dxa"/>
            <w:gridSpan w:val="2"/>
            <w:tcBorders>
              <w:top w:val="nil"/>
              <w:left w:val="nil"/>
              <w:bottom w:val="single" w:sz="4" w:space="0" w:color="auto"/>
              <w:right w:val="single" w:sz="4" w:space="0" w:color="auto"/>
            </w:tcBorders>
          </w:tcPr>
          <w:p w:rsidR="005301E3" w:rsidRPr="00DE61E4" w:rsidRDefault="005301E3" w:rsidP="00DE41A6">
            <w:pPr>
              <w:jc w:val="center"/>
              <w:rPr>
                <w:sz w:val="20"/>
                <w:szCs w:val="20"/>
              </w:rPr>
            </w:pPr>
            <w:r w:rsidRPr="00DE61E4">
              <w:rPr>
                <w:sz w:val="20"/>
                <w:szCs w:val="20"/>
              </w:rPr>
              <w:t>1 293 600</w:t>
            </w:r>
          </w:p>
        </w:tc>
        <w:tc>
          <w:tcPr>
            <w:tcW w:w="1560" w:type="dxa"/>
            <w:tcBorders>
              <w:top w:val="nil"/>
              <w:left w:val="nil"/>
              <w:bottom w:val="single" w:sz="4" w:space="0" w:color="auto"/>
              <w:right w:val="single" w:sz="4" w:space="0" w:color="auto"/>
            </w:tcBorders>
          </w:tcPr>
          <w:p w:rsidR="005301E3" w:rsidRPr="00DE61E4" w:rsidRDefault="005301E3" w:rsidP="00DE41A6">
            <w:pPr>
              <w:jc w:val="center"/>
              <w:rPr>
                <w:sz w:val="20"/>
                <w:szCs w:val="20"/>
              </w:rPr>
            </w:pPr>
            <w:r w:rsidRPr="00DE61E4">
              <w:rPr>
                <w:sz w:val="20"/>
                <w:szCs w:val="20"/>
              </w:rPr>
              <w:t>1 293 600</w:t>
            </w:r>
          </w:p>
        </w:tc>
        <w:tc>
          <w:tcPr>
            <w:tcW w:w="1842" w:type="dxa"/>
            <w:gridSpan w:val="2"/>
            <w:tcBorders>
              <w:top w:val="nil"/>
              <w:left w:val="nil"/>
              <w:bottom w:val="single" w:sz="4" w:space="0" w:color="auto"/>
              <w:right w:val="single" w:sz="4" w:space="0" w:color="auto"/>
            </w:tcBorders>
            <w:noWrap/>
            <w:vAlign w:val="bottom"/>
          </w:tcPr>
          <w:p w:rsidR="005301E3" w:rsidRPr="00B14AD5" w:rsidRDefault="005301E3" w:rsidP="00DE41A6">
            <w:pPr>
              <w:rPr>
                <w:b/>
                <w:bCs/>
              </w:rPr>
            </w:pPr>
            <w:r w:rsidRPr="00B14AD5">
              <w:rPr>
                <w:b/>
                <w:bCs/>
              </w:rPr>
              <w:t> </w:t>
            </w:r>
          </w:p>
        </w:tc>
      </w:tr>
      <w:tr w:rsidR="005301E3" w:rsidRPr="00B14AD5" w:rsidTr="00DE41A6">
        <w:trPr>
          <w:trHeight w:val="255"/>
        </w:trPr>
        <w:tc>
          <w:tcPr>
            <w:tcW w:w="6188" w:type="dxa"/>
            <w:tcBorders>
              <w:top w:val="nil"/>
              <w:left w:val="single" w:sz="4" w:space="0" w:color="auto"/>
              <w:bottom w:val="single" w:sz="4" w:space="0" w:color="auto"/>
              <w:right w:val="single" w:sz="4" w:space="0" w:color="auto"/>
            </w:tcBorders>
          </w:tcPr>
          <w:p w:rsidR="005301E3" w:rsidRPr="00B14AD5" w:rsidRDefault="005301E3" w:rsidP="00DE41A6">
            <w:r w:rsidRPr="00B14AD5">
              <w:rPr>
                <w:b/>
                <w:bCs/>
              </w:rPr>
              <w:t xml:space="preserve">   z toho vplyv na ŠR</w:t>
            </w:r>
          </w:p>
        </w:tc>
        <w:tc>
          <w:tcPr>
            <w:tcW w:w="1698" w:type="dxa"/>
            <w:tcBorders>
              <w:top w:val="nil"/>
              <w:left w:val="nil"/>
              <w:bottom w:val="single" w:sz="4" w:space="0" w:color="auto"/>
              <w:right w:val="single" w:sz="4" w:space="0" w:color="auto"/>
            </w:tcBorders>
          </w:tcPr>
          <w:p w:rsidR="005301E3" w:rsidRPr="00C11D67" w:rsidRDefault="005301E3" w:rsidP="00DE41A6">
            <w:pPr>
              <w:jc w:val="center"/>
              <w:rPr>
                <w:sz w:val="20"/>
                <w:szCs w:val="20"/>
              </w:rPr>
            </w:pPr>
            <w:r w:rsidRPr="00C11D67">
              <w:rPr>
                <w:sz w:val="20"/>
                <w:szCs w:val="20"/>
              </w:rPr>
              <w:t>154 000</w:t>
            </w:r>
          </w:p>
        </w:tc>
        <w:tc>
          <w:tcPr>
            <w:tcW w:w="1788" w:type="dxa"/>
            <w:tcBorders>
              <w:top w:val="nil"/>
              <w:left w:val="nil"/>
              <w:bottom w:val="single" w:sz="4" w:space="0" w:color="auto"/>
              <w:right w:val="single" w:sz="4" w:space="0" w:color="auto"/>
            </w:tcBorders>
          </w:tcPr>
          <w:p w:rsidR="005301E3" w:rsidRPr="00DE61E4" w:rsidRDefault="005301E3" w:rsidP="00DE41A6">
            <w:pPr>
              <w:jc w:val="center"/>
              <w:rPr>
                <w:sz w:val="20"/>
                <w:szCs w:val="20"/>
              </w:rPr>
            </w:pPr>
            <w:r w:rsidRPr="00DE61E4">
              <w:rPr>
                <w:sz w:val="20"/>
                <w:szCs w:val="20"/>
              </w:rPr>
              <w:t>844 800</w:t>
            </w:r>
          </w:p>
        </w:tc>
        <w:tc>
          <w:tcPr>
            <w:tcW w:w="1878" w:type="dxa"/>
            <w:gridSpan w:val="2"/>
            <w:tcBorders>
              <w:top w:val="nil"/>
              <w:left w:val="nil"/>
              <w:bottom w:val="single" w:sz="4" w:space="0" w:color="auto"/>
              <w:right w:val="single" w:sz="4" w:space="0" w:color="auto"/>
            </w:tcBorders>
          </w:tcPr>
          <w:p w:rsidR="005301E3" w:rsidRPr="00DE61E4" w:rsidRDefault="005301E3" w:rsidP="00DE41A6">
            <w:pPr>
              <w:jc w:val="center"/>
              <w:rPr>
                <w:sz w:val="20"/>
                <w:szCs w:val="20"/>
              </w:rPr>
            </w:pPr>
            <w:r w:rsidRPr="00DE61E4">
              <w:rPr>
                <w:sz w:val="20"/>
                <w:szCs w:val="20"/>
              </w:rPr>
              <w:t>1 293 600</w:t>
            </w:r>
          </w:p>
        </w:tc>
        <w:tc>
          <w:tcPr>
            <w:tcW w:w="1560" w:type="dxa"/>
            <w:tcBorders>
              <w:top w:val="nil"/>
              <w:left w:val="nil"/>
              <w:bottom w:val="single" w:sz="4" w:space="0" w:color="auto"/>
              <w:right w:val="single" w:sz="4" w:space="0" w:color="auto"/>
            </w:tcBorders>
          </w:tcPr>
          <w:p w:rsidR="005301E3" w:rsidRPr="00DE61E4" w:rsidRDefault="005301E3" w:rsidP="00DE41A6">
            <w:pPr>
              <w:jc w:val="center"/>
              <w:rPr>
                <w:sz w:val="20"/>
                <w:szCs w:val="20"/>
              </w:rPr>
            </w:pPr>
            <w:r w:rsidRPr="00DE61E4">
              <w:rPr>
                <w:sz w:val="20"/>
                <w:szCs w:val="20"/>
              </w:rPr>
              <w:t>1 293 600</w:t>
            </w:r>
          </w:p>
        </w:tc>
        <w:tc>
          <w:tcPr>
            <w:tcW w:w="1842" w:type="dxa"/>
            <w:gridSpan w:val="2"/>
            <w:tcBorders>
              <w:top w:val="nil"/>
              <w:left w:val="nil"/>
              <w:bottom w:val="single" w:sz="4" w:space="0" w:color="auto"/>
              <w:right w:val="single" w:sz="4" w:space="0" w:color="auto"/>
            </w:tcBorders>
            <w:noWrap/>
            <w:vAlign w:val="bottom"/>
          </w:tcPr>
          <w:p w:rsidR="005301E3" w:rsidRPr="00B14AD5" w:rsidRDefault="005301E3" w:rsidP="00DE41A6">
            <w:r w:rsidRPr="00B14AD5">
              <w:t> </w:t>
            </w:r>
          </w:p>
        </w:tc>
      </w:tr>
      <w:tr w:rsidR="005301E3" w:rsidRPr="00B14AD5" w:rsidTr="00DE41A6">
        <w:trPr>
          <w:trHeight w:val="255"/>
        </w:trPr>
        <w:tc>
          <w:tcPr>
            <w:tcW w:w="6188" w:type="dxa"/>
            <w:tcBorders>
              <w:top w:val="nil"/>
              <w:left w:val="single" w:sz="4" w:space="0" w:color="auto"/>
              <w:bottom w:val="single" w:sz="4" w:space="0" w:color="auto"/>
              <w:right w:val="single" w:sz="4" w:space="0" w:color="auto"/>
            </w:tcBorders>
          </w:tcPr>
          <w:p w:rsidR="005301E3" w:rsidRPr="00B14AD5" w:rsidRDefault="005301E3" w:rsidP="00DE41A6">
            <w:pPr>
              <w:rPr>
                <w:b/>
                <w:bCs/>
              </w:rPr>
            </w:pPr>
            <w:r w:rsidRPr="00B14AD5">
              <w:rPr>
                <w:b/>
                <w:bCs/>
              </w:rPr>
              <w:t>Poistné a príspevok do poisťovní (620)</w:t>
            </w:r>
          </w:p>
        </w:tc>
        <w:tc>
          <w:tcPr>
            <w:tcW w:w="1698" w:type="dxa"/>
            <w:tcBorders>
              <w:top w:val="nil"/>
              <w:left w:val="nil"/>
              <w:bottom w:val="single" w:sz="4" w:space="0" w:color="auto"/>
              <w:right w:val="single" w:sz="4" w:space="0" w:color="auto"/>
            </w:tcBorders>
          </w:tcPr>
          <w:p w:rsidR="005301E3" w:rsidRPr="004E7AB6" w:rsidRDefault="005301E3" w:rsidP="00DE41A6">
            <w:pPr>
              <w:jc w:val="center"/>
              <w:rPr>
                <w:sz w:val="20"/>
                <w:szCs w:val="20"/>
              </w:rPr>
            </w:pPr>
            <w:r>
              <w:rPr>
                <w:sz w:val="20"/>
                <w:szCs w:val="20"/>
              </w:rPr>
              <w:t>55 363</w:t>
            </w:r>
          </w:p>
        </w:tc>
        <w:tc>
          <w:tcPr>
            <w:tcW w:w="1788" w:type="dxa"/>
            <w:tcBorders>
              <w:top w:val="nil"/>
              <w:left w:val="nil"/>
              <w:bottom w:val="single" w:sz="4" w:space="0" w:color="auto"/>
              <w:right w:val="single" w:sz="4" w:space="0" w:color="auto"/>
            </w:tcBorders>
          </w:tcPr>
          <w:p w:rsidR="005301E3" w:rsidRPr="004E7AB6" w:rsidRDefault="005301E3" w:rsidP="00DE41A6">
            <w:pPr>
              <w:jc w:val="center"/>
              <w:rPr>
                <w:sz w:val="20"/>
                <w:szCs w:val="20"/>
              </w:rPr>
            </w:pPr>
            <w:r w:rsidRPr="004E7AB6">
              <w:rPr>
                <w:sz w:val="20"/>
                <w:szCs w:val="20"/>
              </w:rPr>
              <w:t>303 706</w:t>
            </w:r>
          </w:p>
        </w:tc>
        <w:tc>
          <w:tcPr>
            <w:tcW w:w="1878" w:type="dxa"/>
            <w:gridSpan w:val="2"/>
            <w:tcBorders>
              <w:top w:val="nil"/>
              <w:left w:val="nil"/>
              <w:bottom w:val="single" w:sz="4" w:space="0" w:color="auto"/>
              <w:right w:val="single" w:sz="4" w:space="0" w:color="auto"/>
            </w:tcBorders>
          </w:tcPr>
          <w:p w:rsidR="005301E3" w:rsidRPr="004E7AB6" w:rsidRDefault="005301E3" w:rsidP="00DE41A6">
            <w:pPr>
              <w:jc w:val="center"/>
              <w:rPr>
                <w:sz w:val="20"/>
                <w:szCs w:val="20"/>
              </w:rPr>
            </w:pPr>
            <w:r w:rsidRPr="004E7AB6">
              <w:rPr>
                <w:sz w:val="20"/>
                <w:szCs w:val="20"/>
              </w:rPr>
              <w:t>465 049</w:t>
            </w:r>
          </w:p>
        </w:tc>
        <w:tc>
          <w:tcPr>
            <w:tcW w:w="1560" w:type="dxa"/>
            <w:tcBorders>
              <w:top w:val="nil"/>
              <w:left w:val="nil"/>
              <w:bottom w:val="single" w:sz="4" w:space="0" w:color="auto"/>
              <w:right w:val="single" w:sz="4" w:space="0" w:color="auto"/>
            </w:tcBorders>
          </w:tcPr>
          <w:p w:rsidR="005301E3" w:rsidRPr="004E7AB6" w:rsidRDefault="005301E3" w:rsidP="00DE41A6">
            <w:pPr>
              <w:jc w:val="center"/>
              <w:rPr>
                <w:sz w:val="20"/>
                <w:szCs w:val="20"/>
              </w:rPr>
            </w:pPr>
            <w:r w:rsidRPr="004E7AB6">
              <w:rPr>
                <w:sz w:val="20"/>
                <w:szCs w:val="20"/>
              </w:rPr>
              <w:t>465 049</w:t>
            </w:r>
          </w:p>
        </w:tc>
        <w:tc>
          <w:tcPr>
            <w:tcW w:w="1842" w:type="dxa"/>
            <w:gridSpan w:val="2"/>
            <w:tcBorders>
              <w:top w:val="nil"/>
              <w:left w:val="nil"/>
              <w:bottom w:val="single" w:sz="4" w:space="0" w:color="auto"/>
              <w:right w:val="single" w:sz="4" w:space="0" w:color="auto"/>
            </w:tcBorders>
            <w:noWrap/>
            <w:vAlign w:val="bottom"/>
          </w:tcPr>
          <w:p w:rsidR="005301E3" w:rsidRPr="00B14AD5" w:rsidRDefault="005301E3" w:rsidP="00DE41A6">
            <w:pPr>
              <w:rPr>
                <w:b/>
                <w:bCs/>
              </w:rPr>
            </w:pPr>
            <w:r w:rsidRPr="00B14AD5">
              <w:rPr>
                <w:b/>
                <w:bCs/>
              </w:rPr>
              <w:t> </w:t>
            </w:r>
          </w:p>
        </w:tc>
      </w:tr>
      <w:tr w:rsidR="005301E3" w:rsidRPr="00B14AD5" w:rsidTr="00DE41A6">
        <w:trPr>
          <w:trHeight w:val="255"/>
        </w:trPr>
        <w:tc>
          <w:tcPr>
            <w:tcW w:w="6188" w:type="dxa"/>
            <w:tcBorders>
              <w:top w:val="nil"/>
              <w:left w:val="single" w:sz="4" w:space="0" w:color="auto"/>
              <w:bottom w:val="single" w:sz="4" w:space="0" w:color="auto"/>
              <w:right w:val="single" w:sz="4" w:space="0" w:color="auto"/>
            </w:tcBorders>
          </w:tcPr>
          <w:p w:rsidR="005301E3" w:rsidRPr="00B14AD5" w:rsidRDefault="005301E3" w:rsidP="00DE41A6">
            <w:r w:rsidRPr="00B14AD5">
              <w:rPr>
                <w:b/>
                <w:bCs/>
              </w:rPr>
              <w:t xml:space="preserve">   z toho vplyv na ŠR</w:t>
            </w:r>
          </w:p>
        </w:tc>
        <w:tc>
          <w:tcPr>
            <w:tcW w:w="1698" w:type="dxa"/>
            <w:tcBorders>
              <w:top w:val="nil"/>
              <w:left w:val="nil"/>
              <w:bottom w:val="single" w:sz="4" w:space="0" w:color="auto"/>
              <w:right w:val="single" w:sz="4" w:space="0" w:color="auto"/>
            </w:tcBorders>
          </w:tcPr>
          <w:p w:rsidR="005301E3" w:rsidRPr="004E7AB6" w:rsidRDefault="005301E3" w:rsidP="00DE41A6">
            <w:pPr>
              <w:jc w:val="center"/>
            </w:pPr>
            <w:r>
              <w:rPr>
                <w:sz w:val="20"/>
                <w:szCs w:val="20"/>
              </w:rPr>
              <w:t>55 363</w:t>
            </w:r>
          </w:p>
        </w:tc>
        <w:tc>
          <w:tcPr>
            <w:tcW w:w="1788" w:type="dxa"/>
            <w:tcBorders>
              <w:top w:val="nil"/>
              <w:left w:val="nil"/>
              <w:bottom w:val="single" w:sz="4" w:space="0" w:color="auto"/>
              <w:right w:val="single" w:sz="4" w:space="0" w:color="auto"/>
            </w:tcBorders>
          </w:tcPr>
          <w:p w:rsidR="005301E3" w:rsidRPr="004E7AB6" w:rsidRDefault="005301E3" w:rsidP="00DE41A6">
            <w:pPr>
              <w:jc w:val="center"/>
              <w:rPr>
                <w:sz w:val="20"/>
                <w:szCs w:val="20"/>
              </w:rPr>
            </w:pPr>
            <w:r w:rsidRPr="004E7AB6">
              <w:rPr>
                <w:sz w:val="20"/>
                <w:szCs w:val="20"/>
              </w:rPr>
              <w:t>303 706</w:t>
            </w:r>
          </w:p>
        </w:tc>
        <w:tc>
          <w:tcPr>
            <w:tcW w:w="1878" w:type="dxa"/>
            <w:gridSpan w:val="2"/>
            <w:tcBorders>
              <w:top w:val="nil"/>
              <w:left w:val="nil"/>
              <w:bottom w:val="single" w:sz="4" w:space="0" w:color="auto"/>
              <w:right w:val="single" w:sz="4" w:space="0" w:color="auto"/>
            </w:tcBorders>
          </w:tcPr>
          <w:p w:rsidR="005301E3" w:rsidRPr="004E7AB6" w:rsidRDefault="005301E3" w:rsidP="00DE41A6">
            <w:pPr>
              <w:jc w:val="center"/>
              <w:rPr>
                <w:sz w:val="20"/>
                <w:szCs w:val="20"/>
              </w:rPr>
            </w:pPr>
            <w:r w:rsidRPr="004E7AB6">
              <w:rPr>
                <w:sz w:val="20"/>
                <w:szCs w:val="20"/>
              </w:rPr>
              <w:t>465 049</w:t>
            </w:r>
          </w:p>
        </w:tc>
        <w:tc>
          <w:tcPr>
            <w:tcW w:w="1560" w:type="dxa"/>
            <w:tcBorders>
              <w:top w:val="nil"/>
              <w:left w:val="nil"/>
              <w:bottom w:val="single" w:sz="4" w:space="0" w:color="auto"/>
              <w:right w:val="single" w:sz="4" w:space="0" w:color="auto"/>
            </w:tcBorders>
          </w:tcPr>
          <w:p w:rsidR="005301E3" w:rsidRPr="004E7AB6" w:rsidRDefault="005301E3" w:rsidP="00DE41A6">
            <w:pPr>
              <w:jc w:val="center"/>
              <w:rPr>
                <w:sz w:val="20"/>
                <w:szCs w:val="20"/>
              </w:rPr>
            </w:pPr>
            <w:r w:rsidRPr="004E7AB6">
              <w:rPr>
                <w:sz w:val="20"/>
                <w:szCs w:val="20"/>
              </w:rPr>
              <w:t>465 049</w:t>
            </w:r>
          </w:p>
        </w:tc>
        <w:tc>
          <w:tcPr>
            <w:tcW w:w="1842" w:type="dxa"/>
            <w:gridSpan w:val="2"/>
            <w:tcBorders>
              <w:top w:val="nil"/>
              <w:left w:val="nil"/>
              <w:bottom w:val="single" w:sz="4" w:space="0" w:color="auto"/>
              <w:right w:val="single" w:sz="4" w:space="0" w:color="auto"/>
            </w:tcBorders>
            <w:noWrap/>
            <w:vAlign w:val="bottom"/>
          </w:tcPr>
          <w:p w:rsidR="005301E3" w:rsidRPr="00B14AD5" w:rsidRDefault="005301E3" w:rsidP="00DE41A6">
            <w:r w:rsidRPr="00B14AD5">
              <w:t> </w:t>
            </w:r>
          </w:p>
        </w:tc>
      </w:tr>
      <w:tr w:rsidR="005301E3" w:rsidRPr="00B14AD5" w:rsidTr="00DE41A6">
        <w:trPr>
          <w:trHeight w:val="255"/>
        </w:trPr>
        <w:tc>
          <w:tcPr>
            <w:tcW w:w="6188" w:type="dxa"/>
            <w:tcBorders>
              <w:top w:val="nil"/>
              <w:left w:val="nil"/>
              <w:bottom w:val="nil"/>
              <w:right w:val="nil"/>
            </w:tcBorders>
            <w:noWrap/>
            <w:vAlign w:val="bottom"/>
          </w:tcPr>
          <w:p w:rsidR="005301E3" w:rsidRPr="00B14AD5" w:rsidRDefault="005301E3" w:rsidP="00DE41A6"/>
        </w:tc>
        <w:tc>
          <w:tcPr>
            <w:tcW w:w="1698" w:type="dxa"/>
            <w:tcBorders>
              <w:top w:val="nil"/>
              <w:left w:val="nil"/>
              <w:bottom w:val="nil"/>
              <w:right w:val="nil"/>
            </w:tcBorders>
            <w:noWrap/>
            <w:vAlign w:val="bottom"/>
          </w:tcPr>
          <w:p w:rsidR="005301E3" w:rsidRPr="00B14AD5" w:rsidRDefault="005301E3" w:rsidP="00DE41A6"/>
        </w:tc>
        <w:tc>
          <w:tcPr>
            <w:tcW w:w="1788" w:type="dxa"/>
            <w:tcBorders>
              <w:top w:val="nil"/>
              <w:left w:val="nil"/>
              <w:bottom w:val="nil"/>
              <w:right w:val="nil"/>
            </w:tcBorders>
            <w:noWrap/>
            <w:vAlign w:val="bottom"/>
          </w:tcPr>
          <w:p w:rsidR="005301E3" w:rsidRPr="00B14AD5" w:rsidRDefault="005301E3" w:rsidP="00DE41A6"/>
        </w:tc>
        <w:tc>
          <w:tcPr>
            <w:tcW w:w="1878" w:type="dxa"/>
            <w:gridSpan w:val="2"/>
            <w:tcBorders>
              <w:top w:val="nil"/>
              <w:left w:val="nil"/>
              <w:bottom w:val="nil"/>
              <w:right w:val="nil"/>
            </w:tcBorders>
            <w:noWrap/>
            <w:vAlign w:val="bottom"/>
          </w:tcPr>
          <w:p w:rsidR="005301E3" w:rsidRPr="00B14AD5" w:rsidRDefault="005301E3" w:rsidP="00DE41A6"/>
        </w:tc>
        <w:tc>
          <w:tcPr>
            <w:tcW w:w="1560" w:type="dxa"/>
            <w:tcBorders>
              <w:top w:val="nil"/>
              <w:left w:val="nil"/>
              <w:bottom w:val="nil"/>
              <w:right w:val="nil"/>
            </w:tcBorders>
            <w:noWrap/>
            <w:vAlign w:val="bottom"/>
          </w:tcPr>
          <w:p w:rsidR="005301E3" w:rsidRPr="00B14AD5" w:rsidRDefault="005301E3" w:rsidP="00DE41A6"/>
        </w:tc>
        <w:tc>
          <w:tcPr>
            <w:tcW w:w="1842" w:type="dxa"/>
            <w:gridSpan w:val="2"/>
            <w:tcBorders>
              <w:top w:val="nil"/>
              <w:left w:val="nil"/>
              <w:bottom w:val="nil"/>
              <w:right w:val="nil"/>
            </w:tcBorders>
            <w:noWrap/>
            <w:vAlign w:val="bottom"/>
          </w:tcPr>
          <w:p w:rsidR="005301E3" w:rsidRPr="00B14AD5" w:rsidRDefault="005301E3" w:rsidP="00DE41A6"/>
        </w:tc>
      </w:tr>
      <w:tr w:rsidR="005301E3" w:rsidRPr="00B14AD5" w:rsidTr="00DE41A6">
        <w:trPr>
          <w:trHeight w:val="255"/>
        </w:trPr>
        <w:tc>
          <w:tcPr>
            <w:tcW w:w="6188" w:type="dxa"/>
            <w:tcBorders>
              <w:top w:val="nil"/>
              <w:left w:val="nil"/>
              <w:bottom w:val="nil"/>
              <w:right w:val="nil"/>
            </w:tcBorders>
          </w:tcPr>
          <w:p w:rsidR="005301E3" w:rsidRPr="00B14AD5" w:rsidRDefault="005301E3" w:rsidP="00DE41A6">
            <w:pPr>
              <w:rPr>
                <w:b/>
                <w:bCs/>
              </w:rPr>
            </w:pPr>
            <w:r w:rsidRPr="00B14AD5">
              <w:rPr>
                <w:b/>
                <w:bCs/>
              </w:rPr>
              <w:t>Poznámka:</w:t>
            </w:r>
          </w:p>
        </w:tc>
        <w:tc>
          <w:tcPr>
            <w:tcW w:w="1698" w:type="dxa"/>
            <w:tcBorders>
              <w:top w:val="nil"/>
              <w:left w:val="nil"/>
              <w:bottom w:val="nil"/>
              <w:right w:val="nil"/>
            </w:tcBorders>
            <w:noWrap/>
            <w:vAlign w:val="bottom"/>
          </w:tcPr>
          <w:p w:rsidR="005301E3" w:rsidRPr="00B14AD5" w:rsidRDefault="005301E3" w:rsidP="00DE41A6"/>
        </w:tc>
        <w:tc>
          <w:tcPr>
            <w:tcW w:w="1788" w:type="dxa"/>
            <w:tcBorders>
              <w:top w:val="nil"/>
              <w:left w:val="nil"/>
              <w:bottom w:val="nil"/>
              <w:right w:val="nil"/>
            </w:tcBorders>
            <w:noWrap/>
            <w:vAlign w:val="bottom"/>
          </w:tcPr>
          <w:p w:rsidR="005301E3" w:rsidRPr="00B14AD5" w:rsidRDefault="005301E3" w:rsidP="00DE41A6"/>
        </w:tc>
        <w:tc>
          <w:tcPr>
            <w:tcW w:w="1878" w:type="dxa"/>
            <w:gridSpan w:val="2"/>
            <w:tcBorders>
              <w:top w:val="nil"/>
              <w:left w:val="nil"/>
              <w:bottom w:val="nil"/>
              <w:right w:val="nil"/>
            </w:tcBorders>
            <w:noWrap/>
            <w:vAlign w:val="bottom"/>
          </w:tcPr>
          <w:p w:rsidR="005301E3" w:rsidRPr="00B14AD5" w:rsidRDefault="005301E3" w:rsidP="00DE41A6"/>
        </w:tc>
        <w:tc>
          <w:tcPr>
            <w:tcW w:w="1560" w:type="dxa"/>
            <w:tcBorders>
              <w:top w:val="nil"/>
              <w:left w:val="nil"/>
              <w:bottom w:val="nil"/>
              <w:right w:val="nil"/>
            </w:tcBorders>
            <w:noWrap/>
            <w:vAlign w:val="bottom"/>
          </w:tcPr>
          <w:p w:rsidR="005301E3" w:rsidRPr="00B14AD5" w:rsidRDefault="005301E3" w:rsidP="00DE41A6"/>
        </w:tc>
        <w:tc>
          <w:tcPr>
            <w:tcW w:w="1842" w:type="dxa"/>
            <w:gridSpan w:val="2"/>
            <w:tcBorders>
              <w:top w:val="nil"/>
              <w:left w:val="nil"/>
              <w:bottom w:val="nil"/>
              <w:right w:val="nil"/>
            </w:tcBorders>
            <w:noWrap/>
            <w:vAlign w:val="bottom"/>
          </w:tcPr>
          <w:p w:rsidR="005301E3" w:rsidRPr="00B14AD5" w:rsidRDefault="005301E3" w:rsidP="00DE41A6"/>
        </w:tc>
      </w:tr>
      <w:tr w:rsidR="005301E3" w:rsidRPr="00B14AD5" w:rsidTr="00DE41A6">
        <w:trPr>
          <w:trHeight w:val="255"/>
        </w:trPr>
        <w:tc>
          <w:tcPr>
            <w:tcW w:w="13112" w:type="dxa"/>
            <w:gridSpan w:val="6"/>
            <w:tcBorders>
              <w:top w:val="nil"/>
              <w:left w:val="nil"/>
              <w:bottom w:val="nil"/>
              <w:right w:val="nil"/>
            </w:tcBorders>
            <w:noWrap/>
          </w:tcPr>
          <w:p w:rsidR="005301E3" w:rsidRPr="00B14AD5" w:rsidRDefault="005301E3" w:rsidP="00DE41A6">
            <w:pPr>
              <w:tabs>
                <w:tab w:val="num" w:pos="1080"/>
              </w:tabs>
              <w:jc w:val="both"/>
              <w:rPr>
                <w:bCs/>
                <w:szCs w:val="20"/>
              </w:rPr>
            </w:pPr>
            <w:r w:rsidRPr="00B14AD5">
              <w:rPr>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5301E3" w:rsidRPr="00B14AD5" w:rsidRDefault="005301E3" w:rsidP="00DE41A6">
            <w:r w:rsidRPr="00B14AD5">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5301E3" w:rsidRPr="00B14AD5" w:rsidRDefault="005301E3" w:rsidP="00DE41A6"/>
        </w:tc>
      </w:tr>
      <w:tr w:rsidR="005301E3" w:rsidRPr="00B14AD5" w:rsidTr="00DE41A6">
        <w:trPr>
          <w:trHeight w:val="255"/>
        </w:trPr>
        <w:tc>
          <w:tcPr>
            <w:tcW w:w="10394" w:type="dxa"/>
            <w:gridSpan w:val="4"/>
            <w:tcBorders>
              <w:top w:val="nil"/>
              <w:left w:val="nil"/>
              <w:bottom w:val="nil"/>
              <w:right w:val="nil"/>
            </w:tcBorders>
            <w:noWrap/>
            <w:vAlign w:val="bottom"/>
          </w:tcPr>
          <w:p w:rsidR="005301E3" w:rsidRDefault="005301E3" w:rsidP="00DE41A6"/>
          <w:p w:rsidR="005301E3" w:rsidRPr="00B14AD5" w:rsidRDefault="005301E3" w:rsidP="00DE41A6">
            <w:r w:rsidRPr="00B14AD5">
              <w:t xml:space="preserve">Kategórie 610 a 620 sú z </w:t>
            </w:r>
            <w:r>
              <w:t>tabuľky</w:t>
            </w:r>
            <w:r w:rsidRPr="00B14AD5">
              <w:t xml:space="preserve"> </w:t>
            </w:r>
            <w:r>
              <w:t xml:space="preserve">č.5 </w:t>
            </w:r>
            <w:r w:rsidRPr="00B14AD5">
              <w:t>prenášané do príslušných kategórií „výdavky“</w:t>
            </w:r>
            <w:r>
              <w:t xml:space="preserve"> v tabuľke č.4</w:t>
            </w:r>
            <w:r w:rsidRPr="00B14AD5">
              <w:t>.</w:t>
            </w:r>
          </w:p>
        </w:tc>
        <w:tc>
          <w:tcPr>
            <w:tcW w:w="1158" w:type="dxa"/>
            <w:tcBorders>
              <w:top w:val="nil"/>
              <w:left w:val="nil"/>
              <w:bottom w:val="nil"/>
              <w:right w:val="nil"/>
            </w:tcBorders>
            <w:noWrap/>
            <w:vAlign w:val="bottom"/>
          </w:tcPr>
          <w:p w:rsidR="005301E3" w:rsidRPr="00B14AD5" w:rsidRDefault="005301E3" w:rsidP="00DE41A6"/>
        </w:tc>
        <w:tc>
          <w:tcPr>
            <w:tcW w:w="2892" w:type="dxa"/>
            <w:gridSpan w:val="2"/>
            <w:tcBorders>
              <w:top w:val="nil"/>
              <w:left w:val="nil"/>
              <w:bottom w:val="nil"/>
              <w:right w:val="nil"/>
            </w:tcBorders>
            <w:noWrap/>
            <w:vAlign w:val="bottom"/>
          </w:tcPr>
          <w:p w:rsidR="005301E3" w:rsidRPr="00B14AD5" w:rsidRDefault="005301E3" w:rsidP="00DE41A6"/>
        </w:tc>
        <w:tc>
          <w:tcPr>
            <w:tcW w:w="510" w:type="dxa"/>
            <w:tcBorders>
              <w:top w:val="nil"/>
              <w:left w:val="nil"/>
              <w:bottom w:val="nil"/>
              <w:right w:val="nil"/>
            </w:tcBorders>
            <w:noWrap/>
            <w:vAlign w:val="bottom"/>
          </w:tcPr>
          <w:p w:rsidR="005301E3" w:rsidRPr="00B14AD5" w:rsidRDefault="005301E3" w:rsidP="00DE41A6"/>
        </w:tc>
      </w:tr>
    </w:tbl>
    <w:p w:rsidR="005301E3" w:rsidRDefault="005301E3" w:rsidP="005301E3">
      <w:pPr>
        <w:rPr>
          <w:b/>
          <w:bCs/>
        </w:rPr>
      </w:pPr>
    </w:p>
    <w:p w:rsidR="005301E3" w:rsidRDefault="005301E3" w:rsidP="005301E3">
      <w:pPr>
        <w:rPr>
          <w:b/>
          <w:bCs/>
        </w:rPr>
      </w:pPr>
    </w:p>
    <w:p w:rsidR="005301E3" w:rsidRPr="00B14AD5" w:rsidRDefault="005301E3" w:rsidP="005301E3">
      <w:pPr>
        <w:rPr>
          <w:b/>
          <w:bCs/>
        </w:rPr>
      </w:pPr>
      <w:r w:rsidRPr="00B14AD5">
        <w:rPr>
          <w:b/>
          <w:bCs/>
        </w:rPr>
        <w:t xml:space="preserve">                                                       </w:t>
      </w:r>
    </w:p>
    <w:p w:rsidR="005301E3" w:rsidRPr="00B14AD5" w:rsidRDefault="005301E3" w:rsidP="005301E3">
      <w:pPr>
        <w:jc w:val="both"/>
        <w:rPr>
          <w:b/>
        </w:rPr>
      </w:pPr>
      <w:r w:rsidRPr="00B14AD5">
        <w:rPr>
          <w:b/>
        </w:rPr>
        <w:t xml:space="preserve">2.2.5. Výpočet vplyvov na dlhodobú udržateľnosť verejných financií </w:t>
      </w:r>
    </w:p>
    <w:p w:rsidR="005301E3" w:rsidRPr="00B14AD5" w:rsidRDefault="005301E3" w:rsidP="005301E3">
      <w:pPr>
        <w:jc w:val="both"/>
      </w:pPr>
    </w:p>
    <w:p w:rsidR="005301E3" w:rsidRDefault="005301E3" w:rsidP="005301E3">
      <w:pPr>
        <w:ind w:firstLine="708"/>
        <w:jc w:val="both"/>
      </w:pPr>
      <w:r w:rsidRPr="00B14AD5">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5301E3" w:rsidRDefault="005301E3" w:rsidP="005301E3">
      <w:pPr>
        <w:ind w:firstLine="708"/>
        <w:jc w:val="both"/>
      </w:pPr>
    </w:p>
    <w:p w:rsidR="005301E3" w:rsidRPr="00B14AD5" w:rsidRDefault="005301E3" w:rsidP="005301E3">
      <w:pPr>
        <w:ind w:firstLine="708"/>
        <w:jc w:val="both"/>
      </w:pPr>
    </w:p>
    <w:p w:rsidR="005301E3" w:rsidRPr="00B14AD5" w:rsidRDefault="005301E3" w:rsidP="005301E3">
      <w:pPr>
        <w:jc w:val="both"/>
      </w:pPr>
    </w:p>
    <w:p w:rsidR="005301E3" w:rsidRPr="00B14AD5" w:rsidRDefault="005301E3" w:rsidP="005301E3">
      <w:pPr>
        <w:jc w:val="both"/>
      </w:pPr>
      <w:r w:rsidRPr="00B14AD5">
        <w:lastRenderedPageBreak/>
        <w:t xml:space="preserve">                                                                                                                                </w:t>
      </w:r>
      <w:r w:rsidRPr="00B14AD5">
        <w:tab/>
      </w:r>
      <w:r w:rsidRPr="00B14AD5">
        <w:tab/>
      </w:r>
      <w:r w:rsidRPr="00B14AD5">
        <w:tab/>
      </w:r>
      <w:r w:rsidRPr="00B14AD5">
        <w:tab/>
      </w:r>
      <w:r w:rsidRPr="00B14AD5">
        <w:tab/>
      </w:r>
      <w:r w:rsidRPr="00B14AD5">
        <w:tab/>
      </w:r>
      <w:r w:rsidRPr="00B14AD5">
        <w:tab/>
      </w:r>
      <w:r w:rsidRPr="00B14AD5">
        <w:tab/>
        <w:t>Tabuľka č. 6</w:t>
      </w:r>
    </w:p>
    <w:p w:rsidR="005301E3" w:rsidRPr="00B14AD5" w:rsidRDefault="005301E3" w:rsidP="005301E3">
      <w:pPr>
        <w:jc w:val="both"/>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5301E3" w:rsidRPr="00B14AD5" w:rsidTr="00DE41A6">
        <w:trPr>
          <w:trHeight w:val="284"/>
        </w:trPr>
        <w:tc>
          <w:tcPr>
            <w:tcW w:w="2943" w:type="dxa"/>
            <w:vMerge w:val="restart"/>
            <w:shd w:val="clear" w:color="auto" w:fill="BFBFBF" w:themeFill="background1" w:themeFillShade="BF"/>
            <w:vAlign w:val="center"/>
          </w:tcPr>
          <w:p w:rsidR="005301E3" w:rsidRPr="00B14AD5" w:rsidRDefault="005301E3" w:rsidP="00DE41A6">
            <w:pPr>
              <w:overflowPunct w:val="0"/>
              <w:autoSpaceDE w:val="0"/>
              <w:autoSpaceDN w:val="0"/>
              <w:jc w:val="center"/>
              <w:textAlignment w:val="baseline"/>
              <w:rPr>
                <w:b/>
              </w:rPr>
            </w:pPr>
            <w:r w:rsidRPr="00B14AD5">
              <w:rPr>
                <w:b/>
              </w:rPr>
              <w:t>Dlhodobá udržateľnosť</w:t>
            </w:r>
          </w:p>
        </w:tc>
        <w:tc>
          <w:tcPr>
            <w:tcW w:w="7967" w:type="dxa"/>
            <w:gridSpan w:val="5"/>
            <w:shd w:val="clear" w:color="auto" w:fill="BFBFBF" w:themeFill="background1" w:themeFillShade="BF"/>
          </w:tcPr>
          <w:p w:rsidR="005301E3" w:rsidRPr="00B14AD5" w:rsidRDefault="005301E3" w:rsidP="00DE41A6">
            <w:pPr>
              <w:overflowPunct w:val="0"/>
              <w:autoSpaceDE w:val="0"/>
              <w:autoSpaceDN w:val="0"/>
              <w:jc w:val="center"/>
              <w:textAlignment w:val="baseline"/>
              <w:rPr>
                <w:b/>
              </w:rPr>
            </w:pPr>
            <w:r w:rsidRPr="00B14AD5">
              <w:rPr>
                <w:b/>
              </w:rPr>
              <w:t>Vplyv na verejné financie</w:t>
            </w:r>
          </w:p>
        </w:tc>
        <w:tc>
          <w:tcPr>
            <w:tcW w:w="3119" w:type="dxa"/>
            <w:vMerge w:val="restart"/>
            <w:shd w:val="clear" w:color="auto" w:fill="BFBFBF" w:themeFill="background1" w:themeFillShade="BF"/>
            <w:vAlign w:val="center"/>
          </w:tcPr>
          <w:p w:rsidR="005301E3" w:rsidRPr="00B14AD5" w:rsidRDefault="005301E3" w:rsidP="00DE41A6">
            <w:pPr>
              <w:overflowPunct w:val="0"/>
              <w:autoSpaceDE w:val="0"/>
              <w:autoSpaceDN w:val="0"/>
              <w:jc w:val="center"/>
              <w:textAlignment w:val="baseline"/>
              <w:rPr>
                <w:b/>
              </w:rPr>
            </w:pPr>
            <w:r w:rsidRPr="00B14AD5">
              <w:rPr>
                <w:b/>
              </w:rPr>
              <w:t>Poznámka</w:t>
            </w:r>
          </w:p>
        </w:tc>
      </w:tr>
      <w:tr w:rsidR="005301E3" w:rsidRPr="00B14AD5" w:rsidTr="00DE41A6">
        <w:trPr>
          <w:trHeight w:val="284"/>
        </w:trPr>
        <w:tc>
          <w:tcPr>
            <w:tcW w:w="2943" w:type="dxa"/>
            <w:vMerge/>
            <w:shd w:val="clear" w:color="auto" w:fill="BFBFBF" w:themeFill="background1" w:themeFillShade="BF"/>
          </w:tcPr>
          <w:p w:rsidR="005301E3" w:rsidRPr="00B14AD5" w:rsidRDefault="005301E3" w:rsidP="00DE41A6">
            <w:pPr>
              <w:overflowPunct w:val="0"/>
              <w:autoSpaceDE w:val="0"/>
              <w:autoSpaceDN w:val="0"/>
              <w:jc w:val="both"/>
              <w:textAlignment w:val="baseline"/>
            </w:pPr>
          </w:p>
        </w:tc>
        <w:tc>
          <w:tcPr>
            <w:tcW w:w="1447" w:type="dxa"/>
            <w:shd w:val="clear" w:color="auto" w:fill="BFBFBF" w:themeFill="background1" w:themeFillShade="BF"/>
          </w:tcPr>
          <w:p w:rsidR="005301E3" w:rsidRPr="00B14AD5" w:rsidRDefault="005301E3" w:rsidP="00DE41A6">
            <w:pPr>
              <w:overflowPunct w:val="0"/>
              <w:autoSpaceDE w:val="0"/>
              <w:autoSpaceDN w:val="0"/>
              <w:jc w:val="center"/>
              <w:textAlignment w:val="baseline"/>
            </w:pPr>
            <w:r w:rsidRPr="00B14AD5">
              <w:t>d</w:t>
            </w:r>
          </w:p>
        </w:tc>
        <w:tc>
          <w:tcPr>
            <w:tcW w:w="1559" w:type="dxa"/>
            <w:shd w:val="clear" w:color="auto" w:fill="BFBFBF" w:themeFill="background1" w:themeFillShade="BF"/>
          </w:tcPr>
          <w:p w:rsidR="005301E3" w:rsidRPr="00B14AD5" w:rsidRDefault="005301E3" w:rsidP="00DE41A6">
            <w:pPr>
              <w:overflowPunct w:val="0"/>
              <w:autoSpaceDE w:val="0"/>
              <w:autoSpaceDN w:val="0"/>
              <w:jc w:val="center"/>
              <w:textAlignment w:val="baseline"/>
            </w:pPr>
            <w:r w:rsidRPr="00B14AD5">
              <w:t>d+10</w:t>
            </w:r>
          </w:p>
        </w:tc>
        <w:tc>
          <w:tcPr>
            <w:tcW w:w="1559" w:type="dxa"/>
            <w:shd w:val="clear" w:color="auto" w:fill="BFBFBF" w:themeFill="background1" w:themeFillShade="BF"/>
          </w:tcPr>
          <w:p w:rsidR="005301E3" w:rsidRPr="00B14AD5" w:rsidRDefault="005301E3" w:rsidP="00DE41A6">
            <w:pPr>
              <w:overflowPunct w:val="0"/>
              <w:autoSpaceDE w:val="0"/>
              <w:autoSpaceDN w:val="0"/>
              <w:jc w:val="center"/>
              <w:textAlignment w:val="baseline"/>
            </w:pPr>
            <w:r w:rsidRPr="00B14AD5">
              <w:t>d+20</w:t>
            </w:r>
          </w:p>
        </w:tc>
        <w:tc>
          <w:tcPr>
            <w:tcW w:w="1418" w:type="dxa"/>
            <w:shd w:val="clear" w:color="auto" w:fill="BFBFBF" w:themeFill="background1" w:themeFillShade="BF"/>
          </w:tcPr>
          <w:p w:rsidR="005301E3" w:rsidRPr="00B14AD5" w:rsidRDefault="005301E3" w:rsidP="00DE41A6">
            <w:pPr>
              <w:overflowPunct w:val="0"/>
              <w:autoSpaceDE w:val="0"/>
              <w:autoSpaceDN w:val="0"/>
              <w:jc w:val="center"/>
              <w:textAlignment w:val="baseline"/>
            </w:pPr>
            <w:r w:rsidRPr="00B14AD5">
              <w:t>d+30</w:t>
            </w:r>
          </w:p>
        </w:tc>
        <w:tc>
          <w:tcPr>
            <w:tcW w:w="1984" w:type="dxa"/>
            <w:shd w:val="clear" w:color="auto" w:fill="BFBFBF" w:themeFill="background1" w:themeFillShade="BF"/>
          </w:tcPr>
          <w:p w:rsidR="005301E3" w:rsidRPr="00B14AD5" w:rsidRDefault="005301E3" w:rsidP="00DE41A6">
            <w:pPr>
              <w:overflowPunct w:val="0"/>
              <w:autoSpaceDE w:val="0"/>
              <w:autoSpaceDN w:val="0"/>
              <w:jc w:val="center"/>
              <w:textAlignment w:val="baseline"/>
            </w:pPr>
            <w:r w:rsidRPr="00B14AD5">
              <w:t>d+40</w:t>
            </w:r>
          </w:p>
        </w:tc>
        <w:tc>
          <w:tcPr>
            <w:tcW w:w="3119" w:type="dxa"/>
            <w:vMerge/>
            <w:shd w:val="clear" w:color="auto" w:fill="BFBFBF" w:themeFill="background1" w:themeFillShade="BF"/>
          </w:tcPr>
          <w:p w:rsidR="005301E3" w:rsidRPr="00B14AD5" w:rsidRDefault="005301E3" w:rsidP="00DE41A6">
            <w:pPr>
              <w:overflowPunct w:val="0"/>
              <w:autoSpaceDE w:val="0"/>
              <w:autoSpaceDN w:val="0"/>
              <w:jc w:val="both"/>
              <w:textAlignment w:val="baseline"/>
            </w:pPr>
          </w:p>
        </w:tc>
      </w:tr>
      <w:tr w:rsidR="005301E3" w:rsidRPr="00B14AD5" w:rsidTr="00DE41A6">
        <w:trPr>
          <w:trHeight w:val="284"/>
        </w:trPr>
        <w:tc>
          <w:tcPr>
            <w:tcW w:w="2943" w:type="dxa"/>
            <w:shd w:val="clear" w:color="auto" w:fill="auto"/>
            <w:vAlign w:val="bottom"/>
          </w:tcPr>
          <w:p w:rsidR="005301E3" w:rsidRPr="00B14AD5" w:rsidRDefault="005301E3" w:rsidP="00DE41A6">
            <w:pPr>
              <w:overflowPunct w:val="0"/>
              <w:autoSpaceDE w:val="0"/>
              <w:autoSpaceDN w:val="0"/>
              <w:textAlignment w:val="baseline"/>
            </w:pPr>
            <w:r w:rsidRPr="00B14AD5">
              <w:t>Vplyv na výdavky v p. b. HDP</w:t>
            </w:r>
          </w:p>
        </w:tc>
        <w:tc>
          <w:tcPr>
            <w:tcW w:w="1447" w:type="dxa"/>
            <w:shd w:val="clear" w:color="auto" w:fill="auto"/>
          </w:tcPr>
          <w:p w:rsidR="005301E3" w:rsidRPr="00B14AD5" w:rsidRDefault="005301E3" w:rsidP="00DE41A6">
            <w:pPr>
              <w:overflowPunct w:val="0"/>
              <w:autoSpaceDE w:val="0"/>
              <w:autoSpaceDN w:val="0"/>
              <w:jc w:val="both"/>
              <w:textAlignment w:val="baseline"/>
            </w:pPr>
          </w:p>
        </w:tc>
        <w:tc>
          <w:tcPr>
            <w:tcW w:w="1559" w:type="dxa"/>
            <w:shd w:val="clear" w:color="auto" w:fill="auto"/>
          </w:tcPr>
          <w:p w:rsidR="005301E3" w:rsidRPr="00B14AD5" w:rsidRDefault="005301E3" w:rsidP="00DE41A6">
            <w:pPr>
              <w:overflowPunct w:val="0"/>
              <w:autoSpaceDE w:val="0"/>
              <w:autoSpaceDN w:val="0"/>
              <w:jc w:val="both"/>
              <w:textAlignment w:val="baseline"/>
            </w:pPr>
          </w:p>
        </w:tc>
        <w:tc>
          <w:tcPr>
            <w:tcW w:w="1559" w:type="dxa"/>
            <w:shd w:val="clear" w:color="auto" w:fill="auto"/>
          </w:tcPr>
          <w:p w:rsidR="005301E3" w:rsidRPr="00B14AD5" w:rsidRDefault="005301E3" w:rsidP="00DE41A6">
            <w:pPr>
              <w:overflowPunct w:val="0"/>
              <w:autoSpaceDE w:val="0"/>
              <w:autoSpaceDN w:val="0"/>
              <w:jc w:val="both"/>
              <w:textAlignment w:val="baseline"/>
            </w:pPr>
          </w:p>
        </w:tc>
        <w:tc>
          <w:tcPr>
            <w:tcW w:w="1418" w:type="dxa"/>
            <w:shd w:val="clear" w:color="auto" w:fill="auto"/>
          </w:tcPr>
          <w:p w:rsidR="005301E3" w:rsidRPr="00B14AD5" w:rsidRDefault="005301E3" w:rsidP="00DE41A6">
            <w:pPr>
              <w:overflowPunct w:val="0"/>
              <w:autoSpaceDE w:val="0"/>
              <w:autoSpaceDN w:val="0"/>
              <w:jc w:val="both"/>
              <w:textAlignment w:val="baseline"/>
            </w:pPr>
          </w:p>
        </w:tc>
        <w:tc>
          <w:tcPr>
            <w:tcW w:w="1984" w:type="dxa"/>
            <w:shd w:val="clear" w:color="auto" w:fill="auto"/>
          </w:tcPr>
          <w:p w:rsidR="005301E3" w:rsidRPr="00B14AD5" w:rsidRDefault="005301E3" w:rsidP="00DE41A6">
            <w:pPr>
              <w:overflowPunct w:val="0"/>
              <w:autoSpaceDE w:val="0"/>
              <w:autoSpaceDN w:val="0"/>
              <w:jc w:val="both"/>
              <w:textAlignment w:val="baseline"/>
            </w:pPr>
          </w:p>
        </w:tc>
        <w:tc>
          <w:tcPr>
            <w:tcW w:w="3119" w:type="dxa"/>
            <w:shd w:val="clear" w:color="auto" w:fill="auto"/>
          </w:tcPr>
          <w:p w:rsidR="005301E3" w:rsidRPr="00B14AD5" w:rsidRDefault="005301E3" w:rsidP="00DE41A6">
            <w:pPr>
              <w:overflowPunct w:val="0"/>
              <w:autoSpaceDE w:val="0"/>
              <w:autoSpaceDN w:val="0"/>
              <w:jc w:val="both"/>
              <w:textAlignment w:val="baseline"/>
            </w:pPr>
          </w:p>
        </w:tc>
      </w:tr>
      <w:tr w:rsidR="005301E3" w:rsidRPr="00B14AD5" w:rsidTr="00DE41A6">
        <w:trPr>
          <w:trHeight w:val="284"/>
        </w:trPr>
        <w:tc>
          <w:tcPr>
            <w:tcW w:w="2943" w:type="dxa"/>
            <w:shd w:val="clear" w:color="auto" w:fill="auto"/>
          </w:tcPr>
          <w:p w:rsidR="005301E3" w:rsidRPr="00B14AD5" w:rsidRDefault="005301E3" w:rsidP="00DE41A6">
            <w:pPr>
              <w:overflowPunct w:val="0"/>
              <w:autoSpaceDE w:val="0"/>
              <w:autoSpaceDN w:val="0"/>
              <w:textAlignment w:val="baseline"/>
            </w:pPr>
            <w:r w:rsidRPr="00B14AD5">
              <w:t>Vplyv na príjmy v p. b. HDP</w:t>
            </w:r>
          </w:p>
        </w:tc>
        <w:tc>
          <w:tcPr>
            <w:tcW w:w="1447" w:type="dxa"/>
            <w:shd w:val="clear" w:color="auto" w:fill="auto"/>
          </w:tcPr>
          <w:p w:rsidR="005301E3" w:rsidRPr="00B14AD5" w:rsidRDefault="005301E3" w:rsidP="00DE41A6">
            <w:pPr>
              <w:overflowPunct w:val="0"/>
              <w:autoSpaceDE w:val="0"/>
              <w:autoSpaceDN w:val="0"/>
              <w:jc w:val="both"/>
              <w:textAlignment w:val="baseline"/>
            </w:pPr>
          </w:p>
        </w:tc>
        <w:tc>
          <w:tcPr>
            <w:tcW w:w="1559" w:type="dxa"/>
            <w:shd w:val="clear" w:color="auto" w:fill="auto"/>
          </w:tcPr>
          <w:p w:rsidR="005301E3" w:rsidRPr="00B14AD5" w:rsidRDefault="005301E3" w:rsidP="00DE41A6">
            <w:pPr>
              <w:overflowPunct w:val="0"/>
              <w:autoSpaceDE w:val="0"/>
              <w:autoSpaceDN w:val="0"/>
              <w:jc w:val="both"/>
              <w:textAlignment w:val="baseline"/>
            </w:pPr>
          </w:p>
        </w:tc>
        <w:tc>
          <w:tcPr>
            <w:tcW w:w="1559" w:type="dxa"/>
            <w:shd w:val="clear" w:color="auto" w:fill="auto"/>
          </w:tcPr>
          <w:p w:rsidR="005301E3" w:rsidRPr="00B14AD5" w:rsidRDefault="005301E3" w:rsidP="00DE41A6">
            <w:pPr>
              <w:overflowPunct w:val="0"/>
              <w:autoSpaceDE w:val="0"/>
              <w:autoSpaceDN w:val="0"/>
              <w:jc w:val="both"/>
              <w:textAlignment w:val="baseline"/>
            </w:pPr>
          </w:p>
        </w:tc>
        <w:tc>
          <w:tcPr>
            <w:tcW w:w="1418" w:type="dxa"/>
            <w:shd w:val="clear" w:color="auto" w:fill="auto"/>
          </w:tcPr>
          <w:p w:rsidR="005301E3" w:rsidRPr="00B14AD5" w:rsidRDefault="005301E3" w:rsidP="00DE41A6">
            <w:pPr>
              <w:overflowPunct w:val="0"/>
              <w:autoSpaceDE w:val="0"/>
              <w:autoSpaceDN w:val="0"/>
              <w:jc w:val="both"/>
              <w:textAlignment w:val="baseline"/>
            </w:pPr>
          </w:p>
        </w:tc>
        <w:tc>
          <w:tcPr>
            <w:tcW w:w="1984" w:type="dxa"/>
            <w:shd w:val="clear" w:color="auto" w:fill="auto"/>
          </w:tcPr>
          <w:p w:rsidR="005301E3" w:rsidRPr="00B14AD5" w:rsidRDefault="005301E3" w:rsidP="00DE41A6">
            <w:pPr>
              <w:overflowPunct w:val="0"/>
              <w:autoSpaceDE w:val="0"/>
              <w:autoSpaceDN w:val="0"/>
              <w:jc w:val="both"/>
              <w:textAlignment w:val="baseline"/>
            </w:pPr>
          </w:p>
        </w:tc>
        <w:tc>
          <w:tcPr>
            <w:tcW w:w="3119" w:type="dxa"/>
            <w:shd w:val="clear" w:color="auto" w:fill="auto"/>
          </w:tcPr>
          <w:p w:rsidR="005301E3" w:rsidRPr="00B14AD5" w:rsidRDefault="005301E3" w:rsidP="00DE41A6">
            <w:pPr>
              <w:overflowPunct w:val="0"/>
              <w:autoSpaceDE w:val="0"/>
              <w:autoSpaceDN w:val="0"/>
              <w:jc w:val="both"/>
              <w:textAlignment w:val="baseline"/>
            </w:pPr>
          </w:p>
        </w:tc>
      </w:tr>
      <w:tr w:rsidR="005301E3" w:rsidRPr="00B14AD5" w:rsidTr="00DE41A6">
        <w:trPr>
          <w:trHeight w:val="284"/>
        </w:trPr>
        <w:tc>
          <w:tcPr>
            <w:tcW w:w="2943" w:type="dxa"/>
            <w:shd w:val="clear" w:color="auto" w:fill="auto"/>
          </w:tcPr>
          <w:p w:rsidR="005301E3" w:rsidRPr="00B14AD5" w:rsidRDefault="005301E3" w:rsidP="00DE41A6">
            <w:pPr>
              <w:overflowPunct w:val="0"/>
              <w:autoSpaceDE w:val="0"/>
              <w:autoSpaceDN w:val="0"/>
              <w:textAlignment w:val="baseline"/>
            </w:pPr>
            <w:r w:rsidRPr="00B14AD5">
              <w:t>Vplyv na bilanciu  v p. b. HDP</w:t>
            </w:r>
          </w:p>
        </w:tc>
        <w:tc>
          <w:tcPr>
            <w:tcW w:w="1447" w:type="dxa"/>
            <w:shd w:val="clear" w:color="auto" w:fill="auto"/>
          </w:tcPr>
          <w:p w:rsidR="005301E3" w:rsidRPr="00B14AD5" w:rsidRDefault="005301E3" w:rsidP="00DE41A6">
            <w:pPr>
              <w:overflowPunct w:val="0"/>
              <w:autoSpaceDE w:val="0"/>
              <w:autoSpaceDN w:val="0"/>
              <w:jc w:val="both"/>
              <w:textAlignment w:val="baseline"/>
            </w:pPr>
          </w:p>
        </w:tc>
        <w:tc>
          <w:tcPr>
            <w:tcW w:w="1559" w:type="dxa"/>
            <w:shd w:val="clear" w:color="auto" w:fill="auto"/>
          </w:tcPr>
          <w:p w:rsidR="005301E3" w:rsidRPr="00B14AD5" w:rsidRDefault="005301E3" w:rsidP="00DE41A6">
            <w:pPr>
              <w:overflowPunct w:val="0"/>
              <w:autoSpaceDE w:val="0"/>
              <w:autoSpaceDN w:val="0"/>
              <w:jc w:val="both"/>
              <w:textAlignment w:val="baseline"/>
            </w:pPr>
          </w:p>
        </w:tc>
        <w:tc>
          <w:tcPr>
            <w:tcW w:w="1559" w:type="dxa"/>
            <w:shd w:val="clear" w:color="auto" w:fill="auto"/>
          </w:tcPr>
          <w:p w:rsidR="005301E3" w:rsidRPr="00B14AD5" w:rsidRDefault="005301E3" w:rsidP="00DE41A6">
            <w:pPr>
              <w:overflowPunct w:val="0"/>
              <w:autoSpaceDE w:val="0"/>
              <w:autoSpaceDN w:val="0"/>
              <w:jc w:val="both"/>
              <w:textAlignment w:val="baseline"/>
            </w:pPr>
          </w:p>
        </w:tc>
        <w:tc>
          <w:tcPr>
            <w:tcW w:w="1418" w:type="dxa"/>
            <w:shd w:val="clear" w:color="auto" w:fill="auto"/>
          </w:tcPr>
          <w:p w:rsidR="005301E3" w:rsidRPr="00B14AD5" w:rsidRDefault="005301E3" w:rsidP="00DE41A6">
            <w:pPr>
              <w:overflowPunct w:val="0"/>
              <w:autoSpaceDE w:val="0"/>
              <w:autoSpaceDN w:val="0"/>
              <w:jc w:val="both"/>
              <w:textAlignment w:val="baseline"/>
            </w:pPr>
          </w:p>
        </w:tc>
        <w:tc>
          <w:tcPr>
            <w:tcW w:w="1984" w:type="dxa"/>
            <w:shd w:val="clear" w:color="auto" w:fill="auto"/>
          </w:tcPr>
          <w:p w:rsidR="005301E3" w:rsidRPr="00B14AD5" w:rsidRDefault="005301E3" w:rsidP="00DE41A6">
            <w:pPr>
              <w:overflowPunct w:val="0"/>
              <w:autoSpaceDE w:val="0"/>
              <w:autoSpaceDN w:val="0"/>
              <w:jc w:val="both"/>
              <w:textAlignment w:val="baseline"/>
            </w:pPr>
          </w:p>
        </w:tc>
        <w:tc>
          <w:tcPr>
            <w:tcW w:w="3119" w:type="dxa"/>
            <w:shd w:val="clear" w:color="auto" w:fill="auto"/>
          </w:tcPr>
          <w:p w:rsidR="005301E3" w:rsidRPr="00B14AD5" w:rsidRDefault="005301E3" w:rsidP="00DE41A6">
            <w:pPr>
              <w:overflowPunct w:val="0"/>
              <w:autoSpaceDE w:val="0"/>
              <w:autoSpaceDN w:val="0"/>
              <w:jc w:val="both"/>
              <w:textAlignment w:val="baseline"/>
            </w:pPr>
          </w:p>
        </w:tc>
      </w:tr>
    </w:tbl>
    <w:p w:rsidR="005301E3" w:rsidRPr="00B14AD5" w:rsidRDefault="005301E3" w:rsidP="005301E3">
      <w:pPr>
        <w:tabs>
          <w:tab w:val="left" w:pos="1515"/>
        </w:tabs>
        <w:jc w:val="both"/>
      </w:pPr>
      <w:r>
        <w:tab/>
      </w:r>
    </w:p>
    <w:p w:rsidR="005301E3" w:rsidRPr="00B14AD5" w:rsidRDefault="005301E3" w:rsidP="005301E3">
      <w:pPr>
        <w:jc w:val="both"/>
        <w:rPr>
          <w:b/>
        </w:rPr>
      </w:pPr>
      <w:r w:rsidRPr="00B14AD5">
        <w:rPr>
          <w:b/>
        </w:rPr>
        <w:t xml:space="preserve">Poznámka: </w:t>
      </w:r>
    </w:p>
    <w:p w:rsidR="005301E3" w:rsidRPr="00B14AD5" w:rsidRDefault="005301E3" w:rsidP="005301E3">
      <w:pPr>
        <w:jc w:val="both"/>
      </w:pPr>
      <w:r w:rsidRPr="00B14AD5">
        <w:t xml:space="preserve">Písmeno „d“ označuje prvý rok nasledujúcej dekády. </w:t>
      </w:r>
    </w:p>
    <w:p w:rsidR="005301E3" w:rsidRDefault="005301E3" w:rsidP="005301E3">
      <w:pPr>
        <w:jc w:val="both"/>
      </w:pPr>
      <w:r w:rsidRPr="00B14AD5">
        <w:t>Tabuľka sa vypĺňa pre každé opatrenie samostatne. V prípade zavádzania viacerých opatrení sa vyplní aj tabuľka obsahujúca aj kumulatívny efekt zaveden</w:t>
      </w:r>
      <w:r>
        <w:t>ia všetkých opatrení súčasne.</w:t>
      </w:r>
    </w:p>
    <w:p w:rsidR="005301E3" w:rsidRDefault="005301E3" w:rsidP="005301E3"/>
    <w:p w:rsidR="005301E3" w:rsidRDefault="005301E3" w:rsidP="005301E3"/>
    <w:p w:rsidR="005301E3" w:rsidRPr="00CA4CD8" w:rsidRDefault="005301E3" w:rsidP="005301E3">
      <w:r>
        <w:tab/>
      </w:r>
    </w:p>
    <w:p w:rsidR="00B53972" w:rsidRPr="007D5748" w:rsidRDefault="00B53972" w:rsidP="00B53972">
      <w:pPr>
        <w:rPr>
          <w:b/>
          <w:bCs/>
        </w:rPr>
        <w:sectPr w:rsidR="00B53972" w:rsidRPr="007D5748">
          <w:headerReference w:type="even" r:id="rId16"/>
          <w:headerReference w:type="default" r:id="rId17"/>
          <w:footerReference w:type="even" r:id="rId18"/>
          <w:footerReference w:type="default" r:id="rId19"/>
          <w:headerReference w:type="first" r:id="rId20"/>
          <w:footerReference w:type="first" r:id="rId21"/>
          <w:pgSz w:w="16838" w:h="11906" w:orient="landscape"/>
          <w:pgMar w:top="1418" w:right="1418" w:bottom="1418" w:left="1418" w:header="709" w:footer="709" w:gutter="0"/>
          <w:cols w:space="708"/>
          <w:docGrid w:linePitch="360"/>
        </w:sectPr>
      </w:pPr>
    </w:p>
    <w:p w:rsidR="008150DC" w:rsidRPr="00895898" w:rsidRDefault="008150DC" w:rsidP="008150DC">
      <w:pPr>
        <w:jc w:val="center"/>
        <w:rPr>
          <w:rFonts w:eastAsia="Calibri"/>
          <w:b/>
          <w:sz w:val="28"/>
          <w:szCs w:val="28"/>
        </w:rPr>
      </w:pPr>
      <w:r w:rsidRPr="00895898">
        <w:rPr>
          <w:rFonts w:eastAsia="Calibri"/>
          <w:b/>
          <w:sz w:val="28"/>
          <w:szCs w:val="28"/>
        </w:rPr>
        <w:lastRenderedPageBreak/>
        <w:t>Analýza vplyvov na podnikateľské prostredie</w:t>
      </w:r>
    </w:p>
    <w:p w:rsidR="008150DC" w:rsidRPr="00895898" w:rsidRDefault="008150DC" w:rsidP="008150DC">
      <w:pPr>
        <w:jc w:val="both"/>
        <w:rPr>
          <w:rFonts w:eastAsia="Calibri"/>
          <w:b/>
        </w:rPr>
      </w:pPr>
    </w:p>
    <w:p w:rsidR="008150DC" w:rsidRPr="001F1B43" w:rsidRDefault="008150DC" w:rsidP="008150DC">
      <w:pPr>
        <w:jc w:val="both"/>
        <w:rPr>
          <w:rFonts w:eastAsia="Calibri"/>
          <w:b/>
        </w:rPr>
      </w:pPr>
      <w:r w:rsidRPr="001F1B43">
        <w:rPr>
          <w:rFonts w:eastAsia="Calibri"/>
          <w:b/>
        </w:rPr>
        <w:t>Názov materiálu:</w:t>
      </w:r>
      <w:r>
        <w:rPr>
          <w:rFonts w:eastAsia="Calibri"/>
          <w:b/>
        </w:rPr>
        <w:t xml:space="preserve"> </w:t>
      </w:r>
      <w:r w:rsidRPr="00502147">
        <w:rPr>
          <w:color w:val="000000"/>
        </w:rPr>
        <w:t xml:space="preserve">Návrh zákona, ktorým sa mení a dopĺňa zákon č. 264/2022 Z. z. </w:t>
      </w:r>
      <w:r>
        <w:rPr>
          <w:color w:val="000000"/>
        </w:rPr>
        <w:br/>
      </w:r>
      <w:r w:rsidRPr="00502147">
        <w:rPr>
          <w:color w:val="000000"/>
        </w:rPr>
        <w:t xml:space="preserve">o mediálnych službách a o zmene a doplnení niektorých zákonov (zákon o mediálnych službách) v znení </w:t>
      </w:r>
      <w:r>
        <w:rPr>
          <w:color w:val="000000"/>
        </w:rPr>
        <w:t>neskorších predpisov</w:t>
      </w:r>
      <w:r w:rsidRPr="00502147">
        <w:rPr>
          <w:color w:val="000000"/>
        </w:rPr>
        <w:t xml:space="preserve"> a</w:t>
      </w:r>
      <w:r>
        <w:rPr>
          <w:color w:val="000000"/>
        </w:rPr>
        <w:t> </w:t>
      </w:r>
      <w:r>
        <w:t>o zmene a doplnení niektorých zákonov</w:t>
      </w:r>
    </w:p>
    <w:p w:rsidR="00F55A99" w:rsidRDefault="00F55A99" w:rsidP="008150DC">
      <w:pPr>
        <w:jc w:val="both"/>
        <w:rPr>
          <w:rFonts w:eastAsia="Calibri"/>
          <w:b/>
        </w:rPr>
      </w:pPr>
    </w:p>
    <w:p w:rsidR="008150DC" w:rsidRPr="000F58E0" w:rsidRDefault="008150DC" w:rsidP="008150DC">
      <w:pPr>
        <w:jc w:val="both"/>
        <w:rPr>
          <w:rFonts w:eastAsia="Calibri"/>
        </w:rPr>
      </w:pPr>
      <w:r w:rsidRPr="001F1B43">
        <w:rPr>
          <w:rFonts w:eastAsia="Calibri"/>
          <w:b/>
        </w:rPr>
        <w:t>Predkladateľ:</w:t>
      </w:r>
      <w:r>
        <w:rPr>
          <w:rFonts w:eastAsia="Calibri"/>
          <w:b/>
        </w:rPr>
        <w:t xml:space="preserve"> </w:t>
      </w:r>
      <w:r>
        <w:rPr>
          <w:rFonts w:eastAsia="Calibri"/>
        </w:rPr>
        <w:t>Ministerstvo kultúry Slovenskej republiky</w:t>
      </w:r>
    </w:p>
    <w:p w:rsidR="008150DC" w:rsidRPr="001F1B43" w:rsidRDefault="008150DC" w:rsidP="008150DC">
      <w:pPr>
        <w:jc w:val="both"/>
        <w:rPr>
          <w:rFonts w:eastAsia="Calibri"/>
          <w:b/>
        </w:rPr>
      </w:pPr>
    </w:p>
    <w:p w:rsidR="008150DC" w:rsidRPr="001F1B43" w:rsidRDefault="008150DC" w:rsidP="008150DC">
      <w:pPr>
        <w:jc w:val="both"/>
        <w:rPr>
          <w:rFonts w:eastAsia="Calibri"/>
          <w:b/>
        </w:rPr>
      </w:pPr>
      <w:r w:rsidRPr="001F1B43">
        <w:rPr>
          <w:rFonts w:eastAsia="Calibri"/>
          <w:b/>
        </w:rPr>
        <w:t>3.1 Náklady regulácie</w:t>
      </w:r>
    </w:p>
    <w:p w:rsidR="008150DC" w:rsidRPr="001F1B43" w:rsidRDefault="008150DC" w:rsidP="008150DC">
      <w:pPr>
        <w:tabs>
          <w:tab w:val="left" w:pos="8025"/>
        </w:tabs>
        <w:rPr>
          <w:rFonts w:eastAsia="Calibri"/>
          <w:bCs/>
          <w:i/>
          <w:iCs/>
        </w:rPr>
      </w:pPr>
      <w:r w:rsidRPr="001F1B43">
        <w:rPr>
          <w:rFonts w:eastAsia="Calibri"/>
          <w:b/>
          <w:i/>
          <w:iCs/>
        </w:rPr>
        <w:t xml:space="preserve">3.1.1 Súhrnná tabuľka nákladov regulácie </w:t>
      </w:r>
      <w:r>
        <w:rPr>
          <w:rFonts w:eastAsia="Calibri"/>
          <w:b/>
          <w:i/>
          <w:iCs/>
        </w:rPr>
        <w:tab/>
      </w:r>
    </w:p>
    <w:p w:rsidR="008150DC" w:rsidRPr="001F1B43" w:rsidRDefault="008150DC" w:rsidP="008150DC">
      <w:pPr>
        <w:jc w:val="both"/>
        <w:rPr>
          <w:rFonts w:eastAsia="Calibri"/>
          <w:b/>
        </w:rPr>
      </w:pPr>
    </w:p>
    <w:p w:rsidR="008150DC" w:rsidRPr="00D8247C" w:rsidRDefault="008150DC" w:rsidP="008150DC">
      <w:pPr>
        <w:jc w:val="both"/>
        <w:rPr>
          <w:rFonts w:eastAsia="Calibri"/>
          <w:i/>
        </w:rPr>
      </w:pPr>
      <w:r w:rsidRPr="00D8247C">
        <w:rPr>
          <w:rFonts w:eastAsia="Calibri"/>
          <w:i/>
        </w:rPr>
        <w:t xml:space="preserve">Tabuľka č. 1: Zmeny nákladov (ročne) v prepočte na podnikateľské prostredie (PP), vyhodnotenie mechanizmu znižovania byrokracie a nákladov. </w:t>
      </w:r>
    </w:p>
    <w:p w:rsidR="008150DC" w:rsidRPr="00D8247C" w:rsidRDefault="008150DC" w:rsidP="008150DC">
      <w:pPr>
        <w:jc w:val="both"/>
        <w:rPr>
          <w:rFonts w:eastAsia="Calibri"/>
          <w:i/>
        </w:rPr>
      </w:pPr>
      <w:r w:rsidRPr="00D8247C">
        <w:rPr>
          <w:rFonts w:eastAsia="Calibri"/>
          <w:i/>
        </w:rPr>
        <w:t xml:space="preserve">Nahraďte rovnakou tabuľkou po vyplnení Kalkulačky nákladov podnikateľského prostredia, ktorá je povinnou prílohou tejto analýzy a nájdete ju na </w:t>
      </w:r>
      <w:hyperlink r:id="rId22" w:history="1">
        <w:r w:rsidRPr="00D8247C">
          <w:rPr>
            <w:rFonts w:eastAsia="Calibri"/>
            <w:i/>
            <w:color w:val="0563C1"/>
            <w:u w:val="single"/>
          </w:rPr>
          <w:t>webovom sídle MH SR</w:t>
        </w:r>
      </w:hyperlink>
      <w:r w:rsidRPr="00D8247C">
        <w:rPr>
          <w:rFonts w:eastAsia="Calibri"/>
          <w:i/>
        </w:rPr>
        <w:t xml:space="preserve">, (ďalej len </w:t>
      </w:r>
      <w:r>
        <w:rPr>
          <w:rFonts w:eastAsia="Calibri"/>
          <w:i/>
        </w:rPr>
        <w:t>„</w:t>
      </w:r>
      <w:r w:rsidRPr="00D8247C">
        <w:rPr>
          <w:rFonts w:eastAsia="Calibri"/>
          <w:i/>
        </w:rPr>
        <w:t>Kalkulačka nákladov</w:t>
      </w:r>
      <w:r>
        <w:rPr>
          <w:rFonts w:eastAsia="Calibri"/>
          <w:i/>
        </w:rPr>
        <w:t>“</w:t>
      </w:r>
      <w:r w:rsidRPr="00D8247C">
        <w:rPr>
          <w:rFonts w:eastAsia="Calibri"/>
          <w:i/>
        </w:rPr>
        <w:t>):</w:t>
      </w:r>
    </w:p>
    <w:p w:rsidR="008150DC" w:rsidRPr="00895898" w:rsidRDefault="008150DC" w:rsidP="008150DC">
      <w:pPr>
        <w:rPr>
          <w:rFonts w:eastAsia="Calibri"/>
          <w:i/>
        </w:rPr>
      </w:pPr>
    </w:p>
    <w:tbl>
      <w:tblPr>
        <w:tblStyle w:val="Mriekatabuky2"/>
        <w:tblW w:w="9067" w:type="dxa"/>
        <w:tblLook w:val="04A0" w:firstRow="1" w:lastRow="0" w:firstColumn="1" w:lastColumn="0" w:noHBand="0" w:noVBand="1"/>
      </w:tblPr>
      <w:tblGrid>
        <w:gridCol w:w="3681"/>
        <w:gridCol w:w="2693"/>
        <w:gridCol w:w="2693"/>
      </w:tblGrid>
      <w:tr w:rsidR="008150DC" w:rsidRPr="00895898" w:rsidTr="00DE41A6">
        <w:tc>
          <w:tcPr>
            <w:tcW w:w="3681" w:type="dxa"/>
          </w:tcPr>
          <w:p w:rsidR="008150DC" w:rsidRPr="00895898" w:rsidRDefault="008150DC" w:rsidP="00DE41A6">
            <w:pPr>
              <w:rPr>
                <w:rFonts w:eastAsia="Calibri"/>
                <w:b/>
                <w:bCs/>
                <w:i/>
                <w:sz w:val="20"/>
              </w:rPr>
            </w:pPr>
            <w:r w:rsidRPr="00895898">
              <w:rPr>
                <w:rFonts w:eastAsia="Calibri"/>
                <w:b/>
                <w:bCs/>
                <w:i/>
                <w:sz w:val="20"/>
              </w:rPr>
              <w:t>TYP NÁKLADOV</w:t>
            </w:r>
          </w:p>
        </w:tc>
        <w:tc>
          <w:tcPr>
            <w:tcW w:w="2693" w:type="dxa"/>
            <w:shd w:val="clear" w:color="auto" w:fill="FFC000"/>
          </w:tcPr>
          <w:p w:rsidR="008150DC" w:rsidRPr="00895898" w:rsidRDefault="008150DC" w:rsidP="00DE41A6">
            <w:pPr>
              <w:jc w:val="center"/>
              <w:rPr>
                <w:rFonts w:eastAsia="Calibri"/>
                <w:i/>
                <w:sz w:val="20"/>
              </w:rPr>
            </w:pPr>
            <w:r w:rsidRPr="00895898">
              <w:rPr>
                <w:rFonts w:eastAsia="Calibri"/>
                <w:b/>
                <w:bCs/>
                <w:color w:val="000000"/>
                <w:sz w:val="20"/>
              </w:rPr>
              <w:t>Zvýšenie nákladov v € na PP</w:t>
            </w:r>
          </w:p>
        </w:tc>
        <w:tc>
          <w:tcPr>
            <w:tcW w:w="2693" w:type="dxa"/>
            <w:shd w:val="clear" w:color="auto" w:fill="92D050"/>
          </w:tcPr>
          <w:p w:rsidR="008150DC" w:rsidRPr="00895898" w:rsidRDefault="008150DC" w:rsidP="00DE41A6">
            <w:pPr>
              <w:jc w:val="center"/>
              <w:rPr>
                <w:rFonts w:eastAsia="Calibri"/>
                <w:b/>
                <w:bCs/>
                <w:color w:val="000000"/>
                <w:sz w:val="20"/>
              </w:rPr>
            </w:pPr>
            <w:r w:rsidRPr="00895898">
              <w:rPr>
                <w:rFonts w:eastAsia="Calibri"/>
                <w:b/>
                <w:bCs/>
                <w:color w:val="000000"/>
                <w:sz w:val="20"/>
              </w:rPr>
              <w:t>Zníženie nákladov v € na PP</w:t>
            </w:r>
          </w:p>
        </w:tc>
      </w:tr>
      <w:tr w:rsidR="008150DC" w:rsidRPr="00895898" w:rsidTr="00DE41A6">
        <w:trPr>
          <w:trHeight w:val="227"/>
        </w:trPr>
        <w:tc>
          <w:tcPr>
            <w:tcW w:w="3681" w:type="dxa"/>
          </w:tcPr>
          <w:p w:rsidR="008150DC" w:rsidRPr="00895898" w:rsidRDefault="008150DC" w:rsidP="00DE41A6">
            <w:pPr>
              <w:rPr>
                <w:rFonts w:eastAsia="Calibri"/>
                <w:i/>
                <w:iCs/>
                <w:sz w:val="20"/>
              </w:rPr>
            </w:pPr>
            <w:r w:rsidRPr="00895898">
              <w:rPr>
                <w:rFonts w:eastAsia="Calibri"/>
                <w:i/>
                <w:iCs/>
                <w:color w:val="000000"/>
                <w:sz w:val="20"/>
              </w:rPr>
              <w:t>A. Dane, odvody, clá</w:t>
            </w:r>
            <w:r>
              <w:rPr>
                <w:rFonts w:eastAsia="Calibri"/>
                <w:i/>
                <w:iCs/>
                <w:color w:val="000000"/>
                <w:sz w:val="20"/>
              </w:rPr>
              <w:t xml:space="preserve"> a poplatk</w:t>
            </w:r>
            <w:r w:rsidRPr="00A000DA">
              <w:rPr>
                <w:rFonts w:eastAsia="Calibri"/>
                <w:i/>
                <w:iCs/>
                <w:color w:val="000000"/>
                <w:sz w:val="20"/>
              </w:rPr>
              <w:t>y</w:t>
            </w:r>
            <w:r w:rsidRPr="00A000DA">
              <w:t>,</w:t>
            </w:r>
            <w:r>
              <w:rPr>
                <w:b/>
                <w:bCs/>
              </w:rPr>
              <w:t xml:space="preserve"> </w:t>
            </w:r>
            <w:r w:rsidRPr="00A000DA">
              <w:rPr>
                <w:rFonts w:eastAsia="Calibri"/>
                <w:i/>
                <w:iCs/>
                <w:color w:val="000000"/>
                <w:sz w:val="20"/>
              </w:rPr>
              <w:t>ktorých cieľom je znižovať negatívne externality</w:t>
            </w:r>
          </w:p>
        </w:tc>
        <w:tc>
          <w:tcPr>
            <w:tcW w:w="2693" w:type="dxa"/>
            <w:shd w:val="clear" w:color="auto" w:fill="FFC000"/>
          </w:tcPr>
          <w:p w:rsidR="008150DC" w:rsidRPr="00895898" w:rsidRDefault="008150DC" w:rsidP="00DE41A6">
            <w:pPr>
              <w:jc w:val="center"/>
              <w:rPr>
                <w:rFonts w:eastAsia="Calibri"/>
                <w:i/>
                <w:sz w:val="20"/>
              </w:rPr>
            </w:pPr>
            <w:r w:rsidRPr="00895898">
              <w:rPr>
                <w:rFonts w:eastAsia="Calibri"/>
                <w:i/>
                <w:sz w:val="20"/>
              </w:rPr>
              <w:t>0</w:t>
            </w:r>
          </w:p>
        </w:tc>
        <w:tc>
          <w:tcPr>
            <w:tcW w:w="2693" w:type="dxa"/>
            <w:shd w:val="clear" w:color="auto" w:fill="92D050"/>
          </w:tcPr>
          <w:p w:rsidR="008150DC" w:rsidRPr="00895898" w:rsidRDefault="008150DC" w:rsidP="00DE41A6">
            <w:pPr>
              <w:jc w:val="center"/>
              <w:rPr>
                <w:rFonts w:eastAsia="Calibri"/>
                <w:i/>
                <w:sz w:val="20"/>
              </w:rPr>
            </w:pPr>
            <w:r w:rsidRPr="00895898">
              <w:rPr>
                <w:rFonts w:eastAsia="Calibri"/>
                <w:i/>
                <w:sz w:val="20"/>
              </w:rPr>
              <w:t>0</w:t>
            </w:r>
          </w:p>
        </w:tc>
      </w:tr>
      <w:tr w:rsidR="008150DC" w:rsidRPr="00895898" w:rsidTr="00DE41A6">
        <w:tc>
          <w:tcPr>
            <w:tcW w:w="3681" w:type="dxa"/>
          </w:tcPr>
          <w:p w:rsidR="008150DC" w:rsidRPr="00895898" w:rsidRDefault="008150DC" w:rsidP="00DE41A6">
            <w:pPr>
              <w:rPr>
                <w:rFonts w:eastAsia="Calibri"/>
                <w:i/>
                <w:sz w:val="20"/>
              </w:rPr>
            </w:pPr>
            <w:r w:rsidRPr="00895898">
              <w:rPr>
                <w:rFonts w:eastAsia="Calibri"/>
                <w:i/>
                <w:sz w:val="20"/>
              </w:rPr>
              <w:t xml:space="preserve">B. </w:t>
            </w:r>
            <w:r>
              <w:rPr>
                <w:rFonts w:eastAsia="Calibri"/>
                <w:i/>
                <w:sz w:val="20"/>
              </w:rPr>
              <w:t>Iné p</w:t>
            </w:r>
            <w:r w:rsidRPr="00895898">
              <w:rPr>
                <w:rFonts w:eastAsia="Calibri"/>
                <w:i/>
                <w:sz w:val="20"/>
              </w:rPr>
              <w:t>oplatky</w:t>
            </w:r>
          </w:p>
        </w:tc>
        <w:tc>
          <w:tcPr>
            <w:tcW w:w="2693" w:type="dxa"/>
            <w:shd w:val="clear" w:color="auto" w:fill="FFC000"/>
          </w:tcPr>
          <w:p w:rsidR="008150DC" w:rsidRPr="00895898" w:rsidRDefault="008150DC" w:rsidP="00DE41A6">
            <w:pPr>
              <w:jc w:val="center"/>
              <w:rPr>
                <w:rFonts w:eastAsia="Calibri"/>
                <w:i/>
                <w:sz w:val="20"/>
              </w:rPr>
            </w:pPr>
            <w:r w:rsidRPr="00895898">
              <w:rPr>
                <w:rFonts w:eastAsia="Calibri"/>
                <w:i/>
                <w:sz w:val="20"/>
              </w:rPr>
              <w:t>0</w:t>
            </w:r>
          </w:p>
        </w:tc>
        <w:tc>
          <w:tcPr>
            <w:tcW w:w="2693" w:type="dxa"/>
            <w:shd w:val="clear" w:color="auto" w:fill="92D050"/>
          </w:tcPr>
          <w:p w:rsidR="008150DC" w:rsidRPr="00895898" w:rsidRDefault="008150DC" w:rsidP="00DE41A6">
            <w:pPr>
              <w:jc w:val="center"/>
              <w:rPr>
                <w:rFonts w:eastAsia="Calibri"/>
                <w:i/>
                <w:sz w:val="20"/>
              </w:rPr>
            </w:pPr>
            <w:r w:rsidRPr="00895898">
              <w:rPr>
                <w:rFonts w:eastAsia="Calibri"/>
                <w:i/>
                <w:sz w:val="20"/>
              </w:rPr>
              <w:t>0</w:t>
            </w:r>
          </w:p>
        </w:tc>
      </w:tr>
      <w:tr w:rsidR="008150DC" w:rsidRPr="00895898" w:rsidTr="00DE41A6">
        <w:tc>
          <w:tcPr>
            <w:tcW w:w="3681" w:type="dxa"/>
          </w:tcPr>
          <w:p w:rsidR="008150DC" w:rsidRPr="00895898" w:rsidRDefault="008150DC" w:rsidP="00DE41A6">
            <w:pPr>
              <w:rPr>
                <w:rFonts w:eastAsia="Calibri"/>
                <w:i/>
                <w:sz w:val="20"/>
              </w:rPr>
            </w:pPr>
            <w:r w:rsidRPr="00895898">
              <w:rPr>
                <w:rFonts w:eastAsia="Calibri"/>
                <w:i/>
                <w:sz w:val="20"/>
              </w:rPr>
              <w:t>C. Nepriame finančné náklady</w:t>
            </w:r>
          </w:p>
        </w:tc>
        <w:tc>
          <w:tcPr>
            <w:tcW w:w="2693" w:type="dxa"/>
            <w:shd w:val="clear" w:color="auto" w:fill="FFC000"/>
          </w:tcPr>
          <w:p w:rsidR="008150DC" w:rsidRPr="00895898" w:rsidRDefault="008150DC" w:rsidP="00DE41A6">
            <w:pPr>
              <w:jc w:val="center"/>
              <w:rPr>
                <w:rFonts w:eastAsia="Calibri"/>
                <w:i/>
                <w:sz w:val="20"/>
              </w:rPr>
            </w:pPr>
            <w:r w:rsidRPr="00895898">
              <w:rPr>
                <w:rFonts w:eastAsia="Calibri"/>
                <w:i/>
                <w:sz w:val="20"/>
              </w:rPr>
              <w:t>0</w:t>
            </w:r>
          </w:p>
        </w:tc>
        <w:tc>
          <w:tcPr>
            <w:tcW w:w="2693" w:type="dxa"/>
            <w:shd w:val="clear" w:color="auto" w:fill="92D050"/>
          </w:tcPr>
          <w:p w:rsidR="008150DC" w:rsidRPr="00895898" w:rsidRDefault="008150DC" w:rsidP="00DE41A6">
            <w:pPr>
              <w:jc w:val="center"/>
              <w:rPr>
                <w:rFonts w:eastAsia="Calibri"/>
                <w:i/>
                <w:sz w:val="20"/>
              </w:rPr>
            </w:pPr>
            <w:r w:rsidRPr="00895898">
              <w:rPr>
                <w:rFonts w:eastAsia="Calibri"/>
                <w:i/>
                <w:sz w:val="20"/>
              </w:rPr>
              <w:t>0</w:t>
            </w:r>
          </w:p>
        </w:tc>
      </w:tr>
      <w:tr w:rsidR="008150DC" w:rsidRPr="00895898" w:rsidTr="00DE41A6">
        <w:tc>
          <w:tcPr>
            <w:tcW w:w="3681" w:type="dxa"/>
          </w:tcPr>
          <w:p w:rsidR="008150DC" w:rsidRPr="00895898" w:rsidRDefault="008150DC" w:rsidP="00DE41A6">
            <w:pPr>
              <w:rPr>
                <w:rFonts w:eastAsia="Calibri"/>
                <w:i/>
                <w:sz w:val="20"/>
              </w:rPr>
            </w:pPr>
            <w:r w:rsidRPr="00895898">
              <w:rPr>
                <w:rFonts w:eastAsia="Calibri"/>
                <w:i/>
                <w:sz w:val="20"/>
              </w:rPr>
              <w:t>D. Administratívne náklady</w:t>
            </w:r>
          </w:p>
        </w:tc>
        <w:tc>
          <w:tcPr>
            <w:tcW w:w="2693" w:type="dxa"/>
            <w:shd w:val="clear" w:color="auto" w:fill="FFC000"/>
          </w:tcPr>
          <w:p w:rsidR="008150DC" w:rsidRPr="00895898" w:rsidRDefault="008150DC" w:rsidP="00DE41A6">
            <w:pPr>
              <w:jc w:val="center"/>
              <w:rPr>
                <w:rFonts w:eastAsia="Calibri"/>
                <w:i/>
                <w:sz w:val="20"/>
              </w:rPr>
            </w:pPr>
            <w:r w:rsidRPr="00895898">
              <w:rPr>
                <w:rFonts w:eastAsia="Calibri"/>
                <w:i/>
                <w:sz w:val="20"/>
              </w:rPr>
              <w:t>0</w:t>
            </w:r>
          </w:p>
        </w:tc>
        <w:tc>
          <w:tcPr>
            <w:tcW w:w="2693" w:type="dxa"/>
            <w:shd w:val="clear" w:color="auto" w:fill="92D050"/>
          </w:tcPr>
          <w:p w:rsidR="008150DC" w:rsidRPr="00895898" w:rsidRDefault="008150DC" w:rsidP="00DE41A6">
            <w:pPr>
              <w:jc w:val="center"/>
              <w:rPr>
                <w:rFonts w:eastAsia="Calibri"/>
                <w:i/>
                <w:sz w:val="20"/>
              </w:rPr>
            </w:pPr>
            <w:r w:rsidRPr="00895898">
              <w:rPr>
                <w:rFonts w:eastAsia="Calibri"/>
                <w:i/>
                <w:sz w:val="20"/>
              </w:rPr>
              <w:t>0</w:t>
            </w:r>
          </w:p>
        </w:tc>
      </w:tr>
      <w:tr w:rsidR="008150DC" w:rsidRPr="00895898" w:rsidTr="00DE41A6">
        <w:tc>
          <w:tcPr>
            <w:tcW w:w="3681" w:type="dxa"/>
          </w:tcPr>
          <w:p w:rsidR="008150DC" w:rsidRPr="00895898" w:rsidRDefault="008150DC" w:rsidP="00DE41A6">
            <w:pPr>
              <w:rPr>
                <w:rFonts w:eastAsia="Calibri"/>
                <w:b/>
                <w:i/>
                <w:sz w:val="20"/>
              </w:rPr>
            </w:pPr>
            <w:r w:rsidRPr="00895898">
              <w:rPr>
                <w:rFonts w:eastAsia="Calibri"/>
                <w:b/>
                <w:i/>
                <w:sz w:val="20"/>
              </w:rPr>
              <w:t>Spolu = A+B+C+D</w:t>
            </w:r>
          </w:p>
        </w:tc>
        <w:tc>
          <w:tcPr>
            <w:tcW w:w="2693" w:type="dxa"/>
            <w:shd w:val="clear" w:color="auto" w:fill="FFC000"/>
          </w:tcPr>
          <w:p w:rsidR="008150DC" w:rsidRPr="00895898" w:rsidRDefault="008150DC" w:rsidP="00DE41A6">
            <w:pPr>
              <w:jc w:val="center"/>
              <w:rPr>
                <w:rFonts w:eastAsia="Calibri"/>
                <w:b/>
                <w:i/>
                <w:sz w:val="20"/>
              </w:rPr>
            </w:pPr>
            <w:r w:rsidRPr="00895898">
              <w:rPr>
                <w:rFonts w:eastAsia="Calibri"/>
                <w:b/>
                <w:i/>
                <w:sz w:val="20"/>
              </w:rPr>
              <w:t>0</w:t>
            </w:r>
          </w:p>
        </w:tc>
        <w:tc>
          <w:tcPr>
            <w:tcW w:w="2693" w:type="dxa"/>
            <w:shd w:val="clear" w:color="auto" w:fill="92D050"/>
          </w:tcPr>
          <w:p w:rsidR="008150DC" w:rsidRPr="00895898" w:rsidRDefault="008150DC" w:rsidP="00DE41A6">
            <w:pPr>
              <w:jc w:val="center"/>
              <w:rPr>
                <w:rFonts w:eastAsia="Calibri"/>
                <w:b/>
                <w:i/>
                <w:sz w:val="20"/>
              </w:rPr>
            </w:pPr>
            <w:r w:rsidRPr="00895898">
              <w:rPr>
                <w:rFonts w:eastAsia="Calibri"/>
                <w:b/>
                <w:i/>
                <w:sz w:val="20"/>
              </w:rPr>
              <w:t>0</w:t>
            </w:r>
          </w:p>
        </w:tc>
      </w:tr>
      <w:tr w:rsidR="008150DC" w:rsidRPr="00895898" w:rsidTr="00DE41A6">
        <w:tc>
          <w:tcPr>
            <w:tcW w:w="3681" w:type="dxa"/>
          </w:tcPr>
          <w:p w:rsidR="008150DC" w:rsidRPr="00895898" w:rsidRDefault="008150DC" w:rsidP="00DE41A6">
            <w:pPr>
              <w:rPr>
                <w:rFonts w:eastAsia="Calibri"/>
                <w:b/>
                <w:i/>
                <w:sz w:val="20"/>
              </w:rPr>
            </w:pPr>
            <w:r w:rsidRPr="00895898">
              <w:rPr>
                <w:rFonts w:eastAsia="Calibri"/>
                <w:b/>
                <w:i/>
                <w:sz w:val="20"/>
              </w:rPr>
              <w:t xml:space="preserve"> z</w:t>
            </w:r>
            <w:r>
              <w:rPr>
                <w:rFonts w:eastAsia="Calibri"/>
                <w:b/>
                <w:i/>
                <w:sz w:val="20"/>
              </w:rPr>
              <w:t> </w:t>
            </w:r>
            <w:r w:rsidRPr="00895898">
              <w:rPr>
                <w:rFonts w:eastAsia="Calibri"/>
                <w:b/>
                <w:i/>
                <w:sz w:val="20"/>
              </w:rPr>
              <w:t>toho</w:t>
            </w:r>
          </w:p>
        </w:tc>
        <w:tc>
          <w:tcPr>
            <w:tcW w:w="2693" w:type="dxa"/>
            <w:shd w:val="clear" w:color="auto" w:fill="FFC000"/>
          </w:tcPr>
          <w:p w:rsidR="008150DC" w:rsidRPr="00895898" w:rsidRDefault="008150DC" w:rsidP="00DE41A6">
            <w:pPr>
              <w:jc w:val="center"/>
              <w:rPr>
                <w:rFonts w:eastAsia="Calibri"/>
                <w:b/>
                <w:i/>
                <w:sz w:val="20"/>
              </w:rPr>
            </w:pPr>
          </w:p>
        </w:tc>
        <w:tc>
          <w:tcPr>
            <w:tcW w:w="2693" w:type="dxa"/>
            <w:shd w:val="clear" w:color="auto" w:fill="92D050"/>
          </w:tcPr>
          <w:p w:rsidR="008150DC" w:rsidRPr="00895898" w:rsidRDefault="008150DC" w:rsidP="00DE41A6">
            <w:pPr>
              <w:jc w:val="center"/>
              <w:rPr>
                <w:rFonts w:eastAsia="Calibri"/>
                <w:b/>
                <w:i/>
                <w:sz w:val="20"/>
              </w:rPr>
            </w:pPr>
          </w:p>
        </w:tc>
      </w:tr>
      <w:tr w:rsidR="008150DC" w:rsidRPr="00895898" w:rsidTr="00DE41A6">
        <w:tc>
          <w:tcPr>
            <w:tcW w:w="3681" w:type="dxa"/>
          </w:tcPr>
          <w:p w:rsidR="008150DC" w:rsidRPr="00895898" w:rsidRDefault="008150DC" w:rsidP="00DE41A6">
            <w:pPr>
              <w:rPr>
                <w:rFonts w:eastAsia="Calibri"/>
                <w:i/>
                <w:sz w:val="20"/>
              </w:rPr>
            </w:pPr>
            <w:r w:rsidRPr="00895898">
              <w:rPr>
                <w:rFonts w:eastAsia="Calibri"/>
                <w:i/>
                <w:sz w:val="20"/>
              </w:rPr>
              <w:t>E. Vplyv na mikro, malé a stredné podniky</w:t>
            </w:r>
          </w:p>
        </w:tc>
        <w:tc>
          <w:tcPr>
            <w:tcW w:w="2693" w:type="dxa"/>
            <w:shd w:val="clear" w:color="auto" w:fill="FFC000"/>
          </w:tcPr>
          <w:p w:rsidR="008150DC" w:rsidRPr="00895898" w:rsidRDefault="008150DC" w:rsidP="00DE41A6">
            <w:pPr>
              <w:jc w:val="center"/>
              <w:rPr>
                <w:rFonts w:eastAsia="Calibri"/>
                <w:b/>
                <w:i/>
                <w:sz w:val="20"/>
              </w:rPr>
            </w:pPr>
            <w:r w:rsidRPr="00895898">
              <w:rPr>
                <w:rFonts w:eastAsia="Calibri"/>
                <w:i/>
                <w:sz w:val="20"/>
              </w:rPr>
              <w:t>0</w:t>
            </w:r>
          </w:p>
        </w:tc>
        <w:tc>
          <w:tcPr>
            <w:tcW w:w="2693" w:type="dxa"/>
            <w:shd w:val="clear" w:color="auto" w:fill="92D050"/>
          </w:tcPr>
          <w:p w:rsidR="008150DC" w:rsidRPr="00895898" w:rsidRDefault="008150DC" w:rsidP="00DE41A6">
            <w:pPr>
              <w:jc w:val="center"/>
              <w:rPr>
                <w:rFonts w:eastAsia="Calibri"/>
                <w:b/>
                <w:i/>
                <w:sz w:val="20"/>
              </w:rPr>
            </w:pPr>
            <w:r w:rsidRPr="00895898">
              <w:rPr>
                <w:rFonts w:eastAsia="Calibri"/>
                <w:i/>
                <w:sz w:val="20"/>
              </w:rPr>
              <w:t>0</w:t>
            </w:r>
          </w:p>
        </w:tc>
      </w:tr>
      <w:tr w:rsidR="008150DC" w:rsidRPr="00895898" w:rsidTr="00DE41A6">
        <w:tc>
          <w:tcPr>
            <w:tcW w:w="3681" w:type="dxa"/>
          </w:tcPr>
          <w:p w:rsidR="008150DC" w:rsidRPr="00895898" w:rsidRDefault="008150DC" w:rsidP="00DE41A6">
            <w:pPr>
              <w:rPr>
                <w:rFonts w:eastAsia="Calibri"/>
                <w:i/>
                <w:sz w:val="20"/>
              </w:rPr>
            </w:pPr>
            <w:r w:rsidRPr="00895898">
              <w:rPr>
                <w:rFonts w:eastAsia="Calibri"/>
                <w:i/>
                <w:sz w:val="20"/>
              </w:rPr>
              <w:t>F. Úplná harmonizácia práva EÚ</w:t>
            </w:r>
          </w:p>
        </w:tc>
        <w:tc>
          <w:tcPr>
            <w:tcW w:w="2693" w:type="dxa"/>
            <w:shd w:val="clear" w:color="auto" w:fill="FFC000"/>
          </w:tcPr>
          <w:p w:rsidR="008150DC" w:rsidRPr="00895898" w:rsidRDefault="008150DC" w:rsidP="00DE41A6">
            <w:pPr>
              <w:jc w:val="center"/>
              <w:rPr>
                <w:rFonts w:eastAsia="Calibri"/>
                <w:b/>
                <w:i/>
                <w:sz w:val="20"/>
              </w:rPr>
            </w:pPr>
            <w:r w:rsidRPr="00895898">
              <w:rPr>
                <w:rFonts w:eastAsia="Calibri"/>
                <w:i/>
                <w:sz w:val="20"/>
              </w:rPr>
              <w:t>0</w:t>
            </w:r>
          </w:p>
        </w:tc>
        <w:tc>
          <w:tcPr>
            <w:tcW w:w="2693" w:type="dxa"/>
            <w:shd w:val="clear" w:color="auto" w:fill="92D050"/>
          </w:tcPr>
          <w:p w:rsidR="008150DC" w:rsidRPr="00895898" w:rsidRDefault="008150DC" w:rsidP="00DE41A6">
            <w:pPr>
              <w:jc w:val="center"/>
              <w:rPr>
                <w:rFonts w:eastAsia="Calibri"/>
                <w:b/>
                <w:i/>
                <w:sz w:val="20"/>
              </w:rPr>
            </w:pPr>
            <w:r w:rsidRPr="00895898">
              <w:rPr>
                <w:rFonts w:eastAsia="Calibri"/>
                <w:i/>
                <w:sz w:val="20"/>
              </w:rPr>
              <w:t>0</w:t>
            </w:r>
          </w:p>
        </w:tc>
      </w:tr>
      <w:tr w:rsidR="008150DC" w:rsidRPr="00895898" w:rsidTr="00DE41A6">
        <w:tc>
          <w:tcPr>
            <w:tcW w:w="9067" w:type="dxa"/>
            <w:gridSpan w:val="3"/>
            <w:shd w:val="clear" w:color="auto" w:fill="auto"/>
          </w:tcPr>
          <w:p w:rsidR="008150DC" w:rsidRPr="00895898" w:rsidRDefault="008150DC" w:rsidP="00DE41A6">
            <w:pPr>
              <w:jc w:val="center"/>
              <w:rPr>
                <w:rFonts w:eastAsia="Calibri"/>
                <w:b/>
                <w:bCs/>
                <w:i/>
                <w:sz w:val="20"/>
              </w:rPr>
            </w:pPr>
          </w:p>
        </w:tc>
      </w:tr>
      <w:tr w:rsidR="008150DC" w:rsidRPr="00895898" w:rsidTr="00DE41A6">
        <w:tc>
          <w:tcPr>
            <w:tcW w:w="3681" w:type="dxa"/>
          </w:tcPr>
          <w:p w:rsidR="008150DC" w:rsidRPr="00895898" w:rsidRDefault="008150DC" w:rsidP="00DE41A6">
            <w:pPr>
              <w:rPr>
                <w:rFonts w:eastAsia="Calibri"/>
                <w:b/>
                <w:i/>
                <w:sz w:val="20"/>
              </w:rPr>
            </w:pPr>
            <w:r w:rsidRPr="00895898">
              <w:rPr>
                <w:rFonts w:eastAsia="Calibri"/>
                <w:b/>
                <w:bCs/>
                <w:i/>
                <w:sz w:val="20"/>
              </w:rPr>
              <w:t>VÝPOČET mechanizmu znižovania byrokracie a</w:t>
            </w:r>
            <w:r>
              <w:rPr>
                <w:rFonts w:eastAsia="Calibri"/>
                <w:b/>
                <w:bCs/>
                <w:i/>
                <w:sz w:val="20"/>
              </w:rPr>
              <w:t> </w:t>
            </w:r>
            <w:r w:rsidRPr="00895898">
              <w:rPr>
                <w:rFonts w:eastAsia="Calibri"/>
                <w:b/>
                <w:bCs/>
                <w:i/>
                <w:sz w:val="20"/>
              </w:rPr>
              <w:t>nákladov</w:t>
            </w:r>
          </w:p>
        </w:tc>
        <w:tc>
          <w:tcPr>
            <w:tcW w:w="2693" w:type="dxa"/>
            <w:shd w:val="clear" w:color="auto" w:fill="FFC000"/>
          </w:tcPr>
          <w:p w:rsidR="008150DC" w:rsidRPr="00895898" w:rsidRDefault="008150DC" w:rsidP="00DE41A6">
            <w:pPr>
              <w:jc w:val="center"/>
              <w:rPr>
                <w:rFonts w:eastAsia="Calibri"/>
                <w:b/>
                <w:bCs/>
                <w:i/>
                <w:sz w:val="20"/>
              </w:rPr>
            </w:pPr>
            <w:r w:rsidRPr="00895898">
              <w:rPr>
                <w:rFonts w:eastAsia="Calibri"/>
                <w:b/>
                <w:bCs/>
                <w:i/>
                <w:sz w:val="20"/>
              </w:rPr>
              <w:t>IN</w:t>
            </w:r>
          </w:p>
        </w:tc>
        <w:tc>
          <w:tcPr>
            <w:tcW w:w="2693" w:type="dxa"/>
            <w:shd w:val="clear" w:color="auto" w:fill="92D050"/>
          </w:tcPr>
          <w:p w:rsidR="008150DC" w:rsidRPr="00895898" w:rsidRDefault="008150DC" w:rsidP="00DE41A6">
            <w:pPr>
              <w:jc w:val="center"/>
              <w:rPr>
                <w:rFonts w:eastAsia="Calibri"/>
                <w:b/>
                <w:bCs/>
                <w:i/>
                <w:sz w:val="20"/>
              </w:rPr>
            </w:pPr>
            <w:r w:rsidRPr="00895898">
              <w:rPr>
                <w:rFonts w:eastAsia="Calibri"/>
                <w:b/>
                <w:bCs/>
                <w:i/>
                <w:sz w:val="20"/>
              </w:rPr>
              <w:t>OUT</w:t>
            </w:r>
          </w:p>
        </w:tc>
      </w:tr>
      <w:tr w:rsidR="008150DC" w:rsidRPr="00895898" w:rsidTr="00DE41A6">
        <w:tc>
          <w:tcPr>
            <w:tcW w:w="3681" w:type="dxa"/>
          </w:tcPr>
          <w:p w:rsidR="008150DC" w:rsidRPr="00895898" w:rsidRDefault="008150DC" w:rsidP="00DE41A6">
            <w:pPr>
              <w:rPr>
                <w:rFonts w:eastAsia="Calibri"/>
                <w:b/>
                <w:i/>
                <w:sz w:val="20"/>
              </w:rPr>
            </w:pPr>
            <w:r w:rsidRPr="00895898">
              <w:rPr>
                <w:rFonts w:eastAsia="Calibri"/>
                <w:b/>
                <w:i/>
                <w:sz w:val="20"/>
              </w:rPr>
              <w:t>G. Náklady okrem výnimiek = B+C+D-F</w:t>
            </w:r>
          </w:p>
        </w:tc>
        <w:tc>
          <w:tcPr>
            <w:tcW w:w="2693" w:type="dxa"/>
            <w:shd w:val="clear" w:color="auto" w:fill="FFC000"/>
          </w:tcPr>
          <w:p w:rsidR="008150DC" w:rsidRPr="00895898" w:rsidRDefault="008150DC" w:rsidP="00DE41A6">
            <w:pPr>
              <w:jc w:val="center"/>
              <w:rPr>
                <w:rFonts w:eastAsia="Calibri"/>
                <w:b/>
                <w:bCs/>
                <w:i/>
                <w:sz w:val="20"/>
              </w:rPr>
            </w:pPr>
            <w:r w:rsidRPr="00895898">
              <w:rPr>
                <w:rFonts w:eastAsia="Calibri"/>
                <w:b/>
                <w:bCs/>
                <w:i/>
                <w:sz w:val="20"/>
              </w:rPr>
              <w:t>0</w:t>
            </w:r>
          </w:p>
        </w:tc>
        <w:tc>
          <w:tcPr>
            <w:tcW w:w="2693" w:type="dxa"/>
            <w:shd w:val="clear" w:color="auto" w:fill="92D050"/>
          </w:tcPr>
          <w:p w:rsidR="008150DC" w:rsidRPr="00895898" w:rsidRDefault="008150DC" w:rsidP="00DE41A6">
            <w:pPr>
              <w:jc w:val="center"/>
              <w:rPr>
                <w:rFonts w:eastAsia="Calibri"/>
                <w:b/>
                <w:bCs/>
                <w:i/>
                <w:sz w:val="20"/>
              </w:rPr>
            </w:pPr>
            <w:r w:rsidRPr="00895898">
              <w:rPr>
                <w:rFonts w:eastAsia="Calibri"/>
                <w:b/>
                <w:bCs/>
                <w:i/>
                <w:sz w:val="20"/>
              </w:rPr>
              <w:t>0</w:t>
            </w:r>
          </w:p>
        </w:tc>
      </w:tr>
    </w:tbl>
    <w:p w:rsidR="008150DC" w:rsidRPr="00895898" w:rsidRDefault="008150DC" w:rsidP="008150DC">
      <w:pPr>
        <w:rPr>
          <w:rFonts w:eastAsia="Calibri"/>
          <w:i/>
        </w:rPr>
      </w:pPr>
    </w:p>
    <w:p w:rsidR="008150DC" w:rsidRPr="00895898" w:rsidRDefault="008150DC" w:rsidP="008150DC">
      <w:pPr>
        <w:rPr>
          <w:rFonts w:eastAsia="Calibri"/>
          <w:b/>
        </w:rPr>
      </w:pPr>
    </w:p>
    <w:p w:rsidR="008150DC" w:rsidRPr="00895898" w:rsidRDefault="008150DC" w:rsidP="008150DC">
      <w:pPr>
        <w:rPr>
          <w:rFonts w:eastAsia="Calibri"/>
          <w:b/>
        </w:rPr>
        <w:sectPr w:rsidR="008150DC" w:rsidRPr="00895898" w:rsidSect="00142154">
          <w:footerReference w:type="default" r:id="rId23"/>
          <w:pgSz w:w="11906" w:h="16838"/>
          <w:pgMar w:top="993" w:right="1417" w:bottom="1417" w:left="1417" w:header="708" w:footer="708" w:gutter="0"/>
          <w:pgNumType w:start="1"/>
          <w:cols w:space="708"/>
          <w:docGrid w:linePitch="360"/>
        </w:sectPr>
      </w:pPr>
    </w:p>
    <w:p w:rsidR="008150DC" w:rsidRPr="001F1B43" w:rsidRDefault="008150DC" w:rsidP="008150DC">
      <w:pPr>
        <w:rPr>
          <w:rFonts w:eastAsia="Calibri"/>
          <w:b/>
          <w:i/>
          <w:iCs/>
        </w:rPr>
      </w:pPr>
      <w:r w:rsidRPr="001F1B43">
        <w:rPr>
          <w:rFonts w:eastAsia="Calibri"/>
          <w:b/>
          <w:i/>
          <w:iCs/>
        </w:rPr>
        <w:lastRenderedPageBreak/>
        <w:t>3.1.2 Výpočty vplyvov jednotlivých regulácií na zmeny v nákladoch podnikateľov</w:t>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p>
    <w:p w:rsidR="008150DC" w:rsidRPr="00D8247C" w:rsidRDefault="008150DC" w:rsidP="008150DC">
      <w:pPr>
        <w:jc w:val="both"/>
        <w:rPr>
          <w:rFonts w:eastAsia="Calibri"/>
          <w:i/>
        </w:rPr>
      </w:pPr>
      <w:r w:rsidRPr="00D8247C">
        <w:rPr>
          <w:rFonts w:eastAsia="Calibri"/>
          <w:i/>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3557"/>
        <w:gridCol w:w="1044"/>
        <w:gridCol w:w="1129"/>
        <w:gridCol w:w="1303"/>
        <w:gridCol w:w="934"/>
        <w:gridCol w:w="1337"/>
        <w:gridCol w:w="974"/>
        <w:gridCol w:w="974"/>
        <w:gridCol w:w="982"/>
        <w:gridCol w:w="992"/>
        <w:gridCol w:w="1134"/>
      </w:tblGrid>
      <w:tr w:rsidR="008150DC" w:rsidRPr="00895898" w:rsidTr="00DE41A6">
        <w:trPr>
          <w:trHeight w:val="1885"/>
        </w:trPr>
        <w:tc>
          <w:tcPr>
            <w:tcW w:w="501" w:type="dxa"/>
            <w:shd w:val="clear" w:color="auto" w:fill="BFBFBF"/>
            <w:vAlign w:val="center"/>
          </w:tcPr>
          <w:p w:rsidR="008150DC" w:rsidRPr="00895898" w:rsidRDefault="008150DC" w:rsidP="00DE41A6">
            <w:pPr>
              <w:jc w:val="center"/>
              <w:rPr>
                <w:b/>
                <w:bCs/>
                <w:color w:val="000000"/>
                <w:sz w:val="20"/>
                <w:szCs w:val="20"/>
              </w:rPr>
            </w:pPr>
            <w:r w:rsidRPr="00895898">
              <w:rPr>
                <w:b/>
                <w:bCs/>
                <w:color w:val="000000"/>
                <w:sz w:val="20"/>
                <w:szCs w:val="20"/>
              </w:rPr>
              <w:t>P.č.</w:t>
            </w:r>
          </w:p>
        </w:tc>
        <w:tc>
          <w:tcPr>
            <w:tcW w:w="3557" w:type="dxa"/>
            <w:shd w:val="clear" w:color="auto" w:fill="BFBFBF"/>
            <w:vAlign w:val="center"/>
            <w:hideMark/>
          </w:tcPr>
          <w:p w:rsidR="008150DC" w:rsidRPr="00895898" w:rsidRDefault="008150DC" w:rsidP="00DE41A6">
            <w:pPr>
              <w:jc w:val="center"/>
              <w:rPr>
                <w:b/>
                <w:bCs/>
                <w:color w:val="000000"/>
                <w:sz w:val="20"/>
                <w:szCs w:val="20"/>
              </w:rPr>
            </w:pPr>
            <w:r w:rsidRPr="00895898">
              <w:rPr>
                <w:b/>
                <w:bCs/>
                <w:color w:val="000000"/>
                <w:sz w:val="20"/>
                <w:szCs w:val="20"/>
              </w:rPr>
              <w:t>Zrozumiteľný a stručný opis regulácie vyjadrujúci dôvod zvýšenia/zníženia nákladov na PP</w:t>
            </w:r>
          </w:p>
        </w:tc>
        <w:tc>
          <w:tcPr>
            <w:tcW w:w="1044" w:type="dxa"/>
            <w:shd w:val="clear" w:color="auto" w:fill="BFBFBF"/>
          </w:tcPr>
          <w:p w:rsidR="008150DC" w:rsidRPr="00895898" w:rsidRDefault="008150DC" w:rsidP="00DE41A6">
            <w:pPr>
              <w:jc w:val="center"/>
              <w:rPr>
                <w:b/>
                <w:bCs/>
                <w:color w:val="000000"/>
                <w:sz w:val="20"/>
                <w:szCs w:val="20"/>
              </w:rPr>
            </w:pPr>
          </w:p>
          <w:p w:rsidR="008150DC" w:rsidRPr="00895898" w:rsidRDefault="008150DC" w:rsidP="00DE41A6">
            <w:pPr>
              <w:jc w:val="center"/>
              <w:rPr>
                <w:b/>
                <w:bCs/>
                <w:color w:val="000000"/>
                <w:sz w:val="20"/>
                <w:szCs w:val="20"/>
              </w:rPr>
            </w:pPr>
            <w:r w:rsidRPr="00895898">
              <w:rPr>
                <w:b/>
                <w:bCs/>
                <w:color w:val="000000"/>
                <w:sz w:val="20"/>
                <w:szCs w:val="20"/>
              </w:rPr>
              <w:t>Číslo normy</w:t>
            </w:r>
          </w:p>
          <w:p w:rsidR="008150DC" w:rsidRPr="00895898" w:rsidRDefault="008150DC" w:rsidP="00DE41A6">
            <w:pPr>
              <w:jc w:val="center"/>
              <w:rPr>
                <w:bCs/>
                <w:color w:val="000000"/>
                <w:sz w:val="20"/>
                <w:szCs w:val="20"/>
              </w:rPr>
            </w:pPr>
            <w:r w:rsidRPr="00895898">
              <w:rPr>
                <w:bCs/>
                <w:color w:val="000000"/>
                <w:sz w:val="20"/>
                <w:szCs w:val="20"/>
              </w:rPr>
              <w:t>(zákona, vyhlášky a pod.)</w:t>
            </w:r>
          </w:p>
        </w:tc>
        <w:tc>
          <w:tcPr>
            <w:tcW w:w="1129" w:type="dxa"/>
            <w:shd w:val="clear" w:color="auto" w:fill="BFBFBF"/>
            <w:vAlign w:val="center"/>
            <w:hideMark/>
          </w:tcPr>
          <w:p w:rsidR="008150DC" w:rsidRPr="00895898" w:rsidRDefault="008150DC" w:rsidP="00DE41A6">
            <w:pPr>
              <w:jc w:val="center"/>
              <w:rPr>
                <w:b/>
                <w:bCs/>
                <w:color w:val="000000"/>
                <w:sz w:val="20"/>
                <w:szCs w:val="20"/>
              </w:rPr>
            </w:pPr>
            <w:r w:rsidRPr="00895898">
              <w:rPr>
                <w:b/>
                <w:bCs/>
                <w:color w:val="000000"/>
                <w:sz w:val="20"/>
                <w:szCs w:val="20"/>
              </w:rPr>
              <w:t xml:space="preserve">Lokalizácia </w:t>
            </w:r>
            <w:r w:rsidRPr="00895898">
              <w:rPr>
                <w:bCs/>
                <w:color w:val="000000"/>
                <w:sz w:val="20"/>
                <w:szCs w:val="20"/>
              </w:rPr>
              <w:t>(§, ods.)</w:t>
            </w:r>
          </w:p>
        </w:tc>
        <w:tc>
          <w:tcPr>
            <w:tcW w:w="1303" w:type="dxa"/>
            <w:shd w:val="clear" w:color="auto" w:fill="BFBFBF"/>
            <w:vAlign w:val="center"/>
          </w:tcPr>
          <w:p w:rsidR="008150DC" w:rsidRPr="00895898" w:rsidRDefault="008150DC" w:rsidP="00DE41A6">
            <w:pPr>
              <w:jc w:val="center"/>
              <w:rPr>
                <w:b/>
                <w:bCs/>
                <w:color w:val="000000"/>
                <w:sz w:val="20"/>
                <w:szCs w:val="20"/>
              </w:rPr>
            </w:pPr>
            <w:r w:rsidRPr="00895898">
              <w:rPr>
                <w:b/>
                <w:bCs/>
                <w:color w:val="000000"/>
                <w:sz w:val="20"/>
                <w:szCs w:val="20"/>
              </w:rPr>
              <w:t>Pôvod regulácie:</w:t>
            </w:r>
          </w:p>
          <w:p w:rsidR="008150DC" w:rsidRPr="00895898" w:rsidRDefault="008150DC" w:rsidP="00DE41A6">
            <w:pPr>
              <w:jc w:val="center"/>
              <w:rPr>
                <w:color w:val="000000"/>
                <w:sz w:val="20"/>
                <w:szCs w:val="20"/>
              </w:rPr>
            </w:pPr>
            <w:r w:rsidRPr="00895898">
              <w:rPr>
                <w:color w:val="000000"/>
                <w:sz w:val="20"/>
                <w:szCs w:val="20"/>
              </w:rPr>
              <w:t>SK/EÚ úplná harm./EÚ harm. s možnosťou voľby</w:t>
            </w:r>
          </w:p>
        </w:tc>
        <w:tc>
          <w:tcPr>
            <w:tcW w:w="934" w:type="dxa"/>
            <w:shd w:val="clear" w:color="auto" w:fill="BFBFBF"/>
            <w:vAlign w:val="center"/>
            <w:hideMark/>
          </w:tcPr>
          <w:p w:rsidR="008150DC" w:rsidRPr="00895898" w:rsidRDefault="008150DC" w:rsidP="00DE41A6">
            <w:pPr>
              <w:jc w:val="center"/>
              <w:rPr>
                <w:b/>
                <w:bCs/>
                <w:color w:val="000000"/>
                <w:sz w:val="20"/>
                <w:szCs w:val="20"/>
              </w:rPr>
            </w:pPr>
            <w:r w:rsidRPr="00895898">
              <w:rPr>
                <w:b/>
                <w:bCs/>
                <w:color w:val="000000"/>
                <w:sz w:val="20"/>
                <w:szCs w:val="20"/>
              </w:rPr>
              <w:t>Účinnosť</w:t>
            </w:r>
          </w:p>
          <w:p w:rsidR="008150DC" w:rsidRPr="00895898" w:rsidRDefault="008150DC" w:rsidP="00DE41A6">
            <w:pPr>
              <w:jc w:val="center"/>
              <w:rPr>
                <w:b/>
                <w:bCs/>
                <w:color w:val="000000"/>
                <w:sz w:val="20"/>
                <w:szCs w:val="20"/>
              </w:rPr>
            </w:pPr>
            <w:r w:rsidRPr="00895898">
              <w:rPr>
                <w:b/>
                <w:bCs/>
                <w:color w:val="000000"/>
                <w:sz w:val="20"/>
                <w:szCs w:val="20"/>
              </w:rPr>
              <w:t>regulácie</w:t>
            </w:r>
          </w:p>
          <w:p w:rsidR="008150DC" w:rsidRPr="00895898" w:rsidRDefault="008150DC" w:rsidP="00DE41A6">
            <w:pPr>
              <w:jc w:val="center"/>
              <w:rPr>
                <w:bCs/>
                <w:color w:val="000000"/>
                <w:sz w:val="20"/>
                <w:szCs w:val="20"/>
              </w:rPr>
            </w:pPr>
          </w:p>
        </w:tc>
        <w:tc>
          <w:tcPr>
            <w:tcW w:w="1337" w:type="dxa"/>
            <w:shd w:val="clear" w:color="auto" w:fill="BFBFBF"/>
            <w:vAlign w:val="center"/>
          </w:tcPr>
          <w:p w:rsidR="008150DC" w:rsidRPr="00895898" w:rsidRDefault="008150DC" w:rsidP="00DE41A6">
            <w:pPr>
              <w:jc w:val="center"/>
              <w:rPr>
                <w:b/>
                <w:bCs/>
                <w:color w:val="000000"/>
                <w:sz w:val="20"/>
                <w:szCs w:val="20"/>
              </w:rPr>
            </w:pPr>
            <w:r w:rsidRPr="00895898">
              <w:rPr>
                <w:b/>
                <w:bCs/>
                <w:color w:val="000000"/>
                <w:sz w:val="20"/>
                <w:szCs w:val="20"/>
              </w:rPr>
              <w:t>Kategória dotk. subjektov</w:t>
            </w:r>
          </w:p>
        </w:tc>
        <w:tc>
          <w:tcPr>
            <w:tcW w:w="974" w:type="dxa"/>
            <w:shd w:val="clear" w:color="auto" w:fill="BFBFBF"/>
            <w:vAlign w:val="center"/>
          </w:tcPr>
          <w:p w:rsidR="008150DC" w:rsidRPr="00895898" w:rsidRDefault="008150DC" w:rsidP="00DE41A6">
            <w:pPr>
              <w:jc w:val="center"/>
              <w:rPr>
                <w:b/>
                <w:bCs/>
                <w:color w:val="000000"/>
                <w:sz w:val="20"/>
                <w:szCs w:val="20"/>
              </w:rPr>
            </w:pPr>
            <w:r w:rsidRPr="00895898">
              <w:rPr>
                <w:b/>
                <w:bCs/>
                <w:color w:val="000000"/>
                <w:sz w:val="20"/>
                <w:szCs w:val="20"/>
              </w:rPr>
              <w:t xml:space="preserve">Počet  subjektov v dotk. kategórii </w:t>
            </w:r>
          </w:p>
        </w:tc>
        <w:tc>
          <w:tcPr>
            <w:tcW w:w="974" w:type="dxa"/>
            <w:shd w:val="clear" w:color="auto" w:fill="BFBFBF"/>
            <w:vAlign w:val="center"/>
            <w:hideMark/>
          </w:tcPr>
          <w:p w:rsidR="008150DC" w:rsidRPr="00895898" w:rsidRDefault="008150DC" w:rsidP="00DE41A6">
            <w:pPr>
              <w:jc w:val="center"/>
              <w:rPr>
                <w:b/>
                <w:bCs/>
                <w:color w:val="000000"/>
                <w:sz w:val="20"/>
                <w:szCs w:val="20"/>
              </w:rPr>
            </w:pPr>
            <w:r w:rsidRPr="00895898">
              <w:rPr>
                <w:b/>
                <w:bCs/>
                <w:color w:val="000000"/>
                <w:sz w:val="20"/>
                <w:szCs w:val="20"/>
              </w:rPr>
              <w:t xml:space="preserve">Počet subjektov MSP v dotk. kategórii </w:t>
            </w:r>
          </w:p>
        </w:tc>
        <w:tc>
          <w:tcPr>
            <w:tcW w:w="982" w:type="dxa"/>
            <w:shd w:val="clear" w:color="auto" w:fill="BFBFBF"/>
            <w:vAlign w:val="center"/>
            <w:hideMark/>
          </w:tcPr>
          <w:p w:rsidR="008150DC" w:rsidRPr="00895898" w:rsidRDefault="008150DC" w:rsidP="00DE41A6">
            <w:pPr>
              <w:jc w:val="center"/>
              <w:rPr>
                <w:b/>
                <w:bCs/>
                <w:color w:val="000000"/>
                <w:sz w:val="20"/>
                <w:szCs w:val="20"/>
              </w:rPr>
            </w:pPr>
            <w:r w:rsidRPr="00895898">
              <w:rPr>
                <w:b/>
                <w:bCs/>
                <w:color w:val="000000"/>
                <w:sz w:val="20"/>
                <w:szCs w:val="20"/>
              </w:rPr>
              <w:t>Vplyv na 1 podnik. v €</w:t>
            </w:r>
          </w:p>
        </w:tc>
        <w:tc>
          <w:tcPr>
            <w:tcW w:w="992" w:type="dxa"/>
            <w:shd w:val="clear" w:color="auto" w:fill="BFBFBF"/>
            <w:vAlign w:val="center"/>
            <w:hideMark/>
          </w:tcPr>
          <w:p w:rsidR="008150DC" w:rsidRPr="00895898" w:rsidRDefault="008150DC" w:rsidP="00DE41A6">
            <w:pPr>
              <w:jc w:val="center"/>
              <w:rPr>
                <w:b/>
                <w:bCs/>
                <w:color w:val="000000"/>
                <w:sz w:val="20"/>
                <w:szCs w:val="20"/>
              </w:rPr>
            </w:pPr>
            <w:r w:rsidRPr="00895898">
              <w:rPr>
                <w:b/>
                <w:bCs/>
                <w:color w:val="000000"/>
                <w:sz w:val="20"/>
                <w:szCs w:val="20"/>
              </w:rPr>
              <w:t>Vplyv na kategóriu dotk. subjektov v €</w:t>
            </w:r>
          </w:p>
        </w:tc>
        <w:tc>
          <w:tcPr>
            <w:tcW w:w="1134" w:type="dxa"/>
            <w:shd w:val="clear" w:color="auto" w:fill="BFBFBF"/>
            <w:vAlign w:val="center"/>
          </w:tcPr>
          <w:p w:rsidR="008150DC" w:rsidRPr="00895898" w:rsidRDefault="008150DC" w:rsidP="00DE41A6">
            <w:pPr>
              <w:jc w:val="center"/>
              <w:rPr>
                <w:b/>
                <w:bCs/>
                <w:color w:val="000000"/>
                <w:sz w:val="20"/>
                <w:szCs w:val="20"/>
              </w:rPr>
            </w:pPr>
            <w:r w:rsidRPr="00895898">
              <w:rPr>
                <w:b/>
                <w:bCs/>
                <w:color w:val="000000"/>
                <w:sz w:val="20"/>
                <w:szCs w:val="20"/>
              </w:rPr>
              <w:t>Druh vplyvu</w:t>
            </w:r>
          </w:p>
          <w:p w:rsidR="008150DC" w:rsidRPr="00895898" w:rsidRDefault="008150DC" w:rsidP="00DE41A6">
            <w:pPr>
              <w:jc w:val="center"/>
              <w:rPr>
                <w:bCs/>
                <w:color w:val="000000"/>
                <w:sz w:val="20"/>
                <w:szCs w:val="20"/>
              </w:rPr>
            </w:pPr>
            <w:r w:rsidRPr="00895898">
              <w:rPr>
                <w:bCs/>
                <w:color w:val="000000"/>
                <w:sz w:val="20"/>
                <w:szCs w:val="20"/>
              </w:rPr>
              <w:t xml:space="preserve">In (zvyšuje náklady) / </w:t>
            </w:r>
          </w:p>
          <w:p w:rsidR="008150DC" w:rsidRPr="00895898" w:rsidRDefault="008150DC" w:rsidP="00DE41A6">
            <w:pPr>
              <w:jc w:val="center"/>
              <w:rPr>
                <w:b/>
                <w:bCs/>
                <w:color w:val="000000"/>
                <w:sz w:val="20"/>
                <w:szCs w:val="20"/>
              </w:rPr>
            </w:pPr>
            <w:r w:rsidRPr="00895898">
              <w:rPr>
                <w:bCs/>
                <w:color w:val="000000"/>
                <w:sz w:val="20"/>
                <w:szCs w:val="20"/>
              </w:rPr>
              <w:t>Out (znižuje náklady</w:t>
            </w:r>
            <w:r w:rsidRPr="00895898">
              <w:rPr>
                <w:b/>
                <w:bCs/>
                <w:color w:val="000000"/>
                <w:sz w:val="20"/>
                <w:szCs w:val="20"/>
              </w:rPr>
              <w:t>)</w:t>
            </w:r>
          </w:p>
          <w:p w:rsidR="008150DC" w:rsidRPr="00895898" w:rsidRDefault="008150DC" w:rsidP="00DE41A6">
            <w:pPr>
              <w:jc w:val="center"/>
              <w:rPr>
                <w:b/>
                <w:bCs/>
                <w:color w:val="000000"/>
                <w:sz w:val="20"/>
                <w:szCs w:val="20"/>
              </w:rPr>
            </w:pPr>
          </w:p>
        </w:tc>
      </w:tr>
      <w:tr w:rsidR="008150DC" w:rsidRPr="00895898" w:rsidTr="00DE41A6">
        <w:trPr>
          <w:trHeight w:val="612"/>
        </w:trPr>
        <w:tc>
          <w:tcPr>
            <w:tcW w:w="501" w:type="dxa"/>
            <w:vAlign w:val="center"/>
          </w:tcPr>
          <w:p w:rsidR="008150DC" w:rsidRPr="00895898" w:rsidRDefault="008150DC" w:rsidP="00DE41A6">
            <w:pPr>
              <w:rPr>
                <w:sz w:val="20"/>
                <w:szCs w:val="20"/>
              </w:rPr>
            </w:pPr>
          </w:p>
        </w:tc>
        <w:tc>
          <w:tcPr>
            <w:tcW w:w="3557" w:type="dxa"/>
            <w:shd w:val="clear" w:color="auto" w:fill="auto"/>
            <w:vAlign w:val="center"/>
          </w:tcPr>
          <w:p w:rsidR="008150DC" w:rsidRPr="00895898" w:rsidRDefault="008150DC" w:rsidP="00DE41A6">
            <w:pPr>
              <w:rPr>
                <w:sz w:val="20"/>
                <w:szCs w:val="20"/>
              </w:rPr>
            </w:pPr>
          </w:p>
        </w:tc>
        <w:tc>
          <w:tcPr>
            <w:tcW w:w="1044" w:type="dxa"/>
          </w:tcPr>
          <w:p w:rsidR="008150DC" w:rsidRPr="00895898" w:rsidRDefault="008150DC" w:rsidP="00DE41A6">
            <w:pPr>
              <w:rPr>
                <w:sz w:val="20"/>
                <w:szCs w:val="20"/>
              </w:rPr>
            </w:pPr>
          </w:p>
        </w:tc>
        <w:tc>
          <w:tcPr>
            <w:tcW w:w="1129" w:type="dxa"/>
            <w:shd w:val="clear" w:color="auto" w:fill="auto"/>
            <w:vAlign w:val="center"/>
          </w:tcPr>
          <w:p w:rsidR="008150DC" w:rsidRPr="00895898" w:rsidRDefault="008150DC" w:rsidP="00DE41A6">
            <w:pPr>
              <w:rPr>
                <w:sz w:val="20"/>
                <w:szCs w:val="20"/>
              </w:rPr>
            </w:pPr>
          </w:p>
        </w:tc>
        <w:tc>
          <w:tcPr>
            <w:tcW w:w="1303" w:type="dxa"/>
            <w:vAlign w:val="center"/>
          </w:tcPr>
          <w:p w:rsidR="008150DC" w:rsidRPr="00895898" w:rsidRDefault="008150DC" w:rsidP="00DE41A6">
            <w:pPr>
              <w:rPr>
                <w:color w:val="000000"/>
                <w:sz w:val="20"/>
                <w:szCs w:val="20"/>
              </w:rPr>
            </w:pPr>
          </w:p>
        </w:tc>
        <w:tc>
          <w:tcPr>
            <w:tcW w:w="934" w:type="dxa"/>
            <w:shd w:val="clear" w:color="auto" w:fill="auto"/>
            <w:noWrap/>
            <w:vAlign w:val="center"/>
          </w:tcPr>
          <w:p w:rsidR="008150DC" w:rsidRPr="00895898" w:rsidRDefault="008150DC" w:rsidP="00DE41A6">
            <w:pPr>
              <w:rPr>
                <w:color w:val="000000"/>
                <w:sz w:val="20"/>
                <w:szCs w:val="20"/>
              </w:rPr>
            </w:pPr>
          </w:p>
        </w:tc>
        <w:tc>
          <w:tcPr>
            <w:tcW w:w="1337" w:type="dxa"/>
            <w:vAlign w:val="center"/>
          </w:tcPr>
          <w:p w:rsidR="008150DC" w:rsidRPr="00895898" w:rsidRDefault="008150DC" w:rsidP="00DE41A6">
            <w:pPr>
              <w:rPr>
                <w:sz w:val="20"/>
                <w:szCs w:val="20"/>
              </w:rPr>
            </w:pPr>
          </w:p>
        </w:tc>
        <w:tc>
          <w:tcPr>
            <w:tcW w:w="974" w:type="dxa"/>
            <w:shd w:val="clear" w:color="auto" w:fill="auto"/>
            <w:noWrap/>
            <w:vAlign w:val="center"/>
          </w:tcPr>
          <w:p w:rsidR="008150DC" w:rsidRPr="00895898" w:rsidRDefault="008150DC" w:rsidP="00DE41A6">
            <w:pPr>
              <w:rPr>
                <w:sz w:val="20"/>
                <w:szCs w:val="20"/>
              </w:rPr>
            </w:pPr>
          </w:p>
        </w:tc>
        <w:tc>
          <w:tcPr>
            <w:tcW w:w="974" w:type="dxa"/>
            <w:shd w:val="clear" w:color="auto" w:fill="auto"/>
            <w:noWrap/>
            <w:vAlign w:val="center"/>
          </w:tcPr>
          <w:p w:rsidR="008150DC" w:rsidRPr="00895898" w:rsidRDefault="008150DC" w:rsidP="00DE41A6">
            <w:pPr>
              <w:rPr>
                <w:color w:val="000000"/>
                <w:sz w:val="20"/>
                <w:szCs w:val="20"/>
              </w:rPr>
            </w:pPr>
          </w:p>
        </w:tc>
        <w:tc>
          <w:tcPr>
            <w:tcW w:w="982" w:type="dxa"/>
            <w:shd w:val="clear" w:color="auto" w:fill="auto"/>
            <w:noWrap/>
            <w:vAlign w:val="center"/>
          </w:tcPr>
          <w:p w:rsidR="008150DC" w:rsidRPr="00895898" w:rsidRDefault="008150DC" w:rsidP="00DE41A6">
            <w:pPr>
              <w:rPr>
                <w:sz w:val="20"/>
                <w:szCs w:val="20"/>
              </w:rPr>
            </w:pPr>
          </w:p>
        </w:tc>
        <w:tc>
          <w:tcPr>
            <w:tcW w:w="992" w:type="dxa"/>
            <w:shd w:val="clear" w:color="auto" w:fill="auto"/>
            <w:noWrap/>
            <w:vAlign w:val="center"/>
          </w:tcPr>
          <w:p w:rsidR="008150DC" w:rsidRPr="00895898" w:rsidRDefault="008150DC" w:rsidP="00DE41A6">
            <w:pPr>
              <w:rPr>
                <w:color w:val="000000"/>
                <w:sz w:val="20"/>
                <w:szCs w:val="20"/>
              </w:rPr>
            </w:pPr>
          </w:p>
        </w:tc>
        <w:tc>
          <w:tcPr>
            <w:tcW w:w="1134" w:type="dxa"/>
            <w:vAlign w:val="center"/>
          </w:tcPr>
          <w:p w:rsidR="008150DC" w:rsidRPr="00895898" w:rsidRDefault="008150DC" w:rsidP="00DE41A6">
            <w:pPr>
              <w:rPr>
                <w:sz w:val="20"/>
                <w:szCs w:val="20"/>
              </w:rPr>
            </w:pPr>
          </w:p>
        </w:tc>
      </w:tr>
      <w:tr w:rsidR="008150DC" w:rsidRPr="00895898" w:rsidTr="00DE41A6">
        <w:trPr>
          <w:trHeight w:val="600"/>
        </w:trPr>
        <w:tc>
          <w:tcPr>
            <w:tcW w:w="501" w:type="dxa"/>
            <w:vAlign w:val="center"/>
          </w:tcPr>
          <w:p w:rsidR="008150DC" w:rsidRPr="00895898" w:rsidRDefault="008150DC" w:rsidP="00DE41A6">
            <w:pPr>
              <w:rPr>
                <w:sz w:val="20"/>
                <w:szCs w:val="20"/>
              </w:rPr>
            </w:pPr>
          </w:p>
        </w:tc>
        <w:tc>
          <w:tcPr>
            <w:tcW w:w="3557" w:type="dxa"/>
            <w:shd w:val="clear" w:color="auto" w:fill="auto"/>
            <w:vAlign w:val="center"/>
          </w:tcPr>
          <w:p w:rsidR="008150DC" w:rsidRPr="00895898" w:rsidRDefault="008150DC" w:rsidP="00DE41A6">
            <w:pPr>
              <w:rPr>
                <w:sz w:val="20"/>
                <w:szCs w:val="20"/>
              </w:rPr>
            </w:pPr>
          </w:p>
        </w:tc>
        <w:tc>
          <w:tcPr>
            <w:tcW w:w="1044" w:type="dxa"/>
          </w:tcPr>
          <w:p w:rsidR="008150DC" w:rsidRPr="00895898" w:rsidRDefault="008150DC" w:rsidP="00DE41A6">
            <w:pPr>
              <w:rPr>
                <w:sz w:val="20"/>
                <w:szCs w:val="20"/>
              </w:rPr>
            </w:pPr>
          </w:p>
        </w:tc>
        <w:tc>
          <w:tcPr>
            <w:tcW w:w="1129" w:type="dxa"/>
            <w:shd w:val="clear" w:color="auto" w:fill="auto"/>
            <w:vAlign w:val="center"/>
          </w:tcPr>
          <w:p w:rsidR="008150DC" w:rsidRPr="00895898" w:rsidRDefault="008150DC" w:rsidP="00DE41A6">
            <w:pPr>
              <w:rPr>
                <w:sz w:val="20"/>
                <w:szCs w:val="20"/>
              </w:rPr>
            </w:pPr>
          </w:p>
        </w:tc>
        <w:tc>
          <w:tcPr>
            <w:tcW w:w="1303" w:type="dxa"/>
            <w:vAlign w:val="center"/>
          </w:tcPr>
          <w:p w:rsidR="008150DC" w:rsidRPr="00895898" w:rsidRDefault="008150DC" w:rsidP="00DE41A6">
            <w:pPr>
              <w:rPr>
                <w:color w:val="000000"/>
                <w:sz w:val="20"/>
                <w:szCs w:val="20"/>
              </w:rPr>
            </w:pPr>
          </w:p>
        </w:tc>
        <w:tc>
          <w:tcPr>
            <w:tcW w:w="934" w:type="dxa"/>
            <w:shd w:val="clear" w:color="auto" w:fill="auto"/>
            <w:noWrap/>
            <w:vAlign w:val="center"/>
          </w:tcPr>
          <w:p w:rsidR="008150DC" w:rsidRPr="00895898" w:rsidRDefault="008150DC" w:rsidP="00DE41A6">
            <w:pPr>
              <w:rPr>
                <w:color w:val="000000"/>
                <w:sz w:val="20"/>
                <w:szCs w:val="20"/>
              </w:rPr>
            </w:pPr>
          </w:p>
        </w:tc>
        <w:tc>
          <w:tcPr>
            <w:tcW w:w="1337" w:type="dxa"/>
            <w:vAlign w:val="center"/>
          </w:tcPr>
          <w:p w:rsidR="008150DC" w:rsidRPr="00895898" w:rsidRDefault="008150DC" w:rsidP="00DE41A6">
            <w:pPr>
              <w:rPr>
                <w:sz w:val="20"/>
                <w:szCs w:val="20"/>
              </w:rPr>
            </w:pPr>
          </w:p>
        </w:tc>
        <w:tc>
          <w:tcPr>
            <w:tcW w:w="974" w:type="dxa"/>
            <w:shd w:val="clear" w:color="auto" w:fill="auto"/>
            <w:noWrap/>
            <w:vAlign w:val="center"/>
          </w:tcPr>
          <w:p w:rsidR="008150DC" w:rsidRPr="00895898" w:rsidRDefault="008150DC" w:rsidP="00DE41A6">
            <w:pPr>
              <w:rPr>
                <w:sz w:val="20"/>
                <w:szCs w:val="20"/>
              </w:rPr>
            </w:pPr>
          </w:p>
        </w:tc>
        <w:tc>
          <w:tcPr>
            <w:tcW w:w="974" w:type="dxa"/>
            <w:shd w:val="clear" w:color="auto" w:fill="auto"/>
            <w:noWrap/>
            <w:vAlign w:val="center"/>
          </w:tcPr>
          <w:p w:rsidR="008150DC" w:rsidRPr="00895898" w:rsidRDefault="008150DC" w:rsidP="00DE41A6">
            <w:pPr>
              <w:rPr>
                <w:color w:val="000000"/>
                <w:sz w:val="20"/>
                <w:szCs w:val="20"/>
              </w:rPr>
            </w:pPr>
          </w:p>
        </w:tc>
        <w:tc>
          <w:tcPr>
            <w:tcW w:w="982" w:type="dxa"/>
            <w:shd w:val="clear" w:color="auto" w:fill="auto"/>
            <w:noWrap/>
            <w:vAlign w:val="center"/>
          </w:tcPr>
          <w:p w:rsidR="008150DC" w:rsidRPr="00895898" w:rsidRDefault="008150DC" w:rsidP="00DE41A6">
            <w:pPr>
              <w:rPr>
                <w:color w:val="000000"/>
                <w:sz w:val="20"/>
                <w:szCs w:val="20"/>
              </w:rPr>
            </w:pPr>
          </w:p>
        </w:tc>
        <w:tc>
          <w:tcPr>
            <w:tcW w:w="992" w:type="dxa"/>
            <w:shd w:val="clear" w:color="auto" w:fill="auto"/>
            <w:noWrap/>
            <w:vAlign w:val="center"/>
          </w:tcPr>
          <w:p w:rsidR="008150DC" w:rsidRPr="00895898" w:rsidRDefault="008150DC" w:rsidP="00DE41A6">
            <w:pPr>
              <w:rPr>
                <w:color w:val="000000"/>
                <w:sz w:val="20"/>
                <w:szCs w:val="20"/>
              </w:rPr>
            </w:pPr>
          </w:p>
        </w:tc>
        <w:tc>
          <w:tcPr>
            <w:tcW w:w="1134" w:type="dxa"/>
            <w:vAlign w:val="center"/>
          </w:tcPr>
          <w:p w:rsidR="008150DC" w:rsidRPr="00895898" w:rsidRDefault="008150DC" w:rsidP="00DE41A6">
            <w:pPr>
              <w:rPr>
                <w:sz w:val="20"/>
                <w:szCs w:val="20"/>
              </w:rPr>
            </w:pPr>
          </w:p>
        </w:tc>
      </w:tr>
      <w:tr w:rsidR="008150DC" w:rsidRPr="00895898" w:rsidTr="00DE41A6">
        <w:trPr>
          <w:trHeight w:val="600"/>
        </w:trPr>
        <w:tc>
          <w:tcPr>
            <w:tcW w:w="501" w:type="dxa"/>
            <w:vAlign w:val="center"/>
          </w:tcPr>
          <w:p w:rsidR="008150DC" w:rsidRPr="00895898" w:rsidRDefault="008150DC" w:rsidP="00DE41A6">
            <w:pPr>
              <w:rPr>
                <w:sz w:val="20"/>
                <w:szCs w:val="20"/>
              </w:rPr>
            </w:pPr>
          </w:p>
        </w:tc>
        <w:tc>
          <w:tcPr>
            <w:tcW w:w="3557" w:type="dxa"/>
            <w:shd w:val="clear" w:color="auto" w:fill="auto"/>
            <w:vAlign w:val="center"/>
          </w:tcPr>
          <w:p w:rsidR="008150DC" w:rsidRPr="00895898" w:rsidRDefault="008150DC" w:rsidP="00DE41A6">
            <w:pPr>
              <w:rPr>
                <w:sz w:val="20"/>
                <w:szCs w:val="20"/>
              </w:rPr>
            </w:pPr>
          </w:p>
        </w:tc>
        <w:tc>
          <w:tcPr>
            <w:tcW w:w="1044" w:type="dxa"/>
          </w:tcPr>
          <w:p w:rsidR="008150DC" w:rsidRPr="00895898" w:rsidRDefault="008150DC" w:rsidP="00DE41A6">
            <w:pPr>
              <w:rPr>
                <w:sz w:val="20"/>
                <w:szCs w:val="20"/>
              </w:rPr>
            </w:pPr>
          </w:p>
        </w:tc>
        <w:tc>
          <w:tcPr>
            <w:tcW w:w="1129" w:type="dxa"/>
            <w:shd w:val="clear" w:color="auto" w:fill="auto"/>
            <w:vAlign w:val="center"/>
          </w:tcPr>
          <w:p w:rsidR="008150DC" w:rsidRPr="00895898" w:rsidRDefault="008150DC" w:rsidP="00DE41A6">
            <w:pPr>
              <w:rPr>
                <w:sz w:val="20"/>
                <w:szCs w:val="20"/>
              </w:rPr>
            </w:pPr>
          </w:p>
        </w:tc>
        <w:tc>
          <w:tcPr>
            <w:tcW w:w="1303" w:type="dxa"/>
            <w:vAlign w:val="center"/>
          </w:tcPr>
          <w:p w:rsidR="008150DC" w:rsidRPr="00895898" w:rsidRDefault="008150DC" w:rsidP="00DE41A6">
            <w:pPr>
              <w:rPr>
                <w:color w:val="000000"/>
                <w:sz w:val="20"/>
                <w:szCs w:val="20"/>
              </w:rPr>
            </w:pPr>
          </w:p>
        </w:tc>
        <w:tc>
          <w:tcPr>
            <w:tcW w:w="934" w:type="dxa"/>
            <w:shd w:val="clear" w:color="auto" w:fill="auto"/>
            <w:noWrap/>
            <w:vAlign w:val="center"/>
          </w:tcPr>
          <w:p w:rsidR="008150DC" w:rsidRPr="00895898" w:rsidRDefault="008150DC" w:rsidP="00DE41A6">
            <w:pPr>
              <w:rPr>
                <w:color w:val="000000"/>
                <w:sz w:val="20"/>
                <w:szCs w:val="20"/>
              </w:rPr>
            </w:pPr>
          </w:p>
        </w:tc>
        <w:tc>
          <w:tcPr>
            <w:tcW w:w="1337" w:type="dxa"/>
            <w:vAlign w:val="center"/>
          </w:tcPr>
          <w:p w:rsidR="008150DC" w:rsidRPr="00895898" w:rsidRDefault="008150DC" w:rsidP="00DE41A6">
            <w:pPr>
              <w:rPr>
                <w:sz w:val="20"/>
                <w:szCs w:val="20"/>
              </w:rPr>
            </w:pPr>
          </w:p>
        </w:tc>
        <w:tc>
          <w:tcPr>
            <w:tcW w:w="974" w:type="dxa"/>
            <w:shd w:val="clear" w:color="auto" w:fill="auto"/>
            <w:noWrap/>
            <w:vAlign w:val="center"/>
          </w:tcPr>
          <w:p w:rsidR="008150DC" w:rsidRPr="00895898" w:rsidRDefault="008150DC" w:rsidP="00DE41A6">
            <w:pPr>
              <w:rPr>
                <w:sz w:val="20"/>
                <w:szCs w:val="20"/>
              </w:rPr>
            </w:pPr>
          </w:p>
        </w:tc>
        <w:tc>
          <w:tcPr>
            <w:tcW w:w="974" w:type="dxa"/>
            <w:shd w:val="clear" w:color="auto" w:fill="auto"/>
            <w:noWrap/>
            <w:vAlign w:val="center"/>
          </w:tcPr>
          <w:p w:rsidR="008150DC" w:rsidRPr="00895898" w:rsidRDefault="008150DC" w:rsidP="00DE41A6">
            <w:pPr>
              <w:rPr>
                <w:color w:val="000000"/>
                <w:sz w:val="20"/>
                <w:szCs w:val="20"/>
              </w:rPr>
            </w:pPr>
          </w:p>
        </w:tc>
        <w:tc>
          <w:tcPr>
            <w:tcW w:w="982" w:type="dxa"/>
            <w:shd w:val="clear" w:color="auto" w:fill="auto"/>
            <w:noWrap/>
            <w:vAlign w:val="center"/>
          </w:tcPr>
          <w:p w:rsidR="008150DC" w:rsidRPr="00895898" w:rsidRDefault="008150DC" w:rsidP="00DE41A6">
            <w:pPr>
              <w:rPr>
                <w:color w:val="000000"/>
                <w:sz w:val="20"/>
                <w:szCs w:val="20"/>
              </w:rPr>
            </w:pPr>
          </w:p>
        </w:tc>
        <w:tc>
          <w:tcPr>
            <w:tcW w:w="992" w:type="dxa"/>
            <w:shd w:val="clear" w:color="auto" w:fill="auto"/>
            <w:noWrap/>
            <w:vAlign w:val="center"/>
          </w:tcPr>
          <w:p w:rsidR="008150DC" w:rsidRPr="00895898" w:rsidRDefault="008150DC" w:rsidP="00DE41A6">
            <w:pPr>
              <w:rPr>
                <w:color w:val="000000"/>
                <w:sz w:val="20"/>
                <w:szCs w:val="20"/>
              </w:rPr>
            </w:pPr>
          </w:p>
        </w:tc>
        <w:tc>
          <w:tcPr>
            <w:tcW w:w="1134" w:type="dxa"/>
            <w:vAlign w:val="center"/>
          </w:tcPr>
          <w:p w:rsidR="008150DC" w:rsidRPr="00895898" w:rsidRDefault="008150DC" w:rsidP="00DE41A6">
            <w:pPr>
              <w:rPr>
                <w:sz w:val="20"/>
                <w:szCs w:val="20"/>
              </w:rPr>
            </w:pPr>
          </w:p>
        </w:tc>
      </w:tr>
      <w:tr w:rsidR="008150DC" w:rsidRPr="00895898" w:rsidTr="00DE41A6">
        <w:trPr>
          <w:trHeight w:val="600"/>
        </w:trPr>
        <w:tc>
          <w:tcPr>
            <w:tcW w:w="501" w:type="dxa"/>
            <w:vAlign w:val="center"/>
          </w:tcPr>
          <w:p w:rsidR="008150DC" w:rsidRPr="00895898" w:rsidRDefault="008150DC" w:rsidP="00DE41A6">
            <w:pPr>
              <w:rPr>
                <w:sz w:val="20"/>
                <w:szCs w:val="20"/>
              </w:rPr>
            </w:pPr>
          </w:p>
        </w:tc>
        <w:tc>
          <w:tcPr>
            <w:tcW w:w="3557" w:type="dxa"/>
            <w:shd w:val="clear" w:color="auto" w:fill="auto"/>
            <w:vAlign w:val="center"/>
          </w:tcPr>
          <w:p w:rsidR="008150DC" w:rsidRPr="00895898" w:rsidRDefault="008150DC" w:rsidP="00DE41A6">
            <w:pPr>
              <w:rPr>
                <w:sz w:val="20"/>
                <w:szCs w:val="20"/>
              </w:rPr>
            </w:pPr>
          </w:p>
        </w:tc>
        <w:tc>
          <w:tcPr>
            <w:tcW w:w="1044" w:type="dxa"/>
          </w:tcPr>
          <w:p w:rsidR="008150DC" w:rsidRPr="00895898" w:rsidRDefault="008150DC" w:rsidP="00DE41A6">
            <w:pPr>
              <w:rPr>
                <w:sz w:val="20"/>
                <w:szCs w:val="20"/>
              </w:rPr>
            </w:pPr>
          </w:p>
        </w:tc>
        <w:tc>
          <w:tcPr>
            <w:tcW w:w="1129" w:type="dxa"/>
            <w:shd w:val="clear" w:color="auto" w:fill="auto"/>
            <w:vAlign w:val="center"/>
          </w:tcPr>
          <w:p w:rsidR="008150DC" w:rsidRPr="00895898" w:rsidRDefault="008150DC" w:rsidP="00DE41A6">
            <w:pPr>
              <w:rPr>
                <w:sz w:val="20"/>
                <w:szCs w:val="20"/>
              </w:rPr>
            </w:pPr>
          </w:p>
        </w:tc>
        <w:tc>
          <w:tcPr>
            <w:tcW w:w="1303" w:type="dxa"/>
            <w:vAlign w:val="center"/>
          </w:tcPr>
          <w:p w:rsidR="008150DC" w:rsidRPr="00895898" w:rsidRDefault="008150DC" w:rsidP="00DE41A6">
            <w:pPr>
              <w:rPr>
                <w:color w:val="000000"/>
                <w:sz w:val="20"/>
                <w:szCs w:val="20"/>
              </w:rPr>
            </w:pPr>
          </w:p>
        </w:tc>
        <w:tc>
          <w:tcPr>
            <w:tcW w:w="934" w:type="dxa"/>
            <w:shd w:val="clear" w:color="auto" w:fill="auto"/>
            <w:noWrap/>
            <w:vAlign w:val="center"/>
          </w:tcPr>
          <w:p w:rsidR="008150DC" w:rsidRPr="00895898" w:rsidRDefault="008150DC" w:rsidP="00DE41A6">
            <w:pPr>
              <w:rPr>
                <w:color w:val="000000"/>
                <w:sz w:val="20"/>
                <w:szCs w:val="20"/>
              </w:rPr>
            </w:pPr>
          </w:p>
        </w:tc>
        <w:tc>
          <w:tcPr>
            <w:tcW w:w="1337" w:type="dxa"/>
            <w:vAlign w:val="center"/>
          </w:tcPr>
          <w:p w:rsidR="008150DC" w:rsidRPr="00895898" w:rsidRDefault="008150DC" w:rsidP="00DE41A6">
            <w:pPr>
              <w:rPr>
                <w:sz w:val="20"/>
                <w:szCs w:val="20"/>
              </w:rPr>
            </w:pPr>
          </w:p>
        </w:tc>
        <w:tc>
          <w:tcPr>
            <w:tcW w:w="974" w:type="dxa"/>
            <w:shd w:val="clear" w:color="auto" w:fill="auto"/>
            <w:noWrap/>
            <w:vAlign w:val="center"/>
          </w:tcPr>
          <w:p w:rsidR="008150DC" w:rsidRPr="00895898" w:rsidRDefault="008150DC" w:rsidP="00DE41A6">
            <w:pPr>
              <w:rPr>
                <w:sz w:val="20"/>
                <w:szCs w:val="20"/>
              </w:rPr>
            </w:pPr>
          </w:p>
        </w:tc>
        <w:tc>
          <w:tcPr>
            <w:tcW w:w="974" w:type="dxa"/>
            <w:shd w:val="clear" w:color="auto" w:fill="auto"/>
            <w:noWrap/>
            <w:vAlign w:val="center"/>
          </w:tcPr>
          <w:p w:rsidR="008150DC" w:rsidRPr="00895898" w:rsidRDefault="008150DC" w:rsidP="00DE41A6">
            <w:pPr>
              <w:rPr>
                <w:color w:val="000000"/>
                <w:sz w:val="20"/>
                <w:szCs w:val="20"/>
              </w:rPr>
            </w:pPr>
          </w:p>
        </w:tc>
        <w:tc>
          <w:tcPr>
            <w:tcW w:w="982" w:type="dxa"/>
            <w:shd w:val="clear" w:color="auto" w:fill="auto"/>
            <w:noWrap/>
            <w:vAlign w:val="center"/>
          </w:tcPr>
          <w:p w:rsidR="008150DC" w:rsidRPr="00895898" w:rsidRDefault="008150DC" w:rsidP="00DE41A6">
            <w:pPr>
              <w:rPr>
                <w:color w:val="000000"/>
                <w:sz w:val="20"/>
                <w:szCs w:val="20"/>
              </w:rPr>
            </w:pPr>
          </w:p>
        </w:tc>
        <w:tc>
          <w:tcPr>
            <w:tcW w:w="992" w:type="dxa"/>
            <w:shd w:val="clear" w:color="auto" w:fill="auto"/>
            <w:noWrap/>
            <w:vAlign w:val="center"/>
          </w:tcPr>
          <w:p w:rsidR="008150DC" w:rsidRPr="00895898" w:rsidRDefault="008150DC" w:rsidP="00DE41A6">
            <w:pPr>
              <w:rPr>
                <w:color w:val="000000"/>
                <w:sz w:val="20"/>
                <w:szCs w:val="20"/>
              </w:rPr>
            </w:pPr>
          </w:p>
        </w:tc>
        <w:tc>
          <w:tcPr>
            <w:tcW w:w="1134" w:type="dxa"/>
            <w:vAlign w:val="center"/>
          </w:tcPr>
          <w:p w:rsidR="008150DC" w:rsidRPr="00895898" w:rsidRDefault="008150DC" w:rsidP="00DE41A6">
            <w:pPr>
              <w:rPr>
                <w:sz w:val="20"/>
                <w:szCs w:val="20"/>
              </w:rPr>
            </w:pPr>
          </w:p>
        </w:tc>
      </w:tr>
      <w:tr w:rsidR="008150DC" w:rsidRPr="00895898" w:rsidTr="00DE41A6">
        <w:trPr>
          <w:trHeight w:val="600"/>
        </w:trPr>
        <w:tc>
          <w:tcPr>
            <w:tcW w:w="501" w:type="dxa"/>
            <w:vAlign w:val="center"/>
          </w:tcPr>
          <w:p w:rsidR="008150DC" w:rsidRPr="00895898" w:rsidRDefault="008150DC" w:rsidP="00DE41A6">
            <w:pPr>
              <w:rPr>
                <w:sz w:val="20"/>
                <w:szCs w:val="20"/>
              </w:rPr>
            </w:pPr>
          </w:p>
        </w:tc>
        <w:tc>
          <w:tcPr>
            <w:tcW w:w="3557" w:type="dxa"/>
            <w:shd w:val="clear" w:color="auto" w:fill="auto"/>
            <w:vAlign w:val="center"/>
          </w:tcPr>
          <w:p w:rsidR="008150DC" w:rsidRPr="00895898" w:rsidRDefault="008150DC" w:rsidP="00DE41A6">
            <w:pPr>
              <w:rPr>
                <w:sz w:val="20"/>
                <w:szCs w:val="20"/>
              </w:rPr>
            </w:pPr>
          </w:p>
        </w:tc>
        <w:tc>
          <w:tcPr>
            <w:tcW w:w="1044" w:type="dxa"/>
          </w:tcPr>
          <w:p w:rsidR="008150DC" w:rsidRPr="00895898" w:rsidRDefault="008150DC" w:rsidP="00DE41A6">
            <w:pPr>
              <w:rPr>
                <w:sz w:val="20"/>
                <w:szCs w:val="20"/>
              </w:rPr>
            </w:pPr>
          </w:p>
        </w:tc>
        <w:tc>
          <w:tcPr>
            <w:tcW w:w="1129" w:type="dxa"/>
            <w:shd w:val="clear" w:color="auto" w:fill="auto"/>
            <w:vAlign w:val="center"/>
          </w:tcPr>
          <w:p w:rsidR="008150DC" w:rsidRPr="00895898" w:rsidRDefault="008150DC" w:rsidP="00DE41A6">
            <w:pPr>
              <w:rPr>
                <w:sz w:val="20"/>
                <w:szCs w:val="20"/>
              </w:rPr>
            </w:pPr>
          </w:p>
        </w:tc>
        <w:tc>
          <w:tcPr>
            <w:tcW w:w="1303" w:type="dxa"/>
            <w:vAlign w:val="center"/>
          </w:tcPr>
          <w:p w:rsidR="008150DC" w:rsidRPr="00895898" w:rsidRDefault="008150DC" w:rsidP="00DE41A6">
            <w:pPr>
              <w:rPr>
                <w:color w:val="000000"/>
                <w:sz w:val="20"/>
                <w:szCs w:val="20"/>
              </w:rPr>
            </w:pPr>
          </w:p>
        </w:tc>
        <w:tc>
          <w:tcPr>
            <w:tcW w:w="934" w:type="dxa"/>
            <w:shd w:val="clear" w:color="auto" w:fill="auto"/>
            <w:noWrap/>
            <w:vAlign w:val="center"/>
          </w:tcPr>
          <w:p w:rsidR="008150DC" w:rsidRPr="00895898" w:rsidRDefault="008150DC" w:rsidP="00DE41A6">
            <w:pPr>
              <w:rPr>
                <w:color w:val="000000"/>
                <w:sz w:val="20"/>
                <w:szCs w:val="20"/>
              </w:rPr>
            </w:pPr>
          </w:p>
        </w:tc>
        <w:tc>
          <w:tcPr>
            <w:tcW w:w="1337" w:type="dxa"/>
            <w:vAlign w:val="center"/>
          </w:tcPr>
          <w:p w:rsidR="008150DC" w:rsidRPr="00895898" w:rsidRDefault="008150DC" w:rsidP="00DE41A6">
            <w:pPr>
              <w:rPr>
                <w:sz w:val="20"/>
                <w:szCs w:val="20"/>
              </w:rPr>
            </w:pPr>
          </w:p>
        </w:tc>
        <w:tc>
          <w:tcPr>
            <w:tcW w:w="974" w:type="dxa"/>
            <w:shd w:val="clear" w:color="auto" w:fill="auto"/>
            <w:noWrap/>
            <w:vAlign w:val="center"/>
          </w:tcPr>
          <w:p w:rsidR="008150DC" w:rsidRPr="00895898" w:rsidRDefault="008150DC" w:rsidP="00DE41A6">
            <w:pPr>
              <w:rPr>
                <w:sz w:val="20"/>
                <w:szCs w:val="20"/>
              </w:rPr>
            </w:pPr>
          </w:p>
        </w:tc>
        <w:tc>
          <w:tcPr>
            <w:tcW w:w="974" w:type="dxa"/>
            <w:shd w:val="clear" w:color="auto" w:fill="auto"/>
            <w:noWrap/>
            <w:vAlign w:val="center"/>
          </w:tcPr>
          <w:p w:rsidR="008150DC" w:rsidRPr="00895898" w:rsidRDefault="008150DC" w:rsidP="00DE41A6">
            <w:pPr>
              <w:rPr>
                <w:color w:val="000000"/>
                <w:sz w:val="20"/>
                <w:szCs w:val="20"/>
              </w:rPr>
            </w:pPr>
          </w:p>
        </w:tc>
        <w:tc>
          <w:tcPr>
            <w:tcW w:w="982" w:type="dxa"/>
            <w:shd w:val="clear" w:color="auto" w:fill="auto"/>
            <w:noWrap/>
            <w:vAlign w:val="center"/>
          </w:tcPr>
          <w:p w:rsidR="008150DC" w:rsidRPr="00895898" w:rsidRDefault="008150DC" w:rsidP="00DE41A6">
            <w:pPr>
              <w:rPr>
                <w:color w:val="000000"/>
                <w:sz w:val="20"/>
                <w:szCs w:val="20"/>
              </w:rPr>
            </w:pPr>
          </w:p>
        </w:tc>
        <w:tc>
          <w:tcPr>
            <w:tcW w:w="992" w:type="dxa"/>
            <w:shd w:val="clear" w:color="auto" w:fill="auto"/>
            <w:noWrap/>
            <w:vAlign w:val="center"/>
          </w:tcPr>
          <w:p w:rsidR="008150DC" w:rsidRPr="00895898" w:rsidRDefault="008150DC" w:rsidP="00DE41A6">
            <w:pPr>
              <w:rPr>
                <w:color w:val="000000"/>
                <w:sz w:val="20"/>
                <w:szCs w:val="20"/>
              </w:rPr>
            </w:pPr>
          </w:p>
        </w:tc>
        <w:tc>
          <w:tcPr>
            <w:tcW w:w="1134" w:type="dxa"/>
            <w:vAlign w:val="center"/>
          </w:tcPr>
          <w:p w:rsidR="008150DC" w:rsidRPr="00895898" w:rsidRDefault="008150DC" w:rsidP="00DE41A6">
            <w:pPr>
              <w:rPr>
                <w:sz w:val="20"/>
                <w:szCs w:val="20"/>
              </w:rPr>
            </w:pPr>
          </w:p>
        </w:tc>
      </w:tr>
      <w:tr w:rsidR="008150DC" w:rsidRPr="00895898" w:rsidTr="00DE41A6">
        <w:trPr>
          <w:trHeight w:val="655"/>
        </w:trPr>
        <w:tc>
          <w:tcPr>
            <w:tcW w:w="501" w:type="dxa"/>
            <w:vAlign w:val="center"/>
          </w:tcPr>
          <w:p w:rsidR="008150DC" w:rsidRPr="00895898" w:rsidRDefault="008150DC" w:rsidP="00DE41A6">
            <w:pPr>
              <w:rPr>
                <w:sz w:val="20"/>
                <w:szCs w:val="20"/>
              </w:rPr>
            </w:pPr>
          </w:p>
        </w:tc>
        <w:tc>
          <w:tcPr>
            <w:tcW w:w="3557" w:type="dxa"/>
            <w:shd w:val="clear" w:color="auto" w:fill="auto"/>
            <w:vAlign w:val="center"/>
          </w:tcPr>
          <w:p w:rsidR="008150DC" w:rsidRPr="00895898" w:rsidRDefault="008150DC" w:rsidP="00DE41A6">
            <w:pPr>
              <w:rPr>
                <w:sz w:val="20"/>
                <w:szCs w:val="20"/>
              </w:rPr>
            </w:pPr>
          </w:p>
        </w:tc>
        <w:tc>
          <w:tcPr>
            <w:tcW w:w="1044" w:type="dxa"/>
          </w:tcPr>
          <w:p w:rsidR="008150DC" w:rsidRPr="00895898" w:rsidRDefault="008150DC" w:rsidP="00DE41A6">
            <w:pPr>
              <w:rPr>
                <w:sz w:val="20"/>
                <w:szCs w:val="20"/>
              </w:rPr>
            </w:pPr>
          </w:p>
        </w:tc>
        <w:tc>
          <w:tcPr>
            <w:tcW w:w="1129" w:type="dxa"/>
            <w:shd w:val="clear" w:color="auto" w:fill="auto"/>
            <w:vAlign w:val="center"/>
          </w:tcPr>
          <w:p w:rsidR="008150DC" w:rsidRPr="00895898" w:rsidRDefault="008150DC" w:rsidP="00DE41A6">
            <w:pPr>
              <w:rPr>
                <w:sz w:val="20"/>
                <w:szCs w:val="20"/>
              </w:rPr>
            </w:pPr>
          </w:p>
        </w:tc>
        <w:tc>
          <w:tcPr>
            <w:tcW w:w="1303" w:type="dxa"/>
            <w:vAlign w:val="center"/>
          </w:tcPr>
          <w:p w:rsidR="008150DC" w:rsidRPr="00895898" w:rsidRDefault="008150DC" w:rsidP="00DE41A6">
            <w:pPr>
              <w:rPr>
                <w:color w:val="000000"/>
                <w:sz w:val="20"/>
                <w:szCs w:val="20"/>
              </w:rPr>
            </w:pPr>
          </w:p>
        </w:tc>
        <w:tc>
          <w:tcPr>
            <w:tcW w:w="934" w:type="dxa"/>
            <w:shd w:val="clear" w:color="auto" w:fill="auto"/>
            <w:noWrap/>
            <w:vAlign w:val="center"/>
          </w:tcPr>
          <w:p w:rsidR="008150DC" w:rsidRPr="00895898" w:rsidRDefault="008150DC" w:rsidP="00DE41A6">
            <w:pPr>
              <w:rPr>
                <w:color w:val="000000"/>
                <w:sz w:val="20"/>
                <w:szCs w:val="20"/>
              </w:rPr>
            </w:pPr>
          </w:p>
        </w:tc>
        <w:tc>
          <w:tcPr>
            <w:tcW w:w="1337" w:type="dxa"/>
            <w:vAlign w:val="center"/>
          </w:tcPr>
          <w:p w:rsidR="008150DC" w:rsidRPr="00895898" w:rsidRDefault="008150DC" w:rsidP="00DE41A6">
            <w:pPr>
              <w:rPr>
                <w:sz w:val="20"/>
                <w:szCs w:val="20"/>
              </w:rPr>
            </w:pPr>
          </w:p>
        </w:tc>
        <w:tc>
          <w:tcPr>
            <w:tcW w:w="974" w:type="dxa"/>
            <w:shd w:val="clear" w:color="auto" w:fill="auto"/>
            <w:noWrap/>
            <w:vAlign w:val="center"/>
          </w:tcPr>
          <w:p w:rsidR="008150DC" w:rsidRPr="00895898" w:rsidRDefault="008150DC" w:rsidP="00DE41A6">
            <w:pPr>
              <w:rPr>
                <w:sz w:val="20"/>
                <w:szCs w:val="20"/>
              </w:rPr>
            </w:pPr>
          </w:p>
        </w:tc>
        <w:tc>
          <w:tcPr>
            <w:tcW w:w="974" w:type="dxa"/>
            <w:shd w:val="clear" w:color="auto" w:fill="auto"/>
            <w:noWrap/>
            <w:vAlign w:val="center"/>
          </w:tcPr>
          <w:p w:rsidR="008150DC" w:rsidRPr="00895898" w:rsidRDefault="008150DC" w:rsidP="00DE41A6">
            <w:pPr>
              <w:rPr>
                <w:color w:val="000000"/>
                <w:sz w:val="20"/>
                <w:szCs w:val="20"/>
              </w:rPr>
            </w:pPr>
          </w:p>
        </w:tc>
        <w:tc>
          <w:tcPr>
            <w:tcW w:w="982" w:type="dxa"/>
            <w:shd w:val="clear" w:color="auto" w:fill="auto"/>
            <w:noWrap/>
            <w:vAlign w:val="center"/>
          </w:tcPr>
          <w:p w:rsidR="008150DC" w:rsidRPr="00895898" w:rsidRDefault="008150DC" w:rsidP="00DE41A6">
            <w:pPr>
              <w:rPr>
                <w:color w:val="000000"/>
                <w:sz w:val="20"/>
                <w:szCs w:val="20"/>
              </w:rPr>
            </w:pPr>
          </w:p>
        </w:tc>
        <w:tc>
          <w:tcPr>
            <w:tcW w:w="992" w:type="dxa"/>
            <w:shd w:val="clear" w:color="auto" w:fill="auto"/>
            <w:noWrap/>
            <w:vAlign w:val="center"/>
          </w:tcPr>
          <w:p w:rsidR="008150DC" w:rsidRPr="00895898" w:rsidRDefault="008150DC" w:rsidP="00DE41A6">
            <w:pPr>
              <w:rPr>
                <w:color w:val="000000"/>
                <w:sz w:val="20"/>
                <w:szCs w:val="20"/>
              </w:rPr>
            </w:pPr>
          </w:p>
        </w:tc>
        <w:tc>
          <w:tcPr>
            <w:tcW w:w="1134" w:type="dxa"/>
            <w:vAlign w:val="center"/>
          </w:tcPr>
          <w:p w:rsidR="008150DC" w:rsidRPr="00895898" w:rsidRDefault="008150DC" w:rsidP="00DE41A6">
            <w:pPr>
              <w:rPr>
                <w:sz w:val="20"/>
                <w:szCs w:val="20"/>
              </w:rPr>
            </w:pPr>
          </w:p>
        </w:tc>
      </w:tr>
      <w:tr w:rsidR="008150DC" w:rsidRPr="00895898" w:rsidTr="00DE41A6">
        <w:trPr>
          <w:trHeight w:val="578"/>
        </w:trPr>
        <w:tc>
          <w:tcPr>
            <w:tcW w:w="501" w:type="dxa"/>
            <w:vAlign w:val="center"/>
          </w:tcPr>
          <w:p w:rsidR="008150DC" w:rsidRPr="00895898" w:rsidRDefault="008150DC" w:rsidP="00DE41A6">
            <w:pPr>
              <w:rPr>
                <w:sz w:val="20"/>
                <w:szCs w:val="20"/>
              </w:rPr>
            </w:pPr>
          </w:p>
        </w:tc>
        <w:tc>
          <w:tcPr>
            <w:tcW w:w="3557" w:type="dxa"/>
            <w:shd w:val="clear" w:color="auto" w:fill="auto"/>
            <w:vAlign w:val="center"/>
          </w:tcPr>
          <w:p w:rsidR="008150DC" w:rsidRPr="00895898" w:rsidRDefault="008150DC" w:rsidP="00DE41A6">
            <w:pPr>
              <w:rPr>
                <w:sz w:val="20"/>
                <w:szCs w:val="20"/>
              </w:rPr>
            </w:pPr>
          </w:p>
        </w:tc>
        <w:tc>
          <w:tcPr>
            <w:tcW w:w="1044" w:type="dxa"/>
          </w:tcPr>
          <w:p w:rsidR="008150DC" w:rsidRPr="00895898" w:rsidRDefault="008150DC" w:rsidP="00DE41A6">
            <w:pPr>
              <w:rPr>
                <w:sz w:val="20"/>
                <w:szCs w:val="20"/>
              </w:rPr>
            </w:pPr>
          </w:p>
        </w:tc>
        <w:tc>
          <w:tcPr>
            <w:tcW w:w="1129" w:type="dxa"/>
            <w:shd w:val="clear" w:color="auto" w:fill="auto"/>
            <w:vAlign w:val="center"/>
          </w:tcPr>
          <w:p w:rsidR="008150DC" w:rsidRPr="00895898" w:rsidRDefault="008150DC" w:rsidP="00DE41A6">
            <w:pPr>
              <w:rPr>
                <w:sz w:val="20"/>
                <w:szCs w:val="20"/>
              </w:rPr>
            </w:pPr>
          </w:p>
        </w:tc>
        <w:tc>
          <w:tcPr>
            <w:tcW w:w="1303" w:type="dxa"/>
            <w:vAlign w:val="center"/>
          </w:tcPr>
          <w:p w:rsidR="008150DC" w:rsidRPr="00895898" w:rsidRDefault="008150DC" w:rsidP="00DE41A6">
            <w:pPr>
              <w:rPr>
                <w:color w:val="000000"/>
                <w:sz w:val="20"/>
                <w:szCs w:val="20"/>
              </w:rPr>
            </w:pPr>
          </w:p>
        </w:tc>
        <w:tc>
          <w:tcPr>
            <w:tcW w:w="934" w:type="dxa"/>
            <w:shd w:val="clear" w:color="auto" w:fill="auto"/>
            <w:noWrap/>
            <w:vAlign w:val="center"/>
          </w:tcPr>
          <w:p w:rsidR="008150DC" w:rsidRPr="00895898" w:rsidRDefault="008150DC" w:rsidP="00DE41A6">
            <w:pPr>
              <w:rPr>
                <w:color w:val="000000"/>
                <w:sz w:val="20"/>
                <w:szCs w:val="20"/>
              </w:rPr>
            </w:pPr>
          </w:p>
        </w:tc>
        <w:tc>
          <w:tcPr>
            <w:tcW w:w="1337" w:type="dxa"/>
            <w:vAlign w:val="center"/>
          </w:tcPr>
          <w:p w:rsidR="008150DC" w:rsidRPr="00895898" w:rsidRDefault="008150DC" w:rsidP="00DE41A6">
            <w:pPr>
              <w:rPr>
                <w:sz w:val="20"/>
                <w:szCs w:val="20"/>
              </w:rPr>
            </w:pPr>
          </w:p>
        </w:tc>
        <w:tc>
          <w:tcPr>
            <w:tcW w:w="974" w:type="dxa"/>
            <w:shd w:val="clear" w:color="auto" w:fill="auto"/>
            <w:noWrap/>
            <w:vAlign w:val="center"/>
          </w:tcPr>
          <w:p w:rsidR="008150DC" w:rsidRPr="00895898" w:rsidRDefault="008150DC" w:rsidP="00DE41A6">
            <w:pPr>
              <w:rPr>
                <w:sz w:val="20"/>
                <w:szCs w:val="20"/>
              </w:rPr>
            </w:pPr>
          </w:p>
        </w:tc>
        <w:tc>
          <w:tcPr>
            <w:tcW w:w="974" w:type="dxa"/>
            <w:shd w:val="clear" w:color="auto" w:fill="auto"/>
            <w:noWrap/>
            <w:vAlign w:val="center"/>
          </w:tcPr>
          <w:p w:rsidR="008150DC" w:rsidRPr="00895898" w:rsidRDefault="008150DC" w:rsidP="00DE41A6">
            <w:pPr>
              <w:rPr>
                <w:color w:val="000000"/>
                <w:sz w:val="20"/>
                <w:szCs w:val="20"/>
              </w:rPr>
            </w:pPr>
          </w:p>
        </w:tc>
        <w:tc>
          <w:tcPr>
            <w:tcW w:w="982" w:type="dxa"/>
            <w:shd w:val="clear" w:color="auto" w:fill="auto"/>
            <w:noWrap/>
            <w:vAlign w:val="center"/>
          </w:tcPr>
          <w:p w:rsidR="008150DC" w:rsidRPr="00895898" w:rsidRDefault="008150DC" w:rsidP="00DE41A6">
            <w:pPr>
              <w:rPr>
                <w:color w:val="000000"/>
                <w:sz w:val="20"/>
                <w:szCs w:val="20"/>
              </w:rPr>
            </w:pPr>
          </w:p>
        </w:tc>
        <w:tc>
          <w:tcPr>
            <w:tcW w:w="992" w:type="dxa"/>
            <w:shd w:val="clear" w:color="auto" w:fill="auto"/>
            <w:noWrap/>
            <w:vAlign w:val="center"/>
          </w:tcPr>
          <w:p w:rsidR="008150DC" w:rsidRPr="00895898" w:rsidRDefault="008150DC" w:rsidP="00DE41A6">
            <w:pPr>
              <w:rPr>
                <w:color w:val="000000"/>
                <w:sz w:val="20"/>
                <w:szCs w:val="20"/>
              </w:rPr>
            </w:pPr>
          </w:p>
        </w:tc>
        <w:tc>
          <w:tcPr>
            <w:tcW w:w="1134" w:type="dxa"/>
            <w:vAlign w:val="center"/>
          </w:tcPr>
          <w:p w:rsidR="008150DC" w:rsidRPr="00895898" w:rsidRDefault="008150DC" w:rsidP="00DE41A6">
            <w:pPr>
              <w:rPr>
                <w:sz w:val="20"/>
                <w:szCs w:val="20"/>
              </w:rPr>
            </w:pPr>
          </w:p>
        </w:tc>
      </w:tr>
      <w:tr w:rsidR="008150DC" w:rsidRPr="00895898" w:rsidTr="00DE41A6">
        <w:trPr>
          <w:trHeight w:val="578"/>
        </w:trPr>
        <w:tc>
          <w:tcPr>
            <w:tcW w:w="501" w:type="dxa"/>
            <w:vAlign w:val="center"/>
          </w:tcPr>
          <w:p w:rsidR="008150DC" w:rsidRPr="00895898" w:rsidRDefault="008150DC" w:rsidP="00DE41A6">
            <w:pPr>
              <w:rPr>
                <w:sz w:val="20"/>
                <w:szCs w:val="20"/>
              </w:rPr>
            </w:pPr>
          </w:p>
        </w:tc>
        <w:tc>
          <w:tcPr>
            <w:tcW w:w="3557" w:type="dxa"/>
            <w:shd w:val="clear" w:color="auto" w:fill="auto"/>
            <w:vAlign w:val="center"/>
          </w:tcPr>
          <w:p w:rsidR="008150DC" w:rsidRPr="00895898" w:rsidRDefault="008150DC" w:rsidP="00DE41A6">
            <w:pPr>
              <w:rPr>
                <w:sz w:val="20"/>
                <w:szCs w:val="20"/>
              </w:rPr>
            </w:pPr>
          </w:p>
        </w:tc>
        <w:tc>
          <w:tcPr>
            <w:tcW w:w="1044" w:type="dxa"/>
          </w:tcPr>
          <w:p w:rsidR="008150DC" w:rsidRPr="00895898" w:rsidRDefault="008150DC" w:rsidP="00DE41A6">
            <w:pPr>
              <w:rPr>
                <w:sz w:val="20"/>
                <w:szCs w:val="20"/>
              </w:rPr>
            </w:pPr>
          </w:p>
        </w:tc>
        <w:tc>
          <w:tcPr>
            <w:tcW w:w="1129" w:type="dxa"/>
            <w:shd w:val="clear" w:color="auto" w:fill="auto"/>
            <w:vAlign w:val="center"/>
          </w:tcPr>
          <w:p w:rsidR="008150DC" w:rsidRPr="00895898" w:rsidRDefault="008150DC" w:rsidP="00DE41A6">
            <w:pPr>
              <w:rPr>
                <w:sz w:val="20"/>
                <w:szCs w:val="20"/>
              </w:rPr>
            </w:pPr>
          </w:p>
        </w:tc>
        <w:tc>
          <w:tcPr>
            <w:tcW w:w="1303" w:type="dxa"/>
            <w:vAlign w:val="center"/>
          </w:tcPr>
          <w:p w:rsidR="008150DC" w:rsidRPr="00895898" w:rsidRDefault="008150DC" w:rsidP="00DE41A6">
            <w:pPr>
              <w:rPr>
                <w:color w:val="000000"/>
                <w:sz w:val="20"/>
                <w:szCs w:val="20"/>
              </w:rPr>
            </w:pPr>
          </w:p>
        </w:tc>
        <w:tc>
          <w:tcPr>
            <w:tcW w:w="934" w:type="dxa"/>
            <w:shd w:val="clear" w:color="auto" w:fill="auto"/>
            <w:noWrap/>
            <w:vAlign w:val="center"/>
          </w:tcPr>
          <w:p w:rsidR="008150DC" w:rsidRPr="00895898" w:rsidRDefault="008150DC" w:rsidP="00DE41A6">
            <w:pPr>
              <w:rPr>
                <w:color w:val="000000"/>
                <w:sz w:val="20"/>
                <w:szCs w:val="20"/>
              </w:rPr>
            </w:pPr>
          </w:p>
        </w:tc>
        <w:tc>
          <w:tcPr>
            <w:tcW w:w="1337" w:type="dxa"/>
            <w:vAlign w:val="center"/>
          </w:tcPr>
          <w:p w:rsidR="008150DC" w:rsidRPr="00895898" w:rsidRDefault="008150DC" w:rsidP="00DE41A6">
            <w:pPr>
              <w:rPr>
                <w:sz w:val="20"/>
                <w:szCs w:val="20"/>
              </w:rPr>
            </w:pPr>
          </w:p>
        </w:tc>
        <w:tc>
          <w:tcPr>
            <w:tcW w:w="974" w:type="dxa"/>
            <w:shd w:val="clear" w:color="auto" w:fill="auto"/>
            <w:noWrap/>
            <w:vAlign w:val="center"/>
          </w:tcPr>
          <w:p w:rsidR="008150DC" w:rsidRPr="00895898" w:rsidRDefault="008150DC" w:rsidP="00DE41A6">
            <w:pPr>
              <w:rPr>
                <w:sz w:val="20"/>
                <w:szCs w:val="20"/>
              </w:rPr>
            </w:pPr>
          </w:p>
        </w:tc>
        <w:tc>
          <w:tcPr>
            <w:tcW w:w="974" w:type="dxa"/>
            <w:shd w:val="clear" w:color="auto" w:fill="auto"/>
            <w:noWrap/>
            <w:vAlign w:val="center"/>
          </w:tcPr>
          <w:p w:rsidR="008150DC" w:rsidRPr="00895898" w:rsidRDefault="008150DC" w:rsidP="00DE41A6">
            <w:pPr>
              <w:rPr>
                <w:color w:val="000000"/>
                <w:sz w:val="20"/>
                <w:szCs w:val="20"/>
              </w:rPr>
            </w:pPr>
          </w:p>
        </w:tc>
        <w:tc>
          <w:tcPr>
            <w:tcW w:w="982" w:type="dxa"/>
            <w:shd w:val="clear" w:color="auto" w:fill="auto"/>
            <w:noWrap/>
            <w:vAlign w:val="center"/>
          </w:tcPr>
          <w:p w:rsidR="008150DC" w:rsidRPr="00895898" w:rsidRDefault="008150DC" w:rsidP="00DE41A6">
            <w:pPr>
              <w:rPr>
                <w:color w:val="000000"/>
                <w:sz w:val="20"/>
                <w:szCs w:val="20"/>
              </w:rPr>
            </w:pPr>
          </w:p>
        </w:tc>
        <w:tc>
          <w:tcPr>
            <w:tcW w:w="992" w:type="dxa"/>
            <w:shd w:val="clear" w:color="auto" w:fill="auto"/>
            <w:noWrap/>
            <w:vAlign w:val="center"/>
          </w:tcPr>
          <w:p w:rsidR="008150DC" w:rsidRPr="00895898" w:rsidRDefault="008150DC" w:rsidP="00DE41A6">
            <w:pPr>
              <w:rPr>
                <w:color w:val="000000"/>
                <w:sz w:val="20"/>
                <w:szCs w:val="20"/>
              </w:rPr>
            </w:pPr>
          </w:p>
        </w:tc>
        <w:tc>
          <w:tcPr>
            <w:tcW w:w="1134" w:type="dxa"/>
            <w:vAlign w:val="center"/>
          </w:tcPr>
          <w:p w:rsidR="008150DC" w:rsidRPr="00895898" w:rsidRDefault="008150DC" w:rsidP="00DE41A6">
            <w:pPr>
              <w:rPr>
                <w:sz w:val="20"/>
                <w:szCs w:val="20"/>
              </w:rPr>
            </w:pPr>
          </w:p>
        </w:tc>
      </w:tr>
      <w:tr w:rsidR="008150DC" w:rsidRPr="00895898" w:rsidTr="00DE41A6">
        <w:trPr>
          <w:trHeight w:val="578"/>
        </w:trPr>
        <w:tc>
          <w:tcPr>
            <w:tcW w:w="501" w:type="dxa"/>
            <w:vAlign w:val="center"/>
          </w:tcPr>
          <w:p w:rsidR="008150DC" w:rsidRPr="00895898" w:rsidRDefault="008150DC" w:rsidP="00DE41A6">
            <w:pPr>
              <w:rPr>
                <w:sz w:val="20"/>
                <w:szCs w:val="20"/>
              </w:rPr>
            </w:pPr>
          </w:p>
        </w:tc>
        <w:tc>
          <w:tcPr>
            <w:tcW w:w="3557" w:type="dxa"/>
            <w:shd w:val="clear" w:color="auto" w:fill="auto"/>
            <w:vAlign w:val="center"/>
          </w:tcPr>
          <w:p w:rsidR="008150DC" w:rsidRPr="00895898" w:rsidRDefault="008150DC" w:rsidP="00DE41A6">
            <w:pPr>
              <w:rPr>
                <w:sz w:val="20"/>
                <w:szCs w:val="20"/>
              </w:rPr>
            </w:pPr>
          </w:p>
        </w:tc>
        <w:tc>
          <w:tcPr>
            <w:tcW w:w="1044" w:type="dxa"/>
          </w:tcPr>
          <w:p w:rsidR="008150DC" w:rsidRPr="00895898" w:rsidRDefault="008150DC" w:rsidP="00DE41A6">
            <w:pPr>
              <w:rPr>
                <w:sz w:val="20"/>
                <w:szCs w:val="20"/>
              </w:rPr>
            </w:pPr>
          </w:p>
        </w:tc>
        <w:tc>
          <w:tcPr>
            <w:tcW w:w="1129" w:type="dxa"/>
            <w:shd w:val="clear" w:color="auto" w:fill="auto"/>
            <w:vAlign w:val="center"/>
          </w:tcPr>
          <w:p w:rsidR="008150DC" w:rsidRPr="00895898" w:rsidRDefault="008150DC" w:rsidP="00DE41A6">
            <w:pPr>
              <w:rPr>
                <w:sz w:val="20"/>
                <w:szCs w:val="20"/>
              </w:rPr>
            </w:pPr>
          </w:p>
        </w:tc>
        <w:tc>
          <w:tcPr>
            <w:tcW w:w="1303" w:type="dxa"/>
            <w:vAlign w:val="center"/>
          </w:tcPr>
          <w:p w:rsidR="008150DC" w:rsidRPr="00895898" w:rsidRDefault="008150DC" w:rsidP="00DE41A6">
            <w:pPr>
              <w:rPr>
                <w:color w:val="000000"/>
                <w:sz w:val="20"/>
                <w:szCs w:val="20"/>
              </w:rPr>
            </w:pPr>
          </w:p>
        </w:tc>
        <w:tc>
          <w:tcPr>
            <w:tcW w:w="934" w:type="dxa"/>
            <w:shd w:val="clear" w:color="auto" w:fill="auto"/>
            <w:noWrap/>
            <w:vAlign w:val="center"/>
          </w:tcPr>
          <w:p w:rsidR="008150DC" w:rsidRPr="00895898" w:rsidRDefault="008150DC" w:rsidP="00DE41A6">
            <w:pPr>
              <w:rPr>
                <w:color w:val="000000"/>
                <w:sz w:val="20"/>
                <w:szCs w:val="20"/>
              </w:rPr>
            </w:pPr>
          </w:p>
        </w:tc>
        <w:tc>
          <w:tcPr>
            <w:tcW w:w="1337" w:type="dxa"/>
            <w:vAlign w:val="center"/>
          </w:tcPr>
          <w:p w:rsidR="008150DC" w:rsidRPr="00895898" w:rsidRDefault="008150DC" w:rsidP="00DE41A6">
            <w:pPr>
              <w:rPr>
                <w:sz w:val="20"/>
                <w:szCs w:val="20"/>
              </w:rPr>
            </w:pPr>
          </w:p>
        </w:tc>
        <w:tc>
          <w:tcPr>
            <w:tcW w:w="974" w:type="dxa"/>
            <w:shd w:val="clear" w:color="auto" w:fill="auto"/>
            <w:noWrap/>
            <w:vAlign w:val="center"/>
          </w:tcPr>
          <w:p w:rsidR="008150DC" w:rsidRPr="00895898" w:rsidRDefault="008150DC" w:rsidP="00DE41A6">
            <w:pPr>
              <w:rPr>
                <w:sz w:val="20"/>
                <w:szCs w:val="20"/>
              </w:rPr>
            </w:pPr>
          </w:p>
        </w:tc>
        <w:tc>
          <w:tcPr>
            <w:tcW w:w="974" w:type="dxa"/>
            <w:shd w:val="clear" w:color="auto" w:fill="auto"/>
            <w:noWrap/>
            <w:vAlign w:val="center"/>
          </w:tcPr>
          <w:p w:rsidR="008150DC" w:rsidRPr="00895898" w:rsidRDefault="008150DC" w:rsidP="00DE41A6">
            <w:pPr>
              <w:rPr>
                <w:color w:val="000000"/>
                <w:sz w:val="20"/>
                <w:szCs w:val="20"/>
              </w:rPr>
            </w:pPr>
          </w:p>
        </w:tc>
        <w:tc>
          <w:tcPr>
            <w:tcW w:w="982" w:type="dxa"/>
            <w:shd w:val="clear" w:color="auto" w:fill="auto"/>
            <w:noWrap/>
            <w:vAlign w:val="center"/>
          </w:tcPr>
          <w:p w:rsidR="008150DC" w:rsidRPr="00895898" w:rsidRDefault="008150DC" w:rsidP="00DE41A6">
            <w:pPr>
              <w:rPr>
                <w:color w:val="000000"/>
                <w:sz w:val="20"/>
                <w:szCs w:val="20"/>
              </w:rPr>
            </w:pPr>
          </w:p>
        </w:tc>
        <w:tc>
          <w:tcPr>
            <w:tcW w:w="992" w:type="dxa"/>
            <w:shd w:val="clear" w:color="auto" w:fill="auto"/>
            <w:noWrap/>
            <w:vAlign w:val="center"/>
          </w:tcPr>
          <w:p w:rsidR="008150DC" w:rsidRPr="00895898" w:rsidRDefault="008150DC" w:rsidP="00DE41A6">
            <w:pPr>
              <w:rPr>
                <w:color w:val="000000"/>
                <w:sz w:val="20"/>
                <w:szCs w:val="20"/>
              </w:rPr>
            </w:pPr>
          </w:p>
        </w:tc>
        <w:tc>
          <w:tcPr>
            <w:tcW w:w="1134" w:type="dxa"/>
            <w:vAlign w:val="center"/>
          </w:tcPr>
          <w:p w:rsidR="008150DC" w:rsidRPr="00895898" w:rsidRDefault="008150DC" w:rsidP="00DE41A6">
            <w:pPr>
              <w:rPr>
                <w:sz w:val="20"/>
                <w:szCs w:val="20"/>
              </w:rPr>
            </w:pPr>
          </w:p>
        </w:tc>
      </w:tr>
    </w:tbl>
    <w:p w:rsidR="008150DC" w:rsidRPr="00895898" w:rsidRDefault="008150DC" w:rsidP="008150DC">
      <w:pPr>
        <w:jc w:val="both"/>
        <w:rPr>
          <w:rFonts w:eastAsia="Calibri"/>
          <w:i/>
        </w:rPr>
      </w:pPr>
    </w:p>
    <w:p w:rsidR="008150DC" w:rsidRPr="00895898" w:rsidRDefault="008150DC" w:rsidP="008150DC">
      <w:pPr>
        <w:jc w:val="both"/>
        <w:rPr>
          <w:rFonts w:eastAsia="Calibri"/>
          <w:b/>
          <w:bCs/>
          <w:i/>
        </w:rPr>
        <w:sectPr w:rsidR="008150DC" w:rsidRPr="00895898" w:rsidSect="00142154">
          <w:pgSz w:w="16838" w:h="11906" w:orient="landscape"/>
          <w:pgMar w:top="1417" w:right="1417" w:bottom="1417" w:left="1417" w:header="708" w:footer="708" w:gutter="0"/>
          <w:cols w:space="708"/>
          <w:docGrid w:linePitch="360"/>
        </w:sectPr>
      </w:pPr>
    </w:p>
    <w:p w:rsidR="008150DC" w:rsidRPr="001F1B43" w:rsidRDefault="008150DC" w:rsidP="008150DC">
      <w:pPr>
        <w:jc w:val="both"/>
        <w:rPr>
          <w:rFonts w:eastAsia="Calibri"/>
          <w:b/>
          <w:bCs/>
          <w:i/>
          <w:u w:val="single"/>
        </w:rPr>
      </w:pPr>
      <w:r w:rsidRPr="001F1B43">
        <w:rPr>
          <w:rFonts w:eastAsia="Calibri"/>
          <w:b/>
          <w:bCs/>
          <w:i/>
          <w:u w:val="single"/>
        </w:rPr>
        <w:lastRenderedPageBreak/>
        <w:t xml:space="preserve">Doplňujúce informácie k spôsobu výpočtu vplyvov jednotlivých regulácií na zmenu nákladov </w:t>
      </w:r>
    </w:p>
    <w:p w:rsidR="008150DC" w:rsidRPr="00D8247C" w:rsidRDefault="008150DC" w:rsidP="008150DC">
      <w:pPr>
        <w:jc w:val="both"/>
        <w:rPr>
          <w:rFonts w:eastAsia="Calibri"/>
          <w:bCs/>
          <w:i/>
          <w:iCs/>
          <w:color w:val="000000"/>
        </w:rPr>
      </w:pPr>
      <w:r w:rsidRPr="00D8247C">
        <w:rPr>
          <w:rFonts w:eastAsia="Calibri"/>
          <w:bCs/>
          <w:i/>
          <w:iCs/>
          <w:color w:val="000000"/>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Pr>
          <w:rFonts w:eastAsia="Calibri"/>
          <w:bCs/>
          <w:i/>
          <w:iCs/>
          <w:color w:val="000000"/>
        </w:rPr>
        <w:t xml:space="preserve"> </w:t>
      </w:r>
      <w:r w:rsidRPr="00A000DA">
        <w:rPr>
          <w:rFonts w:eastAsia="Calibri"/>
          <w:bCs/>
          <w:i/>
          <w:iCs/>
          <w:color w:val="000000"/>
        </w:rPr>
        <w:t>a poplatky, ktorých cieľom je znižovať negatívne externality</w:t>
      </w:r>
      <w:r w:rsidRPr="00D8247C">
        <w:rPr>
          <w:rFonts w:eastAsia="Calibri"/>
          <w:bCs/>
          <w:i/>
          <w:iCs/>
          <w:color w:val="000000"/>
        </w:rPr>
        <w:t xml:space="preserve">, B. </w:t>
      </w:r>
      <w:r>
        <w:rPr>
          <w:rFonts w:eastAsia="Calibri"/>
          <w:bCs/>
          <w:i/>
          <w:iCs/>
          <w:color w:val="000000"/>
        </w:rPr>
        <w:t>Iné p</w:t>
      </w:r>
      <w:r w:rsidRPr="00D8247C">
        <w:rPr>
          <w:rFonts w:eastAsia="Calibri"/>
          <w:bCs/>
          <w:i/>
          <w:iCs/>
          <w:color w:val="000000"/>
        </w:rPr>
        <w:t xml:space="preserve">oplatky, C. Nepriame finančné náklady, D. Administratívne náklady). Rozčleňte ich a vypočítajte v súlade s metodickým postupom. </w:t>
      </w:r>
    </w:p>
    <w:p w:rsidR="008150DC" w:rsidRPr="00D8247C" w:rsidRDefault="008150DC" w:rsidP="008150DC">
      <w:pPr>
        <w:rPr>
          <w:rFonts w:eastAsia="Calibri"/>
          <w:i/>
        </w:rPr>
      </w:pPr>
    </w:p>
    <w:p w:rsidR="008150DC" w:rsidRPr="001F1B43" w:rsidRDefault="008150DC" w:rsidP="008150DC">
      <w:pPr>
        <w:jc w:val="both"/>
        <w:rPr>
          <w:rFonts w:eastAsia="Calibri"/>
          <w:b/>
        </w:rPr>
      </w:pPr>
      <w:r w:rsidRPr="001F1B43">
        <w:rPr>
          <w:rFonts w:eastAsia="Calibri"/>
          <w:b/>
        </w:rPr>
        <w:t>3.2 Vyhodnotenie konzultácií s podnikateľskými subjektmi pred predbežným pripomienkovým konaním</w:t>
      </w:r>
    </w:p>
    <w:p w:rsidR="008150DC" w:rsidRPr="00D8247C" w:rsidRDefault="008150DC" w:rsidP="008150DC">
      <w:pPr>
        <w:jc w:val="both"/>
        <w:rPr>
          <w:rFonts w:eastAsia="Calibri"/>
          <w:i/>
        </w:rPr>
      </w:pPr>
      <w:r w:rsidRPr="00D8247C">
        <w:rPr>
          <w:rFonts w:eastAsia="Calibri"/>
          <w:i/>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8150DC" w:rsidRPr="00D8247C" w:rsidRDefault="008150DC" w:rsidP="008150DC">
      <w:pPr>
        <w:jc w:val="both"/>
        <w:rPr>
          <w:rFonts w:eastAsia="Calibri"/>
          <w:i/>
        </w:rPr>
      </w:pPr>
      <w:r w:rsidRPr="00D8247C">
        <w:rPr>
          <w:rFonts w:eastAsia="Calibri"/>
          <w:i/>
        </w:rPr>
        <w:t xml:space="preserve">Uveďte hlavné body konzultácií a ich závery. </w:t>
      </w:r>
    </w:p>
    <w:p w:rsidR="008150DC" w:rsidRPr="00D8247C" w:rsidRDefault="008150DC" w:rsidP="008150DC">
      <w:pPr>
        <w:jc w:val="both"/>
        <w:rPr>
          <w:rFonts w:eastAsia="Calibri"/>
          <w:i/>
        </w:rPr>
      </w:pPr>
      <w:r w:rsidRPr="00D8247C">
        <w:rPr>
          <w:rFonts w:eastAsia="Calibri"/>
          <w:i/>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8150DC" w:rsidRPr="00D8247C" w:rsidRDefault="008150DC" w:rsidP="008150DC">
      <w:pPr>
        <w:jc w:val="both"/>
        <w:rPr>
          <w:rFonts w:eastAsia="Calibri"/>
          <w:i/>
        </w:rPr>
      </w:pPr>
      <w:r w:rsidRPr="00D8247C">
        <w:rPr>
          <w:rFonts w:eastAsia="Calibri"/>
          <w:i/>
        </w:rPr>
        <w:t xml:space="preserve">Alternatívne namiesto vypĺňania bodu 3.2 môžete uviesť ako samostatnú prílohu tejto analýzy Záznam z konzultácií obsahujúci požadované informácie. </w:t>
      </w:r>
    </w:p>
    <w:p w:rsidR="008150DC" w:rsidRPr="00D8247C" w:rsidRDefault="008150DC" w:rsidP="008150DC">
      <w:pPr>
        <w:jc w:val="both"/>
        <w:rPr>
          <w:rFonts w:eastAsia="Calibri"/>
          <w:i/>
        </w:rPr>
      </w:pPr>
    </w:p>
    <w:p w:rsidR="008150DC" w:rsidRDefault="008150DC" w:rsidP="008150DC">
      <w:pPr>
        <w:jc w:val="both"/>
        <w:rPr>
          <w:color w:val="000000"/>
        </w:rPr>
      </w:pPr>
      <w:r>
        <w:rPr>
          <w:rFonts w:eastAsia="Calibri"/>
        </w:rPr>
        <w:t xml:space="preserve">Materiál v častiach, ktoré zakladajú vplyvy na podnikateľské prostredie (čl. I § 133b až 133g a § 145a a 145b – sankčné ustanovenia), predstavuje strohú implementáciu nariadenia </w:t>
      </w:r>
      <w:r w:rsidRPr="00A607C5">
        <w:rPr>
          <w:color w:val="000000"/>
        </w:rPr>
        <w:t>Európskeho parlamentu a Rady (EÚ) 2022/2065 z 19. októbra 2022 o jednotnom trhu s digitálnymi službami a o zmene smernice 2000/31/ES (akt o digitálnych službách)</w:t>
      </w:r>
      <w:r>
        <w:rPr>
          <w:color w:val="000000"/>
        </w:rPr>
        <w:t xml:space="preserve"> (</w:t>
      </w:r>
      <w:r w:rsidRPr="00A607C5">
        <w:rPr>
          <w:color w:val="000000"/>
        </w:rPr>
        <w:t>Ú. v. EÚ L 277, 27.10.2022</w:t>
      </w:r>
      <w:r>
        <w:rPr>
          <w:color w:val="000000"/>
        </w:rPr>
        <w:t>) (ďalej len „nariadenie DSA“) a nariadenia</w:t>
      </w:r>
      <w:r w:rsidRPr="009F147E">
        <w:rPr>
          <w:color w:val="000000"/>
        </w:rPr>
        <w:t xml:space="preserve"> Európskeho parlamentu a Rady (EÚ) 2019/1150 z 20. júna 2019 o podpore spravodlivosti a transparentnosti pre komerčných používateľov online sprostredkovateľských služieb </w:t>
      </w:r>
      <w:r>
        <w:rPr>
          <w:color w:val="000000"/>
        </w:rPr>
        <w:t>(</w:t>
      </w:r>
      <w:r w:rsidRPr="00D84E40">
        <w:rPr>
          <w:color w:val="000000"/>
        </w:rPr>
        <w:t>Ú. v. EÚ L 186, 11.7.2019</w:t>
      </w:r>
      <w:r>
        <w:rPr>
          <w:color w:val="000000"/>
        </w:rPr>
        <w:t xml:space="preserve">) (ďalej len „nariadenie P2B“). </w:t>
      </w:r>
    </w:p>
    <w:p w:rsidR="008150DC" w:rsidRDefault="008150DC" w:rsidP="008150DC">
      <w:pPr>
        <w:jc w:val="both"/>
        <w:rPr>
          <w:color w:val="000000"/>
        </w:rPr>
      </w:pPr>
    </w:p>
    <w:p w:rsidR="008150DC" w:rsidRDefault="008150DC" w:rsidP="008150DC">
      <w:pPr>
        <w:jc w:val="both"/>
        <w:rPr>
          <w:color w:val="000000"/>
        </w:rPr>
      </w:pPr>
      <w:r>
        <w:rPr>
          <w:color w:val="000000"/>
        </w:rPr>
        <w:t>Nariadenia EÚ sú priamo uplatniteľné vo všetkých členských štátoch. Nové povinnosti a s nimi súvisiaca regulačná záťaž pre podnikateľské prostredie sú dané samotnými nariadeniami EÚ. Novela zákona o mediálnych službách predstavuje minimalistickú implementáciu nariadení DSA a P2B v rozsahu ustanovenia zodpovedného orgánu, jeho vybavenia potrebnými kompetenciami a doplnenia sankčných ustanovení.</w:t>
      </w:r>
    </w:p>
    <w:p w:rsidR="008150DC" w:rsidRDefault="008150DC" w:rsidP="008150DC">
      <w:pPr>
        <w:jc w:val="both"/>
        <w:rPr>
          <w:color w:val="000000"/>
        </w:rPr>
      </w:pPr>
    </w:p>
    <w:p w:rsidR="008150DC" w:rsidRDefault="008150DC" w:rsidP="008150DC">
      <w:pPr>
        <w:jc w:val="both"/>
        <w:rPr>
          <w:color w:val="000000"/>
        </w:rPr>
      </w:pPr>
      <w:r>
        <w:rPr>
          <w:color w:val="000000"/>
        </w:rPr>
        <w:t xml:space="preserve">Konzultácie s podnikateľským prostredím prebiehali na úrovni EÚ pred predstavením návrhov nariadení EÚ a na národnej úrovni po zverejnení návrhov a priebežne počas ich prejednávania do schválenia výsledných znení, následne bilaterálne podľa potreby.  Informácie o posúdení vplyvov návrhu nariadenia DSA na úrovni EÚ sú dostupné </w:t>
      </w:r>
      <w:hyperlink r:id="rId24" w:history="1">
        <w:r w:rsidRPr="006B086B">
          <w:rPr>
            <w:rStyle w:val="Hypertextovprepojenie"/>
          </w:rPr>
          <w:t>TU</w:t>
        </w:r>
      </w:hyperlink>
      <w:r>
        <w:rPr>
          <w:color w:val="000000"/>
        </w:rPr>
        <w:t>.</w:t>
      </w:r>
      <w:r>
        <w:rPr>
          <w:rStyle w:val="Odkaznapoznmkupodiarou"/>
          <w:color w:val="000000"/>
        </w:rPr>
        <w:footnoteReference w:id="1"/>
      </w:r>
      <w:r>
        <w:rPr>
          <w:color w:val="000000"/>
        </w:rPr>
        <w:t xml:space="preserve"> Súčasťou riadneho predbežného stanoviska SR k návrhu nariadenia DSA bola analýza vplyvov na podnikateľské prostredie, ktorá je zverejnená </w:t>
      </w:r>
      <w:hyperlink r:id="rId25" w:history="1">
        <w:r w:rsidRPr="006B086B">
          <w:rPr>
            <w:rStyle w:val="Hypertextovprepojenie"/>
          </w:rPr>
          <w:t>TU</w:t>
        </w:r>
      </w:hyperlink>
      <w:r>
        <w:rPr>
          <w:color w:val="000000"/>
        </w:rPr>
        <w:t>.</w:t>
      </w:r>
      <w:r>
        <w:rPr>
          <w:rStyle w:val="Odkaznapoznmkupodiarou"/>
          <w:color w:val="000000"/>
        </w:rPr>
        <w:footnoteReference w:id="2"/>
      </w:r>
      <w:r>
        <w:rPr>
          <w:color w:val="000000"/>
        </w:rPr>
        <w:t xml:space="preserve"> Analýza vplyvov vypracovaná </w:t>
      </w:r>
      <w:r>
        <w:rPr>
          <w:color w:val="000000"/>
        </w:rPr>
        <w:lastRenderedPageBreak/>
        <w:t xml:space="preserve">k návrhu nariadenia P2B na úrovni EÚ je dostupná </w:t>
      </w:r>
      <w:hyperlink r:id="rId26" w:history="1">
        <w:r w:rsidRPr="006B086B">
          <w:rPr>
            <w:rStyle w:val="Hypertextovprepojenie"/>
          </w:rPr>
          <w:t>TU</w:t>
        </w:r>
      </w:hyperlink>
      <w:r>
        <w:rPr>
          <w:rStyle w:val="Hypertextovprepojenie"/>
        </w:rPr>
        <w:t xml:space="preserve"> </w:t>
      </w:r>
      <w:r>
        <w:rPr>
          <w:rStyle w:val="Odkaznapoznmkupodiarou"/>
          <w:color w:val="0000FF" w:themeColor="hyperlink"/>
        </w:rPr>
        <w:footnoteReference w:id="3"/>
      </w:r>
      <w:r>
        <w:rPr>
          <w:color w:val="000000"/>
        </w:rPr>
        <w:t xml:space="preserve"> a ako súčasť návrhu riadneho predbežného stanoviska </w:t>
      </w:r>
      <w:hyperlink r:id="rId27" w:history="1">
        <w:r w:rsidRPr="00F81C06">
          <w:rPr>
            <w:rStyle w:val="Hypertextovprepojenie"/>
          </w:rPr>
          <w:t>TU</w:t>
        </w:r>
      </w:hyperlink>
      <w:r>
        <w:rPr>
          <w:rStyle w:val="Hypertextovprepojenie"/>
        </w:rPr>
        <w:t xml:space="preserve"> </w:t>
      </w:r>
      <w:r>
        <w:rPr>
          <w:rStyle w:val="Odkaznapoznmkupodiarou"/>
          <w:color w:val="0000FF" w:themeColor="hyperlink"/>
        </w:rPr>
        <w:footnoteReference w:id="4"/>
      </w:r>
      <w:r>
        <w:rPr>
          <w:color w:val="000000"/>
        </w:rPr>
        <w:t>.</w:t>
      </w:r>
    </w:p>
    <w:p w:rsidR="008150DC" w:rsidRDefault="008150DC" w:rsidP="008150DC">
      <w:pPr>
        <w:jc w:val="both"/>
        <w:rPr>
          <w:color w:val="000000"/>
        </w:rPr>
      </w:pPr>
    </w:p>
    <w:p w:rsidR="008150DC" w:rsidRDefault="008150DC" w:rsidP="008150DC">
      <w:pPr>
        <w:jc w:val="both"/>
        <w:rPr>
          <w:rFonts w:eastAsia="Calibri"/>
        </w:rPr>
      </w:pPr>
      <w:r>
        <w:rPr>
          <w:color w:val="000000"/>
        </w:rPr>
        <w:t xml:space="preserve">Predbežná informácia k návrhu implementačného opatrenia bola zverejnená dňa 1. 8. 2023 na stránke </w:t>
      </w:r>
      <w:hyperlink r:id="rId28" w:history="1">
        <w:r w:rsidRPr="00F81C06">
          <w:rPr>
            <w:rStyle w:val="Hypertextovprepojenie"/>
          </w:rPr>
          <w:t>Slov-lex.sk</w:t>
        </w:r>
      </w:hyperlink>
      <w:r>
        <w:rPr>
          <w:color w:val="000000"/>
        </w:rPr>
        <w:t xml:space="preserve"> s možnosťou zainteresovaných subjektov predkladať ďalšie podnety a návrhy. Na základe zverejnenej predbežnej informácie neboli predložené žiadne vyjadrenia zainteresovaných subjektov.</w:t>
      </w:r>
    </w:p>
    <w:p w:rsidR="008150DC" w:rsidRPr="000F58E0" w:rsidRDefault="008150DC" w:rsidP="008150DC">
      <w:pPr>
        <w:jc w:val="both"/>
        <w:rPr>
          <w:rFonts w:eastAsia="Calibri"/>
        </w:rPr>
      </w:pPr>
    </w:p>
    <w:p w:rsidR="008150DC" w:rsidRPr="001F1B43" w:rsidRDefault="008150DC" w:rsidP="008150DC">
      <w:pPr>
        <w:jc w:val="both"/>
        <w:rPr>
          <w:rFonts w:eastAsia="Calibri"/>
          <w:b/>
        </w:rPr>
      </w:pPr>
      <w:bookmarkStart w:id="4" w:name="_Hlk47698091"/>
      <w:r w:rsidRPr="001F1B43">
        <w:rPr>
          <w:rFonts w:eastAsia="Calibri"/>
          <w:b/>
        </w:rPr>
        <w:t>3.3 Vplyvy na konkurencieschopnosť a produktivitu</w:t>
      </w:r>
    </w:p>
    <w:bookmarkEnd w:id="4"/>
    <w:p w:rsidR="008150DC" w:rsidRPr="00D8247C" w:rsidRDefault="008150DC" w:rsidP="008150DC">
      <w:pPr>
        <w:jc w:val="both"/>
        <w:rPr>
          <w:rFonts w:eastAsia="Calibri"/>
          <w:i/>
        </w:rPr>
      </w:pPr>
      <w:r w:rsidRPr="00D8247C">
        <w:rPr>
          <w:rFonts w:eastAsia="Calibri"/>
          <w:i/>
        </w:rPr>
        <w:t xml:space="preserve">Dochádza k vytvoreniu resp. k zmene bariér na trhu? </w:t>
      </w:r>
    </w:p>
    <w:p w:rsidR="008150DC" w:rsidRPr="00D8247C" w:rsidRDefault="008150DC" w:rsidP="008150DC">
      <w:pPr>
        <w:jc w:val="both"/>
        <w:rPr>
          <w:rFonts w:eastAsia="Calibri"/>
          <w:i/>
        </w:rPr>
      </w:pPr>
      <w:r w:rsidRPr="00D8247C">
        <w:rPr>
          <w:rFonts w:eastAsia="Calibri"/>
          <w:i/>
        </w:rPr>
        <w:t xml:space="preserve">Bude sa s niektorými podnikmi alebo produktmi zaobchádzať v porovnateľnej situácii rôzne (napr. špeciálne režimy pre mikro, malé a stredné podniky tzv. MSP)? </w:t>
      </w:r>
    </w:p>
    <w:p w:rsidR="008150DC" w:rsidRPr="00D8247C" w:rsidRDefault="008150DC" w:rsidP="008150DC">
      <w:pPr>
        <w:jc w:val="both"/>
        <w:rPr>
          <w:rFonts w:eastAsia="Calibri"/>
          <w:i/>
        </w:rPr>
      </w:pPr>
      <w:r w:rsidRPr="00D8247C">
        <w:rPr>
          <w:rFonts w:eastAsia="Calibri"/>
          <w:i/>
        </w:rPr>
        <w:t xml:space="preserve">Ovplyvňuje zmena regulácie cezhraničné investície (príliv/odliv zahraničných investícií resp. uplatnenie slovenských podnikov na zahraničných trhoch)? </w:t>
      </w:r>
    </w:p>
    <w:p w:rsidR="008150DC" w:rsidRDefault="008150DC" w:rsidP="008150DC">
      <w:pPr>
        <w:jc w:val="both"/>
        <w:rPr>
          <w:rFonts w:eastAsia="Calibri"/>
          <w:i/>
        </w:rPr>
      </w:pPr>
      <w:r w:rsidRPr="00D8247C">
        <w:rPr>
          <w:rFonts w:eastAsia="Calibri"/>
          <w:i/>
        </w:rPr>
        <w:t xml:space="preserve">Ovplyvní dostupnosť základných zdrojov (financie, pracovná sila, suroviny, mechanizmy, energie atď.)? </w:t>
      </w:r>
    </w:p>
    <w:p w:rsidR="008150DC" w:rsidRPr="00D8247C" w:rsidRDefault="008150DC" w:rsidP="008150DC">
      <w:pPr>
        <w:jc w:val="both"/>
        <w:rPr>
          <w:rFonts w:eastAsia="Calibri"/>
          <w:i/>
        </w:rPr>
      </w:pPr>
      <w:r>
        <w:rPr>
          <w:rFonts w:eastAsia="Calibri"/>
          <w:i/>
        </w:rPr>
        <w:t>Ovplyvňuje zmena regulácie inovácie, vedu a výskum?</w:t>
      </w:r>
    </w:p>
    <w:p w:rsidR="008150DC" w:rsidRPr="00D8247C" w:rsidRDefault="008150DC" w:rsidP="008150DC">
      <w:pPr>
        <w:jc w:val="both"/>
        <w:rPr>
          <w:rFonts w:eastAsia="Calibri"/>
          <w:i/>
        </w:rPr>
      </w:pPr>
      <w:r w:rsidRPr="00D8247C">
        <w:rPr>
          <w:rFonts w:eastAsia="Calibri"/>
          <w:i/>
          <w:iCs/>
        </w:rPr>
        <w:t>Ako prispieva zmena regulácie k cieľu Slovenska mať najlepšie podnikateľské prostredie spomedzi susediacich krajín EÚ?</w:t>
      </w:r>
    </w:p>
    <w:p w:rsidR="008150DC" w:rsidRPr="00D8247C" w:rsidRDefault="008150DC" w:rsidP="008150DC">
      <w:pPr>
        <w:jc w:val="both"/>
        <w:rPr>
          <w:rFonts w:eastAsia="Calibri"/>
          <w:i/>
        </w:rPr>
      </w:pPr>
    </w:p>
    <w:p w:rsidR="008150DC" w:rsidRPr="00D8247C" w:rsidRDefault="008150DC" w:rsidP="008150DC">
      <w:pPr>
        <w:jc w:val="both"/>
        <w:rPr>
          <w:rFonts w:eastAsia="Calibri"/>
          <w:b/>
          <w:i/>
        </w:rPr>
      </w:pPr>
      <w:r w:rsidRPr="00D8247C">
        <w:rPr>
          <w:rFonts w:eastAsia="Calibri"/>
          <w:b/>
          <w:i/>
        </w:rPr>
        <w:t>Konkurencieschopnosť:</w:t>
      </w:r>
    </w:p>
    <w:p w:rsidR="008150DC" w:rsidRPr="00D8247C" w:rsidRDefault="008150DC" w:rsidP="008150DC">
      <w:pPr>
        <w:jc w:val="both"/>
        <w:rPr>
          <w:rFonts w:eastAsia="Calibri"/>
          <w:i/>
        </w:rPr>
      </w:pPr>
      <w:r w:rsidRPr="00D8247C">
        <w:rPr>
          <w:rFonts w:eastAsia="Calibri"/>
          <w:i/>
        </w:rPr>
        <w:t>Na základe uvedených odpovedí zaškrtnite a popíšte, či materiál konkurencieschopnosť:</w:t>
      </w:r>
    </w:p>
    <w:p w:rsidR="008150DC" w:rsidRPr="00D8247C" w:rsidRDefault="00F55A99" w:rsidP="008150DC">
      <w:pPr>
        <w:jc w:val="both"/>
        <w:rPr>
          <w:rFonts w:eastAsia="Calibri"/>
          <w:i/>
        </w:rPr>
      </w:pPr>
      <w:sdt>
        <w:sdtPr>
          <w:rPr>
            <w:rFonts w:eastAsia="Calibri"/>
            <w:i/>
          </w:rPr>
          <w:id w:val="798576880"/>
        </w:sdtPr>
        <w:sdtEndPr/>
        <w:sdtContent>
          <w:sdt>
            <w:sdtPr>
              <w:rPr>
                <w:rFonts w:eastAsia="Calibri"/>
                <w:i/>
              </w:rPr>
              <w:id w:val="1729873660"/>
            </w:sdtPr>
            <w:sdtEndPr/>
            <w:sdtContent>
              <w:r w:rsidR="008150DC" w:rsidRPr="00D8247C">
                <w:rPr>
                  <w:rFonts w:ascii="Segoe UI Symbol" w:eastAsia="Calibri" w:hAnsi="Segoe UI Symbol" w:cs="Segoe UI Symbol"/>
                  <w:i/>
                </w:rPr>
                <w:t>☐</w:t>
              </w:r>
            </w:sdtContent>
          </w:sdt>
        </w:sdtContent>
      </w:sdt>
      <w:r w:rsidR="008150DC" w:rsidRPr="00D8247C">
        <w:rPr>
          <w:rFonts w:eastAsia="Calibri"/>
          <w:i/>
        </w:rPr>
        <w:t xml:space="preserve"> zvyšuje  </w:t>
      </w:r>
      <w:r w:rsidR="008150DC" w:rsidRPr="00D8247C">
        <w:rPr>
          <w:rFonts w:eastAsia="Calibri"/>
          <w:i/>
        </w:rPr>
        <w:tab/>
      </w:r>
      <w:sdt>
        <w:sdtPr>
          <w:rPr>
            <w:rFonts w:eastAsia="Calibri"/>
            <w:i/>
          </w:rPr>
          <w:id w:val="410579887"/>
        </w:sdtPr>
        <w:sdtEndPr/>
        <w:sdtContent>
          <w:sdt>
            <w:sdtPr>
              <w:rPr>
                <w:rFonts w:eastAsia="Calibri"/>
                <w:i/>
              </w:rPr>
              <w:id w:val="-80300261"/>
            </w:sdtPr>
            <w:sdtEndPr/>
            <w:sdtContent>
              <w:r w:rsidR="008150DC">
                <w:rPr>
                  <w:rFonts w:ascii="Segoe UI Symbol" w:eastAsia="Calibri" w:hAnsi="Segoe UI Symbol" w:cs="Segoe UI Symbol"/>
                  <w:i/>
                </w:rPr>
                <w:t>X</w:t>
              </w:r>
            </w:sdtContent>
          </w:sdt>
        </w:sdtContent>
      </w:sdt>
      <w:r w:rsidR="008150DC" w:rsidRPr="00D8247C">
        <w:rPr>
          <w:rFonts w:eastAsia="Calibri"/>
          <w:i/>
        </w:rPr>
        <w:t xml:space="preserve"> nemení</w:t>
      </w:r>
      <w:r w:rsidR="008150DC" w:rsidRPr="00D8247C">
        <w:rPr>
          <w:rFonts w:eastAsia="Calibri"/>
          <w:i/>
        </w:rPr>
        <w:tab/>
      </w:r>
      <w:sdt>
        <w:sdtPr>
          <w:rPr>
            <w:rFonts w:eastAsia="Calibri"/>
            <w:i/>
          </w:rPr>
          <w:id w:val="-474604883"/>
        </w:sdtPr>
        <w:sdtEndPr/>
        <w:sdtContent>
          <w:sdt>
            <w:sdtPr>
              <w:rPr>
                <w:rFonts w:eastAsia="Calibri"/>
                <w:i/>
              </w:rPr>
              <w:id w:val="-1706551548"/>
            </w:sdtPr>
            <w:sdtEndPr/>
            <w:sdtContent>
              <w:r w:rsidR="008150DC" w:rsidRPr="00D8247C">
                <w:rPr>
                  <w:rFonts w:ascii="Segoe UI Symbol" w:eastAsia="Calibri" w:hAnsi="Segoe UI Symbol" w:cs="Segoe UI Symbol"/>
                  <w:i/>
                </w:rPr>
                <w:t>☐</w:t>
              </w:r>
            </w:sdtContent>
          </w:sdt>
        </w:sdtContent>
      </w:sdt>
      <w:r w:rsidR="008150DC" w:rsidRPr="00D8247C">
        <w:rPr>
          <w:rFonts w:eastAsia="Calibri"/>
          <w:i/>
        </w:rPr>
        <w:t xml:space="preserve"> znižuje</w:t>
      </w:r>
    </w:p>
    <w:p w:rsidR="008150DC" w:rsidRPr="00D8247C" w:rsidRDefault="008150DC" w:rsidP="008150DC">
      <w:pPr>
        <w:jc w:val="both"/>
        <w:rPr>
          <w:rFonts w:eastAsia="Calibri"/>
          <w:i/>
        </w:rPr>
      </w:pPr>
    </w:p>
    <w:p w:rsidR="008150DC" w:rsidRPr="00D8247C" w:rsidRDefault="008150DC" w:rsidP="008150DC">
      <w:pPr>
        <w:jc w:val="both"/>
        <w:rPr>
          <w:rFonts w:eastAsia="Calibri"/>
          <w:b/>
          <w:i/>
        </w:rPr>
      </w:pPr>
      <w:r w:rsidRPr="00D8247C">
        <w:rPr>
          <w:rFonts w:eastAsia="Calibri"/>
          <w:b/>
          <w:i/>
        </w:rPr>
        <w:t>Produktivita:</w:t>
      </w:r>
    </w:p>
    <w:p w:rsidR="008150DC" w:rsidRPr="00D8247C" w:rsidRDefault="008150DC" w:rsidP="008150DC">
      <w:pPr>
        <w:jc w:val="both"/>
        <w:rPr>
          <w:rFonts w:eastAsia="Calibri"/>
          <w:i/>
        </w:rPr>
      </w:pPr>
      <w:r w:rsidRPr="00D8247C">
        <w:rPr>
          <w:rFonts w:eastAsia="Calibri"/>
          <w:i/>
        </w:rPr>
        <w:t xml:space="preserve">Aký má materiál vplyv na zmenu pomeru medzi produkciou podnikov a ich nákladmi? </w:t>
      </w:r>
    </w:p>
    <w:p w:rsidR="008150DC" w:rsidRPr="00D8247C" w:rsidRDefault="008150DC" w:rsidP="008150DC">
      <w:pPr>
        <w:jc w:val="both"/>
        <w:rPr>
          <w:rFonts w:eastAsia="Calibri"/>
          <w:i/>
        </w:rPr>
      </w:pPr>
    </w:p>
    <w:p w:rsidR="008150DC" w:rsidRPr="00D8247C" w:rsidRDefault="008150DC" w:rsidP="008150DC">
      <w:pPr>
        <w:jc w:val="both"/>
        <w:rPr>
          <w:rFonts w:eastAsia="Calibri"/>
          <w:i/>
        </w:rPr>
      </w:pPr>
      <w:r w:rsidRPr="00D8247C">
        <w:rPr>
          <w:rFonts w:eastAsia="Calibri"/>
          <w:i/>
        </w:rPr>
        <w:t>Na základe uvedenej odpovede zaškrtnite a popíšte, či materiál produktivitu:</w:t>
      </w:r>
    </w:p>
    <w:p w:rsidR="008150DC" w:rsidRDefault="00F55A99" w:rsidP="008150DC">
      <w:pPr>
        <w:jc w:val="both"/>
        <w:rPr>
          <w:rFonts w:eastAsia="Calibri"/>
          <w:i/>
        </w:rPr>
      </w:pPr>
      <w:sdt>
        <w:sdtPr>
          <w:rPr>
            <w:rFonts w:eastAsia="Calibri"/>
            <w:i/>
          </w:rPr>
          <w:id w:val="-1545903528"/>
        </w:sdtPr>
        <w:sdtEndPr/>
        <w:sdtContent>
          <w:sdt>
            <w:sdtPr>
              <w:rPr>
                <w:rFonts w:eastAsia="Calibri"/>
                <w:i/>
              </w:rPr>
              <w:id w:val="825715010"/>
            </w:sdtPr>
            <w:sdtEndPr/>
            <w:sdtContent>
              <w:r w:rsidR="008150DC" w:rsidRPr="00D8247C">
                <w:rPr>
                  <w:rFonts w:ascii="Segoe UI Symbol" w:eastAsia="Calibri" w:hAnsi="Segoe UI Symbol" w:cs="Segoe UI Symbol"/>
                  <w:i/>
                </w:rPr>
                <w:t>☐</w:t>
              </w:r>
            </w:sdtContent>
          </w:sdt>
        </w:sdtContent>
      </w:sdt>
      <w:r w:rsidR="008150DC" w:rsidRPr="00D8247C">
        <w:rPr>
          <w:rFonts w:eastAsia="Calibri"/>
          <w:i/>
        </w:rPr>
        <w:t xml:space="preserve"> zvyšuje  </w:t>
      </w:r>
      <w:r w:rsidR="008150DC" w:rsidRPr="00D8247C">
        <w:rPr>
          <w:rFonts w:eastAsia="Calibri"/>
          <w:i/>
        </w:rPr>
        <w:tab/>
      </w:r>
      <w:sdt>
        <w:sdtPr>
          <w:rPr>
            <w:rFonts w:eastAsia="Calibri"/>
            <w:i/>
          </w:rPr>
          <w:id w:val="-353966921"/>
        </w:sdtPr>
        <w:sdtEndPr/>
        <w:sdtContent>
          <w:sdt>
            <w:sdtPr>
              <w:rPr>
                <w:rFonts w:eastAsia="Calibri"/>
                <w:i/>
              </w:rPr>
              <w:id w:val="-1222205104"/>
            </w:sdtPr>
            <w:sdtEndPr/>
            <w:sdtContent>
              <w:r w:rsidR="008150DC">
                <w:rPr>
                  <w:rFonts w:ascii="Segoe UI Symbol" w:eastAsia="Calibri" w:hAnsi="Segoe UI Symbol" w:cs="Segoe UI Symbol"/>
                  <w:i/>
                </w:rPr>
                <w:t>X</w:t>
              </w:r>
            </w:sdtContent>
          </w:sdt>
        </w:sdtContent>
      </w:sdt>
      <w:r w:rsidR="008150DC" w:rsidRPr="00D8247C">
        <w:rPr>
          <w:rFonts w:eastAsia="Calibri"/>
          <w:i/>
        </w:rPr>
        <w:t xml:space="preserve"> nemení</w:t>
      </w:r>
      <w:r w:rsidR="008150DC" w:rsidRPr="00D8247C">
        <w:rPr>
          <w:rFonts w:eastAsia="Calibri"/>
          <w:i/>
        </w:rPr>
        <w:tab/>
      </w:r>
      <w:sdt>
        <w:sdtPr>
          <w:rPr>
            <w:rFonts w:eastAsia="Calibri"/>
            <w:i/>
          </w:rPr>
          <w:id w:val="-1457723544"/>
        </w:sdtPr>
        <w:sdtEndPr/>
        <w:sdtContent>
          <w:sdt>
            <w:sdtPr>
              <w:rPr>
                <w:rFonts w:eastAsia="Calibri"/>
                <w:i/>
              </w:rPr>
              <w:id w:val="-623767955"/>
            </w:sdtPr>
            <w:sdtEndPr/>
            <w:sdtContent>
              <w:r w:rsidR="008150DC" w:rsidRPr="00D8247C">
                <w:rPr>
                  <w:rFonts w:ascii="Segoe UI Symbol" w:eastAsia="Calibri" w:hAnsi="Segoe UI Symbol" w:cs="Segoe UI Symbol"/>
                  <w:i/>
                </w:rPr>
                <w:t>☐</w:t>
              </w:r>
            </w:sdtContent>
          </w:sdt>
        </w:sdtContent>
      </w:sdt>
      <w:r w:rsidR="008150DC" w:rsidRPr="00D8247C">
        <w:rPr>
          <w:rFonts w:eastAsia="Calibri"/>
          <w:i/>
        </w:rPr>
        <w:t xml:space="preserve"> znižuje</w:t>
      </w:r>
    </w:p>
    <w:p w:rsidR="008150DC" w:rsidRPr="00D8247C" w:rsidRDefault="008150DC" w:rsidP="008150DC">
      <w:pPr>
        <w:jc w:val="both"/>
        <w:rPr>
          <w:rFonts w:eastAsia="Calibri"/>
          <w:i/>
        </w:rPr>
      </w:pPr>
    </w:p>
    <w:p w:rsidR="008150DC" w:rsidRPr="001F1B43" w:rsidRDefault="008150DC" w:rsidP="008150DC">
      <w:pPr>
        <w:jc w:val="both"/>
        <w:rPr>
          <w:rFonts w:eastAsia="Calibri"/>
          <w:b/>
        </w:rPr>
      </w:pPr>
      <w:r w:rsidRPr="001F1B43">
        <w:rPr>
          <w:rFonts w:eastAsia="Calibri"/>
          <w:b/>
        </w:rPr>
        <w:t xml:space="preserve">3.4  Iné vplyvy na podnikateľské prostredie </w:t>
      </w:r>
    </w:p>
    <w:p w:rsidR="008150DC" w:rsidRDefault="008150DC" w:rsidP="008150DC">
      <w:pPr>
        <w:jc w:val="both"/>
        <w:rPr>
          <w:rFonts w:eastAsia="Calibri"/>
          <w:i/>
        </w:rPr>
      </w:pPr>
      <w:r>
        <w:rPr>
          <w:rFonts w:eastAsia="Calibri"/>
          <w:i/>
        </w:rPr>
        <w:t xml:space="preserve">Ak má materiál vplyvy na PP, ktoré nemožno zaradiť do predchádzajúcich častí, či už pozitívne alebo negatívne, tu ich uveďte.  Patria sem: </w:t>
      </w:r>
    </w:p>
    <w:p w:rsidR="008150DC" w:rsidRDefault="008150DC" w:rsidP="008150DC">
      <w:pPr>
        <w:pStyle w:val="Odsekzoznamu"/>
        <w:widowControl/>
        <w:numPr>
          <w:ilvl w:val="0"/>
          <w:numId w:val="32"/>
        </w:numPr>
        <w:adjustRightInd/>
        <w:spacing w:line="254" w:lineRule="auto"/>
        <w:jc w:val="both"/>
        <w:rPr>
          <w:rFonts w:eastAsia="Calibri"/>
          <w:i/>
        </w:rPr>
      </w:pPr>
      <w:r>
        <w:rPr>
          <w:rFonts w:eastAsia="Calibri"/>
          <w:i/>
        </w:rPr>
        <w:t>sankcie alebo pokuty, ako dôsledok porušenia právne záväzných ustanovení;</w:t>
      </w:r>
    </w:p>
    <w:p w:rsidR="008150DC" w:rsidRDefault="008150DC" w:rsidP="008150DC">
      <w:pPr>
        <w:pStyle w:val="Odsekzoznamu"/>
        <w:widowControl/>
        <w:numPr>
          <w:ilvl w:val="0"/>
          <w:numId w:val="32"/>
        </w:numPr>
        <w:adjustRightInd/>
        <w:spacing w:line="254" w:lineRule="auto"/>
        <w:jc w:val="both"/>
        <w:rPr>
          <w:rFonts w:eastAsia="Calibri"/>
          <w:i/>
        </w:rPr>
      </w:pPr>
      <w:r>
        <w:rPr>
          <w:rFonts w:eastAsia="Calibri"/>
          <w:i/>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8150DC" w:rsidRDefault="008150DC" w:rsidP="008150DC">
      <w:pPr>
        <w:pStyle w:val="Odsekzoznamu"/>
        <w:widowControl/>
        <w:numPr>
          <w:ilvl w:val="0"/>
          <w:numId w:val="32"/>
        </w:numPr>
        <w:adjustRightInd/>
        <w:spacing w:line="254" w:lineRule="auto"/>
        <w:jc w:val="both"/>
        <w:rPr>
          <w:rFonts w:eastAsia="Calibri"/>
          <w:i/>
        </w:rPr>
      </w:pPr>
      <w:r>
        <w:rPr>
          <w:rFonts w:eastAsia="Calibri"/>
          <w:i/>
        </w:rPr>
        <w:t>regulované ceny podľa zákona č. 18/1996 Z. z. o cenách;</w:t>
      </w:r>
    </w:p>
    <w:p w:rsidR="008150DC" w:rsidRDefault="008150DC" w:rsidP="008150DC">
      <w:pPr>
        <w:pStyle w:val="Odsekzoznamu"/>
        <w:widowControl/>
        <w:numPr>
          <w:ilvl w:val="0"/>
          <w:numId w:val="32"/>
        </w:numPr>
        <w:adjustRightInd/>
        <w:spacing w:line="254" w:lineRule="auto"/>
        <w:jc w:val="both"/>
        <w:rPr>
          <w:rFonts w:eastAsia="Calibri"/>
          <w:i/>
        </w:rPr>
      </w:pPr>
      <w:r>
        <w:rPr>
          <w:rFonts w:eastAsia="Calibri"/>
          <w:i/>
        </w:rPr>
        <w:t xml:space="preserve">iné vplyvy, ktoré predpokladá materiál, ale nemožno ich zaradiť do častí 3.1 a 3.3. </w:t>
      </w:r>
    </w:p>
    <w:p w:rsidR="008150DC" w:rsidRDefault="008150DC" w:rsidP="008150DC">
      <w:pPr>
        <w:jc w:val="both"/>
        <w:rPr>
          <w:rFonts w:eastAsia="Calibri"/>
          <w:i/>
          <w:color w:val="0070C0"/>
        </w:rPr>
      </w:pPr>
    </w:p>
    <w:p w:rsidR="008150DC" w:rsidRDefault="008150DC" w:rsidP="008150DC">
      <w:pPr>
        <w:pStyle w:val="Odsekzoznamu"/>
        <w:widowControl/>
        <w:numPr>
          <w:ilvl w:val="0"/>
          <w:numId w:val="33"/>
        </w:numPr>
        <w:adjustRightInd/>
        <w:spacing w:line="259" w:lineRule="auto"/>
        <w:jc w:val="both"/>
        <w:rPr>
          <w:rFonts w:eastAsia="Calibri"/>
          <w:b/>
        </w:rPr>
      </w:pPr>
      <w:r w:rsidRPr="00F81C06">
        <w:rPr>
          <w:rFonts w:eastAsia="Calibri"/>
          <w:b/>
        </w:rPr>
        <w:t>Sankcie za porušenie povinností podľa nariadenia DSA</w:t>
      </w:r>
      <w:r>
        <w:rPr>
          <w:rFonts w:eastAsia="Calibri"/>
          <w:b/>
        </w:rPr>
        <w:t xml:space="preserve"> [</w:t>
      </w:r>
      <w:r w:rsidRPr="00F81C06">
        <w:rPr>
          <w:rFonts w:eastAsia="Calibri"/>
          <w:b/>
        </w:rPr>
        <w:t>čl. I § 145</w:t>
      </w:r>
      <w:r>
        <w:rPr>
          <w:rFonts w:eastAsia="Calibri"/>
          <w:b/>
        </w:rPr>
        <w:t>a</w:t>
      </w:r>
      <w:r w:rsidRPr="00F81C06">
        <w:rPr>
          <w:rFonts w:eastAsia="Calibri"/>
          <w:b/>
        </w:rPr>
        <w:t xml:space="preserve"> ods. 1 písm. a), ods. 2 a</w:t>
      </w:r>
      <w:r>
        <w:rPr>
          <w:rFonts w:eastAsia="Calibri"/>
          <w:b/>
        </w:rPr>
        <w:t> 4]</w:t>
      </w:r>
    </w:p>
    <w:p w:rsidR="008150DC" w:rsidRDefault="008150DC" w:rsidP="008150DC">
      <w:pPr>
        <w:pStyle w:val="Odsekzoznamu"/>
        <w:ind w:left="360"/>
        <w:jc w:val="both"/>
        <w:rPr>
          <w:rFonts w:eastAsia="Calibri"/>
        </w:rPr>
      </w:pPr>
      <w:r>
        <w:rPr>
          <w:rFonts w:eastAsia="Calibri"/>
        </w:rPr>
        <w:t xml:space="preserve">Predmetné ustanovenia predstavujú implementáciu čl. 52 nariadenia DSA, ktoré plne harmonizuje sankcie za porušenie povinností v nariadení DSA poskytovateľmi </w:t>
      </w:r>
      <w:r>
        <w:rPr>
          <w:rFonts w:eastAsia="Calibri"/>
        </w:rPr>
        <w:lastRenderedPageBreak/>
        <w:t xml:space="preserve">sprostredkovateľských služieb, ktorí patria do právomocí jednotlivých členských štátov. </w:t>
      </w:r>
    </w:p>
    <w:p w:rsidR="008150DC" w:rsidRDefault="008150DC" w:rsidP="008150DC">
      <w:pPr>
        <w:pStyle w:val="Odsekzoznamu"/>
        <w:ind w:left="360"/>
        <w:jc w:val="both"/>
        <w:rPr>
          <w:rFonts w:eastAsia="Calibri"/>
        </w:rPr>
      </w:pPr>
    </w:p>
    <w:p w:rsidR="008150DC" w:rsidRDefault="008150DC" w:rsidP="008150DC">
      <w:pPr>
        <w:pStyle w:val="Odsekzoznamu"/>
        <w:ind w:left="360"/>
        <w:jc w:val="both"/>
        <w:rPr>
          <w:rFonts w:eastAsia="Calibri"/>
        </w:rPr>
      </w:pPr>
      <w:r>
        <w:rPr>
          <w:rFonts w:eastAsia="Calibri"/>
        </w:rPr>
        <w:t xml:space="preserve">Vo všeobecnosti ustanovuje nariadenie DSA hornú hranicu sadzby pokuty za porušenie povinností poskytovateľov online sprostredkovateľských služieb na úrovni 6% ročného celosvetového obratu dotknutého subjektu za predchádzajúce účtovné obdobie. </w:t>
      </w:r>
    </w:p>
    <w:p w:rsidR="008150DC" w:rsidRDefault="008150DC" w:rsidP="008150DC">
      <w:pPr>
        <w:pStyle w:val="Odsekzoznamu"/>
        <w:ind w:left="360"/>
        <w:jc w:val="both"/>
        <w:rPr>
          <w:rFonts w:eastAsia="Calibri"/>
        </w:rPr>
      </w:pPr>
    </w:p>
    <w:p w:rsidR="008150DC" w:rsidRDefault="008150DC" w:rsidP="008150DC">
      <w:pPr>
        <w:pStyle w:val="Odsekzoznamu"/>
        <w:ind w:left="360"/>
        <w:jc w:val="both"/>
        <w:rPr>
          <w:rFonts w:eastAsia="Calibri"/>
        </w:rPr>
      </w:pPr>
      <w:r>
        <w:rPr>
          <w:rFonts w:eastAsia="Calibri"/>
        </w:rPr>
        <w:t xml:space="preserve">Pre vybrané delikty, ktoré spočívajú najmä v neposkytnutí riadnej súčinnosti zo strany dohliadaného subjektu koordinátorovi digitálnych služieb, je ustanovená nižšia horná hranica sadzby pokuty (1% ročného príjmu alebo svetového obratu porušiteľa za predchádzajúce účtovné obdobie). </w:t>
      </w:r>
    </w:p>
    <w:p w:rsidR="008150DC" w:rsidRDefault="008150DC" w:rsidP="008150DC">
      <w:pPr>
        <w:pStyle w:val="Odsekzoznamu"/>
        <w:ind w:left="360"/>
        <w:jc w:val="both"/>
        <w:rPr>
          <w:rFonts w:eastAsia="Calibri"/>
        </w:rPr>
      </w:pPr>
    </w:p>
    <w:p w:rsidR="008150DC" w:rsidRDefault="008150DC" w:rsidP="008150DC">
      <w:pPr>
        <w:pStyle w:val="Odsekzoznamu"/>
        <w:ind w:left="360"/>
        <w:jc w:val="both"/>
        <w:rPr>
          <w:rFonts w:eastAsia="Calibri"/>
        </w:rPr>
      </w:pPr>
      <w:r>
        <w:rPr>
          <w:rFonts w:eastAsia="Calibri"/>
        </w:rPr>
        <w:t>Koordinátor digitálnych služieb má mať tiež kompetenciu ukladať pravidelné penále až do 5% priemerného denného svetového obratu alebo príjmu dotknutého poskytovateľa sprostredkovateľských služieb za predchádzajúce účtovné obdobie. Pokiaľ ide o delikty, za ktoré môže byť uložené penále, vychádza sa pri implementácii aj zo znenia čl. 76 nariadenia DSA, pričom v rámci § 145a ods. 5 sa analogicky preberá aj čl. 76 ods. 2 nariadenia DSA o moderačnom práve vo vzťahu ku konečnej výške penále (možnosť znížiť konečnú sumu pravidelného penále), ak dohliadaný subjekt splní svoju povinnosť. Zámerom je, aby ukladanie pravidelného penále na národnej úrovni a úrovni EÚ bolo založené na rovnakých pravidlách, aby dohliadané subjekty neboli vystavené rozdielnemu režimu, pokiaľ ide o výkon dohľadu EK a národnými koordinátormi digitálnych služieb.</w:t>
      </w:r>
    </w:p>
    <w:p w:rsidR="008150DC" w:rsidRDefault="008150DC" w:rsidP="008150DC">
      <w:pPr>
        <w:pStyle w:val="Odsekzoznamu"/>
        <w:ind w:left="360"/>
        <w:jc w:val="both"/>
        <w:rPr>
          <w:rFonts w:eastAsia="Calibri"/>
        </w:rPr>
      </w:pPr>
    </w:p>
    <w:p w:rsidR="008150DC" w:rsidRPr="00ED17D3" w:rsidRDefault="008150DC" w:rsidP="008150DC">
      <w:pPr>
        <w:pStyle w:val="Odsekzoznamu"/>
        <w:ind w:left="360"/>
        <w:jc w:val="both"/>
        <w:rPr>
          <w:rFonts w:eastAsia="Calibri"/>
        </w:rPr>
      </w:pPr>
      <w:r>
        <w:rPr>
          <w:rFonts w:eastAsia="Calibri"/>
        </w:rPr>
        <w:t>Implementačné opatrenie je v súlade so znením nariadenia DSA a nezakladá goldplating.</w:t>
      </w:r>
    </w:p>
    <w:p w:rsidR="008150DC" w:rsidRDefault="008150DC" w:rsidP="008150DC">
      <w:pPr>
        <w:pStyle w:val="Odsekzoznamu"/>
        <w:ind w:left="360"/>
        <w:jc w:val="both"/>
        <w:rPr>
          <w:rFonts w:eastAsia="Calibri"/>
        </w:rPr>
      </w:pPr>
    </w:p>
    <w:p w:rsidR="008150DC" w:rsidRDefault="008150DC" w:rsidP="008150DC">
      <w:pPr>
        <w:pStyle w:val="Odsekzoznamu"/>
        <w:widowControl/>
        <w:numPr>
          <w:ilvl w:val="0"/>
          <w:numId w:val="33"/>
        </w:numPr>
        <w:adjustRightInd/>
        <w:spacing w:line="259" w:lineRule="auto"/>
        <w:jc w:val="both"/>
        <w:rPr>
          <w:rFonts w:eastAsia="Calibri"/>
          <w:b/>
        </w:rPr>
      </w:pPr>
      <w:r w:rsidRPr="00584E09">
        <w:rPr>
          <w:rFonts w:eastAsia="Calibri"/>
          <w:b/>
        </w:rPr>
        <w:t xml:space="preserve">Povinnosť prijať akčný plán </w:t>
      </w:r>
      <w:r>
        <w:rPr>
          <w:rFonts w:eastAsia="Calibri"/>
          <w:b/>
        </w:rPr>
        <w:t>[</w:t>
      </w:r>
      <w:r w:rsidRPr="00584E09">
        <w:rPr>
          <w:rFonts w:eastAsia="Calibri"/>
          <w:b/>
        </w:rPr>
        <w:t>čl. I § 133</w:t>
      </w:r>
      <w:r>
        <w:rPr>
          <w:rFonts w:eastAsia="Calibri"/>
          <w:b/>
        </w:rPr>
        <w:t>f ods. 1]</w:t>
      </w:r>
    </w:p>
    <w:p w:rsidR="008150DC" w:rsidRDefault="008150DC" w:rsidP="008150DC">
      <w:pPr>
        <w:pStyle w:val="Odsekzoznamu"/>
        <w:ind w:left="360"/>
        <w:jc w:val="both"/>
        <w:rPr>
          <w:rFonts w:eastAsia="Calibri"/>
        </w:rPr>
      </w:pPr>
      <w:r>
        <w:rPr>
          <w:rFonts w:eastAsia="Calibri"/>
        </w:rPr>
        <w:t xml:space="preserve">Ide o osobitnú kompetenciu národného koordinátora digitálnych služieb v zmysle čl. 51 ods. 3 písm. a) nariadenia DSA. V určitej rovine by bolo možné označiť toto opatrenie za nadstavbu sankčných oprávnení, pretože ho koordinátor digitálnych služieb môže uložiť iba v prípade, ak ostatné právomoci neboli účinné, porušovanie povinností podľa nariadenia DSA pokračuje a spôsobuje vážnu ujmu príjemcom online sprostredkovateľskej služby. </w:t>
      </w:r>
    </w:p>
    <w:p w:rsidR="008150DC" w:rsidRDefault="008150DC" w:rsidP="008150DC">
      <w:pPr>
        <w:pStyle w:val="Odsekzoznamu"/>
        <w:ind w:left="360"/>
        <w:jc w:val="both"/>
        <w:rPr>
          <w:rFonts w:eastAsia="Calibri"/>
        </w:rPr>
      </w:pPr>
    </w:p>
    <w:p w:rsidR="008150DC" w:rsidRDefault="008150DC" w:rsidP="008150DC">
      <w:pPr>
        <w:pStyle w:val="Odsekzoznamu"/>
        <w:ind w:left="360"/>
        <w:jc w:val="both"/>
        <w:rPr>
          <w:rFonts w:eastAsia="Calibri"/>
        </w:rPr>
      </w:pPr>
      <w:r>
        <w:rPr>
          <w:rFonts w:eastAsia="Calibri"/>
        </w:rPr>
        <w:t>Opatrenie zahŕňa tieto čiastkové povinnosti pre sprostredkovateľa online sprostredkovateľskej služby:</w:t>
      </w:r>
    </w:p>
    <w:p w:rsidR="008150DC" w:rsidRDefault="008150DC" w:rsidP="008150DC">
      <w:pPr>
        <w:pStyle w:val="Odsekzoznamu"/>
        <w:widowControl/>
        <w:numPr>
          <w:ilvl w:val="0"/>
          <w:numId w:val="34"/>
        </w:numPr>
        <w:adjustRightInd/>
        <w:spacing w:line="259" w:lineRule="auto"/>
        <w:jc w:val="both"/>
        <w:rPr>
          <w:rFonts w:eastAsia="Calibri"/>
        </w:rPr>
      </w:pPr>
      <w:r>
        <w:rPr>
          <w:rFonts w:eastAsia="Calibri"/>
        </w:rPr>
        <w:t>preskúmanie situácie,</w:t>
      </w:r>
    </w:p>
    <w:p w:rsidR="008150DC" w:rsidRDefault="008150DC" w:rsidP="008150DC">
      <w:pPr>
        <w:pStyle w:val="Odsekzoznamu"/>
        <w:widowControl/>
        <w:numPr>
          <w:ilvl w:val="0"/>
          <w:numId w:val="34"/>
        </w:numPr>
        <w:adjustRightInd/>
        <w:spacing w:line="259" w:lineRule="auto"/>
        <w:jc w:val="both"/>
        <w:rPr>
          <w:rFonts w:eastAsia="Calibri"/>
        </w:rPr>
      </w:pPr>
      <w:r>
        <w:rPr>
          <w:rFonts w:eastAsia="Calibri"/>
        </w:rPr>
        <w:t>vypracovanie akčného plánu na zabezpečenie súladu,</w:t>
      </w:r>
    </w:p>
    <w:p w:rsidR="008150DC" w:rsidRDefault="008150DC" w:rsidP="008150DC">
      <w:pPr>
        <w:pStyle w:val="Odsekzoznamu"/>
        <w:widowControl/>
        <w:numPr>
          <w:ilvl w:val="0"/>
          <w:numId w:val="34"/>
        </w:numPr>
        <w:adjustRightInd/>
        <w:spacing w:line="259" w:lineRule="auto"/>
        <w:jc w:val="both"/>
        <w:rPr>
          <w:rFonts w:eastAsia="Calibri"/>
        </w:rPr>
      </w:pPr>
      <w:r>
        <w:rPr>
          <w:rFonts w:eastAsia="Calibri"/>
        </w:rPr>
        <w:t>predloženie akčného plánu koordinátorovi digitálnych služieb,</w:t>
      </w:r>
    </w:p>
    <w:p w:rsidR="008150DC" w:rsidRDefault="008150DC" w:rsidP="008150DC">
      <w:pPr>
        <w:pStyle w:val="Odsekzoznamu"/>
        <w:widowControl/>
        <w:numPr>
          <w:ilvl w:val="0"/>
          <w:numId w:val="34"/>
        </w:numPr>
        <w:adjustRightInd/>
        <w:spacing w:line="259" w:lineRule="auto"/>
        <w:jc w:val="both"/>
        <w:rPr>
          <w:rFonts w:eastAsia="Calibri"/>
        </w:rPr>
      </w:pPr>
      <w:r>
        <w:rPr>
          <w:rFonts w:eastAsia="Calibri"/>
        </w:rPr>
        <w:t>realizácia akčného plánu,</w:t>
      </w:r>
    </w:p>
    <w:p w:rsidR="008150DC" w:rsidRDefault="008150DC" w:rsidP="008150DC">
      <w:pPr>
        <w:pStyle w:val="Odsekzoznamu"/>
        <w:widowControl/>
        <w:numPr>
          <w:ilvl w:val="0"/>
          <w:numId w:val="34"/>
        </w:numPr>
        <w:adjustRightInd/>
        <w:spacing w:line="259" w:lineRule="auto"/>
        <w:jc w:val="both"/>
        <w:rPr>
          <w:rFonts w:eastAsia="Calibri"/>
        </w:rPr>
      </w:pPr>
      <w:r>
        <w:rPr>
          <w:rFonts w:eastAsia="Calibri"/>
        </w:rPr>
        <w:t>informovanie o prijatých opatreniach koordinátora digitálnych služieb.</w:t>
      </w:r>
    </w:p>
    <w:p w:rsidR="008150DC" w:rsidRDefault="008150DC" w:rsidP="008150DC">
      <w:pPr>
        <w:ind w:left="360"/>
        <w:jc w:val="both"/>
        <w:rPr>
          <w:rFonts w:eastAsia="Calibri"/>
        </w:rPr>
      </w:pPr>
    </w:p>
    <w:p w:rsidR="008150DC" w:rsidRDefault="008150DC" w:rsidP="008150DC">
      <w:pPr>
        <w:ind w:left="360"/>
        <w:jc w:val="both"/>
        <w:rPr>
          <w:rFonts w:eastAsia="Calibri"/>
        </w:rPr>
      </w:pPr>
      <w:r>
        <w:rPr>
          <w:rFonts w:eastAsia="Calibri"/>
        </w:rPr>
        <w:t>Vzhľadom na skutočnosť, že ide o dôsledok porušenia právne záväzných ustanovení, ktorého výskyt nie je možné odhadnúť, predkladá sa kvantifikácia administratívnych vplyvov čiastkových povinností v rámci tohto opatrenia na modelovom príklade 1 podnikateľského subjektu (pri výpočte bola použitá Kalkulačka nákladov regulácie):</w:t>
      </w:r>
    </w:p>
    <w:p w:rsidR="008150DC" w:rsidRDefault="008150DC" w:rsidP="008150DC">
      <w:pPr>
        <w:pStyle w:val="Odsekzoznamu"/>
        <w:widowControl/>
        <w:numPr>
          <w:ilvl w:val="0"/>
          <w:numId w:val="34"/>
        </w:numPr>
        <w:adjustRightInd/>
        <w:spacing w:line="259" w:lineRule="auto"/>
        <w:jc w:val="both"/>
        <w:rPr>
          <w:rFonts w:eastAsia="Calibri"/>
        </w:rPr>
      </w:pPr>
      <w:r>
        <w:rPr>
          <w:rFonts w:eastAsia="Calibri"/>
        </w:rPr>
        <w:t>preskúmanie situácie – na základe expertného odhadu boli administratívne náklady spojené s danou povinnosťou určené ako kumulácia štandardnej časovej náročnosti pre inventarizáciu a overenie súladu; vzhľadom na rozsah a náročnosť povinností vyplývajúcich z DSA bola na účely výpočtu zvolená frekvencia 4-krát ročne; odhadované administratívne náklady predstavujú 500 €;</w:t>
      </w:r>
    </w:p>
    <w:p w:rsidR="008150DC" w:rsidRDefault="008150DC" w:rsidP="008150DC">
      <w:pPr>
        <w:pStyle w:val="Odsekzoznamu"/>
        <w:widowControl/>
        <w:numPr>
          <w:ilvl w:val="0"/>
          <w:numId w:val="34"/>
        </w:numPr>
        <w:adjustRightInd/>
        <w:spacing w:line="259" w:lineRule="auto"/>
        <w:jc w:val="both"/>
        <w:rPr>
          <w:rFonts w:eastAsia="Calibri"/>
        </w:rPr>
      </w:pPr>
      <w:r>
        <w:rPr>
          <w:rFonts w:eastAsia="Calibri"/>
        </w:rPr>
        <w:lastRenderedPageBreak/>
        <w:t>vypracovanie akčného plánu – na základe expertného odhadu boli administratívne náklady spojené s danou povinnosťou vypočítané na základe štandardnej časovej náročnosti pre vypracovanie dokumentu, správy s frekvenciou 4-krát ročne; odhadované administratívne náklady predstavujú 477 €;</w:t>
      </w:r>
    </w:p>
    <w:p w:rsidR="008150DC" w:rsidRDefault="008150DC" w:rsidP="008150DC">
      <w:pPr>
        <w:pStyle w:val="Odsekzoznamu"/>
        <w:widowControl/>
        <w:numPr>
          <w:ilvl w:val="0"/>
          <w:numId w:val="34"/>
        </w:numPr>
        <w:adjustRightInd/>
        <w:spacing w:line="259" w:lineRule="auto"/>
        <w:jc w:val="both"/>
        <w:rPr>
          <w:rFonts w:eastAsia="Calibri"/>
        </w:rPr>
      </w:pPr>
      <w:r>
        <w:rPr>
          <w:rFonts w:eastAsia="Calibri"/>
        </w:rPr>
        <w:t>predloženie akčného plánu – na základe expertného odhadu boli administratívne náklady spojené s danou povinnosťou vypočítané na základe štandardnej časovej náročnosti pre predloženie dokladu/dokumentu elektronicky s frekvenciou 1-krát ročne; odhadované administratívne náklady predstavujú 6 €;</w:t>
      </w:r>
    </w:p>
    <w:p w:rsidR="008150DC" w:rsidRDefault="008150DC" w:rsidP="008150DC">
      <w:pPr>
        <w:pStyle w:val="Odsekzoznamu"/>
        <w:widowControl/>
        <w:numPr>
          <w:ilvl w:val="0"/>
          <w:numId w:val="34"/>
        </w:numPr>
        <w:adjustRightInd/>
        <w:spacing w:line="259" w:lineRule="auto"/>
        <w:jc w:val="both"/>
        <w:rPr>
          <w:rFonts w:eastAsia="Calibri"/>
        </w:rPr>
      </w:pPr>
      <w:r>
        <w:rPr>
          <w:rFonts w:eastAsia="Calibri"/>
        </w:rPr>
        <w:t>realizácia akčného plánu - na základe expertného odhadu boli administratívne náklady spojené s danou povinnosťou vypočítané na základe štandardnej časovej náročnosti pre overenie súladu s mesačnou frekvenciou; odhadované administratívne náklady predstavujú 485 €;</w:t>
      </w:r>
    </w:p>
    <w:p w:rsidR="008150DC" w:rsidRDefault="008150DC" w:rsidP="008150DC">
      <w:pPr>
        <w:pStyle w:val="Odsekzoznamu"/>
        <w:widowControl/>
        <w:numPr>
          <w:ilvl w:val="0"/>
          <w:numId w:val="34"/>
        </w:numPr>
        <w:adjustRightInd/>
        <w:spacing w:line="259" w:lineRule="auto"/>
        <w:jc w:val="both"/>
        <w:rPr>
          <w:rFonts w:eastAsia="Calibri"/>
        </w:rPr>
      </w:pPr>
      <w:r>
        <w:rPr>
          <w:rFonts w:eastAsia="Calibri"/>
        </w:rPr>
        <w:t>informovanie o prijatých opatreniach – na základe expertného odhadu boli administratívne náklady spojené s danou povinnosťou vypočítané ako kumulácia štandardnej časovej náročnosti pre evidenciu, vedenie dokumentácie, archiváciu a predloženie dokladu/dokumentu elektronicky s mesačnou frekvenciou; odhadované administratívne náklady predstavujú 859 €.</w:t>
      </w:r>
    </w:p>
    <w:p w:rsidR="008150DC" w:rsidRDefault="008150DC" w:rsidP="008150DC">
      <w:pPr>
        <w:ind w:left="360"/>
        <w:jc w:val="both"/>
        <w:rPr>
          <w:rFonts w:eastAsia="Calibri"/>
        </w:rPr>
      </w:pPr>
      <w:r>
        <w:rPr>
          <w:rFonts w:eastAsia="Calibri"/>
        </w:rPr>
        <w:t xml:space="preserve">Celkové odhadované administratívne náklady spojené s povinnosťou podľa </w:t>
      </w:r>
      <w:r>
        <w:rPr>
          <w:rFonts w:eastAsia="Calibri"/>
        </w:rPr>
        <w:br/>
        <w:t>§ 133f ods. 1, v prípade jej uloženia poskytovateľovi sprostredkovateľskej služby koordinátorom digitálnych služieb, predstavujú 2 327 €. Skutočné náklady budú závisieť najmä od rozsahu a charakteru porušení v zmysle nariadenia DSA a rozsahu a charakteru samotnej online sprostredkovateľskej služby.</w:t>
      </w:r>
    </w:p>
    <w:p w:rsidR="008150DC" w:rsidRDefault="008150DC" w:rsidP="008150DC">
      <w:pPr>
        <w:ind w:left="360"/>
        <w:jc w:val="both"/>
        <w:rPr>
          <w:rFonts w:eastAsia="Calibri"/>
        </w:rPr>
      </w:pPr>
    </w:p>
    <w:p w:rsidR="008150DC" w:rsidRDefault="008150DC" w:rsidP="008150DC">
      <w:pPr>
        <w:pStyle w:val="Odsekzoznamu"/>
        <w:widowControl/>
        <w:numPr>
          <w:ilvl w:val="0"/>
          <w:numId w:val="33"/>
        </w:numPr>
        <w:adjustRightInd/>
        <w:spacing w:line="259" w:lineRule="auto"/>
        <w:jc w:val="both"/>
        <w:rPr>
          <w:rFonts w:eastAsia="Calibri"/>
          <w:b/>
        </w:rPr>
      </w:pPr>
      <w:r w:rsidRPr="0054034B">
        <w:rPr>
          <w:rFonts w:eastAsia="Calibri"/>
          <w:b/>
        </w:rPr>
        <w:t>Sankcie za porušenie povinností podľa P2B nariadenia [čl. I § 145</w:t>
      </w:r>
      <w:r>
        <w:rPr>
          <w:rFonts w:eastAsia="Calibri"/>
          <w:b/>
        </w:rPr>
        <w:t>a</w:t>
      </w:r>
      <w:r w:rsidRPr="0054034B">
        <w:rPr>
          <w:rFonts w:eastAsia="Calibri"/>
          <w:b/>
        </w:rPr>
        <w:t xml:space="preserve"> ods. 1 písm. b)</w:t>
      </w:r>
      <w:r>
        <w:rPr>
          <w:rFonts w:eastAsia="Calibri"/>
          <w:b/>
        </w:rPr>
        <w:t xml:space="preserve"> a ods. 3</w:t>
      </w:r>
      <w:r w:rsidRPr="0054034B">
        <w:rPr>
          <w:rFonts w:eastAsia="Calibri"/>
          <w:b/>
        </w:rPr>
        <w:t>]</w:t>
      </w:r>
    </w:p>
    <w:p w:rsidR="008150DC" w:rsidRPr="00762B70" w:rsidRDefault="008150DC" w:rsidP="008150DC">
      <w:pPr>
        <w:pStyle w:val="Odsekzoznamu"/>
        <w:ind w:left="360"/>
        <w:jc w:val="both"/>
        <w:rPr>
          <w:rFonts w:eastAsia="Calibri"/>
        </w:rPr>
      </w:pPr>
      <w:r>
        <w:rPr>
          <w:rFonts w:eastAsia="Calibri"/>
        </w:rPr>
        <w:t>Predmetné ustanovenie predstavuje implementáciu čl. 15 nariadenia P2B. Toto nariadenie EÚ je účinné od 12.7.2020. Do slovenského právneho poriadku sa dodatočne dopĺňa verejnoprávny dohľad nad dodržiavaním povinností podľa nariadenia P2B a s tým súvisiace sankčné ustanovenie § 145b ods. 1 písm. b) (možnosť uložiť pokutu vo výške od 100 eur do 50 000 eur)</w:t>
      </w:r>
      <w:r>
        <w:rPr>
          <w:rStyle w:val="Odkaznapoznmkupodiarou"/>
          <w:rFonts w:eastAsia="Calibri"/>
        </w:rPr>
        <w:footnoteReference w:id="5"/>
      </w:r>
      <w:r>
        <w:rPr>
          <w:rFonts w:eastAsia="Calibri"/>
        </w:rPr>
        <w:t xml:space="preserve"> v nadväznosti na </w:t>
      </w:r>
      <w:r>
        <w:rPr>
          <w:color w:val="000000"/>
        </w:rPr>
        <w:t>začatie konania</w:t>
      </w:r>
      <w:r w:rsidRPr="009F147E">
        <w:rPr>
          <w:color w:val="000000"/>
        </w:rPr>
        <w:t xml:space="preserve"> o porušení zmlúv podľa čl. 258 Zmluvy o fungovaní EÚ </w:t>
      </w:r>
      <w:r>
        <w:rPr>
          <w:color w:val="000000"/>
        </w:rPr>
        <w:t xml:space="preserve">voči Slovenskej republike </w:t>
      </w:r>
      <w:r w:rsidRPr="009F147E">
        <w:rPr>
          <w:color w:val="000000"/>
        </w:rPr>
        <w:t xml:space="preserve">z dôvodu </w:t>
      </w:r>
      <w:r>
        <w:rPr>
          <w:color w:val="000000"/>
        </w:rPr>
        <w:t>nezabezpečenia dostatočne primeraného a účinného presadzovania nariadenia (</w:t>
      </w:r>
      <w:hyperlink r:id="rId29" w:history="1">
        <w:r w:rsidRPr="009A4245">
          <w:rPr>
            <w:rStyle w:val="Hypertextovprepojenie"/>
          </w:rPr>
          <w:t>INFR(2022)2148</w:t>
        </w:r>
      </w:hyperlink>
      <w:r>
        <w:t>).</w:t>
      </w:r>
      <w:r>
        <w:rPr>
          <w:rStyle w:val="Odkaznapoznmkupodiarou"/>
        </w:rPr>
        <w:footnoteReference w:id="6"/>
      </w:r>
      <w:r>
        <w:t xml:space="preserve"> Ustanovenie § 145b ods. 3 nadväzuje na výkon dohľadu (ukladanie sankcií za neposkytnutie riadnej súčinnosti), ktoré je z legislatívno-technického hľadiska vyčlenené ako samostatné ustanovenie popri § 145b ods. 2.</w:t>
      </w:r>
    </w:p>
    <w:p w:rsidR="005A2AB2" w:rsidRDefault="005A2AB2" w:rsidP="005A2AB2">
      <w:pPr>
        <w:rPr>
          <w:rFonts w:eastAsia="Calibri"/>
        </w:rPr>
      </w:pPr>
      <w:r>
        <w:rPr>
          <w:rFonts w:eastAsia="Calibri"/>
        </w:rPr>
        <w:t>základe dostupných dát vyčísliť.</w:t>
      </w:r>
    </w:p>
    <w:p w:rsidR="005A2AB2" w:rsidRPr="00A05A84" w:rsidRDefault="005A2AB2" w:rsidP="005A2AB2">
      <w:pPr>
        <w:jc w:val="both"/>
        <w:rPr>
          <w:rFonts w:eastAsia="Calibri"/>
        </w:rPr>
      </w:pPr>
    </w:p>
    <w:p w:rsidR="005A2AB2" w:rsidRPr="00A05A84" w:rsidRDefault="005A2AB2" w:rsidP="005A2AB2">
      <w:pPr>
        <w:jc w:val="center"/>
        <w:rPr>
          <w:rFonts w:eastAsia="Calibri"/>
          <w:i/>
          <w:color w:val="0070C0"/>
        </w:rPr>
      </w:pPr>
    </w:p>
    <w:p w:rsidR="00B53972" w:rsidRDefault="00B53972" w:rsidP="00B53972"/>
    <w:p w:rsidR="005A2AB2" w:rsidRDefault="005A2AB2" w:rsidP="00B53972"/>
    <w:p w:rsidR="005A2AB2" w:rsidRDefault="005A2AB2" w:rsidP="00B53972"/>
    <w:p w:rsidR="005A2AB2" w:rsidRDefault="005A2AB2" w:rsidP="00B53972"/>
    <w:p w:rsidR="005A2AB2" w:rsidRDefault="005A2AB2" w:rsidP="00B53972"/>
    <w:p w:rsidR="005A2AB2" w:rsidRDefault="005A2AB2" w:rsidP="00B53972"/>
    <w:p w:rsidR="005A2AB2" w:rsidRDefault="005A2AB2"/>
    <w:p w:rsidR="00960E62" w:rsidRPr="00CA4B22" w:rsidRDefault="00960E62" w:rsidP="00960E62">
      <w:pPr>
        <w:jc w:val="center"/>
        <w:rPr>
          <w:b/>
          <w:bCs/>
        </w:rPr>
      </w:pPr>
      <w:r w:rsidRPr="00CA4B22">
        <w:rPr>
          <w:b/>
          <w:bCs/>
        </w:rPr>
        <w:lastRenderedPageBreak/>
        <w:t>DOLOŽKA ZLUČITEĽNOSTI</w:t>
      </w:r>
    </w:p>
    <w:p w:rsidR="00960E62" w:rsidRPr="00CA4B22" w:rsidRDefault="00960E62" w:rsidP="00960E62">
      <w:pPr>
        <w:jc w:val="center"/>
        <w:rPr>
          <w:b/>
          <w:bCs/>
        </w:rPr>
      </w:pPr>
      <w:r w:rsidRPr="00CA4B22">
        <w:rPr>
          <w:b/>
          <w:bCs/>
        </w:rPr>
        <w:t>návrhu zákona s právom Európskej únie</w:t>
      </w:r>
    </w:p>
    <w:p w:rsidR="00960E62" w:rsidRDefault="00960E62" w:rsidP="00960E62">
      <w:pPr>
        <w:jc w:val="both"/>
      </w:pPr>
    </w:p>
    <w:p w:rsidR="00960E62" w:rsidRPr="00DE22B9" w:rsidRDefault="00960E62" w:rsidP="00960E62">
      <w:pPr>
        <w:jc w:val="both"/>
        <w:rPr>
          <w:bCs/>
        </w:rPr>
      </w:pPr>
      <w:r w:rsidRPr="00053A6D">
        <w:rPr>
          <w:b/>
          <w:bCs/>
        </w:rPr>
        <w:t xml:space="preserve">1. Navrhovateľ zákona: </w:t>
      </w:r>
      <w:r>
        <w:rPr>
          <w:bCs/>
        </w:rPr>
        <w:t>Ministerstvo kultúry Slovenskej republiky</w:t>
      </w:r>
    </w:p>
    <w:p w:rsidR="00960E62" w:rsidRPr="00CA4B22" w:rsidRDefault="00960E62" w:rsidP="00960E62">
      <w:pPr>
        <w:jc w:val="both"/>
      </w:pPr>
    </w:p>
    <w:p w:rsidR="00960E62" w:rsidRPr="00DE22B9" w:rsidRDefault="00960E62" w:rsidP="00960E62">
      <w:pPr>
        <w:jc w:val="both"/>
        <w:rPr>
          <w:b/>
          <w:bCs/>
        </w:rPr>
      </w:pPr>
      <w:r w:rsidRPr="00CA4B22">
        <w:rPr>
          <w:b/>
          <w:bCs/>
        </w:rPr>
        <w:t>2.</w:t>
      </w:r>
      <w:r w:rsidRPr="00E66FF7">
        <w:rPr>
          <w:b/>
          <w:bCs/>
        </w:rPr>
        <w:t xml:space="preserve"> </w:t>
      </w:r>
      <w:r w:rsidRPr="00CA4B22">
        <w:rPr>
          <w:b/>
          <w:bCs/>
        </w:rPr>
        <w:t>Názov návrhu zákona:</w:t>
      </w:r>
      <w:r>
        <w:rPr>
          <w:b/>
          <w:bCs/>
        </w:rPr>
        <w:t xml:space="preserve"> </w:t>
      </w:r>
      <w:r>
        <w:t>N</w:t>
      </w:r>
      <w:r w:rsidRPr="00CA4B22">
        <w:t>ávrh</w:t>
      </w:r>
      <w:r w:rsidRPr="00CA4B22">
        <w:rPr>
          <w:spacing w:val="72"/>
        </w:rPr>
        <w:t xml:space="preserve"> </w:t>
      </w:r>
      <w:r w:rsidRPr="00CA4B22">
        <w:t>zákona,</w:t>
      </w:r>
      <w:r w:rsidRPr="00CA4B22">
        <w:rPr>
          <w:spacing w:val="72"/>
        </w:rPr>
        <w:t xml:space="preserve"> </w:t>
      </w:r>
      <w:r w:rsidRPr="003A6408">
        <w:t xml:space="preserve">ktorým sa mení a dopĺňa zákon č. 264/2022 Z. z. </w:t>
      </w:r>
      <w:r>
        <w:br/>
      </w:r>
      <w:r w:rsidRPr="003A6408">
        <w:t xml:space="preserve">o mediálnych službách </w:t>
      </w:r>
      <w:r>
        <w:t xml:space="preserve"> </w:t>
      </w:r>
      <w:r w:rsidRPr="003A6408">
        <w:t>a o zmene a doplnení niektorých zákonov (zákon o mediá</w:t>
      </w:r>
      <w:r>
        <w:t>lnych službách) v znení neskorších predpisov</w:t>
      </w:r>
      <w:r w:rsidRPr="003A6408">
        <w:t xml:space="preserve"> a</w:t>
      </w:r>
      <w:r>
        <w:t> o zmene a doplnení niektorých zákonov</w:t>
      </w:r>
      <w:r w:rsidRPr="003A6408">
        <w:t xml:space="preserve"> </w:t>
      </w:r>
      <w:r>
        <w:br/>
      </w:r>
    </w:p>
    <w:p w:rsidR="00960E62" w:rsidRDefault="00960E62" w:rsidP="00960E62">
      <w:pPr>
        <w:jc w:val="both"/>
      </w:pPr>
    </w:p>
    <w:p w:rsidR="00960E62" w:rsidRPr="00CA4B22" w:rsidRDefault="00960E62" w:rsidP="00960E62">
      <w:pPr>
        <w:jc w:val="both"/>
        <w:rPr>
          <w:b/>
          <w:bCs/>
        </w:rPr>
      </w:pPr>
      <w:r w:rsidRPr="00CA4B22">
        <w:rPr>
          <w:b/>
          <w:bCs/>
        </w:rPr>
        <w:t>3.</w:t>
      </w:r>
      <w:r w:rsidRPr="00E66FF7">
        <w:rPr>
          <w:b/>
          <w:bCs/>
        </w:rPr>
        <w:t xml:space="preserve"> </w:t>
      </w:r>
      <w:r w:rsidRPr="00CA4B22">
        <w:rPr>
          <w:b/>
          <w:bCs/>
        </w:rPr>
        <w:t>Predmet návrhu zákona je upravený v práve Európskej únie:</w:t>
      </w:r>
    </w:p>
    <w:p w:rsidR="00960E62" w:rsidRDefault="00960E62" w:rsidP="00960E62"/>
    <w:p w:rsidR="00960E62" w:rsidRDefault="00960E62" w:rsidP="00960E62">
      <w:r w:rsidRPr="00CA4B22">
        <w:t>a) v primárnom práve:</w:t>
      </w:r>
      <w:r>
        <w:t xml:space="preserve"> Zmluva</w:t>
      </w:r>
      <w:r w:rsidRPr="009936FA">
        <w:t xml:space="preserve"> o fungovaní Európskej únie</w:t>
      </w:r>
      <w:r>
        <w:t>, čl. 114</w:t>
      </w:r>
    </w:p>
    <w:p w:rsidR="00960E62" w:rsidRDefault="00960E62" w:rsidP="00960E62"/>
    <w:p w:rsidR="00960E62" w:rsidRDefault="00960E62" w:rsidP="00960E62">
      <w:r w:rsidRPr="00CA4B22">
        <w:t>b) v sekundárnom práve:</w:t>
      </w:r>
    </w:p>
    <w:p w:rsidR="00960E62" w:rsidRDefault="00960E62" w:rsidP="00960E62"/>
    <w:p w:rsidR="00960E62" w:rsidRPr="00C65CEE" w:rsidRDefault="00960E62" w:rsidP="00960E62">
      <w:r w:rsidRPr="00C65CEE">
        <w:t>Nariadenie Európskeho parlamentu a Rady (EÚ) 2022/2065 z 19. októbra 2022 o jednotnom trhu s digitálnymi službami a o zmene smernice 2000/31/ES (akt o digitálnych službách) (Ú. v. EÚ L 277, 27.10.2022)</w:t>
      </w:r>
    </w:p>
    <w:p w:rsidR="00960E62" w:rsidRDefault="00960E62" w:rsidP="00960E62">
      <w:pPr>
        <w:jc w:val="both"/>
      </w:pPr>
      <w:r>
        <w:t>Gestor: Ministerstvo hospodárstva SR</w:t>
      </w:r>
    </w:p>
    <w:p w:rsidR="00960E62" w:rsidRDefault="00960E62" w:rsidP="00960E62">
      <w:pPr>
        <w:jc w:val="both"/>
      </w:pPr>
      <w:r>
        <w:t>Spolugestor: Ministerstvo kultúry SR</w:t>
      </w:r>
    </w:p>
    <w:p w:rsidR="00960E62" w:rsidRDefault="00960E62" w:rsidP="00960E62">
      <w:pPr>
        <w:jc w:val="both"/>
      </w:pPr>
    </w:p>
    <w:p w:rsidR="00960E62" w:rsidRPr="00C65CEE" w:rsidRDefault="00960E62" w:rsidP="00960E62">
      <w:pPr>
        <w:jc w:val="both"/>
      </w:pPr>
      <w:r w:rsidRPr="00C65CEE">
        <w:t>Nariadenie Európskeho parlamentu a Rady (EÚ) 2019/1150 z 20. júna 2019 o podpore spravodlivosti a transparentnosti pre komerčných používateľov online sprostredkovateľských služieb (Ú. v. EÚ L 186, 11.7.2019)</w:t>
      </w:r>
    </w:p>
    <w:p w:rsidR="00960E62" w:rsidRDefault="00960E62" w:rsidP="00960E62">
      <w:pPr>
        <w:jc w:val="both"/>
      </w:pPr>
      <w:r>
        <w:t>Gestor: Ministerstvo hospodárstva SR</w:t>
      </w:r>
    </w:p>
    <w:p w:rsidR="00960E62" w:rsidRDefault="00960E62" w:rsidP="00960E62">
      <w:pPr>
        <w:jc w:val="both"/>
      </w:pPr>
      <w:r>
        <w:t xml:space="preserve">Spolugestor: Ministerstvo spravodlivosti SR, </w:t>
      </w:r>
      <w:r w:rsidRPr="00C65CEE">
        <w:t>Ministerstvo investícií, regionálneho rozvoja a</w:t>
      </w:r>
      <w:r>
        <w:t> </w:t>
      </w:r>
      <w:r w:rsidRPr="00C65CEE">
        <w:t>informatizácie</w:t>
      </w:r>
      <w:r>
        <w:t xml:space="preserve"> SR</w:t>
      </w:r>
    </w:p>
    <w:p w:rsidR="00960E62" w:rsidRDefault="00960E62" w:rsidP="00960E62">
      <w:pPr>
        <w:jc w:val="both"/>
      </w:pPr>
    </w:p>
    <w:p w:rsidR="00960E62" w:rsidRDefault="00960E62" w:rsidP="00960E62">
      <w:pPr>
        <w:jc w:val="both"/>
      </w:pPr>
      <w:r>
        <w:t>Nariadenie Európskeho parlamentu a R</w:t>
      </w:r>
      <w:r w:rsidRPr="0062470C">
        <w:t xml:space="preserve">ady </w:t>
      </w:r>
      <w:r>
        <w:t xml:space="preserve">(EÚ) 2016/679 z 27. apríla 2016 </w:t>
      </w:r>
      <w:r w:rsidRPr="0062470C">
        <w:t>o ochrane fyzických osôb pri spracúvaní osobných údajov a o voľnom pohybe takýchto údajov, ktorým sa zrušuje smernica 95/46/ES (všeobecné nariadenie o ochrane údajov)</w:t>
      </w:r>
      <w:r>
        <w:t xml:space="preserve"> (Ú. v. EÚ L 119, 4.5.2016)</w:t>
      </w:r>
    </w:p>
    <w:p w:rsidR="00960E62" w:rsidRDefault="00960E62" w:rsidP="00960E62">
      <w:pPr>
        <w:jc w:val="both"/>
      </w:pPr>
      <w:r>
        <w:t xml:space="preserve">Gestor: </w:t>
      </w:r>
      <w:r w:rsidRPr="00ED72A9">
        <w:t>Úrad na ochranu osobných údajov SR</w:t>
      </w:r>
    </w:p>
    <w:p w:rsidR="00960E62" w:rsidRDefault="00960E62" w:rsidP="00960E62">
      <w:pPr>
        <w:jc w:val="both"/>
      </w:pPr>
    </w:p>
    <w:p w:rsidR="00960E62" w:rsidRDefault="00960E62" w:rsidP="00960E62">
      <w:pPr>
        <w:jc w:val="both"/>
      </w:pPr>
      <w:r>
        <w:t xml:space="preserve">Smernica </w:t>
      </w:r>
      <w:r w:rsidRPr="001F6DAF">
        <w:t>Európskeho parlamentu a</w:t>
      </w:r>
      <w:r>
        <w:t> </w:t>
      </w:r>
      <w:r w:rsidRPr="001F6DAF">
        <w:t>Rady</w:t>
      </w:r>
      <w:r>
        <w:t xml:space="preserve"> 2010/13/EÚ </w:t>
      </w:r>
      <w:r w:rsidRPr="001F6DAF">
        <w:t>z 10. marca 2010 o koordinácii niektorých ustanovení upravených zákonom, iným právnym predpisom alebo správnym opatrením v členských štátoch týkajúcich sa poskytovania audiovizuálnych mediálnych služieb (smernica o audiovizuálnych mediálnych službách)</w:t>
      </w:r>
      <w:r>
        <w:t xml:space="preserve"> (kodifikované znenie)</w:t>
      </w:r>
      <w:r w:rsidRPr="001F6DAF">
        <w:t xml:space="preserve"> (Ú. v. EÚ L 95, 15.4.2010) v platnom znení</w:t>
      </w:r>
    </w:p>
    <w:p w:rsidR="00960E62" w:rsidRDefault="00960E62" w:rsidP="00960E62">
      <w:pPr>
        <w:jc w:val="both"/>
      </w:pPr>
      <w:r>
        <w:t>Gestor: Ministerstvo kultúry SR</w:t>
      </w:r>
    </w:p>
    <w:p w:rsidR="00960E62" w:rsidRDefault="00960E62" w:rsidP="00960E62">
      <w:pPr>
        <w:jc w:val="both"/>
      </w:pPr>
    </w:p>
    <w:p w:rsidR="00960E62" w:rsidRPr="00CA4B22" w:rsidRDefault="00960E62" w:rsidP="00960E62">
      <w:r w:rsidRPr="00CA4B22">
        <w:t>c)</w:t>
      </w:r>
      <w:r>
        <w:t xml:space="preserve"> </w:t>
      </w:r>
      <w:r w:rsidRPr="00CA4B22">
        <w:t>v judikatúre Súdneho dvora Európskej únie:</w:t>
      </w:r>
      <w:r>
        <w:t xml:space="preserve"> </w:t>
      </w:r>
      <w:r w:rsidRPr="00CA4B22">
        <w:t xml:space="preserve">Nie je obsiahnuté. </w:t>
      </w:r>
    </w:p>
    <w:p w:rsidR="00960E62" w:rsidRDefault="00960E62" w:rsidP="00960E62"/>
    <w:p w:rsidR="00960E62" w:rsidRPr="00CA4B22" w:rsidRDefault="00960E62" w:rsidP="00960E62">
      <w:pPr>
        <w:rPr>
          <w:b/>
          <w:bCs/>
        </w:rPr>
      </w:pPr>
      <w:r w:rsidRPr="00CA4B22">
        <w:rPr>
          <w:b/>
          <w:bCs/>
        </w:rPr>
        <w:t>4.</w:t>
      </w:r>
      <w:r w:rsidRPr="00E66FF7">
        <w:rPr>
          <w:b/>
          <w:bCs/>
        </w:rPr>
        <w:t xml:space="preserve"> </w:t>
      </w:r>
      <w:r w:rsidRPr="00CA4B22">
        <w:rPr>
          <w:b/>
          <w:bCs/>
        </w:rPr>
        <w:t>Záväzky Slovenskej republiky vo vzťahu k Európskej únii:</w:t>
      </w:r>
    </w:p>
    <w:p w:rsidR="00960E62" w:rsidRDefault="00960E62" w:rsidP="00960E62"/>
    <w:p w:rsidR="00960E62" w:rsidRPr="00DE22B9" w:rsidRDefault="00960E62" w:rsidP="00960E62">
      <w:pPr>
        <w:pStyle w:val="Odsekzoznamu"/>
        <w:widowControl/>
        <w:numPr>
          <w:ilvl w:val="0"/>
          <w:numId w:val="35"/>
        </w:numPr>
        <w:adjustRightInd/>
      </w:pPr>
      <w:r w:rsidRPr="00992B5B">
        <w:t>uviesť</w:t>
      </w:r>
      <w:r w:rsidRPr="00992B5B">
        <w:rPr>
          <w:spacing w:val="22"/>
        </w:rPr>
        <w:t xml:space="preserve"> </w:t>
      </w:r>
      <w:r w:rsidRPr="00992B5B">
        <w:t>lehotu</w:t>
      </w:r>
      <w:r w:rsidRPr="00992B5B">
        <w:rPr>
          <w:spacing w:val="22"/>
        </w:rPr>
        <w:t xml:space="preserve"> </w:t>
      </w:r>
      <w:r w:rsidRPr="00992B5B">
        <w:t>na</w:t>
      </w:r>
      <w:r w:rsidRPr="00992B5B">
        <w:rPr>
          <w:spacing w:val="22"/>
        </w:rPr>
        <w:t xml:space="preserve"> </w:t>
      </w:r>
      <w:r w:rsidRPr="00992B5B">
        <w:t>prebranie</w:t>
      </w:r>
      <w:r w:rsidRPr="00992B5B">
        <w:rPr>
          <w:spacing w:val="22"/>
        </w:rPr>
        <w:t xml:space="preserve"> </w:t>
      </w:r>
      <w:r w:rsidRPr="00992B5B">
        <w:t>príslušného</w:t>
      </w:r>
      <w:r w:rsidRPr="00992B5B">
        <w:rPr>
          <w:spacing w:val="22"/>
        </w:rPr>
        <w:t xml:space="preserve"> </w:t>
      </w:r>
      <w:r w:rsidRPr="00992B5B">
        <w:t>právneho</w:t>
      </w:r>
      <w:r w:rsidRPr="00992B5B">
        <w:rPr>
          <w:spacing w:val="22"/>
        </w:rPr>
        <w:t xml:space="preserve"> </w:t>
      </w:r>
      <w:r w:rsidRPr="00992B5B">
        <w:t>aktu</w:t>
      </w:r>
      <w:r w:rsidRPr="00992B5B">
        <w:rPr>
          <w:spacing w:val="22"/>
        </w:rPr>
        <w:t xml:space="preserve"> </w:t>
      </w:r>
      <w:r w:rsidRPr="00992B5B">
        <w:t>Európskej</w:t>
      </w:r>
      <w:r w:rsidRPr="00992B5B">
        <w:rPr>
          <w:spacing w:val="22"/>
        </w:rPr>
        <w:t xml:space="preserve"> </w:t>
      </w:r>
      <w:r w:rsidRPr="00992B5B">
        <w:t>únie, príp.</w:t>
      </w:r>
      <w:r w:rsidRPr="00992B5B">
        <w:rPr>
          <w:spacing w:val="22"/>
        </w:rPr>
        <w:t xml:space="preserve"> </w:t>
      </w:r>
      <w:r w:rsidRPr="00992B5B">
        <w:t>aj</w:t>
      </w:r>
      <w:r w:rsidRPr="00992B5B">
        <w:rPr>
          <w:spacing w:val="22"/>
        </w:rPr>
        <w:t xml:space="preserve"> </w:t>
      </w:r>
      <w:r w:rsidRPr="00992B5B">
        <w:t>osobitnú lehotu účinnosti jeho ustanovení:</w:t>
      </w:r>
      <w:r>
        <w:t xml:space="preserve"> </w:t>
      </w:r>
    </w:p>
    <w:p w:rsidR="00960E62" w:rsidRPr="001F6DAF" w:rsidRDefault="00960E62" w:rsidP="00960E62">
      <w:pPr>
        <w:pStyle w:val="Odsekzoznamu"/>
        <w:widowControl/>
        <w:numPr>
          <w:ilvl w:val="0"/>
          <w:numId w:val="37"/>
        </w:numPr>
        <w:adjustRightInd/>
        <w:jc w:val="both"/>
      </w:pPr>
      <w:r w:rsidRPr="001F6DAF">
        <w:t>transpozičná lehota S</w:t>
      </w:r>
      <w:r w:rsidRPr="001F6DAF">
        <w:rPr>
          <w:bCs/>
          <w:color w:val="000000"/>
        </w:rPr>
        <w:t xml:space="preserve">mernice Európskeho parlamentu a Rady (EÚ) 2018/1808 zo 14. novembra 2018, ktorou sa mení smernica 2010/13/EÚ o koordinácii niektorých </w:t>
      </w:r>
      <w:r w:rsidRPr="001F6DAF">
        <w:rPr>
          <w:bCs/>
          <w:color w:val="000000"/>
        </w:rPr>
        <w:lastRenderedPageBreak/>
        <w:t xml:space="preserve">ustanovení upravených zákonom, iným právnym predpisom alebo správnym opatrením v členských štátoch týkajúcich sa poskytovania audiovizuálnych mediálnych služieb (smernica o audiovizuálnych mediálnych službách) s ohľadom na meniace sa podmienky na trhu </w:t>
      </w:r>
      <w:r w:rsidRPr="00D73BAB">
        <w:rPr>
          <w:bCs/>
          <w:color w:val="000000"/>
        </w:rPr>
        <w:t>(</w:t>
      </w:r>
      <w:r w:rsidRPr="00D73BAB">
        <w:rPr>
          <w:bCs/>
          <w:iCs/>
          <w:color w:val="000000"/>
        </w:rPr>
        <w:t>Ú. v. EÚ L 303, 28.11.2018)</w:t>
      </w:r>
      <w:r>
        <w:rPr>
          <w:bCs/>
          <w:iCs/>
          <w:color w:val="000000"/>
        </w:rPr>
        <w:t xml:space="preserve"> </w:t>
      </w:r>
      <w:r w:rsidRPr="001F6DAF">
        <w:t xml:space="preserve">- </w:t>
      </w:r>
      <w:r w:rsidRPr="001F6DAF">
        <w:rPr>
          <w:color w:val="000000"/>
        </w:rPr>
        <w:t>19. september 2020</w:t>
      </w:r>
    </w:p>
    <w:p w:rsidR="00960E62" w:rsidRDefault="00960E62" w:rsidP="00960E62">
      <w:pPr>
        <w:pStyle w:val="Odsekzoznamu"/>
        <w:widowControl/>
        <w:numPr>
          <w:ilvl w:val="0"/>
          <w:numId w:val="35"/>
        </w:numPr>
        <w:adjustRightInd/>
        <w:jc w:val="both"/>
      </w:pPr>
      <w:r w:rsidRPr="00992B5B">
        <w:t>uviesť</w:t>
      </w:r>
      <w:r w:rsidRPr="00992B5B">
        <w:rPr>
          <w:spacing w:val="40"/>
        </w:rPr>
        <w:t xml:space="preserve"> </w:t>
      </w:r>
      <w:r w:rsidRPr="00992B5B">
        <w:t>informáciu</w:t>
      </w:r>
      <w:r w:rsidRPr="00992B5B">
        <w:rPr>
          <w:spacing w:val="40"/>
        </w:rPr>
        <w:t xml:space="preserve"> </w:t>
      </w:r>
      <w:r w:rsidRPr="00992B5B">
        <w:t>o začatí</w:t>
      </w:r>
      <w:r w:rsidRPr="00992B5B">
        <w:rPr>
          <w:spacing w:val="40"/>
        </w:rPr>
        <w:t xml:space="preserve"> </w:t>
      </w:r>
      <w:r w:rsidRPr="00992B5B">
        <w:t>postupu</w:t>
      </w:r>
      <w:r w:rsidRPr="00992B5B">
        <w:rPr>
          <w:spacing w:val="40"/>
        </w:rPr>
        <w:t xml:space="preserve"> </w:t>
      </w:r>
      <w:r w:rsidRPr="00992B5B">
        <w:t>Európskej</w:t>
      </w:r>
      <w:r w:rsidRPr="00992B5B">
        <w:rPr>
          <w:spacing w:val="40"/>
        </w:rPr>
        <w:t xml:space="preserve"> </w:t>
      </w:r>
      <w:r w:rsidRPr="00992B5B">
        <w:t>komisie</w:t>
      </w:r>
      <w:r w:rsidRPr="00992B5B">
        <w:rPr>
          <w:spacing w:val="40"/>
        </w:rPr>
        <w:t xml:space="preserve"> </w:t>
      </w:r>
      <w:r w:rsidRPr="00992B5B">
        <w:t>alebo o</w:t>
      </w:r>
      <w:r w:rsidRPr="00992B5B">
        <w:rPr>
          <w:spacing w:val="40"/>
        </w:rPr>
        <w:t xml:space="preserve"> </w:t>
      </w:r>
      <w:r w:rsidRPr="00992B5B">
        <w:t>konaní</w:t>
      </w:r>
      <w:r w:rsidRPr="00992B5B">
        <w:rPr>
          <w:spacing w:val="40"/>
        </w:rPr>
        <w:t xml:space="preserve"> </w:t>
      </w:r>
      <w:r w:rsidRPr="00992B5B">
        <w:t>Súdneho</w:t>
      </w:r>
      <w:r w:rsidRPr="00992B5B">
        <w:rPr>
          <w:spacing w:val="40"/>
        </w:rPr>
        <w:t xml:space="preserve"> </w:t>
      </w:r>
      <w:r w:rsidRPr="00992B5B">
        <w:t>dvora Európskej</w:t>
      </w:r>
      <w:r w:rsidRPr="00992B5B">
        <w:rPr>
          <w:spacing w:val="49"/>
        </w:rPr>
        <w:t xml:space="preserve"> </w:t>
      </w:r>
      <w:r w:rsidRPr="00992B5B">
        <w:t>únie</w:t>
      </w:r>
      <w:r w:rsidRPr="00992B5B">
        <w:rPr>
          <w:spacing w:val="49"/>
        </w:rPr>
        <w:t xml:space="preserve"> </w:t>
      </w:r>
      <w:r w:rsidRPr="00992B5B">
        <w:t>proti</w:t>
      </w:r>
      <w:r w:rsidRPr="00992B5B">
        <w:rPr>
          <w:spacing w:val="49"/>
        </w:rPr>
        <w:t xml:space="preserve"> </w:t>
      </w:r>
      <w:r w:rsidRPr="00992B5B">
        <w:t>Slovenskej</w:t>
      </w:r>
      <w:r w:rsidRPr="00992B5B">
        <w:rPr>
          <w:spacing w:val="49"/>
        </w:rPr>
        <w:t xml:space="preserve"> </w:t>
      </w:r>
      <w:r w:rsidRPr="00992B5B">
        <w:t>republike</w:t>
      </w:r>
      <w:r w:rsidRPr="00992B5B">
        <w:rPr>
          <w:spacing w:val="49"/>
        </w:rPr>
        <w:t xml:space="preserve"> </w:t>
      </w:r>
      <w:r w:rsidRPr="00992B5B">
        <w:t>podľa</w:t>
      </w:r>
      <w:r w:rsidRPr="00992B5B">
        <w:rPr>
          <w:spacing w:val="49"/>
        </w:rPr>
        <w:t xml:space="preserve"> </w:t>
      </w:r>
      <w:r w:rsidRPr="00992B5B">
        <w:t>čl.</w:t>
      </w:r>
      <w:r w:rsidRPr="00992B5B">
        <w:rPr>
          <w:spacing w:val="49"/>
        </w:rPr>
        <w:t xml:space="preserve"> </w:t>
      </w:r>
      <w:r w:rsidRPr="00992B5B">
        <w:t>258</w:t>
      </w:r>
      <w:r w:rsidRPr="00992B5B">
        <w:rPr>
          <w:spacing w:val="49"/>
        </w:rPr>
        <w:t xml:space="preserve"> </w:t>
      </w:r>
      <w:r w:rsidRPr="00992B5B">
        <w:t>a</w:t>
      </w:r>
      <w:r w:rsidRPr="00992B5B">
        <w:rPr>
          <w:spacing w:val="49"/>
        </w:rPr>
        <w:t xml:space="preserve"> </w:t>
      </w:r>
      <w:r w:rsidRPr="00992B5B">
        <w:t>260</w:t>
      </w:r>
      <w:r w:rsidRPr="00992B5B">
        <w:rPr>
          <w:spacing w:val="49"/>
        </w:rPr>
        <w:t xml:space="preserve"> </w:t>
      </w:r>
      <w:r w:rsidRPr="00992B5B">
        <w:t>Zmluvy</w:t>
      </w:r>
      <w:r w:rsidRPr="00992B5B">
        <w:rPr>
          <w:spacing w:val="49"/>
        </w:rPr>
        <w:t xml:space="preserve"> </w:t>
      </w:r>
      <w:r w:rsidRPr="00992B5B">
        <w:t>o fungovaní Európskej</w:t>
      </w:r>
      <w:r w:rsidRPr="00992B5B">
        <w:rPr>
          <w:spacing w:val="118"/>
        </w:rPr>
        <w:t xml:space="preserve"> </w:t>
      </w:r>
      <w:r w:rsidRPr="00992B5B">
        <w:t>únie</w:t>
      </w:r>
      <w:r w:rsidRPr="00992B5B">
        <w:rPr>
          <w:spacing w:val="118"/>
        </w:rPr>
        <w:t xml:space="preserve"> </w:t>
      </w:r>
      <w:r w:rsidRPr="00992B5B">
        <w:t>v</w:t>
      </w:r>
      <w:r w:rsidRPr="00992B5B">
        <w:rPr>
          <w:spacing w:val="118"/>
        </w:rPr>
        <w:t xml:space="preserve"> </w:t>
      </w:r>
      <w:r w:rsidRPr="00992B5B">
        <w:t>jej platnom</w:t>
      </w:r>
      <w:r w:rsidRPr="00992B5B">
        <w:rPr>
          <w:spacing w:val="118"/>
        </w:rPr>
        <w:t xml:space="preserve"> </w:t>
      </w:r>
      <w:r w:rsidRPr="00992B5B">
        <w:t>znení,</w:t>
      </w:r>
      <w:r w:rsidRPr="00992B5B">
        <w:rPr>
          <w:spacing w:val="118"/>
        </w:rPr>
        <w:t xml:space="preserve"> </w:t>
      </w:r>
      <w:r w:rsidRPr="00992B5B">
        <w:t>spolu</w:t>
      </w:r>
      <w:r w:rsidRPr="00992B5B">
        <w:rPr>
          <w:spacing w:val="118"/>
        </w:rPr>
        <w:t xml:space="preserve"> </w:t>
      </w:r>
      <w:r w:rsidRPr="00992B5B">
        <w:t>s uvedením</w:t>
      </w:r>
      <w:r w:rsidRPr="00992B5B">
        <w:rPr>
          <w:spacing w:val="118"/>
        </w:rPr>
        <w:t xml:space="preserve"> </w:t>
      </w:r>
      <w:r w:rsidRPr="00992B5B">
        <w:t>konkrétnych</w:t>
      </w:r>
      <w:r w:rsidRPr="00992B5B">
        <w:rPr>
          <w:spacing w:val="118"/>
        </w:rPr>
        <w:t xml:space="preserve"> </w:t>
      </w:r>
      <w:r w:rsidRPr="00992B5B">
        <w:t>vytýkaných nedostatkov a požiadaviek na zabezpečenie nápravy</w:t>
      </w:r>
    </w:p>
    <w:p w:rsidR="00960E62" w:rsidRPr="00992B5B" w:rsidRDefault="00960E62" w:rsidP="00960E62">
      <w:pPr>
        <w:pStyle w:val="Odsekzoznamu"/>
        <w:jc w:val="both"/>
      </w:pPr>
    </w:p>
    <w:p w:rsidR="00960E62" w:rsidRDefault="00960E62" w:rsidP="00960E62">
      <w:pPr>
        <w:ind w:left="708"/>
        <w:jc w:val="both"/>
      </w:pPr>
      <w:r>
        <w:t xml:space="preserve">Formálne oznámenie Európskej komisie C(2023)88 final zo dňa 26. januára 2023 týkajúce sa konania o porušení zmlúv vedeného podľa čl. 258 Zmluvy o fungovaní Európskej únie pod číslom INFR(2022)2148 vo veci nedostatočnej implementácie nariadenia </w:t>
      </w:r>
      <w:r w:rsidRPr="00C65CEE">
        <w:t>Európskeho parlamentu a Rady (EÚ) 2019/1150 z 20. júna 2019 o podpore spravodlivosti a transparentnosti pre komerčných používateľov online sprostredkovateľských služieb (Ú. v. EÚ L 186, 11.7.2019)</w:t>
      </w:r>
      <w:r>
        <w:t>, osobitne so zreteľom na povinnosti uložené článkom 15 uvedeného nariadenia.</w:t>
      </w:r>
    </w:p>
    <w:p w:rsidR="00960E62" w:rsidRDefault="00960E62" w:rsidP="00960E62">
      <w:pPr>
        <w:ind w:left="708"/>
        <w:jc w:val="both"/>
      </w:pPr>
    </w:p>
    <w:p w:rsidR="00960E62" w:rsidRPr="00C65CEE" w:rsidRDefault="00960E62" w:rsidP="00960E62">
      <w:pPr>
        <w:ind w:left="708"/>
        <w:jc w:val="both"/>
      </w:pPr>
      <w:r>
        <w:t>Formálne oznámenie</w:t>
      </w:r>
      <w:r w:rsidRPr="00A16377">
        <w:t xml:space="preserve"> Európ</w:t>
      </w:r>
      <w:r>
        <w:t xml:space="preserve">skej komisie C(2024)2188 final zo </w:t>
      </w:r>
      <w:r w:rsidRPr="00AE3595">
        <w:t>dňa 24. apríla 2024</w:t>
      </w:r>
      <w:r>
        <w:t xml:space="preserve"> </w:t>
      </w:r>
      <w:r w:rsidRPr="00A16377">
        <w:t>týka</w:t>
      </w:r>
      <w:r>
        <w:t>júce sa</w:t>
      </w:r>
      <w:r w:rsidRPr="00A16377">
        <w:t xml:space="preserve"> konania o porušení povinnosti vedeného podľa čl. 258 Zmluvy o fungovaní Európskej</w:t>
      </w:r>
      <w:r>
        <w:t xml:space="preserve"> únie pod číslom INFR(2024)2042</w:t>
      </w:r>
      <w:r w:rsidRPr="00A16377">
        <w:t xml:space="preserve"> </w:t>
      </w:r>
      <w:r>
        <w:t>vo veci</w:t>
      </w:r>
      <w:r w:rsidRPr="00A16377">
        <w:t xml:space="preserve"> nesplnenia povinností uložených v čl. 49, 51 a 52 nariadenia Európskeho parlamentu a Rady (EÚ) 2022/2065 z 19. októbra 2022 o jednotnom trhu s digitálnymi službami a o zmene smernice 2000/31/ES (Akt o digitálnych službách)</w:t>
      </w:r>
      <w:r>
        <w:t xml:space="preserve"> </w:t>
      </w:r>
      <w:r w:rsidRPr="00C65CEE">
        <w:t>(Ú. v. EÚ L 277, 27.10.2022)</w:t>
      </w:r>
      <w:r>
        <w:t>.</w:t>
      </w:r>
    </w:p>
    <w:p w:rsidR="00960E62" w:rsidRDefault="00960E62" w:rsidP="00960E62">
      <w:pPr>
        <w:jc w:val="both"/>
      </w:pPr>
    </w:p>
    <w:p w:rsidR="00960E62" w:rsidRDefault="00960E62" w:rsidP="00960E62">
      <w:pPr>
        <w:pStyle w:val="Odsekzoznamu"/>
        <w:widowControl/>
        <w:numPr>
          <w:ilvl w:val="0"/>
          <w:numId w:val="35"/>
        </w:numPr>
        <w:adjustRightInd/>
        <w:jc w:val="both"/>
      </w:pPr>
      <w:r w:rsidRPr="00992B5B">
        <w:t>uviesť</w:t>
      </w:r>
      <w:r w:rsidRPr="00992B5B">
        <w:rPr>
          <w:spacing w:val="8"/>
        </w:rPr>
        <w:t xml:space="preserve"> </w:t>
      </w:r>
      <w:r w:rsidRPr="00992B5B">
        <w:t>informáciu</w:t>
      </w:r>
      <w:r w:rsidRPr="00992B5B">
        <w:rPr>
          <w:spacing w:val="8"/>
        </w:rPr>
        <w:t xml:space="preserve"> </w:t>
      </w:r>
      <w:r w:rsidRPr="00992B5B">
        <w:t>o právnych</w:t>
      </w:r>
      <w:r w:rsidRPr="00992B5B">
        <w:rPr>
          <w:spacing w:val="8"/>
        </w:rPr>
        <w:t xml:space="preserve"> </w:t>
      </w:r>
      <w:r w:rsidRPr="00992B5B">
        <w:t>predpisoch,</w:t>
      </w:r>
      <w:r w:rsidRPr="00992B5B">
        <w:rPr>
          <w:spacing w:val="8"/>
        </w:rPr>
        <w:t xml:space="preserve"> </w:t>
      </w:r>
      <w:r w:rsidRPr="00992B5B">
        <w:t>v ktorých</w:t>
      </w:r>
      <w:r w:rsidRPr="00992B5B">
        <w:rPr>
          <w:spacing w:val="8"/>
        </w:rPr>
        <w:t xml:space="preserve"> </w:t>
      </w:r>
      <w:r w:rsidRPr="00992B5B">
        <w:t>sú</w:t>
      </w:r>
      <w:r w:rsidRPr="00992B5B">
        <w:rPr>
          <w:spacing w:val="8"/>
        </w:rPr>
        <w:t xml:space="preserve"> </w:t>
      </w:r>
      <w:r w:rsidRPr="00992B5B">
        <w:t>uvádzané</w:t>
      </w:r>
      <w:r w:rsidRPr="00992B5B">
        <w:rPr>
          <w:spacing w:val="8"/>
        </w:rPr>
        <w:t xml:space="preserve"> </w:t>
      </w:r>
      <w:r w:rsidRPr="00992B5B">
        <w:t>právne</w:t>
      </w:r>
      <w:r w:rsidRPr="00992B5B">
        <w:rPr>
          <w:spacing w:val="8"/>
        </w:rPr>
        <w:t xml:space="preserve"> </w:t>
      </w:r>
      <w:r w:rsidRPr="00992B5B">
        <w:t>akty</w:t>
      </w:r>
      <w:r w:rsidRPr="00992B5B">
        <w:rPr>
          <w:spacing w:val="8"/>
        </w:rPr>
        <w:t xml:space="preserve"> </w:t>
      </w:r>
      <w:r w:rsidRPr="00992B5B">
        <w:t>Európskej únie</w:t>
      </w:r>
      <w:r w:rsidRPr="00992B5B">
        <w:rPr>
          <w:spacing w:val="19"/>
        </w:rPr>
        <w:t xml:space="preserve"> </w:t>
      </w:r>
      <w:r w:rsidRPr="00992B5B">
        <w:t>už</w:t>
      </w:r>
      <w:r w:rsidRPr="00992B5B">
        <w:rPr>
          <w:spacing w:val="19"/>
        </w:rPr>
        <w:t xml:space="preserve"> </w:t>
      </w:r>
      <w:r w:rsidRPr="00992B5B">
        <w:t>prebrané,</w:t>
      </w:r>
      <w:r w:rsidRPr="00992B5B">
        <w:rPr>
          <w:spacing w:val="19"/>
        </w:rPr>
        <w:t xml:space="preserve"> </w:t>
      </w:r>
      <w:r w:rsidRPr="00992B5B">
        <w:t>spolu</w:t>
      </w:r>
      <w:r w:rsidRPr="00992B5B">
        <w:rPr>
          <w:spacing w:val="19"/>
        </w:rPr>
        <w:t xml:space="preserve"> </w:t>
      </w:r>
      <w:r w:rsidRPr="00992B5B">
        <w:t>s uvedením</w:t>
      </w:r>
      <w:r w:rsidRPr="00992B5B">
        <w:rPr>
          <w:spacing w:val="19"/>
        </w:rPr>
        <w:t xml:space="preserve"> </w:t>
      </w:r>
      <w:r w:rsidRPr="00992B5B">
        <w:t>rozsahu</w:t>
      </w:r>
      <w:r w:rsidRPr="00992B5B">
        <w:rPr>
          <w:spacing w:val="19"/>
        </w:rPr>
        <w:t xml:space="preserve"> </w:t>
      </w:r>
      <w:r w:rsidRPr="00992B5B">
        <w:t>ich</w:t>
      </w:r>
      <w:r w:rsidRPr="00992B5B">
        <w:rPr>
          <w:spacing w:val="19"/>
        </w:rPr>
        <w:t xml:space="preserve"> </w:t>
      </w:r>
      <w:r w:rsidRPr="00992B5B">
        <w:t>prebrania príp.</w:t>
      </w:r>
      <w:r w:rsidRPr="00992B5B">
        <w:rPr>
          <w:spacing w:val="19"/>
        </w:rPr>
        <w:t xml:space="preserve"> </w:t>
      </w:r>
      <w:r w:rsidRPr="00992B5B">
        <w:t>potreby</w:t>
      </w:r>
      <w:r w:rsidRPr="00992B5B">
        <w:rPr>
          <w:spacing w:val="19"/>
        </w:rPr>
        <w:t xml:space="preserve"> </w:t>
      </w:r>
      <w:r w:rsidRPr="00992B5B">
        <w:t>prijatia</w:t>
      </w:r>
      <w:r w:rsidRPr="00992B5B">
        <w:rPr>
          <w:spacing w:val="19"/>
        </w:rPr>
        <w:t xml:space="preserve"> </w:t>
      </w:r>
      <w:r>
        <w:t>ďalších úprav</w:t>
      </w:r>
    </w:p>
    <w:p w:rsidR="00960E62" w:rsidRDefault="00960E62" w:rsidP="00960E62">
      <w:pPr>
        <w:pStyle w:val="Odsekzoznamu"/>
        <w:widowControl/>
        <w:numPr>
          <w:ilvl w:val="0"/>
          <w:numId w:val="21"/>
        </w:numPr>
        <w:autoSpaceDE w:val="0"/>
        <w:autoSpaceDN w:val="0"/>
        <w:adjustRightInd/>
        <w:spacing w:after="200" w:line="276" w:lineRule="auto"/>
        <w:jc w:val="both"/>
      </w:pPr>
      <w:r>
        <w:rPr>
          <w:bCs/>
          <w:color w:val="000000"/>
        </w:rPr>
        <w:t>s</w:t>
      </w:r>
      <w:r w:rsidRPr="00C77A33">
        <w:rPr>
          <w:bCs/>
          <w:color w:val="000000"/>
        </w:rPr>
        <w:t xml:space="preserve">mernica Európskeho parlamentu a Rady 2010/13/EÚ z 10. marca 2010 o koordinácii niektorých ustanovení upravených zákonom, iným právnym predpisom alebo správnym opatrením v členských štátoch týkajúcich sa poskytovania audiovizuálnych mediálnych služieb (smernica o audiovizuálnych mediálnych službách) </w:t>
      </w:r>
      <w:r>
        <w:rPr>
          <w:bCs/>
          <w:color w:val="000000"/>
        </w:rPr>
        <w:t xml:space="preserve">(kodifikované znenie) </w:t>
      </w:r>
      <w:r w:rsidRPr="00C77A33">
        <w:t>(Ú. v. EÚ L 95, 15.</w:t>
      </w:r>
      <w:r>
        <w:t xml:space="preserve"> </w:t>
      </w:r>
      <w:r w:rsidRPr="00C77A33">
        <w:t>4.</w:t>
      </w:r>
      <w:r>
        <w:t xml:space="preserve"> </w:t>
      </w:r>
      <w:r w:rsidRPr="00C77A33">
        <w:t>2010) v platnom znení</w:t>
      </w:r>
    </w:p>
    <w:p w:rsidR="00960E62" w:rsidRDefault="00960E62" w:rsidP="00960E62">
      <w:pPr>
        <w:pStyle w:val="Odsekzoznamu"/>
        <w:autoSpaceDE w:val="0"/>
        <w:autoSpaceDN w:val="0"/>
        <w:ind w:left="1069"/>
        <w:jc w:val="both"/>
      </w:pPr>
    </w:p>
    <w:p w:rsidR="00960E62" w:rsidRDefault="00960E62" w:rsidP="00960E62">
      <w:pPr>
        <w:pStyle w:val="Odsekzoznamu"/>
        <w:widowControl/>
        <w:numPr>
          <w:ilvl w:val="0"/>
          <w:numId w:val="22"/>
        </w:numPr>
        <w:adjustRightInd/>
        <w:spacing w:after="200" w:line="276" w:lineRule="auto"/>
        <w:jc w:val="both"/>
      </w:pPr>
      <w:r>
        <w:t xml:space="preserve">zákon č. 264/2022 Z. z. </w:t>
      </w:r>
      <w:r w:rsidRPr="001F6DAF">
        <w:t>o mediálnych službách a o zmene a doplnení niektorých zákonov (zákon o mediálnych službách)</w:t>
      </w:r>
      <w:r>
        <w:t xml:space="preserve"> v znení neskorších predpisov,</w:t>
      </w:r>
    </w:p>
    <w:p w:rsidR="00960E62" w:rsidRPr="00CE6878" w:rsidRDefault="00960E62" w:rsidP="00960E62">
      <w:pPr>
        <w:pStyle w:val="Odsekzoznamu"/>
      </w:pPr>
    </w:p>
    <w:p w:rsidR="00960E62" w:rsidRPr="00537147" w:rsidRDefault="00960E62" w:rsidP="00960E62">
      <w:pPr>
        <w:pStyle w:val="Odsekzoznamu"/>
        <w:widowControl/>
        <w:numPr>
          <w:ilvl w:val="0"/>
          <w:numId w:val="22"/>
        </w:numPr>
        <w:adjustRightInd/>
        <w:spacing w:after="200" w:line="276" w:lineRule="auto"/>
        <w:jc w:val="both"/>
      </w:pPr>
      <w:r w:rsidRPr="00537147">
        <w:t>zákon č. 147/2001 Z. z. o reklame a o zmene a doplnení niektorých zákonov v znení neskorších predpisov.</w:t>
      </w:r>
    </w:p>
    <w:p w:rsidR="00960E62" w:rsidRPr="00DE22B9" w:rsidRDefault="00960E62" w:rsidP="00960E62">
      <w:pPr>
        <w:pStyle w:val="Odsekzoznamu"/>
        <w:jc w:val="both"/>
      </w:pPr>
    </w:p>
    <w:p w:rsidR="00960E62" w:rsidRDefault="00960E62" w:rsidP="00960E62">
      <w:pPr>
        <w:jc w:val="both"/>
      </w:pPr>
    </w:p>
    <w:p w:rsidR="00960E62" w:rsidRPr="00E66FF7" w:rsidRDefault="00960E62" w:rsidP="00960E62">
      <w:pPr>
        <w:jc w:val="both"/>
        <w:rPr>
          <w:b/>
          <w:bCs/>
        </w:rPr>
      </w:pPr>
      <w:r w:rsidRPr="00CA4B22">
        <w:rPr>
          <w:b/>
          <w:bCs/>
        </w:rPr>
        <w:t>5.</w:t>
      </w:r>
      <w:r w:rsidRPr="00E66FF7">
        <w:rPr>
          <w:b/>
          <w:bCs/>
        </w:rPr>
        <w:t xml:space="preserve"> </w:t>
      </w:r>
      <w:r w:rsidRPr="00CA4B22">
        <w:rPr>
          <w:b/>
          <w:bCs/>
        </w:rPr>
        <w:t>Návrh zákona je zlučiteľný s právom Európskej únie:</w:t>
      </w:r>
    </w:p>
    <w:p w:rsidR="00960E62" w:rsidRPr="00992B5B" w:rsidRDefault="00960E62" w:rsidP="00960E62">
      <w:pPr>
        <w:pStyle w:val="Odsekzoznamu"/>
        <w:widowControl/>
        <w:numPr>
          <w:ilvl w:val="0"/>
          <w:numId w:val="36"/>
        </w:numPr>
        <w:adjustRightInd/>
        <w:jc w:val="both"/>
      </w:pPr>
      <w:r w:rsidRPr="00992B5B">
        <w:t>úplne</w:t>
      </w:r>
    </w:p>
    <w:p w:rsidR="005A2AB2" w:rsidRPr="00C77A33" w:rsidRDefault="005A2AB2" w:rsidP="005A2AB2">
      <w:pPr>
        <w:autoSpaceDE w:val="0"/>
        <w:autoSpaceDN w:val="0"/>
        <w:jc w:val="both"/>
      </w:pPr>
    </w:p>
    <w:p w:rsidR="005A2AB2" w:rsidRPr="00C77A33" w:rsidRDefault="005A2AB2" w:rsidP="005A2AB2">
      <w:pPr>
        <w:jc w:val="both"/>
      </w:pPr>
    </w:p>
    <w:p w:rsidR="005A2AB2" w:rsidRDefault="005A2AB2"/>
    <w:p w:rsidR="00F55A99" w:rsidRDefault="00F55A99"/>
    <w:p w:rsidR="00F55A99" w:rsidRDefault="00F55A99"/>
    <w:p w:rsidR="00960E62" w:rsidRDefault="00960E62" w:rsidP="00960E62">
      <w:pPr>
        <w:jc w:val="center"/>
        <w:rPr>
          <w:b/>
          <w:bCs/>
        </w:rPr>
      </w:pPr>
      <w:r>
        <w:rPr>
          <w:b/>
          <w:bCs/>
        </w:rPr>
        <w:lastRenderedPageBreak/>
        <w:t>DÔVODOVÁ SPRÁVA</w:t>
      </w:r>
    </w:p>
    <w:p w:rsidR="00960E62" w:rsidRDefault="00960E62" w:rsidP="00960E62">
      <w:pPr>
        <w:rPr>
          <w:b/>
          <w:bCs/>
        </w:rPr>
      </w:pPr>
    </w:p>
    <w:p w:rsidR="00960E62" w:rsidRPr="00260016" w:rsidRDefault="00960E62" w:rsidP="00960E62">
      <w:pPr>
        <w:rPr>
          <w:b/>
          <w:bCs/>
        </w:rPr>
      </w:pPr>
      <w:r w:rsidRPr="00260016">
        <w:rPr>
          <w:b/>
          <w:bCs/>
        </w:rPr>
        <w:t>Osobitná časť</w:t>
      </w:r>
    </w:p>
    <w:p w:rsidR="00960E62" w:rsidRPr="00030446" w:rsidRDefault="00960E62" w:rsidP="00960E62">
      <w:pPr>
        <w:rPr>
          <w:bCs/>
        </w:rPr>
      </w:pPr>
    </w:p>
    <w:p w:rsidR="00960E62" w:rsidRDefault="00960E62" w:rsidP="00960E62">
      <w:pPr>
        <w:rPr>
          <w:b/>
        </w:rPr>
      </w:pPr>
      <w:r w:rsidRPr="00030446">
        <w:rPr>
          <w:b/>
        </w:rPr>
        <w:t>Čl. I</w:t>
      </w:r>
    </w:p>
    <w:p w:rsidR="00960E62" w:rsidRDefault="00960E62" w:rsidP="00960E62">
      <w:pPr>
        <w:rPr>
          <w:b/>
        </w:rPr>
      </w:pPr>
    </w:p>
    <w:p w:rsidR="00960E62" w:rsidRPr="00F82219" w:rsidRDefault="00960E62" w:rsidP="00960E62">
      <w:pPr>
        <w:jc w:val="both"/>
        <w:rPr>
          <w:u w:val="single"/>
        </w:rPr>
      </w:pPr>
      <w:r w:rsidRPr="003F2498">
        <w:rPr>
          <w:u w:val="single"/>
        </w:rPr>
        <w:t xml:space="preserve">K bodom </w:t>
      </w:r>
      <w:r>
        <w:rPr>
          <w:u w:val="single"/>
        </w:rPr>
        <w:t>1</w:t>
      </w:r>
      <w:r w:rsidRPr="003F2498">
        <w:rPr>
          <w:u w:val="single"/>
        </w:rPr>
        <w:t xml:space="preserve"> až </w:t>
      </w:r>
      <w:r>
        <w:rPr>
          <w:u w:val="single"/>
        </w:rPr>
        <w:t>5</w:t>
      </w:r>
    </w:p>
    <w:p w:rsidR="00960E62" w:rsidRPr="00694CEF" w:rsidRDefault="00960E62" w:rsidP="00960E62">
      <w:pPr>
        <w:jc w:val="both"/>
      </w:pPr>
      <w:r w:rsidRPr="00694CEF">
        <w:t>Na</w:t>
      </w:r>
      <w:r>
        <w:t>vrhuje sa explicitne uviesť, že</w:t>
      </w:r>
      <w:r w:rsidRPr="00694CEF">
        <w:t xml:space="preserve"> podiel programov podľa § 55 ods. 1 písm. b)</w:t>
      </w:r>
      <w:r>
        <w:t xml:space="preserve"> zákona č. 264/2022 Z. z. </w:t>
      </w:r>
      <w:r w:rsidRPr="001727D9">
        <w:t>o mediálnych službách a o zmene a doplnení niektorých zákonov (zákon o mediálnych službách)</w:t>
      </w:r>
      <w:r>
        <w:t xml:space="preserve"> (ďalej len „zákon“ alebo „zákon o mediálnych službách“)</w:t>
      </w:r>
      <w:r w:rsidRPr="00694CEF">
        <w:t xml:space="preserve"> sa určí ako podiel vysielacieho času programov sprevádzaných hlasovým komentovaním pre nevidiacich </w:t>
      </w:r>
    </w:p>
    <w:p w:rsidR="00960E62" w:rsidRDefault="00960E62" w:rsidP="00960E62">
      <w:pPr>
        <w:jc w:val="both"/>
      </w:pPr>
      <w:r w:rsidRPr="00694CEF">
        <w:t xml:space="preserve">vo vysielaní všetkých televíznych programových služieb verejnoprávneho vysielateľa z celkového vysielacieho času programov vysielaných vo vysielaní všetkých televíznych programových služieb verejnoprávneho vysielateľa za kalendárny štvrťrok.  Zmena sa navrhuje z dôvodu možného nejednoznačného výkladu tohto ustanovenia. Hoci sa má vypočítavať podiel programov  sprevádzaných hlasovým komentovaním pre nevidiacich, tak zákon ustanovuje, že relevantným údajom pre výpočet podielu je vysielací čas programov s multimodálnym prístupom (v akejkoľvek forme). </w:t>
      </w:r>
    </w:p>
    <w:p w:rsidR="00960E62" w:rsidRDefault="00960E62" w:rsidP="00960E62">
      <w:pPr>
        <w:jc w:val="both"/>
      </w:pPr>
      <w:r w:rsidRPr="00694CEF">
        <w:t xml:space="preserve"> </w:t>
      </w:r>
    </w:p>
    <w:p w:rsidR="00960E62" w:rsidRDefault="00960E62" w:rsidP="00960E62">
      <w:pPr>
        <w:jc w:val="both"/>
      </w:pPr>
      <w:r>
        <w:t>Obdobná úprava sa navrhuje aj vo vzťahu k § 55 ods. 4, ktoré upravuje spôsob výpočtu podielu programov s multimodálnym prístupom platný pre oprávnených vysielateľov, a tiež vo vzťahu k § 58 ods. 2, ktoré sa vzťahuje na poskytovateľov audiovizuálnej mediálnej služby na požiadanie.</w:t>
      </w:r>
    </w:p>
    <w:p w:rsidR="00960E62" w:rsidRDefault="00960E62" w:rsidP="00960E62">
      <w:pPr>
        <w:jc w:val="both"/>
      </w:pPr>
    </w:p>
    <w:p w:rsidR="00960E62" w:rsidRPr="00694CEF" w:rsidRDefault="00960E62" w:rsidP="00960E62">
      <w:pPr>
        <w:jc w:val="both"/>
      </w:pPr>
      <w:r>
        <w:t xml:space="preserve">Zároveň sa v § 55 ods. 5 navrhuje stanoviť výnimku, podľa ktorej sa do </w:t>
      </w:r>
      <w:r w:rsidRPr="003F2498">
        <w:t>vysielacieho času pri určení podielu programov</w:t>
      </w:r>
      <w:r>
        <w:t>, ktoré majú byť sprevádzané hlasovým komentovaním pre nevidiacich, rozšíriť aj o programy založené na diskusii hostí.</w:t>
      </w:r>
      <w:r w:rsidRPr="003F2498">
        <w:t xml:space="preserve"> Pri publicistických programoch, ktoré</w:t>
      </w:r>
      <w:r>
        <w:t xml:space="preserve"> sú založené na diskusii hostí totiž </w:t>
      </w:r>
      <w:r w:rsidRPr="003F2498">
        <w:t>nie je potrebné pre ich vnímanie a pochopenie zo strany nevidiacich realizovať hlasové komentovanie pre nevidiacich, keďže z hľadiska obrazovej zložky majú zvyčajne statický priebeh (kamery snímajú moderátora a diskutujúci hostí, ktorí sa nachádzajú (spravidla sedia) v štúdiu).</w:t>
      </w:r>
      <w:r>
        <w:t xml:space="preserve"> </w:t>
      </w:r>
      <w:r w:rsidRPr="003F2498">
        <w:t>Navyše</w:t>
      </w:r>
      <w:r>
        <w:t>,</w:t>
      </w:r>
      <w:r w:rsidRPr="003F2498">
        <w:t xml:space="preserve"> publicistické programy založené na diskusii hostí nie sú dramaturgicky stavané tak, aby mali úseky bez hlasových prejavov účinkujúcich, v rámci ktorých by sa malo umiestňovať hlasové komentovanie pre</w:t>
      </w:r>
      <w:r>
        <w:t xml:space="preserve"> nevidiacich. Obdobná úprava sa navrhuje aj vo vzťahu k § 58 ods. 4, tzn. voči audiovizuálnym mediálnym službám na požiadanie.</w:t>
      </w:r>
    </w:p>
    <w:p w:rsidR="00960E62" w:rsidRPr="00F82219" w:rsidRDefault="00960E62" w:rsidP="00960E62">
      <w:pPr>
        <w:jc w:val="both"/>
        <w:rPr>
          <w:u w:val="single"/>
        </w:rPr>
      </w:pPr>
    </w:p>
    <w:p w:rsidR="00960E62" w:rsidRPr="00F82219" w:rsidRDefault="00960E62" w:rsidP="00960E62">
      <w:pPr>
        <w:jc w:val="both"/>
        <w:rPr>
          <w:u w:val="single"/>
        </w:rPr>
      </w:pPr>
      <w:r w:rsidRPr="00533470">
        <w:rPr>
          <w:u w:val="single"/>
        </w:rPr>
        <w:t xml:space="preserve">K bodom </w:t>
      </w:r>
      <w:r>
        <w:rPr>
          <w:u w:val="single"/>
        </w:rPr>
        <w:t>6</w:t>
      </w:r>
      <w:r w:rsidRPr="00533470">
        <w:rPr>
          <w:u w:val="single"/>
        </w:rPr>
        <w:t xml:space="preserve"> až </w:t>
      </w:r>
      <w:r>
        <w:rPr>
          <w:u w:val="single"/>
        </w:rPr>
        <w:t>8</w:t>
      </w:r>
    </w:p>
    <w:p w:rsidR="00960E62" w:rsidRPr="00694CEF" w:rsidRDefault="00960E62" w:rsidP="00960E62">
      <w:pPr>
        <w:jc w:val="both"/>
      </w:pPr>
      <w:r w:rsidRPr="00694CEF">
        <w:t xml:space="preserve">Navrhuje sa precizovať znenie </w:t>
      </w:r>
      <w:r>
        <w:t xml:space="preserve">§ </w:t>
      </w:r>
      <w:r w:rsidRPr="00694CEF">
        <w:t>62 ods. 6 a 8 tak, aby bolo zrejmé, že</w:t>
      </w:r>
      <w:r>
        <w:t xml:space="preserve"> na</w:t>
      </w:r>
      <w:r w:rsidRPr="00694CEF">
        <w:t xml:space="preserve"> vysielateľ</w:t>
      </w:r>
      <w:r>
        <w:t>a</w:t>
      </w:r>
      <w:r w:rsidRPr="00694CEF">
        <w:t xml:space="preserve"> a poskytovateľ</w:t>
      </w:r>
      <w:r>
        <w:t>a</w:t>
      </w:r>
      <w:r w:rsidRPr="00694CEF">
        <w:t xml:space="preserve"> audiovizuálnej mediálnej služby na požiadanie s</w:t>
      </w:r>
      <w:r>
        <w:t>a vzťahuje povinnosť</w:t>
      </w:r>
      <w:r w:rsidRPr="00694CEF">
        <w:t xml:space="preserve"> dôsledne uplatňovať jednotný systém označovania alebo iný akceptovaný systém označovania a povinnosť určiť vekovú vhodnosť vysielaného alebo poskytovaného programu a typ potenciálne škodlivého obsahu, ktorý je v ňom obsiahnutý, iba ak sú osobou uvádzajúcou označovaný komunikát na trh (v súlade s § 62 ods. 8). V nadväznosti na navrhovanú zmenu § 62 ods. 6 sa navrhuje vypustenie § 62 ods. 7. </w:t>
      </w:r>
    </w:p>
    <w:p w:rsidR="00960E62" w:rsidRPr="00F82219" w:rsidRDefault="00960E62" w:rsidP="00960E62">
      <w:pPr>
        <w:jc w:val="both"/>
        <w:rPr>
          <w:u w:val="single"/>
        </w:rPr>
      </w:pPr>
    </w:p>
    <w:p w:rsidR="00960E62" w:rsidRPr="00F82219" w:rsidRDefault="00960E62" w:rsidP="00960E62">
      <w:pPr>
        <w:jc w:val="both"/>
        <w:rPr>
          <w:u w:val="single"/>
        </w:rPr>
      </w:pPr>
      <w:r w:rsidRPr="003F2498">
        <w:rPr>
          <w:u w:val="single"/>
        </w:rPr>
        <w:t xml:space="preserve">K bodom </w:t>
      </w:r>
      <w:r>
        <w:rPr>
          <w:u w:val="single"/>
        </w:rPr>
        <w:t>9</w:t>
      </w:r>
      <w:r w:rsidRPr="003F2498">
        <w:rPr>
          <w:u w:val="single"/>
        </w:rPr>
        <w:t xml:space="preserve">, </w:t>
      </w:r>
      <w:r>
        <w:rPr>
          <w:u w:val="single"/>
        </w:rPr>
        <w:t>11</w:t>
      </w:r>
      <w:r w:rsidRPr="003F2498">
        <w:rPr>
          <w:u w:val="single"/>
        </w:rPr>
        <w:t xml:space="preserve"> a </w:t>
      </w:r>
      <w:r>
        <w:rPr>
          <w:u w:val="single"/>
        </w:rPr>
        <w:t>12</w:t>
      </w:r>
    </w:p>
    <w:p w:rsidR="00960E62" w:rsidRPr="008717A9" w:rsidRDefault="00960E62" w:rsidP="00960E62">
      <w:pPr>
        <w:jc w:val="both"/>
      </w:pPr>
      <w:r w:rsidRPr="00694CEF">
        <w:t>Legislatívno-technická úprava v nadväznosti na navrhované vypustenie § 62 ods. 7.</w:t>
      </w:r>
    </w:p>
    <w:p w:rsidR="00960E62" w:rsidRDefault="00960E62" w:rsidP="00960E62">
      <w:pPr>
        <w:jc w:val="both"/>
        <w:rPr>
          <w:u w:val="single"/>
        </w:rPr>
      </w:pPr>
    </w:p>
    <w:p w:rsidR="00960E62" w:rsidRDefault="00960E62" w:rsidP="00960E62">
      <w:pPr>
        <w:jc w:val="both"/>
        <w:rPr>
          <w:u w:val="single"/>
        </w:rPr>
      </w:pPr>
    </w:p>
    <w:p w:rsidR="00960E62" w:rsidRDefault="00960E62" w:rsidP="00960E62">
      <w:pPr>
        <w:jc w:val="both"/>
        <w:rPr>
          <w:u w:val="single"/>
        </w:rPr>
      </w:pPr>
    </w:p>
    <w:p w:rsidR="00960E62" w:rsidRPr="00F82219" w:rsidRDefault="00960E62" w:rsidP="00960E62">
      <w:pPr>
        <w:jc w:val="both"/>
        <w:rPr>
          <w:u w:val="single"/>
        </w:rPr>
      </w:pPr>
      <w:r w:rsidRPr="003F2498">
        <w:rPr>
          <w:u w:val="single"/>
        </w:rPr>
        <w:lastRenderedPageBreak/>
        <w:t>K bodu 1</w:t>
      </w:r>
      <w:r>
        <w:rPr>
          <w:u w:val="single"/>
        </w:rPr>
        <w:t>0</w:t>
      </w:r>
    </w:p>
    <w:p w:rsidR="00960E62" w:rsidRPr="00694CEF" w:rsidRDefault="00960E62" w:rsidP="00960E62">
      <w:pPr>
        <w:jc w:val="both"/>
      </w:pPr>
      <w:r w:rsidRPr="00694CEF">
        <w:t>Navrhuje sa umožniť poskytovateľovi audiovizuálnej mediálnej služby na požiadanie, aby si svoju povinnosť uverejniť označenie vekovej vhodnosti poskytovaného programu a typ potenciálne škodlivého obsahu, ktorý je v ňom obsiahnutý, mohol splniť okrem uverejnenia označenia v katalógu programov audiovizuálnej mediálnej služby na požiadanie, aj uverejnením označenia pri poskytovaní programu alebo v popise programu.</w:t>
      </w:r>
    </w:p>
    <w:p w:rsidR="00960E62" w:rsidRPr="00F82219" w:rsidRDefault="00960E62" w:rsidP="00960E62">
      <w:pPr>
        <w:jc w:val="both"/>
        <w:rPr>
          <w:u w:val="single"/>
        </w:rPr>
      </w:pPr>
    </w:p>
    <w:p w:rsidR="00960E62" w:rsidRPr="00F82219" w:rsidRDefault="00960E62" w:rsidP="00960E62">
      <w:pPr>
        <w:jc w:val="both"/>
        <w:rPr>
          <w:u w:val="single"/>
        </w:rPr>
      </w:pPr>
      <w:r w:rsidRPr="00533470">
        <w:rPr>
          <w:u w:val="single"/>
        </w:rPr>
        <w:t>K bodu 1</w:t>
      </w:r>
      <w:r>
        <w:rPr>
          <w:u w:val="single"/>
        </w:rPr>
        <w:t>3</w:t>
      </w:r>
      <w:r w:rsidRPr="00F82219">
        <w:rPr>
          <w:u w:val="single"/>
        </w:rPr>
        <w:t xml:space="preserve"> </w:t>
      </w:r>
    </w:p>
    <w:p w:rsidR="00960E62" w:rsidRPr="00694CEF" w:rsidRDefault="00960E62" w:rsidP="00960E62">
      <w:pPr>
        <w:jc w:val="both"/>
      </w:pPr>
      <w:r w:rsidRPr="00694CEF">
        <w:t>Legislatívno-technická úprava. V záujme právnej istoty sa navrhuje precizovať znenie § 90</w:t>
      </w:r>
      <w:r w:rsidRPr="007D4AE8">
        <w:t xml:space="preserve"> </w:t>
      </w:r>
      <w:r w:rsidRPr="00694CEF">
        <w:t>ods. 1 tak, aby z neho bolo jednoznačne zrejmé, že ustanovený časový rozsah vysielania reklamných šotov a telenákupných šotov sa má vzťahovať iba na televízne vysielanie. Časový rozsah vysielania reklamných oznamov a telenákupu vo vysielaní rozhlasovej programovej služby je ustanovený v § 90 ods. 3.</w:t>
      </w:r>
    </w:p>
    <w:p w:rsidR="00960E62" w:rsidRPr="00694CEF" w:rsidRDefault="00960E62" w:rsidP="00960E62">
      <w:pPr>
        <w:jc w:val="both"/>
      </w:pPr>
    </w:p>
    <w:p w:rsidR="00960E62" w:rsidRPr="00F82219" w:rsidRDefault="00960E62" w:rsidP="00960E62">
      <w:pPr>
        <w:jc w:val="both"/>
        <w:rPr>
          <w:u w:val="single"/>
        </w:rPr>
      </w:pPr>
      <w:r w:rsidRPr="00533470">
        <w:rPr>
          <w:u w:val="single"/>
        </w:rPr>
        <w:t>K bodu 1</w:t>
      </w:r>
      <w:r>
        <w:rPr>
          <w:u w:val="single"/>
        </w:rPr>
        <w:t>4</w:t>
      </w:r>
    </w:p>
    <w:p w:rsidR="00960E62" w:rsidRPr="00694CEF" w:rsidRDefault="00960E62" w:rsidP="00960E62">
      <w:pPr>
        <w:jc w:val="both"/>
      </w:pPr>
      <w:r w:rsidRPr="00694CEF">
        <w:t>Navrhuje sa v zákone explicitne ustanoviť, že regulátor je povinný informácie, ktoré mu poskytovateľ obsahovej služby oznámi v súvislosti s transparentnosťou financovania, zverejniť v registri médií.</w:t>
      </w:r>
    </w:p>
    <w:p w:rsidR="00960E62" w:rsidRDefault="00960E62" w:rsidP="00960E62">
      <w:pPr>
        <w:rPr>
          <w:u w:val="single"/>
        </w:rPr>
      </w:pPr>
    </w:p>
    <w:p w:rsidR="00960E62" w:rsidRDefault="00960E62" w:rsidP="00960E62">
      <w:pPr>
        <w:rPr>
          <w:u w:val="single"/>
        </w:rPr>
      </w:pPr>
      <w:r w:rsidRPr="00A932D8">
        <w:rPr>
          <w:u w:val="single"/>
        </w:rPr>
        <w:t>K bod</w:t>
      </w:r>
      <w:r>
        <w:rPr>
          <w:u w:val="single"/>
        </w:rPr>
        <w:t>om</w:t>
      </w:r>
      <w:r w:rsidRPr="00A932D8">
        <w:rPr>
          <w:u w:val="single"/>
        </w:rPr>
        <w:t xml:space="preserve"> </w:t>
      </w:r>
      <w:r>
        <w:rPr>
          <w:u w:val="single"/>
        </w:rPr>
        <w:t> 15, 17, 18, 20, 21, 23, 34 a 36</w:t>
      </w:r>
    </w:p>
    <w:p w:rsidR="00960E62" w:rsidRDefault="00960E62" w:rsidP="00960E62">
      <w:pPr>
        <w:jc w:val="both"/>
      </w:pPr>
      <w:r>
        <w:t xml:space="preserve">Novelizačné body ustanovujú legislatívno-technické zmeny v zákone o mediálnych službách z dôvodu implementácie nariadenia </w:t>
      </w:r>
      <w:r w:rsidRPr="00D9133D">
        <w:t>Európskeho parlamentu a Rady (EÚ) 2022/2065 z 19. októbra 2022 o jednotnom trhu s digitálnymi službami a o zmene smernice 2000/31/ES (akt o digitálnych službách)</w:t>
      </w:r>
      <w:r>
        <w:t xml:space="preserve"> (</w:t>
      </w:r>
      <w:r w:rsidRPr="00D9133D">
        <w:t>Ú. v. EÚ L 277, 27.10.2022</w:t>
      </w:r>
      <w:r>
        <w:t>) a nariadenia</w:t>
      </w:r>
      <w:r w:rsidRPr="00D9133D">
        <w:t xml:space="preserve"> Európskeho parlamentu a Rady (EÚ) 2019/1150 z 20. júna 2019 o podpore spravodlivosti a transparentnosti pre komerčných používateľov online sprostredkovateľských služieb</w:t>
      </w:r>
      <w:r>
        <w:t xml:space="preserve"> (</w:t>
      </w:r>
      <w:r w:rsidRPr="00D9133D">
        <w:t>Ú. v. EÚ L 186, 11.7.2019</w:t>
      </w:r>
      <w:r>
        <w:t xml:space="preserve">) prostredníctvom zákona o mediálnych službách. </w:t>
      </w:r>
    </w:p>
    <w:p w:rsidR="00960E62" w:rsidRPr="001122B9" w:rsidRDefault="00960E62" w:rsidP="00960E62">
      <w:pPr>
        <w:jc w:val="both"/>
      </w:pPr>
    </w:p>
    <w:p w:rsidR="00960E62" w:rsidRDefault="00960E62" w:rsidP="00960E62">
      <w:pPr>
        <w:rPr>
          <w:u w:val="single"/>
        </w:rPr>
      </w:pPr>
      <w:r w:rsidRPr="00A932D8">
        <w:rPr>
          <w:u w:val="single"/>
        </w:rPr>
        <w:t xml:space="preserve">K bodu </w:t>
      </w:r>
      <w:r>
        <w:rPr>
          <w:u w:val="single"/>
        </w:rPr>
        <w:t>16</w:t>
      </w:r>
    </w:p>
    <w:p w:rsidR="00960E62" w:rsidRDefault="00960E62" w:rsidP="00960E62">
      <w:pPr>
        <w:jc w:val="both"/>
      </w:pPr>
      <w:r>
        <w:t>Upravuje sa znenie § 108 ods. 6 zákona o mediálnych službách o povinnosti iných orgánov verejnej správy poskytovať Rade pre mediálne služby súčinnosť s osobitným dôrazom na plnenie úloh podľa nariadenia (EÚ) 2022/2065. Rôznorodosť a rozsah úloh koordinátora digitálnych služieb objektívne presahujú expertízu jedného orgánu verejnej správy, preto je spolupráca s ďalšími orgánmi verejnej správy v tejto oblasti kľúčová. Rýchla a riadna spolupráca bude nevyhnutná pre efektívne a účinné zásahy proti nezákonnému online obsahu a plnenie širokého rozsahu nových povinností členských štátov v zmysle nariadenia (EÚ) 2022/2065, ktoré predpokladá úzku spoluprácu s Európskou komisiou pri dohľade nad veľmi veľkými online platformami a veľmi veľkými internetovými vyhľadávačmi a medzi členskými štátmi navzájom.</w:t>
      </w:r>
    </w:p>
    <w:p w:rsidR="00960E62" w:rsidRDefault="00960E62" w:rsidP="00960E62">
      <w:pPr>
        <w:jc w:val="both"/>
      </w:pPr>
    </w:p>
    <w:p w:rsidR="00960E62" w:rsidRDefault="00960E62" w:rsidP="00960E62">
      <w:pPr>
        <w:jc w:val="both"/>
      </w:pPr>
      <w:r w:rsidRPr="00214333">
        <w:t xml:space="preserve">Nariadenie </w:t>
      </w:r>
      <w:r>
        <w:t>(EÚ) 2022/2065</w:t>
      </w:r>
      <w:r w:rsidRPr="00214333">
        <w:t xml:space="preserve"> je horizontálna právna úpr</w:t>
      </w:r>
      <w:r>
        <w:t xml:space="preserve">ava, ktorá má obsiahnuť všetok </w:t>
      </w:r>
      <w:r w:rsidRPr="00214333">
        <w:t>nezákonný obsah v rámci</w:t>
      </w:r>
      <w:r>
        <w:t xml:space="preserve"> digitálnych</w:t>
      </w:r>
      <w:r w:rsidRPr="00214333">
        <w:t xml:space="preserve"> sprostredkovateľských služieb, a to nezákonný obsah, produkty, služby i činnosti. Nariadenie </w:t>
      </w:r>
      <w:r>
        <w:t>(EÚ) 2022/2065</w:t>
      </w:r>
      <w:r w:rsidRPr="00214333">
        <w:t xml:space="preserve"> priamo neustanovuje, ktorý obsah je nezákonný, to sa riadi inými predpismi EÚ a vnútroštátnymi právnymi predpismi. Vzhľadom na rôznorodosť nezákonného obsahu (napr. poskytovanie produktov v rozpore s predpismi na ochranu spotrebiteľa, sexuálne zneužívanie detí, diskriminačný obsah, nebezpe</w:t>
      </w:r>
      <w:r>
        <w:t xml:space="preserve">čné alebo falšované výrobky...) </w:t>
      </w:r>
      <w:r w:rsidRPr="00214333">
        <w:t xml:space="preserve">bude pre Radu </w:t>
      </w:r>
      <w:r>
        <w:t xml:space="preserve">pre mediálne služby </w:t>
      </w:r>
      <w:r w:rsidRPr="00214333">
        <w:t xml:space="preserve">ako koordinátora digitálnych služieb kľúčová efektívna spolupráca s príslušnými vnútroštátnymi orgánmi pri posudzovaní </w:t>
      </w:r>
      <w:r>
        <w:t xml:space="preserve">zákonnosti/nezákonnosti konkrétneho obsahu. Môže ísť o poskytnutie informácie, ktorou príslušný orgán disponuje (napr. zaslanie rozhodnutia, ktoré potvrdzuje nezákonnosť obsahu, </w:t>
      </w:r>
      <w:r>
        <w:lastRenderedPageBreak/>
        <w:t>zaslanie informácie o nebezpečnom výrobku zo systému na rýchlu výmenu informácií o nebezpečných výrobkov – tzv. Safety Gate/RAPEX...), ale v niektorých prípadoch môže byť potrebné, aby príslušný orgán začal v rámci výkonu vlastnej pôsobnosti šetrenie, kontrolu, dohľad nad nezákonným obsahom alebo poskytol koordinátorovi digitálnych služieb svoje stanovisko.</w:t>
      </w:r>
    </w:p>
    <w:p w:rsidR="00960E62" w:rsidRDefault="00960E62" w:rsidP="00960E62">
      <w:pPr>
        <w:jc w:val="both"/>
      </w:pPr>
    </w:p>
    <w:p w:rsidR="00960E62" w:rsidRPr="00214333" w:rsidRDefault="00960E62" w:rsidP="00960E62">
      <w:pPr>
        <w:jc w:val="both"/>
      </w:pPr>
      <w:r>
        <w:t>S</w:t>
      </w:r>
      <w:r w:rsidRPr="00214333">
        <w:t xml:space="preserve">účinnosť </w:t>
      </w:r>
      <w:r>
        <w:t xml:space="preserve">môže byť napríklad </w:t>
      </w:r>
      <w:r w:rsidRPr="00214333">
        <w:t xml:space="preserve">potrebná aj pri certifikovaní orgánov mimosúdneho riešenia sporov, udeľovaní štatútu dôveryhodného nahlasovateľa či prevereného výskumného pracovníka – môže ísť o subjekty pôsobiace v rôznych oblastiach, pri preverovaní ktorých </w:t>
      </w:r>
      <w:r>
        <w:t xml:space="preserve">(t. j. či spĺňajú požiadavky stanovené nariadením (EÚ) 2022/2065) </w:t>
      </w:r>
      <w:r w:rsidRPr="00214333">
        <w:t xml:space="preserve">môže Rada </w:t>
      </w:r>
      <w:r>
        <w:t xml:space="preserve">pre mediálne služby </w:t>
      </w:r>
      <w:r w:rsidRPr="00214333">
        <w:t>potrebovať informácie, ktorými disponujú iné orgány vzhľadom na svoju pôsobnosť, ktorú vykonávajú vo vzťahu k týmto subjektom. Úlohou koordinátora digitál</w:t>
      </w:r>
      <w:r>
        <w:t>nych služieb bude napríklad aj</w:t>
      </w:r>
      <w:r w:rsidRPr="00214333">
        <w:t xml:space="preserve"> analytická činnosť, ktorá si môže vyžadovať širšiu vnútroštátnu spoluprácu (napr. v otázke ochrany maloletých v online priestore, obetí trestných činov páchaných online atď.).</w:t>
      </w:r>
    </w:p>
    <w:p w:rsidR="00960E62" w:rsidRDefault="00960E62" w:rsidP="00960E62">
      <w:pPr>
        <w:jc w:val="both"/>
      </w:pPr>
    </w:p>
    <w:p w:rsidR="00960E62" w:rsidRDefault="00960E62" w:rsidP="00960E62">
      <w:pPr>
        <w:jc w:val="both"/>
      </w:pPr>
      <w:r>
        <w:t>In concreto môže ísť napríklad o kontrolu splnenia povinností podľa čl. 31 nariadenia (EÚ) 2022/2065: „</w:t>
      </w:r>
      <w:r w:rsidRPr="003073C0">
        <w:t>Poskytovatelia online platforiem umožňujúcich spotrebiteľom uzatvárať s obchodníkmi zmluvy na diaľku zabezpečia, aby jeho online rozhranie bolo navrhnuté a usporiadané tak, aby obchodníci mohli podľa uplatniteľného práva Únie plniť svoje povinnosti týkajúce sa predzmluvných informácií a informácií o bezpečnosti výrobkov.</w:t>
      </w:r>
      <w:r>
        <w:t>“ Vzhľadom na skutočnosť, že expertízou v oblasti predzmluvných povinností obchodníkov voči spotrebiteľom disponujú orgány dohľadu v oblasti ochrany spotrebiteľa, môže Rada pre mediálne služby pri kontrole splnenia tejto povinnosti požiadať o súčinnosť Slovenskú obchodnú inšpekciu.</w:t>
      </w:r>
    </w:p>
    <w:p w:rsidR="00960E62" w:rsidRDefault="00960E62" w:rsidP="00960E62">
      <w:pPr>
        <w:jc w:val="both"/>
      </w:pPr>
    </w:p>
    <w:p w:rsidR="00960E62" w:rsidRDefault="00960E62" w:rsidP="00960E62">
      <w:pPr>
        <w:jc w:val="both"/>
      </w:pPr>
      <w:r>
        <w:t>Ďalším praktickým príkladom je povinnosť koordinátora digitálnych služieb ako člena Európskeho výboru pre digitálne služby. Podľa čl. 28 ods. 4 nariadenia (EÚ) 2022/2065 sa koordinátor digitálnych služieb bude vyjadrovať k návrhu usmernenia Európskej komisie k uplatňovaniu povinnosti poskytovateľov online platforiem prístupných maloletým zaviesť vhodné a primerané opatrenia na zabezpečenie vysokej úrovne súkromia, bezpečnosti a ochrany maloletých v rámci svojich služieb. Na komplexné posúdenie návrhu usmernenia zo strany slovenského koordinátora digitálnych služieb môže byť potrebná konzultácia napríklad s Úradom na ochranu osobných údajov. Expertíza rovnakého úradu bude pravdepodobne potrebná v prípade detailnejšieho preskúmania splnenia povinností podľa nariadenia (EÚ) 2022/2065, ktoré sú priamo prepojené na právne predpisy o ochrane osobných údajov (napr. čl. 26 ods. 3 alebo čl. 28 ods. 2). Rada pre mediálne služby si môže s odvolaním sa na § 108 ods. 6 zákona o mediálnych službách vyžiadať stanovisko Úradu na ochranu osobných údajov, avšak priamo môže porušenie nariadenia (EÚ) 2022/2065 sankcionovať len Rada pre mediálne služby.</w:t>
      </w:r>
    </w:p>
    <w:p w:rsidR="00960E62" w:rsidRDefault="00960E62" w:rsidP="00960E62">
      <w:pPr>
        <w:jc w:val="both"/>
      </w:pPr>
    </w:p>
    <w:p w:rsidR="00960E62" w:rsidRDefault="00960E62" w:rsidP="00960E62">
      <w:pPr>
        <w:jc w:val="both"/>
      </w:pPr>
      <w:r w:rsidRPr="00214333">
        <w:t xml:space="preserve">Nariadenie o digitálnych službách je prvé horizontálne nariadenie EÚ pre </w:t>
      </w:r>
      <w:r>
        <w:t>digitálne</w:t>
      </w:r>
      <w:r w:rsidRPr="00214333">
        <w:t xml:space="preserve"> sprostredkovateľské služby s jedinečným systém</w:t>
      </w:r>
      <w:r>
        <w:t>om deľby výkonu dohľadu medzi Európsku komisiu</w:t>
      </w:r>
      <w:r w:rsidRPr="00214333">
        <w:t xml:space="preserve"> a členské štáty a novovytvorenou funkciou nezávislého koordinátora digitálnych služieb. Jeho celkové vplyvy na aplikačnú pra</w:t>
      </w:r>
      <w:r>
        <w:t>x</w:t>
      </w:r>
      <w:r w:rsidRPr="00214333">
        <w:t xml:space="preserve"> a presahy na činnosti iných subjektov bude možné </w:t>
      </w:r>
      <w:r>
        <w:t xml:space="preserve">komplexne a </w:t>
      </w:r>
      <w:r w:rsidRPr="00214333">
        <w:t>zodpovedne vyhodnotiť až po prvých rokoch od účinnosti</w:t>
      </w:r>
      <w:r>
        <w:t xml:space="preserve"> nariadenia</w:t>
      </w:r>
      <w:r w:rsidRPr="00214333">
        <w:t>.</w:t>
      </w:r>
      <w:r>
        <w:t xml:space="preserve"> V budúcnosti by sa malo vyhodnotiť a zvážiť, či model ustanovenia jedného príslušného orgánu podľa čl. 49 ods. 1 nariadenia (EÚ) 2022/2065, ktorý je zároveň koordinátorom digitálnych služieb podľa čl. 49 ods. 2 nariadenia (EÚ) 2022/2065, je vyhovujúci, alebo je účelné a dôvodné prijať ďalšie legislatívne zmeny s cieľom určenia ďalších príslušných </w:t>
      </w:r>
      <w:r>
        <w:lastRenderedPageBreak/>
        <w:t>orgánov, ktoré budú priamo zodpovedné za plnenie konkrétnych úloh podľa nariadenia (EÚ) 2022/2065, príp. špecifikovať postupy spolupráce pri plnení konkrétnych úloh koordinátora digitálnych služieb alebo vo väzbe na konkrétne orgány verejnej správy.</w:t>
      </w:r>
    </w:p>
    <w:p w:rsidR="00960E62" w:rsidRDefault="00960E62" w:rsidP="00960E62">
      <w:pPr>
        <w:jc w:val="both"/>
      </w:pPr>
    </w:p>
    <w:p w:rsidR="00960E62" w:rsidRPr="00683724" w:rsidRDefault="00960E62" w:rsidP="00960E62">
      <w:pPr>
        <w:jc w:val="both"/>
        <w:rPr>
          <w:u w:val="single"/>
        </w:rPr>
      </w:pPr>
      <w:r>
        <w:t xml:space="preserve"> </w:t>
      </w:r>
      <w:r w:rsidRPr="00533470">
        <w:rPr>
          <w:u w:val="single"/>
        </w:rPr>
        <w:t xml:space="preserve">K bodom </w:t>
      </w:r>
      <w:r>
        <w:rPr>
          <w:u w:val="single"/>
        </w:rPr>
        <w:t>19</w:t>
      </w:r>
      <w:r w:rsidRPr="00533470">
        <w:rPr>
          <w:u w:val="single"/>
        </w:rPr>
        <w:t xml:space="preserve"> a</w:t>
      </w:r>
      <w:r>
        <w:rPr>
          <w:u w:val="single"/>
        </w:rPr>
        <w:t xml:space="preserve"> 22</w:t>
      </w:r>
    </w:p>
    <w:p w:rsidR="00960E62" w:rsidRDefault="00960E62" w:rsidP="00960E62">
      <w:pPr>
        <w:jc w:val="both"/>
      </w:pPr>
    </w:p>
    <w:p w:rsidR="00960E62" w:rsidRDefault="00960E62" w:rsidP="00960E62">
      <w:pPr>
        <w:jc w:val="both"/>
      </w:pPr>
      <w:r>
        <w:t>Novelizačné body sú výlučne legislatívno-technického charakteru a z vecného hľadiska reflektujú zmeny navrhované v bodoch 18 a 21. Vzhľadom však na skutočnosť,</w:t>
      </w:r>
      <w:r w:rsidRPr="005B45E1">
        <w:t xml:space="preserve"> že zákon</w:t>
      </w:r>
      <w:r>
        <w:t xml:space="preserve"> č. 351/2022 Z. z. </w:t>
      </w:r>
      <w:r w:rsidRPr="005B45E1">
        <w:t>o prístupnosti výrobkov a služieb pre osoby so zdravotným postihnutím a o zmene a doplnení niektorých zákonov</w:t>
      </w:r>
      <w:r>
        <w:t>, ktorým došlo o. i. aj k novelizovaniu zákona</w:t>
      </w:r>
      <w:r w:rsidRPr="005B45E1">
        <w:t xml:space="preserve"> o mediálnych službách</w:t>
      </w:r>
      <w:r>
        <w:t xml:space="preserve"> (vrátane § 109), nadobudne účinnosť až 28. júna 2025, predkladateľ uvádza celé nové znenia príslušných ustanovení definujúcich postavenie a poslanie regulátora</w:t>
      </w:r>
      <w:r w:rsidRPr="003440AF">
        <w:t xml:space="preserve"> </w:t>
      </w:r>
      <w:r>
        <w:t xml:space="preserve">v znení účinnom od 28. júna 2025. </w:t>
      </w:r>
    </w:p>
    <w:p w:rsidR="00960E62" w:rsidRPr="00683724" w:rsidRDefault="00960E62" w:rsidP="00960E62">
      <w:pPr>
        <w:jc w:val="both"/>
      </w:pPr>
    </w:p>
    <w:p w:rsidR="00960E62" w:rsidRDefault="00960E62" w:rsidP="00960E62">
      <w:pPr>
        <w:rPr>
          <w:u w:val="single"/>
        </w:rPr>
      </w:pPr>
      <w:r w:rsidRPr="00A932D8">
        <w:rPr>
          <w:u w:val="single"/>
        </w:rPr>
        <w:t>K </w:t>
      </w:r>
      <w:r>
        <w:rPr>
          <w:u w:val="single"/>
        </w:rPr>
        <w:t>bodom</w:t>
      </w:r>
      <w:r w:rsidRPr="00A932D8">
        <w:rPr>
          <w:u w:val="single"/>
        </w:rPr>
        <w:t xml:space="preserve"> </w:t>
      </w:r>
      <w:r>
        <w:rPr>
          <w:u w:val="single"/>
        </w:rPr>
        <w:t>24 a 25</w:t>
      </w:r>
    </w:p>
    <w:p w:rsidR="00960E62" w:rsidRDefault="00960E62" w:rsidP="00960E62">
      <w:pPr>
        <w:jc w:val="both"/>
      </w:pPr>
      <w:r>
        <w:t>Ústredným cieľom predkladanej novely zákona o mediálnych službách je implementácia nariadenia (EÚ) 2019/1150 a nariadenia</w:t>
      </w:r>
      <w:r w:rsidRPr="00C52C78">
        <w:t xml:space="preserve"> </w:t>
      </w:r>
      <w:r>
        <w:t xml:space="preserve">(EÚ) 2022/2065. Nariadenie (EÚ) 2022/2065 upravuje povinnosti a zodpovednosť poskytovateľov digitálnej sprostredkovateľskej služby s cieľom posilniť jednotný trh a chrániť obyvateľov EÚ a ich práva v online priestore. Nariadenie (EÚ) 2019/1150 upravuje povinnosti poskytovateľov online sprostredkovateľských služieb, vrátane internetových vyhľadávačov s cieľom zvýšiť transparentnosť podmienok, ktoré uplatňujú voči svojim komerčným užívateľom. Nariadenia EÚ sú priamo aplikovateľné. </w:t>
      </w:r>
    </w:p>
    <w:p w:rsidR="00960E62" w:rsidRDefault="00960E62" w:rsidP="00960E62">
      <w:pPr>
        <w:jc w:val="both"/>
      </w:pPr>
    </w:p>
    <w:p w:rsidR="00960E62" w:rsidRDefault="00960E62" w:rsidP="00960E62">
      <w:pPr>
        <w:jc w:val="both"/>
      </w:pPr>
      <w:r>
        <w:t>V právnom poriadku SR je potrebné ustanoviť orgán zodpovedný za ich presadzovanie a dohľad nad trhom, sankcie za porušenie povinností a doplniť niektoré procesné ustanovenia. Za hlavný orgán zodpovedný za aplikáciu a presadzovanie týchto nariadení EÚ sa navrhuje Rada pre mediálne služby, ktorá má už v súčasnosti kompetencie v oblasti platforiem na zdieľanie videí a platforiem na zdieľanie obsahu a z existujúcich orgánov verejnej správy, ktoré spĺňajú požiadavky na nezávislosť podľa čl. 50 nariadenia (EÚ) 2022/2065, má najlepšie predpoklady na prevzatie nových kompetencií v digitálnej oblasti, ktoré SR vyplývajú z nariadení EÚ, osobitne z nariadenia (EÚ) 2022/2065, ktoré požaduje od členského štátu ustanovenie tzv. koordinátora digitálnych služieb.</w:t>
      </w:r>
    </w:p>
    <w:p w:rsidR="00960E62" w:rsidRDefault="00960E62" w:rsidP="00960E62">
      <w:pPr>
        <w:jc w:val="both"/>
      </w:pPr>
    </w:p>
    <w:p w:rsidR="00960E62" w:rsidRDefault="00960E62" w:rsidP="00960E62">
      <w:pPr>
        <w:jc w:val="both"/>
      </w:pPr>
      <w:r>
        <w:t>Ustanovenie § 110 zákona o mediálnych službách predstavuje súpis pôsobnosti Rady pre mediálne služby. Súpis sa dopĺňa o výkon pôsobnosti a plnenie úloh koordinátora digitálnych služieb podľa nariadenia (EÚ) 2022/2065. Podľa čl. 49 nariadenia (EÚ) 2022/2065 musí každý členský štát určiť jedného koordinátora digitálnych služieb, ktorý zodpovedá za dohľad nad poskytovateľmi sprostredkovateľských služieb, uplatňovanie a presadzovanie nariadenia (EÚ) 2022/2065, za zabezpečenie koordinácie týchto záležitostí na vnútroštátnej úrovni, za spoluprácu s koordinátormi digitálnych služieb z ostatných členských štátov, s Európskou komisiou a za plnenie úloh v rámci Európskeho výboru pre digitálne služby. Medzi povinnosti Rady pre mediálne služby sa dopĺňa povinnosť predkladať Európskej komisii výročnú správu o činnosti koordinátora digitálnych služieb podľa čl. 55 nariadenia (EÚ) 2022/2065.</w:t>
      </w:r>
    </w:p>
    <w:p w:rsidR="00960E62" w:rsidRDefault="00960E62" w:rsidP="00960E62">
      <w:pPr>
        <w:jc w:val="both"/>
      </w:pPr>
    </w:p>
    <w:p w:rsidR="00960E62" w:rsidRDefault="00960E62" w:rsidP="00960E62">
      <w:pPr>
        <w:jc w:val="both"/>
      </w:pPr>
      <w:r>
        <w:t xml:space="preserve">Koordinátorovi digitálnych služieb sú zverené aj kompetencie vo vzťahu k subjektom, ktorých existenciu predpokladá nariadenie (EÚ) 2022/2065. Certifikované orgány mimosúdneho riešenia sporov majú pôsobiť ako nezávislé a nestranné subjekty pri mimosúdnom riešení sporov medzi poskytovateľmi sprostredkovateľských služieb </w:t>
      </w:r>
      <w:r>
        <w:lastRenderedPageBreak/>
        <w:t>a príjemcami ich služieb. Dôveryhodní nahlasovatelia majú napomáhať rýchlemu a kvalifikovanému odhaľovaniu a nahlasovaniu nezákonného obsahu v online priestore. Preverení výskumní pracovníci sa majú podieľať na odhaľovaní, identifikácii a pochopení systémových rizík v rámci služieb veľmi veľkých online platforiem a veľmi veľkých internetových vyhľadávačov. Ustanovenie týchto subjektov bude predmetom správneho konania, na ktoré sa bude vzťahovať správny poriadok.</w:t>
      </w:r>
    </w:p>
    <w:p w:rsidR="00960E62" w:rsidRDefault="00960E62" w:rsidP="00960E62">
      <w:pPr>
        <w:jc w:val="both"/>
      </w:pPr>
    </w:p>
    <w:p w:rsidR="00960E62" w:rsidRPr="00D601DE" w:rsidRDefault="00960E62" w:rsidP="00960E62">
      <w:pPr>
        <w:jc w:val="both"/>
        <w:rPr>
          <w:u w:val="single"/>
        </w:rPr>
      </w:pPr>
      <w:r w:rsidRPr="00D601DE">
        <w:rPr>
          <w:u w:val="single"/>
        </w:rPr>
        <w:t>K bodu 26</w:t>
      </w:r>
    </w:p>
    <w:p w:rsidR="00960E62" w:rsidRDefault="00960E62" w:rsidP="00960E62">
      <w:pPr>
        <w:jc w:val="both"/>
      </w:pPr>
      <w:r>
        <w:t xml:space="preserve">Navrhuje sa, aby regulátor pre uľahčenie administratívnych procesov spojených so získaním certifikácie orgánu mimosúdneho riešenia sporov, štatútu dôveryhodného nahlasovateľa či prevereného výskumného pracovníka zverejnil na svojom webovom sídle formuláre na uľahčenie podávania návrhov potenciálnym záujemcom. Obsahové náležitosti formulárov budú vychádzať z požiadaviek na tieto subjekty, ktoré vyplývajú priamo z nariadenia (EÚ) 2022/2065. Zároveň sa navrhuje, aby regulátor v záujme transparentnosti </w:t>
      </w:r>
      <w:r>
        <w:rPr>
          <w:iCs/>
          <w:color w:val="000000"/>
        </w:rPr>
        <w:t>zverejňoval a aktualizoval</w:t>
      </w:r>
      <w:r w:rsidRPr="003E3D31">
        <w:rPr>
          <w:iCs/>
          <w:color w:val="000000"/>
        </w:rPr>
        <w:t xml:space="preserve"> prostredníctvom svojho webového sídla prehľad rozhodnutí o certifikácii a o zrušení certifikácie orgánu mimosúdneho riešenia sporov, rozhodnutí o udelení, pozastavení a o zrušení štatútu dôveryhodného nahlasovateľa a rozhodnutí o udelení štatútu prevereného výskumného pracovníka a o ukončení prístupu k</w:t>
      </w:r>
      <w:r>
        <w:rPr>
          <w:iCs/>
          <w:color w:val="000000"/>
        </w:rPr>
        <w:t> </w:t>
      </w:r>
      <w:r w:rsidRPr="003E3D31">
        <w:rPr>
          <w:iCs/>
          <w:color w:val="000000"/>
        </w:rPr>
        <w:t>údajom</w:t>
      </w:r>
      <w:r>
        <w:rPr>
          <w:iCs/>
          <w:color w:val="000000"/>
        </w:rPr>
        <w:t>.</w:t>
      </w:r>
    </w:p>
    <w:p w:rsidR="00960E62" w:rsidRPr="00A932D8" w:rsidRDefault="00960E62" w:rsidP="00960E62">
      <w:pPr>
        <w:rPr>
          <w:u w:val="single"/>
        </w:rPr>
      </w:pPr>
    </w:p>
    <w:p w:rsidR="00960E62" w:rsidRDefault="00960E62" w:rsidP="00960E62">
      <w:pPr>
        <w:rPr>
          <w:u w:val="single"/>
        </w:rPr>
      </w:pPr>
      <w:r>
        <w:rPr>
          <w:u w:val="single"/>
        </w:rPr>
        <w:t>K bodom 27 a 28</w:t>
      </w:r>
    </w:p>
    <w:p w:rsidR="00960E62" w:rsidRDefault="00960E62" w:rsidP="00960E62">
      <w:pPr>
        <w:jc w:val="both"/>
      </w:pPr>
      <w:r>
        <w:t>Precizuje sa pôsobnosť pléna a senátu Rady pre mediálne služby vo vzťahu k novým právomociam Rady pre mediálne služby v zmysle nových ustanovení § 133d až 133f zákona o mediálnych službách. Zachováva sa princíp, že senát Rady rozhoduje v prvom stupni, zatiaľ čo plénum rozhoduje v druhom stupni.</w:t>
      </w:r>
    </w:p>
    <w:p w:rsidR="00960E62" w:rsidRPr="00C60912" w:rsidRDefault="00960E62" w:rsidP="00960E62">
      <w:pPr>
        <w:jc w:val="both"/>
      </w:pPr>
    </w:p>
    <w:p w:rsidR="00960E62" w:rsidRDefault="00960E62" w:rsidP="00960E62">
      <w:pPr>
        <w:rPr>
          <w:u w:val="single"/>
        </w:rPr>
      </w:pPr>
      <w:r>
        <w:rPr>
          <w:u w:val="single"/>
        </w:rPr>
        <w:t>K bodu 29</w:t>
      </w:r>
    </w:p>
    <w:p w:rsidR="00960E62" w:rsidRDefault="00960E62" w:rsidP="00960E62">
      <w:pPr>
        <w:jc w:val="both"/>
      </w:pPr>
      <w:r>
        <w:t>Z dôvodu právnej istoty sa navrhuje precizovať, že za regulátora, t. j. Radu pre mediálne služby, uskutočňuje výkon dohľadu určený útvar kancelárie, nie priamo rada ako štatutárny orgán regulátora podľa § 113 zákona o mediálnych službách.</w:t>
      </w:r>
    </w:p>
    <w:p w:rsidR="00960E62" w:rsidRPr="00D601DE" w:rsidRDefault="00960E62" w:rsidP="00960E62">
      <w:r>
        <w:t xml:space="preserve"> </w:t>
      </w:r>
    </w:p>
    <w:p w:rsidR="00960E62" w:rsidRDefault="00960E62" w:rsidP="00960E62">
      <w:pPr>
        <w:rPr>
          <w:u w:val="single"/>
        </w:rPr>
      </w:pPr>
      <w:r>
        <w:rPr>
          <w:u w:val="single"/>
        </w:rPr>
        <w:t>K bodom 30 až 32</w:t>
      </w:r>
    </w:p>
    <w:p w:rsidR="00960E62" w:rsidRDefault="00960E62" w:rsidP="00960E62">
      <w:pPr>
        <w:jc w:val="both"/>
      </w:pPr>
      <w:r>
        <w:t>Vzhľadom na striktné požiadavky na nezávislosť koordinátora digitálnych služieb podľa čl. 50 nariadenia (EÚ) 2022/2065 sa dopĺňa požiadavka na nezlučiteľnosť členstva v Rade pre mediálne služby s výkonom činnosti poskytovateľa sprostredkovateľskej služby, podielom na základom imaní alebo hlasovacích právach poskytovateľa sprostredkovateľskej služby a s poskytovaním priamej poradenskej alebo odbornej služby alebo inej odplatnej pomoci poskytovateľom sprostredkovateľskej služby.</w:t>
      </w:r>
    </w:p>
    <w:p w:rsidR="00960E62" w:rsidRPr="00D601DE" w:rsidRDefault="00960E62" w:rsidP="00960E62">
      <w:pPr>
        <w:jc w:val="both"/>
      </w:pPr>
    </w:p>
    <w:p w:rsidR="00960E62" w:rsidRPr="006C3376" w:rsidRDefault="00960E62" w:rsidP="00960E62">
      <w:pPr>
        <w:jc w:val="both"/>
        <w:rPr>
          <w:u w:val="single"/>
        </w:rPr>
      </w:pPr>
      <w:r w:rsidRPr="006C3376">
        <w:rPr>
          <w:u w:val="single"/>
        </w:rPr>
        <w:t>K bodu 33</w:t>
      </w:r>
    </w:p>
    <w:p w:rsidR="00960E62" w:rsidRPr="006C3376" w:rsidRDefault="00960E62" w:rsidP="00960E62">
      <w:pPr>
        <w:jc w:val="both"/>
        <w:rPr>
          <w:color w:val="000000"/>
        </w:rPr>
      </w:pPr>
      <w:r w:rsidRPr="006C3376">
        <w:t>V nadväznosti na navrhované ustanovenie § 113 ods. 1 písm. f), v zmysle ktorého rada</w:t>
      </w:r>
      <w:r w:rsidRPr="006C3376">
        <w:rPr>
          <w:u w:val="single"/>
        </w:rPr>
        <w:t xml:space="preserve"> </w:t>
      </w:r>
      <w:r w:rsidRPr="006C3376">
        <w:rPr>
          <w:color w:val="000000"/>
        </w:rPr>
        <w:t>poveruje kanceláriu výkonom dohľadu v rozsahu pôsobnosti regulátora</w:t>
      </w:r>
      <w:r>
        <w:rPr>
          <w:color w:val="000000"/>
        </w:rPr>
        <w:t>, sa</w:t>
      </w:r>
      <w:r w:rsidRPr="006C3376">
        <w:rPr>
          <w:color w:val="000000"/>
        </w:rPr>
        <w:t xml:space="preserve"> ustanovuje nová kompetencia kancelárie vykonávať dohľad v rozsahu poverenia radou. </w:t>
      </w:r>
    </w:p>
    <w:p w:rsidR="00960E62" w:rsidRDefault="00960E62" w:rsidP="00960E62">
      <w:pPr>
        <w:jc w:val="both"/>
        <w:rPr>
          <w:u w:val="single"/>
        </w:rPr>
      </w:pPr>
    </w:p>
    <w:p w:rsidR="00960E62" w:rsidRPr="00694CEF" w:rsidRDefault="00960E62" w:rsidP="00960E62">
      <w:pPr>
        <w:jc w:val="both"/>
        <w:rPr>
          <w:u w:val="single"/>
        </w:rPr>
      </w:pPr>
      <w:r w:rsidRPr="002B0430">
        <w:rPr>
          <w:u w:val="single"/>
        </w:rPr>
        <w:t xml:space="preserve">K bodu </w:t>
      </w:r>
      <w:r>
        <w:rPr>
          <w:u w:val="single"/>
        </w:rPr>
        <w:t>35</w:t>
      </w:r>
    </w:p>
    <w:p w:rsidR="00960E62" w:rsidRDefault="00960E62" w:rsidP="00960E62">
      <w:pPr>
        <w:jc w:val="both"/>
      </w:pPr>
      <w:r w:rsidRPr="00F82219">
        <w:t>Vzhľadom na absentujúcu úpravu regulujúcu výkon dohľadu komisie na ochranu maloletých sa navrhuje v zákone upraviť, že na dohľad komisie na ochranu maloletých nad dodržiavaním povinností podľa tohto zákona sa vzťahujú</w:t>
      </w:r>
      <w:r>
        <w:t xml:space="preserve"> ustanovenia zákona č. 40/2015 Z. z. </w:t>
      </w:r>
      <w:r w:rsidRPr="00F82219">
        <w:t>o audiovízii a o zmene a doplnení ni</w:t>
      </w:r>
      <w:r>
        <w:t>ektorých zákonov v znení neskorších predpisov</w:t>
      </w:r>
      <w:r w:rsidRPr="00F82219">
        <w:t xml:space="preserve"> o výkone dohľadu.</w:t>
      </w:r>
    </w:p>
    <w:p w:rsidR="00960E62" w:rsidRDefault="00960E62" w:rsidP="00960E62">
      <w:pPr>
        <w:rPr>
          <w:u w:val="single"/>
        </w:rPr>
      </w:pPr>
    </w:p>
    <w:p w:rsidR="00960E62" w:rsidRDefault="00960E62" w:rsidP="00960E62">
      <w:pPr>
        <w:rPr>
          <w:u w:val="single"/>
        </w:rPr>
      </w:pPr>
    </w:p>
    <w:p w:rsidR="00960E62" w:rsidRDefault="00960E62" w:rsidP="00960E62">
      <w:pPr>
        <w:rPr>
          <w:u w:val="single"/>
        </w:rPr>
      </w:pPr>
    </w:p>
    <w:p w:rsidR="00960E62" w:rsidRPr="007632F8" w:rsidRDefault="00960E62" w:rsidP="00960E62">
      <w:pPr>
        <w:rPr>
          <w:u w:val="single"/>
        </w:rPr>
      </w:pPr>
      <w:r w:rsidRPr="007632F8">
        <w:rPr>
          <w:u w:val="single"/>
        </w:rPr>
        <w:t>K bod</w:t>
      </w:r>
      <w:r>
        <w:rPr>
          <w:u w:val="single"/>
        </w:rPr>
        <w:t>u</w:t>
      </w:r>
      <w:r w:rsidRPr="007632F8">
        <w:rPr>
          <w:u w:val="single"/>
        </w:rPr>
        <w:t xml:space="preserve"> 3</w:t>
      </w:r>
      <w:r>
        <w:rPr>
          <w:u w:val="single"/>
        </w:rPr>
        <w:t>7</w:t>
      </w:r>
    </w:p>
    <w:p w:rsidR="00960E62" w:rsidRPr="00B45B10" w:rsidRDefault="00960E62" w:rsidP="00960E62">
      <w:pPr>
        <w:jc w:val="both"/>
      </w:pPr>
      <w:r w:rsidRPr="007632F8">
        <w:t xml:space="preserve">Cieľom novelizačného bodu je zabezpečiť, aby Rada pre mediálne služby ako koordinátor digitálnych služieb v Slovenskej republike disponovala vyšetrovacími právomocami a právomocami na presadzovanie práva v zmysle čl. 51 nariadenia (EÚ) 2022/2065. Tieto právomoci bude vykonávať Rada pre mediálne služby priamo okrem právomoci podľa čl. 51 ods. 3 písm. b) nariadenia (EÚ) 2022/2065, pri ktorej priamo nariadenie uvádza, že koordinátor digitálnych služieb môže len podať návrh, ale súd musí rozhodnúť o dočasnom obmedzení prístupu príjemcov k službe, ktorej sa porušenie týka, alebo len ak to nie je technicky možné, k online rozhraniu poskytovateľa sprostredkovateľských služieb, na ktorom k porušeniu došlo. Navrhovaná úprava nejde nad rozsah potrebný na vybavenie Rady pre mediálne služby právomocami, ktoré podľa nariadenia majú mať koordinátori digitálnych služieb vo všetkých členských štátoch. </w:t>
      </w:r>
    </w:p>
    <w:p w:rsidR="00960E62" w:rsidRDefault="00960E62" w:rsidP="00960E62">
      <w:pPr>
        <w:rPr>
          <w:u w:val="single"/>
        </w:rPr>
      </w:pPr>
    </w:p>
    <w:p w:rsidR="00960E62" w:rsidRDefault="00960E62" w:rsidP="00960E62">
      <w:pPr>
        <w:rPr>
          <w:b/>
        </w:rPr>
      </w:pPr>
      <w:r w:rsidRPr="007632F8">
        <w:rPr>
          <w:b/>
        </w:rPr>
        <w:t>§ 133a</w:t>
      </w:r>
    </w:p>
    <w:p w:rsidR="00960E62" w:rsidRDefault="00960E62" w:rsidP="00960E62">
      <w:pPr>
        <w:jc w:val="both"/>
      </w:pPr>
      <w:r>
        <w:t>Ide o všeobecné, úvodné, rámcové ustanovenie o výkone dohľadu nad poskytovateľmi sprostredkovateľskej služby, na ktorých sa vzťahuje nariadenie (EÚ) 2022/2065. Rada pre mediálne služby bude začínať výkon dohľadu spravidla na základe podnetov (podávaných v zmysle § 150 zákona o mediálnych službách), príp. ak sa z vlastnej činnosti (napr. pri monitoringu trhu a výkone analytickej činnosti) dozvie o skutočnostiach, ktoré budú odôvodňovať začatie výkonu dohľadu, alebo tiež na základe dožiadaní a spolupráce s koordinátormi digitálnych služieb z iných členských štátov alebo priamo s Európskou komisiou, keďže nariadenie (EÚ) 2022/2065 predpokladá intenzívnu a rozsiahlu spoluprácu v tejto oblasti regulácie. Taktiež sú tu inkorporované aj základné ustanovenia týkajúce sa prizvaných osôb, overovania totožnosti, mlčanlivosti a ochrany informácií získaných pri výkone dohľadu.</w:t>
      </w:r>
    </w:p>
    <w:p w:rsidR="00960E62" w:rsidRDefault="00960E62" w:rsidP="00960E62">
      <w:pPr>
        <w:jc w:val="both"/>
      </w:pPr>
    </w:p>
    <w:p w:rsidR="00960E62" w:rsidRPr="007632F8" w:rsidRDefault="00960E62" w:rsidP="00960E62">
      <w:pPr>
        <w:jc w:val="both"/>
        <w:rPr>
          <w:b/>
        </w:rPr>
      </w:pPr>
      <w:r w:rsidRPr="007632F8">
        <w:rPr>
          <w:b/>
        </w:rPr>
        <w:t>§ 133b</w:t>
      </w:r>
    </w:p>
    <w:p w:rsidR="00960E62" w:rsidRDefault="00960E62" w:rsidP="00960E62">
      <w:pPr>
        <w:jc w:val="both"/>
      </w:pPr>
      <w:r>
        <w:t xml:space="preserve">Predmetné ustanovenie zakotvuje vyšetrovacie právomoci Rady pre mediálne služby pri dohľade nad nariadením (EÚ) 2022/2065 - </w:t>
      </w:r>
      <w:r w:rsidRPr="00BF303D">
        <w:t>právomoc požadovať od poskytovateľov</w:t>
      </w:r>
      <w:r>
        <w:t xml:space="preserve"> sprostredkovateľskej služby</w:t>
      </w:r>
      <w:r w:rsidRPr="00BF303D">
        <w:t>, ako aj od akýchkoľvek iných osôb konajúcich na účely súvisiace s ich obchodnou, podnikateľskou, remeselnou alebo profesijnou činnosťou, o ktorých možno primerane predpokladať, že sú informovaní o podozrení z porušenia tohto nariadenia, vrátane organizácií vykoná</w:t>
      </w:r>
      <w:r>
        <w:t>vajúcich audity podľa čl.</w:t>
      </w:r>
      <w:r w:rsidRPr="00BF303D">
        <w:t xml:space="preserve"> 37 a</w:t>
      </w:r>
      <w:r>
        <w:t xml:space="preserve"> čl. </w:t>
      </w:r>
      <w:r w:rsidRPr="00BF303D">
        <w:t>75 ods. 2</w:t>
      </w:r>
      <w:r>
        <w:t xml:space="preserve"> tohto nariadenia</w:t>
      </w:r>
      <w:r w:rsidRPr="00BF303D">
        <w:t xml:space="preserve">, aby takéto informácie </w:t>
      </w:r>
      <w:r>
        <w:t xml:space="preserve">poskytli, a </w:t>
      </w:r>
      <w:r w:rsidRPr="00BF303D">
        <w:t>právomoc požiadať ktoréhokoľvek zamestnanca alebo zástupcu týchto poskytovateľov alebo týchto osôb, aby poskytli vysvetlenia v súvislosti s akýmikoľvek informáciami týkajúcimi sa p</w:t>
      </w:r>
      <w:r>
        <w:t>odozrenia z porušenia nariadenia. Výkon dohľadu koordinátorom digitálnych služieb predpokladá súčinnosť regulovaných subjektov, podľa potreby aj iných osôb, od ktorých môže koordinátor požadovať akékoľvek informácie, ktoré súvisia s plnením povinností podľa nariadenia (EÚ) 2022/2065, a vysvetlenia k týmto informáciám. Možnosť odmietnutia poskytnutia informácií sa limituje možnosťou spôsobenia nebezpečenstva trestného stíhania samotnej osobe, ktorá má informáciu poskytnúť, alebo jej blízkej osobe, ako ju definuje Občiansky zákonník. Upravuje sa tiež vyhotovovanie záznamov o poskytnutí vysvetlení - regulátor môže vždy vyhotoviť písomný záznam, na vyhotovenie záznamu pomocou iných technických prostriedkov (napr. audio záznam) sa ale vyžaduje súhlas dotknutej osoby.</w:t>
      </w:r>
    </w:p>
    <w:p w:rsidR="00960E62" w:rsidRDefault="00960E62" w:rsidP="00960E62">
      <w:pPr>
        <w:jc w:val="both"/>
      </w:pPr>
    </w:p>
    <w:p w:rsidR="00960E62" w:rsidRDefault="00960E62" w:rsidP="00960E62">
      <w:pPr>
        <w:jc w:val="both"/>
      </w:pPr>
      <w:r>
        <w:rPr>
          <w:b/>
        </w:rPr>
        <w:t>§ 133c</w:t>
      </w:r>
    </w:p>
    <w:p w:rsidR="00960E62" w:rsidRDefault="00960E62" w:rsidP="00960E62">
      <w:pPr>
        <w:jc w:val="both"/>
      </w:pPr>
      <w:r>
        <w:t xml:space="preserve">Aj keď v prípade nariadenia (EÚ) 2022/2065, ktoré sa zameriava na digitálne služby, je možné predpokladať, že veľa dôkazov a informácií bude možné získať na diaľku, pre </w:t>
      </w:r>
      <w:r>
        <w:lastRenderedPageBreak/>
        <w:t>vybavenie Rady pre mediálne služby všetkými potrebnými vyšetrovacími právomocami, ktorými má ako koordinátor digitálnych služieb v zmysle čl. 51 ods. 1 tohto nariadenia disponovať, sa upravujú aj náležitosti kontrol na mieste - priestory, ktoré môžu byť predmetom kontroly, cieľ kontroly, informačné povinnosti pri začatí výkonu kontroly na mieste, zaznamenanie priebehu kontroly a oprávnenie kontrolovanej osoby vyjadriť sa k priebehu a zisteniam z kontroly na mieste.</w:t>
      </w:r>
    </w:p>
    <w:p w:rsidR="00960E62" w:rsidRDefault="00960E62" w:rsidP="00960E62">
      <w:pPr>
        <w:jc w:val="both"/>
      </w:pPr>
    </w:p>
    <w:p w:rsidR="00960E62" w:rsidRDefault="00960E62" w:rsidP="00960E62">
      <w:pPr>
        <w:jc w:val="both"/>
        <w:rPr>
          <w:b/>
        </w:rPr>
      </w:pPr>
      <w:r>
        <w:rPr>
          <w:b/>
        </w:rPr>
        <w:t>§ 133d</w:t>
      </w:r>
    </w:p>
    <w:p w:rsidR="00960E62" w:rsidRDefault="00960E62" w:rsidP="00960E62">
      <w:pPr>
        <w:jc w:val="both"/>
      </w:pPr>
      <w:r w:rsidRPr="00406B8F">
        <w:t xml:space="preserve">Predbežné opatrenia v navrhovanom </w:t>
      </w:r>
      <w:r>
        <w:t xml:space="preserve">ustanovení </w:t>
      </w:r>
      <w:r w:rsidRPr="00406B8F">
        <w:t>predstavujú inštitút pre</w:t>
      </w:r>
      <w:r>
        <w:t>dbežného procesného opatrenia. I</w:t>
      </w:r>
      <w:r w:rsidRPr="00406B8F">
        <w:t xml:space="preserve">de o dočasný prostriedok, ktorého cieľom má byť podľa čl. 51 ods. 2 písm. e) nariadenia (EÚ) 2022/2065 vyvarovať sa riziku vážnej ujmy. </w:t>
      </w:r>
      <w:r>
        <w:t>Pojem vážna ujma nie je definovaný v nariadení (EÚ) 2022/2065 a jeho definícia sa nezavádza ani v návrhu zákona s odvolaním sa na čl. 6 ods. 5 Legislatívnych pravidiel vlády SR. Ujmou môže byť v tomto prípade majetková aj nemajetková škoda, ktorá nemusí nastať, stačí, ak hrozí príjemcom služby, ako ich definuje čl. 3 písm. b) nariadenia (EÚ) 2022/2065. Vážnosť ujmy sa bude vždy musieť posúdiť podľa okolností prípadu, najmä v závislosti od povahy právnej povinnosti, ktorá bude dôvodom pre uloženie predbežného opatrenia (bude nutné napr. rozlišovať, či ide o administratívnu povinnosť, povinnosť, ktorá sa týka zlyhania poskytovateľa sprostredkovateľskej služby pri odstraňovaní nezákonného obsahu, alebo o iný typ povinnosti, napr. viazanú na krízové obdobie), povahy a dosahu sprostredkovateľskej služby, počtu potenciálne ohrozených príjemcov služby, tiež napríklad skutočnosti, či sú ohrozené osobitne zraniteľné skupiny príjemcov služby, ako sú deti. Máme za to, že presné vymedzenie tohto pojmu by v súčasnosti bolo predčasné, keďže nariadenie (EÚ) 2022/2065 je úplne novou reguláciou na európskej aj národnej úrovni, ku ktorej zatiaľ nejestvuje žiadna súdna prax. Zavedenie definície tohto pojmu v zákone by mohlo odkloniť aplikačnú prax v Slovenskej republike od vývoja na úrovni EÚ a v iných členských štátoch.</w:t>
      </w:r>
    </w:p>
    <w:p w:rsidR="00960E62" w:rsidRDefault="00960E62" w:rsidP="00960E62">
      <w:pPr>
        <w:jc w:val="both"/>
      </w:pPr>
    </w:p>
    <w:p w:rsidR="00960E62" w:rsidRPr="00406B8F" w:rsidRDefault="00960E62" w:rsidP="00960E62">
      <w:pPr>
        <w:jc w:val="both"/>
      </w:pPr>
      <w:r>
        <w:t>Predbežné</w:t>
      </w:r>
      <w:r w:rsidRPr="00406B8F">
        <w:t xml:space="preserve"> opatrenia sa ukladajú v nevyhnutných prípadoch, v nevyhnutnom rozsahu a na nevyhnutný čas,</w:t>
      </w:r>
      <w:r>
        <w:t xml:space="preserve"> </w:t>
      </w:r>
      <w:r w:rsidRPr="00406B8F">
        <w:t xml:space="preserve">ak </w:t>
      </w:r>
      <w:r>
        <w:t xml:space="preserve">sú </w:t>
      </w:r>
      <w:r w:rsidRPr="00406B8F">
        <w:t xml:space="preserve">relevantné skutočnosti, ktorých </w:t>
      </w:r>
      <w:r>
        <w:t xml:space="preserve">sa predbežné opatrenie týka, </w:t>
      </w:r>
      <w:r w:rsidRPr="00406B8F">
        <w:t>osvedčené v takej miere, aby odôvodňovali jeho aplikáciu.</w:t>
      </w:r>
      <w:r>
        <w:t xml:space="preserve"> Vzhľadom na požiadavku na operatívnosť ich aplikácie, nepredchádza vydaniu predbežného opatrenia klasické dokazovanie a správne konanie, preto sa na predbežné opatrenia ani nebudú vzťahovať všetky ustanovenia správneho poriadku. V záujme zabezpečenia právnej istoty sa priamo v zákone stanovuje maximálne trvanie predbežného opatrenia, hoci, v prípade potreby, s možnosťou predĺženia (formou samostatného rozhodnutia), a tiež právne tituly na zánik predbežných opatrení. Pre predbežné opatrenia sa ustanovuje osobitný prostriedok nápravy – námietky. Predbežné opatrenia aj rozhodnutia o námietkach sú preskúmateľné v rámci správneho súdnictva.</w:t>
      </w:r>
    </w:p>
    <w:p w:rsidR="00960E62" w:rsidRDefault="00960E62" w:rsidP="00960E62">
      <w:pPr>
        <w:rPr>
          <w:u w:val="single"/>
        </w:rPr>
      </w:pPr>
    </w:p>
    <w:p w:rsidR="00960E62" w:rsidRPr="004A5609" w:rsidRDefault="00960E62" w:rsidP="00960E62">
      <w:pPr>
        <w:rPr>
          <w:b/>
        </w:rPr>
      </w:pPr>
      <w:r w:rsidRPr="004A5609">
        <w:rPr>
          <w:b/>
        </w:rPr>
        <w:t>§ 133e</w:t>
      </w:r>
    </w:p>
    <w:p w:rsidR="00960E62" w:rsidRDefault="00960E62" w:rsidP="00960E62">
      <w:pPr>
        <w:jc w:val="both"/>
      </w:pPr>
      <w:r w:rsidRPr="003F05E2">
        <w:t xml:space="preserve">Inštitút záväzkov na zabezpečenie súladu dáva poskytovateľom sprostredkovateľskej služby príležitosť, ako sa v prípade aspoň dodatočného dobrovoľného splnenia povinnosti môžu vyhnúť uloženiu peňažnej, príp. inej sankcie. Ponúknuté záväzky sa budú posudzovať v zmysle návrhu, ktorý predloží poskytovateľ sprostredkovateľskej služby. </w:t>
      </w:r>
      <w:r>
        <w:t xml:space="preserve">Návrh by mal byť dostatočne konkrétny a zrozumiteľný, aby špecifikoval, ako chce poskytovateľ sprostredkovateľskej služby dosiahnuť súlad s nariadením (EÚ) 2022/2065. </w:t>
      </w:r>
      <w:r w:rsidRPr="003F05E2">
        <w:t xml:space="preserve">Pri schválení </w:t>
      </w:r>
      <w:r>
        <w:t xml:space="preserve">regulátor preruší správne konanie na čas do uplynutia lehoty na splnenie záväzku. Ak dôjde k splneniu záväzku, regulátor konanie zastaví. </w:t>
      </w:r>
      <w:r w:rsidRPr="003F05E2">
        <w:t xml:space="preserve">Ak koordinátor digitálnych služieb vyhodnotí návrh záväzku ako nedostatočný pre dosiahnutie súladu s nariadením (EÚ) 2022/2065, </w:t>
      </w:r>
      <w:r>
        <w:t>vydá rozhodnutie o uložení sankcie a </w:t>
      </w:r>
      <w:r w:rsidRPr="003F05E2">
        <w:t>dôvody</w:t>
      </w:r>
      <w:r>
        <w:t xml:space="preserve"> pre odmietnutie ponúknutého záväzku</w:t>
      </w:r>
      <w:r w:rsidRPr="003F05E2">
        <w:t xml:space="preserve"> uvedie v odôvodnen</w:t>
      </w:r>
      <w:r>
        <w:t>í rozhodnutia o uložení sankcie, a to z dôvodu procesnej ekonómie.</w:t>
      </w:r>
    </w:p>
    <w:p w:rsidR="00960E62" w:rsidRDefault="00960E62" w:rsidP="00960E62">
      <w:pPr>
        <w:jc w:val="both"/>
      </w:pPr>
    </w:p>
    <w:p w:rsidR="00960E62" w:rsidRPr="006C3376" w:rsidRDefault="00960E62" w:rsidP="00960E62">
      <w:pPr>
        <w:jc w:val="both"/>
      </w:pPr>
      <w:r>
        <w:t>Ak poskytovateľ sprostredkovateľskej služby nesplní záväzok vyhlásený regulátorom za záväzný riadne a včas alebo ak sa zistí, že informácie, z ktorých vychádzal regulátor pri posudzovaní návrhu záväzku alebo jeho splnenia, sú nepravdivé, alebo ak poskytovateľ sprostredkovateľskej služby bude tvrdiť, že splnil záväzok, avšak regulátor bude mať za to, že toto tvrdenie nie je dostatočne preukázané, regulátor pokračuje v konaní a vydá rozhodnutie o uložení sankcie V tejto súvislosti sa navrhuje aj úprava v § 135 zákona o mediálnych službách vo vzťahu k plynutiu lehôt na vydanie meritórneho rozhodnutia.</w:t>
      </w:r>
    </w:p>
    <w:p w:rsidR="00960E62" w:rsidRDefault="00960E62" w:rsidP="00960E62">
      <w:pPr>
        <w:jc w:val="both"/>
        <w:rPr>
          <w:b/>
        </w:rPr>
      </w:pPr>
    </w:p>
    <w:p w:rsidR="00960E62" w:rsidRPr="00AF6F51" w:rsidRDefault="00960E62" w:rsidP="00960E62">
      <w:pPr>
        <w:jc w:val="both"/>
        <w:rPr>
          <w:b/>
        </w:rPr>
      </w:pPr>
      <w:r w:rsidRPr="00AF6F51">
        <w:rPr>
          <w:b/>
        </w:rPr>
        <w:t>§ 133f</w:t>
      </w:r>
    </w:p>
    <w:p w:rsidR="00960E62" w:rsidRPr="00AF6F51" w:rsidRDefault="00960E62" w:rsidP="00960E62">
      <w:pPr>
        <w:jc w:val="both"/>
      </w:pPr>
      <w:r>
        <w:t xml:space="preserve">Prijatie a preloženie akčného plánu sa v návrhu zákona vymedzuje ako osobitné opatrenie za opakované porušovanie povinnosti podľa nariadenia (EÚ) 2022/2065. Možnosti uloženia tejto povinnosti zo stany koordinátorov digitálnych služieb sú v samotnom nariadení limitované vyčerpaním iných právomocí na presadzovanie práva. Znenie návrhu zákona sleduje znenie čl. 51 ods. 3 nariadenia (EÚ) 2022/2065, vrátane nadväzujúceho oprávnenia podať návrh na justičný orgán, t. j. súd, aby nariadil dočasné obmedzenie prístupu príjemcov služby k sprostredkovateľskej službe alebo k online rozhraniu, na ktorom sa táto služba poskytuje. Súd musí pri rozhodovaní preskúmať, či sú splnené požiadavky na takéto obmedzenie predpokladané čl. 51 ods. 3 nariadenia (EÚ) 2022/2065 a prevzaté aj do návrhu zákona. K pojmu vážna ujma pozri odôvodnenie § 133d. Limit pre časové trvanie a možnosť predĺženia obmedzenia sú ustanovené priamo v nariadení, ktorého znenie budú musieť rešpektovať aj súdy v Slovenskej republike, ak Rada pre mediálne služby podá takýto návrh. Obmedzenie prístupu príjemcov služby k sprostredkovateľskej službe alebo k online rozhraniu má tak, ako je vymedzené v nariadení, predstavovať prostriedok ultima ratio. V prípade, ak nedôjde k dobrovoľnému výkonu takéhoto súdneho rozhodnutia, môže sa uplatniť výkon blokovania podľa § 27c zákona č. 69/2018 Z. z. </w:t>
      </w:r>
      <w:r w:rsidRPr="00A95813">
        <w:t>o kybernetickej bezpečnosti a o zmene a doplnení niektorých zákonov</w:t>
      </w:r>
      <w:r>
        <w:t xml:space="preserve"> v znení neskorších predpisov.</w:t>
      </w:r>
    </w:p>
    <w:p w:rsidR="00960E62" w:rsidRDefault="00960E62" w:rsidP="00960E62">
      <w:pPr>
        <w:rPr>
          <w:b/>
        </w:rPr>
      </w:pPr>
    </w:p>
    <w:p w:rsidR="00960E62" w:rsidRDefault="00960E62" w:rsidP="00960E62">
      <w:pPr>
        <w:rPr>
          <w:b/>
        </w:rPr>
      </w:pPr>
      <w:r w:rsidRPr="00A95813">
        <w:rPr>
          <w:b/>
        </w:rPr>
        <w:t>§ 133g</w:t>
      </w:r>
    </w:p>
    <w:p w:rsidR="00960E62" w:rsidRPr="00A95813" w:rsidRDefault="00960E62" w:rsidP="00960E62">
      <w:pPr>
        <w:jc w:val="both"/>
      </w:pPr>
      <w:r>
        <w:t>Pre výkon dohľadu nad plnením povinností podľa nariadenia (EÚ) 2019/1150 sa navrhuje uplatňovať v zásade rovnaký procesný režim ako pri nariadení (EÚ) 2022/2065. Vzhľadom na nižšiu mieru rizika, ktorá vzniká pri nesplnení povinností podľa nariadenia (EÚ) 2019/1150, sa limitujú niektoré právomoci, aby nedošlo k prekročeniu rozsahu, ktorý je potrebný a primeraný pre dosiahnutie sledovaného účelu. Pre tieto porušenia sa navrhuje neaplikovať ustanovenia o predbežných opatreniach, akčnom pláne a obmedzení prístupu príjemcov služby.</w:t>
      </w:r>
    </w:p>
    <w:p w:rsidR="00960E62" w:rsidRDefault="00960E62" w:rsidP="00960E62">
      <w:pPr>
        <w:rPr>
          <w:u w:val="single"/>
        </w:rPr>
      </w:pPr>
    </w:p>
    <w:p w:rsidR="00960E62" w:rsidRDefault="00960E62" w:rsidP="00960E62">
      <w:pPr>
        <w:rPr>
          <w:u w:val="single"/>
        </w:rPr>
      </w:pPr>
      <w:r>
        <w:rPr>
          <w:u w:val="single"/>
        </w:rPr>
        <w:t>K bodu 38</w:t>
      </w:r>
    </w:p>
    <w:p w:rsidR="00960E62" w:rsidRDefault="00960E62" w:rsidP="00960E62">
      <w:pPr>
        <w:jc w:val="both"/>
      </w:pPr>
      <w:r>
        <w:t>Novelizačný bod je výlučne legislatívno-technického charakteru a z vecného hľadiska reflektuje zmeny navrhované v § 133 ods. 2, avšak s uvedením vnútorných odkazov v znení účinnom od 28. júna 2025.</w:t>
      </w:r>
    </w:p>
    <w:p w:rsidR="00960E62" w:rsidRDefault="00960E62" w:rsidP="00960E62">
      <w:pPr>
        <w:jc w:val="both"/>
      </w:pPr>
    </w:p>
    <w:p w:rsidR="00960E62" w:rsidRDefault="00960E62" w:rsidP="00960E62">
      <w:pPr>
        <w:rPr>
          <w:u w:val="single"/>
        </w:rPr>
      </w:pPr>
      <w:r>
        <w:rPr>
          <w:u w:val="single"/>
        </w:rPr>
        <w:t>K bodu 39</w:t>
      </w:r>
    </w:p>
    <w:p w:rsidR="00960E62" w:rsidRDefault="00960E62" w:rsidP="00960E62">
      <w:pPr>
        <w:jc w:val="both"/>
      </w:pPr>
      <w:r>
        <w:t xml:space="preserve">V zmysle čl. 51 ods. 2 písm. b) nariadenia (EÚ) 2022/2065 majú mať koordinátori digitálnych služieb v každom členskom štáte okrem iných právomocí na presadzovanie práva aj právomoc nariadiť ukončenie porušovania právnych predpisov a prípadne uložiť nápravné opatrenia primerané porušovaniu a potrebné na účinné ukončenie porušovania právnych predpisov (alebo podľa právneho poriadku svojho členského štátu o to požiadať justičný orgán). Implementácia predmetnej právomoci sa zabezpečuje doplnením nápravného opatrenia do § 134 zákona o mediálnych službách ako druhu sankcie a osobitným </w:t>
      </w:r>
      <w:r>
        <w:lastRenderedPageBreak/>
        <w:t>ustanovením § 145b, ktoré ustanovuje požiadavku na primeranosť a cieľ nápravného opatrenia a obmedzuje kompetenciu Rady pre mediálne služby ukladať tieto sankcie len vo vzťahu k poskytovateľom sprostredkovateľskej služby, na ktorých sa vzťahuje nariadenie (EÚ) 2022/2065. Môže ísť o formu sankcie, ktorú Rada pre mediálne služby môže využiť pri prvom porušení povinnosti, pričom pri každom ďalšom porušení povinnosti pristúpi už k uloženiu pokuty (napr. ak Rada pre mediálne služby zistí, že online trhovisko spadajúce do jej pôsobnosti neuvádza všetky potrebné informácie na jasnú a jednoznačnú identifikáciu ponúkaných výrobkov a služieb v zmysle čl. 31 nariadenia (EÚ) 2022/2065, môže uložiť nápravné opatrenie špecifikujúce požiadavky na tieto informácie). Nápravné opatrenie je v zmysle nariadenia (EÚ) 2022/2065 možné uložiť za porušenie akejkoľvek povinnosti, ktorá poskytovateľovi sprostredkovateľskej služby vyplýva z tohto nariadenia. Predmetom nápravného opatrenia môže byť preto napríklad aj uloženie povinnosti prijať bližšie špecifikované opatrenia v rámci organizácie online rozhrania, na ktorom boli identifikované tzv. temné vzorce (dark patterns), ktoré by zodpovedali usmerneniam Európskej komisie (v nadväznosti na čl. 25 nariadenia (EÚ) 2022/2065), konkrétne napríklad týkajúce sa krokov potrebných pri zrušení služby, ak by sa usúdilo, že proces zrušenia služby je omnoho komplikovanejší ako prihlásenie sa do služby v takom rozsahu, že to môže mať vplyv na rozhodovanie príjemcov služby zotrvať v danej službe (v snahe vyhnúť sa neprimeraným komplikáciám alebo samotné získanie informácií o tomto procese je neprimerane komplikované). Pre prípad, že nápravné opatrenie nebude vykonané, môže regulátor uložiť aj pokutu.</w:t>
      </w:r>
    </w:p>
    <w:p w:rsidR="00960E62" w:rsidRDefault="00960E62" w:rsidP="00960E62">
      <w:pPr>
        <w:jc w:val="both"/>
      </w:pPr>
    </w:p>
    <w:p w:rsidR="00960E62" w:rsidRDefault="00960E62" w:rsidP="00960E62">
      <w:pPr>
        <w:rPr>
          <w:u w:val="single"/>
        </w:rPr>
      </w:pPr>
      <w:r>
        <w:rPr>
          <w:u w:val="single"/>
        </w:rPr>
        <w:t>K bodom 40 a 41</w:t>
      </w:r>
    </w:p>
    <w:p w:rsidR="00960E62" w:rsidRDefault="00960E62" w:rsidP="00960E62">
      <w:pPr>
        <w:jc w:val="both"/>
      </w:pPr>
      <w:r>
        <w:t>Ustanovenie § 135 predstavuje všeobecné ustanovenie vzťahujúce sa na ukladanie sankcií Radou pre mediálne služby za porušenie povinností podľa zákona o mediálnych a ním implementovaných nariadení EÚ. V odseku 1 sa navrhuje predĺženie subjektívnej lehoty pre Radu pre mediálne služby na rozhodnutie o uložení sankcie za porušenie povinností podľa nariadenia (EÚ) 2019/1150 a nariadenia (EÚ) 2022/2065. Dlhšia subjektívna lehota (12 mesiacov namiesto 6 mesiacov) sa navrhuje najmä z dôvodu, že porušenie týchto povinností môže obsahovať cezhraničný prvok, na ktorého preskúmanie môže byť potrebný dlhší čas.</w:t>
      </w:r>
    </w:p>
    <w:p w:rsidR="00960E62" w:rsidRDefault="00960E62" w:rsidP="00960E62">
      <w:pPr>
        <w:jc w:val="both"/>
      </w:pPr>
    </w:p>
    <w:p w:rsidR="00960E62" w:rsidRDefault="00960E62" w:rsidP="00960E62">
      <w:pPr>
        <w:jc w:val="both"/>
      </w:pPr>
      <w:r>
        <w:t>Novelizačný bod 40 je výlučne legislatívno-technického charakteru a z vecného hľadiska reflektuje zmenu navrhovanú v novelizačnom bode 39, avšak s uvedením vnútorných odkazov v znení účinnom od 28. júna 2025.</w:t>
      </w:r>
    </w:p>
    <w:p w:rsidR="00960E62" w:rsidRPr="0051767D" w:rsidRDefault="00960E62" w:rsidP="00960E62"/>
    <w:p w:rsidR="00960E62" w:rsidRDefault="00960E62" w:rsidP="00960E62">
      <w:pPr>
        <w:rPr>
          <w:u w:val="single"/>
        </w:rPr>
      </w:pPr>
      <w:r w:rsidRPr="00A932D8">
        <w:rPr>
          <w:u w:val="single"/>
        </w:rPr>
        <w:t xml:space="preserve">K bodu </w:t>
      </w:r>
      <w:r>
        <w:rPr>
          <w:u w:val="single"/>
        </w:rPr>
        <w:t>42</w:t>
      </w:r>
    </w:p>
    <w:p w:rsidR="00960E62" w:rsidRPr="008D036F" w:rsidRDefault="00960E62" w:rsidP="00960E62">
      <w:pPr>
        <w:jc w:val="both"/>
      </w:pPr>
      <w:r>
        <w:t xml:space="preserve">Ide o legislatívno-technickú úpravu v nadväznosti na novelizačný bod 39. </w:t>
      </w:r>
    </w:p>
    <w:p w:rsidR="00960E62" w:rsidRDefault="00960E62" w:rsidP="00960E62">
      <w:pPr>
        <w:rPr>
          <w:u w:val="single"/>
        </w:rPr>
      </w:pPr>
    </w:p>
    <w:p w:rsidR="00960E62" w:rsidRDefault="00960E62" w:rsidP="00960E62">
      <w:pPr>
        <w:rPr>
          <w:u w:val="single"/>
        </w:rPr>
      </w:pPr>
      <w:r>
        <w:rPr>
          <w:u w:val="single"/>
        </w:rPr>
        <w:t>K bodu 43</w:t>
      </w:r>
    </w:p>
    <w:p w:rsidR="00960E62" w:rsidRDefault="00960E62" w:rsidP="00960E62">
      <w:pPr>
        <w:jc w:val="both"/>
      </w:pPr>
      <w:r>
        <w:t>Z dôvodu predchádzania zneužívania inštitútu záväzku na zabezpečenie súladu sa navrhuje, aby sa prerušilo plynutie lehôt na rozhodnutie Rady pre mediálne služby počas plynutia lehoty, v ktorej má dôjsť podľa rozhodnutia o vyhlásení záväzku za záväzný k zabezpečeniu splnenia povinností podľa nariadenia EÚ.</w:t>
      </w:r>
    </w:p>
    <w:p w:rsidR="00960E62" w:rsidRPr="000F2CA2" w:rsidRDefault="00960E62" w:rsidP="00960E62"/>
    <w:p w:rsidR="00960E62" w:rsidRDefault="00960E62" w:rsidP="00960E62">
      <w:pPr>
        <w:rPr>
          <w:u w:val="single"/>
        </w:rPr>
      </w:pPr>
      <w:r>
        <w:rPr>
          <w:u w:val="single"/>
        </w:rPr>
        <w:t>K bodu 44</w:t>
      </w:r>
    </w:p>
    <w:p w:rsidR="00960E62" w:rsidRDefault="00960E62" w:rsidP="00960E62">
      <w:pPr>
        <w:jc w:val="both"/>
      </w:pPr>
      <w:r>
        <w:t xml:space="preserve">Ustanovenie § 135 sa dopĺňa o osobitné kritériá, na ktoré sa má prihliadať pri rozhodovaní o druhu a rozsahu sankcie za porušenie povinností podľa nariadenia (EÚ) 2019/1150 a nariadenia (EÚ) 2022/2065. Za najviac relevantné kritériá sa považujú trvanie protiprávneho stavu, recidíva (opakované porušovanie povinnosti) a závažnosť protiprávneho konania (napr. prihliadanie na to, či ide o porušenie administratívnej povinnosti, povinnosti, ktorá sa priamo </w:t>
      </w:r>
      <w:r>
        <w:lastRenderedPageBreak/>
        <w:t>týka šírenia nezákonného obsahu v rámci sprostredkovateľskej služby, osobitných ustanovení týkajúcich sa zvlášť zraniteľnej skupiny príjemcov služby - maloletých atď.). Ďalšími kritériami sú napr. ekonomická, technická či prevádzková kapacita dotknutého subjektu.</w:t>
      </w:r>
    </w:p>
    <w:p w:rsidR="00960E62" w:rsidRPr="000909FA" w:rsidRDefault="00960E62" w:rsidP="00960E62">
      <w:pPr>
        <w:jc w:val="both"/>
      </w:pPr>
      <w:r>
        <w:t xml:space="preserve"> </w:t>
      </w:r>
    </w:p>
    <w:p w:rsidR="00960E62" w:rsidRDefault="00960E62" w:rsidP="00960E62">
      <w:pPr>
        <w:rPr>
          <w:u w:val="single"/>
        </w:rPr>
      </w:pPr>
      <w:r>
        <w:rPr>
          <w:u w:val="single"/>
        </w:rPr>
        <w:t>K bodu 45</w:t>
      </w:r>
    </w:p>
    <w:p w:rsidR="00960E62" w:rsidRDefault="00960E62" w:rsidP="00960E62">
      <w:pPr>
        <w:jc w:val="both"/>
      </w:pPr>
      <w:r>
        <w:t>Novelizačný bod je výlučne legislatívno-technického charakteru a z vecného hľadiska reflektuje zmeny navrhované v § 135 ods. 8, avšak s uvedením vnútorných odkazov v znení účinnom od 28. júna 2025.</w:t>
      </w:r>
    </w:p>
    <w:p w:rsidR="00960E62" w:rsidRDefault="00960E62" w:rsidP="00960E62">
      <w:pPr>
        <w:rPr>
          <w:u w:val="single"/>
        </w:rPr>
      </w:pPr>
    </w:p>
    <w:p w:rsidR="00960E62" w:rsidRDefault="00960E62" w:rsidP="00960E62">
      <w:pPr>
        <w:rPr>
          <w:u w:val="single"/>
        </w:rPr>
      </w:pPr>
      <w:r>
        <w:rPr>
          <w:u w:val="single"/>
        </w:rPr>
        <w:t>K bodu 46</w:t>
      </w:r>
    </w:p>
    <w:p w:rsidR="00960E62" w:rsidRDefault="00960E62" w:rsidP="00960E62">
      <w:pPr>
        <w:jc w:val="both"/>
      </w:pPr>
      <w:r>
        <w:t>Vo všeobecnosti predpokladá zákon o mediálnych službách v prípade prvého porušenia povinnosti uloženie upozornenia na porušenie zákona ako druhu sankcie. V nadväznosti na to, že nariadenie (EÚ) 2022/2065 počíta s možnosťou pre poskytovateľov sprostredkovateľskej služby navrhnúť záväzok na zabezpečenie súladu (§ 133e), ktorý môže smerovať k neuloženiu sankcie, ak dôjde k odstráneniu protiprávneho stavu, a súčasne skutočnosť, že čl. 51 ods. 2 písm. c) nariadenia (EÚ) 2022/2065 predpokladá, že koordinátor digitálnych služieb bude mať právomoc uložiť peňažnú sankciu už aj pri prvom porušení povinnosti, sa navrhuje zaradiť porušenie povinností podľa nariadenia (EÚ) 2022/2065 do výpočtu správnych deliktov, pri ktorých Rada pre mediálne služby môže, ale nemusí ukladať upozornenie na porušenia zákona pri prvom porušení a peňažné pokuty až pri opakovanom porušení povinnosti.</w:t>
      </w:r>
    </w:p>
    <w:p w:rsidR="00960E62" w:rsidRPr="00E61EC6" w:rsidRDefault="00960E62" w:rsidP="00960E62">
      <w:pPr>
        <w:jc w:val="both"/>
      </w:pPr>
    </w:p>
    <w:p w:rsidR="00960E62" w:rsidRDefault="00960E62" w:rsidP="00960E62">
      <w:pPr>
        <w:jc w:val="both"/>
      </w:pPr>
      <w:r>
        <w:rPr>
          <w:u w:val="single"/>
        </w:rPr>
        <w:t>K bodu 47</w:t>
      </w:r>
      <w:r w:rsidRPr="00E61EC6">
        <w:t xml:space="preserve"> </w:t>
      </w:r>
    </w:p>
    <w:p w:rsidR="00960E62" w:rsidRDefault="00960E62" w:rsidP="00960E62">
      <w:pPr>
        <w:jc w:val="both"/>
      </w:pPr>
      <w:r>
        <w:t>V nadväznosti na doplnenie nového ustanovenia o pokute a ustanovenia o sankčnom opatrení sa v § 140 upravuje aj vnútorný odkaz na toto ustanovenie.</w:t>
      </w:r>
    </w:p>
    <w:p w:rsidR="00960E62" w:rsidRDefault="00960E62" w:rsidP="00960E62">
      <w:pPr>
        <w:rPr>
          <w:u w:val="single"/>
        </w:rPr>
      </w:pPr>
    </w:p>
    <w:p w:rsidR="00960E62" w:rsidRPr="003B104F" w:rsidRDefault="00960E62" w:rsidP="00960E62">
      <w:pPr>
        <w:rPr>
          <w:u w:val="single"/>
        </w:rPr>
      </w:pPr>
      <w:r w:rsidRPr="00691815">
        <w:rPr>
          <w:u w:val="single"/>
        </w:rPr>
        <w:t xml:space="preserve">K bodom </w:t>
      </w:r>
      <w:r>
        <w:rPr>
          <w:u w:val="single"/>
        </w:rPr>
        <w:t>48</w:t>
      </w:r>
      <w:r w:rsidRPr="00691815">
        <w:rPr>
          <w:u w:val="single"/>
        </w:rPr>
        <w:t xml:space="preserve">, </w:t>
      </w:r>
      <w:r>
        <w:rPr>
          <w:u w:val="single"/>
        </w:rPr>
        <w:t>52</w:t>
      </w:r>
      <w:r w:rsidRPr="00691815">
        <w:rPr>
          <w:u w:val="single"/>
        </w:rPr>
        <w:t xml:space="preserve"> a </w:t>
      </w:r>
      <w:r>
        <w:rPr>
          <w:u w:val="single"/>
        </w:rPr>
        <w:t>53</w:t>
      </w:r>
    </w:p>
    <w:p w:rsidR="00960E62" w:rsidRDefault="00960E62" w:rsidP="00960E62">
      <w:pPr>
        <w:jc w:val="both"/>
      </w:pPr>
      <w:r>
        <w:t>Novelizačné body sú výlučne legislatívno-technického charakteru a z vecného hľadiska reflektujú zmeny navrhované v§ 140 ods. 4, § 145a a 145b. Vzhľadom však na skutočnosť,</w:t>
      </w:r>
      <w:r w:rsidRPr="005B45E1">
        <w:t xml:space="preserve"> že zákon</w:t>
      </w:r>
      <w:r>
        <w:t xml:space="preserve"> č. 351/2022 Z. z. </w:t>
      </w:r>
      <w:r w:rsidRPr="005B45E1">
        <w:t>o prístupnosti výrobkov a služieb pre osoby so zdravotným postihnutím a o zmene a doplnení niektorých zákonov</w:t>
      </w:r>
      <w:r>
        <w:t>, ktorým došlo o. i. aj k novelizovaniu zákona</w:t>
      </w:r>
      <w:r w:rsidRPr="005B45E1">
        <w:t xml:space="preserve"> o mediálnych službách</w:t>
      </w:r>
      <w:r>
        <w:t xml:space="preserve"> (vrátane § 140 a vloženia nového § 145a), nadobudne účinnosť až 28. júna 2025, predkladateľ uvádza celé nové znenia príslušných ustanovení sankciách (pokutách)</w:t>
      </w:r>
      <w:r w:rsidRPr="003440AF">
        <w:t xml:space="preserve"> </w:t>
      </w:r>
      <w:r>
        <w:t xml:space="preserve">v znení účinnom od 28. júna 2025. </w:t>
      </w:r>
    </w:p>
    <w:p w:rsidR="00960E62" w:rsidRPr="00CA6009" w:rsidRDefault="00960E62" w:rsidP="00960E62"/>
    <w:p w:rsidR="00960E62" w:rsidRDefault="00960E62" w:rsidP="00960E62">
      <w:pPr>
        <w:jc w:val="both"/>
        <w:rPr>
          <w:u w:val="single"/>
        </w:rPr>
      </w:pPr>
      <w:r w:rsidRPr="00691815">
        <w:rPr>
          <w:u w:val="single"/>
        </w:rPr>
        <w:t xml:space="preserve">K bodu </w:t>
      </w:r>
      <w:r>
        <w:rPr>
          <w:u w:val="single"/>
        </w:rPr>
        <w:t>49</w:t>
      </w:r>
    </w:p>
    <w:p w:rsidR="00960E62" w:rsidRPr="00FF5755" w:rsidRDefault="00960E62" w:rsidP="00960E62">
      <w:pPr>
        <w:jc w:val="both"/>
      </w:pPr>
      <w:r>
        <w:t>Navrhuje sa p</w:t>
      </w:r>
      <w:r w:rsidRPr="00FF5755">
        <w:t>recizovať</w:t>
      </w:r>
      <w:r>
        <w:t xml:space="preserve"> sankčné ustanovenie, na základe ktorého Rada pre mediálne služby ukladá pokutu </w:t>
      </w:r>
      <w:r w:rsidRPr="00FF5755">
        <w:t>vysielateľovi televíznej programovej služby za porušenie ustanovení o multimodálnom prístupe</w:t>
      </w:r>
      <w:r>
        <w:t>. Navrhovaná úprava reflektuje požiadavky aplikačnej praxe regulátora.</w:t>
      </w:r>
    </w:p>
    <w:p w:rsidR="00960E62" w:rsidRDefault="00960E62" w:rsidP="00960E62">
      <w:pPr>
        <w:jc w:val="both"/>
        <w:rPr>
          <w:u w:val="single"/>
        </w:rPr>
      </w:pPr>
    </w:p>
    <w:p w:rsidR="00960E62" w:rsidRPr="00126EAB" w:rsidRDefault="00960E62" w:rsidP="00960E62">
      <w:pPr>
        <w:jc w:val="both"/>
        <w:rPr>
          <w:u w:val="single"/>
        </w:rPr>
      </w:pPr>
      <w:r w:rsidRPr="00691815">
        <w:rPr>
          <w:u w:val="single"/>
        </w:rPr>
        <w:t xml:space="preserve">K bodu </w:t>
      </w:r>
      <w:r>
        <w:rPr>
          <w:u w:val="single"/>
        </w:rPr>
        <w:t>50</w:t>
      </w:r>
    </w:p>
    <w:p w:rsidR="00960E62" w:rsidRPr="00694CEF" w:rsidRDefault="00960E62" w:rsidP="00960E62">
      <w:pPr>
        <w:jc w:val="both"/>
      </w:pPr>
      <w:r w:rsidRPr="00694CEF">
        <w:t>Keďže vysielateľovi sa prideľuje frekvencia na účely vysielania s licenciou, nie je možné, aby vysielateľ používal pridelené frekvencie bez licencie. Z uvedeného dôvodu sa navrhuje precizovať ustanovenie § 142 ods. 8 písm. b).</w:t>
      </w:r>
    </w:p>
    <w:p w:rsidR="00960E62" w:rsidRPr="00050CA3" w:rsidRDefault="00960E62" w:rsidP="00960E62"/>
    <w:p w:rsidR="00960E62" w:rsidRDefault="00960E62" w:rsidP="00960E62">
      <w:pPr>
        <w:rPr>
          <w:u w:val="single"/>
        </w:rPr>
      </w:pPr>
      <w:r w:rsidRPr="007632F8">
        <w:rPr>
          <w:u w:val="single"/>
        </w:rPr>
        <w:t xml:space="preserve">K bodu </w:t>
      </w:r>
      <w:r>
        <w:rPr>
          <w:u w:val="single"/>
        </w:rPr>
        <w:t>51</w:t>
      </w:r>
    </w:p>
    <w:p w:rsidR="00960E62" w:rsidRDefault="00960E62" w:rsidP="00960E62">
      <w:pPr>
        <w:jc w:val="both"/>
      </w:pPr>
      <w:r>
        <w:t xml:space="preserve">Novelizačným bodom sa do zákona o mediálnych službách dopĺňajú sankčné ustanovenia na účely implementácie čl. 51 ods. 2 písm. b) a čl. 52 nariadenia (EÚ) 2022/2065 a čl. 15 nariadenia (EÚ) 2019/1150. Obe nariadenia EÚ ustanovujú povinnosti pre dotknutý okruh </w:t>
      </w:r>
      <w:r>
        <w:lastRenderedPageBreak/>
        <w:t xml:space="preserve">subjektov a sú priamo vykonateľné. Pre zabezpečenie riadneho presadzovania týchto povinností je však v národnej právnej úprave potrebné ustanoviť sankcie za ich porušenie. </w:t>
      </w:r>
    </w:p>
    <w:p w:rsidR="00960E62" w:rsidRDefault="00960E62" w:rsidP="00960E62"/>
    <w:p w:rsidR="00960E62" w:rsidRPr="003D691B" w:rsidRDefault="00960E62" w:rsidP="00960E62">
      <w:pPr>
        <w:rPr>
          <w:b/>
        </w:rPr>
      </w:pPr>
      <w:r w:rsidRPr="003D691B">
        <w:rPr>
          <w:b/>
        </w:rPr>
        <w:t>§ 145a</w:t>
      </w:r>
    </w:p>
    <w:p w:rsidR="00960E62" w:rsidRDefault="00960E62" w:rsidP="00960E62">
      <w:pPr>
        <w:jc w:val="both"/>
      </w:pPr>
      <w:r>
        <w:t xml:space="preserve">Dopĺňa sa nový paragraf o pokutách, ktoré je možné uložiť za porušenie povinností ustanovených nariadením (EÚ) 2022/2065 poskytovateľom sprostredkovateľskej služby a nariadením (EÚ) 2019/1150 poskytovateľom online sprostredkovateľských služieb a internetovým vyhľadávačom. </w:t>
      </w:r>
    </w:p>
    <w:p w:rsidR="00960E62" w:rsidRDefault="00960E62" w:rsidP="00960E62">
      <w:pPr>
        <w:jc w:val="both"/>
      </w:pPr>
    </w:p>
    <w:p w:rsidR="00960E62" w:rsidRDefault="00960E62" w:rsidP="00960E62">
      <w:pPr>
        <w:jc w:val="both"/>
      </w:pPr>
      <w:r>
        <w:t xml:space="preserve">Odsek 1 ustanovuje sankcie za porušenie hmotnoprávnych povinností, ktoré vyplývajú z týchto nariadení. </w:t>
      </w:r>
    </w:p>
    <w:p w:rsidR="00960E62" w:rsidRDefault="00960E62" w:rsidP="00960E62">
      <w:pPr>
        <w:jc w:val="both"/>
      </w:pPr>
      <w:r>
        <w:t xml:space="preserve">Odsek 2 ustanovuje pokuty za neposkytnutie riadnej súčinnosti Rade pre mediálne služby pri výkone dohľadu nad plnením povinností podľa nariadenia (EÚ) 2022/2065. Keďže nariadenie (EÚ) 2022/2065 predpokladá právomoc vyžiadania informácií, vysvetlení a poskytnutia inej súčinnosti pri výkone dohľadu nie len od poskytovateľov sprostredkovateľskej služby, ale aj od iných osôb vykonávajúcich podnikateľskú činnosť, u ktorých sa predpokladá, že disponujú relevantnými informáciami pre výkon dohľadu, subjektom správnych deliktov podľa odseku 2 môžu byť aj tieto ďalšie (iné) osoby. </w:t>
      </w:r>
    </w:p>
    <w:p w:rsidR="00960E62" w:rsidRDefault="00960E62" w:rsidP="00960E62">
      <w:pPr>
        <w:jc w:val="both"/>
      </w:pPr>
      <w:r>
        <w:t xml:space="preserve">Odsek 3 štruktúrou sleduje odsek 2, ale je vymedzený len vo vzťahu k poskytovateľom online sprostredkovateľských služieb a poskytovateľom internetového vyhľadávača. Nariadenie (EÚ) 2019/1150 výslovne nepredpokladá zapojenie ďalších (iných) osôb do výkonu dohľadu. Nad rozsah odseku 2 dopĺňa aj skutkovú podstatu za nesplnenie záväzku na zabezpečenie súladu vyhláseného za záväzný na základe návrhu poskytovateľa online sprostredkovateľských služieb alebo poskytovateľa internetového vyhľadávača. V prípade poskytovateľov sprostredkovateľských služieb je pre tento prípad sankciou penále podľa odseku 4, ktoré je však špecifikom nariadenia (EÚ) 2022/2065, preto sa v prípade nariadenia (EÚ) 2019/1150 ustanovuje jednoduchá peňažná sankcia (nie opakujúca sa – penále). </w:t>
      </w:r>
    </w:p>
    <w:p w:rsidR="00960E62" w:rsidRDefault="00960E62" w:rsidP="00960E62">
      <w:pPr>
        <w:jc w:val="both"/>
      </w:pPr>
      <w:r>
        <w:t>Odsek 4 upravuje právomoc koordinátora digitálnych služieb ukladať penále v nadväznosti na čl. 51 ods. 2 písm. d) nariadenia (EÚ) 2022/2065, vychádzajúc analogicky z čl. 76 nariadenia (EÚ) 2022/2065. Zámerom bolo formulovať skutkové podstaty deliktov, za ktoré je možné ukladať penále, podľa úpravy penále, ktoré môže ukladať Európska komisia pri dohľade nad veľmi veľkými online platformami a veľmi veľkými internetovými vyhľadávačmi. Odsek 5 bližšie špecifikuje počítanie penále a ustanovuje aj moderačné právo Rady pre mediálne služby, ktorá bude pomôcť po zohľadnení okolností konkrétneho prípadu konečnú sumu penále znížiť, napr. ak povinný subjekt bezodkladne a v celom rozsahu splní povinnosť, k vynúteniu ktorej penále smerovalo. Keďže nariadenie (EÚ) 2019/1150 výslovne nepočíta s ukladaním pravidelného penále, nenavrhuje sa jeho úprava ani v návrhu zákona.</w:t>
      </w:r>
    </w:p>
    <w:p w:rsidR="00960E62" w:rsidRDefault="00960E62" w:rsidP="00960E62">
      <w:pPr>
        <w:jc w:val="both"/>
      </w:pPr>
    </w:p>
    <w:p w:rsidR="00960E62" w:rsidRDefault="00960E62" w:rsidP="00960E62">
      <w:pPr>
        <w:jc w:val="both"/>
      </w:pPr>
      <w:r>
        <w:t xml:space="preserve">Čl. 52 nariadenia (EÚ) 2022/2065 harmonizuje horné hranice sadzieb pokút a penále, pokiaľ ide o porušenie povinností podľa tohto nariadenia, ktoré sú premietnuté do navrhovaného znenia § 145a ods. 1 písm. a), ods. 2 a 4 zákona o mediálnych službách. Sadzby pokút a penále sú určené percentuálnym podielom z obratu alebo príjmu sankcionovanej osoby. Pojem obrat sa v návrhu zákona priamo nedefinuje, ale v odseku 1 sa odkazuje na definíciu v čl. 3 písm. x) nariadenia (EÚ) 2022/2065. Skutočnosť, že sa v návrhu zákona určuje rozsah svetovým obratom, nie len obratom v Slovenskej republike, vyplýva z čl. 52 nariadenia (EÚ) 2022/2065. V § 145a ods. 6 a 7 sa upravujú len niektoré technické náležitosti týkajúce sa počítania hornej hranice sadzby pokuty v konkrétnych prípadoch. </w:t>
      </w:r>
      <w:r w:rsidRPr="00561AB1">
        <w:t xml:space="preserve">Presné postupy </w:t>
      </w:r>
      <w:r>
        <w:t>výpočtu pokút z obratu alebo príjmu budú predmetom podrobnejších usmernení, resp. metodických pokynov (</w:t>
      </w:r>
      <w:r>
        <w:rPr>
          <w:i/>
        </w:rPr>
        <w:t xml:space="preserve">soft </w:t>
      </w:r>
      <w:r w:rsidRPr="00561AB1">
        <w:rPr>
          <w:i/>
        </w:rPr>
        <w:t>law</w:t>
      </w:r>
      <w:r>
        <w:t xml:space="preserve">) </w:t>
      </w:r>
      <w:r w:rsidRPr="00561AB1">
        <w:t>sledujúc</w:t>
      </w:r>
      <w:r>
        <w:t xml:space="preserve"> aj postupy Európskej komisie a jednotnú aplikáciu v členských štátoch EÚ (viď napr. podobnú prax Protimonopolného úradu SR – dostupné tu: </w:t>
      </w:r>
      <w:hyperlink r:id="rId30" w:history="1">
        <w:r w:rsidRPr="005D6888">
          <w:rPr>
            <w:rStyle w:val="Hypertextovprepojenie"/>
          </w:rPr>
          <w:t>https://www.antimon.gov.sk/-38-pokuty/</w:t>
        </w:r>
      </w:hyperlink>
      <w:r>
        <w:t xml:space="preserve">; </w:t>
      </w:r>
      <w:hyperlink r:id="rId31" w:history="1">
        <w:r w:rsidRPr="005D6888">
          <w:rPr>
            <w:rStyle w:val="Hypertextovprepojenie"/>
          </w:rPr>
          <w:t>https://www.antimon.gov.sk/usmernenia-a-pokyny-uradu-soft-law/?csrt=5838865053633304276</w:t>
        </w:r>
      </w:hyperlink>
      <w:r>
        <w:t xml:space="preserve">). </w:t>
      </w:r>
    </w:p>
    <w:p w:rsidR="00960E62" w:rsidRDefault="00960E62" w:rsidP="00960E62">
      <w:pPr>
        <w:jc w:val="both"/>
      </w:pPr>
    </w:p>
    <w:p w:rsidR="00960E62" w:rsidRPr="00561AB1" w:rsidRDefault="00960E62" w:rsidP="00960E62">
      <w:pPr>
        <w:rPr>
          <w:b/>
        </w:rPr>
      </w:pPr>
      <w:r w:rsidRPr="00561AB1">
        <w:rPr>
          <w:b/>
        </w:rPr>
        <w:t>§ 145b</w:t>
      </w:r>
    </w:p>
    <w:p w:rsidR="00960E62" w:rsidRDefault="00960E62" w:rsidP="00960E62">
      <w:r>
        <w:t>Ustanovenie nadväzuje na novelizačný bod 37.</w:t>
      </w:r>
    </w:p>
    <w:p w:rsidR="00960E62" w:rsidRPr="00E61EC6" w:rsidRDefault="00960E62" w:rsidP="00960E62"/>
    <w:p w:rsidR="00960E62" w:rsidRDefault="00960E62" w:rsidP="00960E62">
      <w:pPr>
        <w:rPr>
          <w:u w:val="single"/>
        </w:rPr>
      </w:pPr>
      <w:r w:rsidRPr="00A932D8">
        <w:rPr>
          <w:u w:val="single"/>
        </w:rPr>
        <w:t>K</w:t>
      </w:r>
      <w:r>
        <w:rPr>
          <w:u w:val="single"/>
        </w:rPr>
        <w:t> bodom 54 až 57</w:t>
      </w:r>
    </w:p>
    <w:p w:rsidR="00960E62" w:rsidRDefault="00960E62" w:rsidP="00960E62">
      <w:pPr>
        <w:jc w:val="both"/>
      </w:pPr>
      <w:r>
        <w:t>V ustanovení § 150 zákona o mediálnych službách sa upravuje podávanie a vybavovanie podnetov na preverenie v pôsobnosti Rady pre mediálne služby. Dopĺňajú sa osobitné ustanovenia o podaniach týkajúcich sa poskytovateľov sprostredkovateľskej služby, online sprostredkovateľských služieb a internetových vyhľadávačov. Osobitné ustanovenia sa týkajú postupovania podnetov na vnútroštátnej úrovni a koordinátorom digitálnych služieb z iných členských štátov. Ustanovuje sa tiež právo poskytovateľov sprostredkovateľskej služby a podávateľov podnetu byť vypočutý a byť informovaný o stave vybavovania podnetu v pôsobnosti Rady pre mediálne služby.</w:t>
      </w:r>
    </w:p>
    <w:p w:rsidR="00960E62" w:rsidRPr="00050CA3" w:rsidRDefault="00960E62" w:rsidP="00960E62">
      <w:pPr>
        <w:jc w:val="both"/>
      </w:pPr>
    </w:p>
    <w:p w:rsidR="00960E62" w:rsidRDefault="00960E62" w:rsidP="00960E62">
      <w:pPr>
        <w:rPr>
          <w:u w:val="single"/>
        </w:rPr>
      </w:pPr>
      <w:r w:rsidRPr="00A932D8">
        <w:rPr>
          <w:u w:val="single"/>
        </w:rPr>
        <w:t>K bod</w:t>
      </w:r>
      <w:r>
        <w:rPr>
          <w:u w:val="single"/>
        </w:rPr>
        <w:t>u</w:t>
      </w:r>
      <w:r w:rsidRPr="00A932D8">
        <w:rPr>
          <w:u w:val="single"/>
        </w:rPr>
        <w:t xml:space="preserve"> </w:t>
      </w:r>
      <w:r>
        <w:rPr>
          <w:u w:val="single"/>
        </w:rPr>
        <w:t>58</w:t>
      </w:r>
    </w:p>
    <w:p w:rsidR="00960E62" w:rsidRDefault="00960E62" w:rsidP="00960E62">
      <w:pPr>
        <w:jc w:val="both"/>
      </w:pPr>
      <w:r>
        <w:t>Ide o legislatívno-technickú úpravu v nadväznosti na vecné zmeny v § 150 zákona.</w:t>
      </w:r>
    </w:p>
    <w:p w:rsidR="00960E62" w:rsidRDefault="00960E62" w:rsidP="00960E62">
      <w:pPr>
        <w:rPr>
          <w:u w:val="single"/>
        </w:rPr>
      </w:pPr>
    </w:p>
    <w:p w:rsidR="00960E62" w:rsidRPr="00A932D8" w:rsidRDefault="00960E62" w:rsidP="00960E62">
      <w:pPr>
        <w:rPr>
          <w:u w:val="single"/>
        </w:rPr>
      </w:pPr>
      <w:r w:rsidRPr="00A932D8">
        <w:rPr>
          <w:u w:val="single"/>
        </w:rPr>
        <w:t>K </w:t>
      </w:r>
      <w:r>
        <w:rPr>
          <w:u w:val="single"/>
        </w:rPr>
        <w:t>bodom</w:t>
      </w:r>
      <w:r w:rsidRPr="00A932D8">
        <w:rPr>
          <w:u w:val="single"/>
        </w:rPr>
        <w:t xml:space="preserve"> </w:t>
      </w:r>
      <w:r>
        <w:rPr>
          <w:u w:val="single"/>
        </w:rPr>
        <w:t>59 a 60</w:t>
      </w:r>
    </w:p>
    <w:p w:rsidR="00960E62" w:rsidRPr="00571EF2" w:rsidRDefault="00960E62" w:rsidP="00960E62">
      <w:pPr>
        <w:jc w:val="both"/>
      </w:pPr>
      <w:r>
        <w:t>Znenie § 152 zákona o mediálnych službách sa zosúlaďuje so znením nariadenia (EÚ) 2022/2065. V rámci úpravy konania vo veci zamedzenia šírenia nelegálneho obsahu sa doposiaľ ustanovovali konkrétne lehoty, v ktorých má platforma na zdieľanie obsahu v rámci svojich mechanizmov na riešenie oznámení oznámiť spôsob riešenia podnetu podávateľovi podnetu a odstrániť nelegálny obsah. Nariadenie (EÚ) 2022/2065 je horizontálnym predpisom a vzhľadom na rôznorodosť nelegálneho obsahu upravuje tieto lehoty len generálne. Vzhľadom na povahu nelegálneho obsahu definovaného v § 151 ods. 2 zákona o mediálnych službách (napr. detská pornografia, trestné činy terorizmu, zločiny proti ľudskosti) je žiaduce, aby sa podnety smerujúce proti takémuto obsahu riešili bezodkladne.</w:t>
      </w:r>
    </w:p>
    <w:p w:rsidR="00960E62" w:rsidRDefault="00960E62" w:rsidP="00960E62">
      <w:pPr>
        <w:rPr>
          <w:u w:val="single"/>
        </w:rPr>
      </w:pPr>
    </w:p>
    <w:p w:rsidR="00960E62" w:rsidRPr="00A932D8" w:rsidRDefault="00960E62" w:rsidP="00960E62">
      <w:pPr>
        <w:rPr>
          <w:u w:val="single"/>
        </w:rPr>
      </w:pPr>
      <w:r w:rsidRPr="00A932D8">
        <w:rPr>
          <w:u w:val="single"/>
        </w:rPr>
        <w:t>K </w:t>
      </w:r>
      <w:r>
        <w:rPr>
          <w:u w:val="single"/>
        </w:rPr>
        <w:t>bodom</w:t>
      </w:r>
      <w:r w:rsidRPr="00A932D8">
        <w:rPr>
          <w:u w:val="single"/>
        </w:rPr>
        <w:t xml:space="preserve"> </w:t>
      </w:r>
      <w:r>
        <w:rPr>
          <w:u w:val="single"/>
        </w:rPr>
        <w:t>61 až 65</w:t>
      </w:r>
    </w:p>
    <w:p w:rsidR="00960E62" w:rsidRDefault="00960E62" w:rsidP="00960E62">
      <w:pPr>
        <w:jc w:val="both"/>
      </w:pPr>
      <w:r>
        <w:t xml:space="preserve">Novelizačnými bodmi sa navrhuje úprava § 153 zákona o mediálnych službách o rozhodnutí o zamedzení šírenia nelegálneho obsahu v pôsobnosti Rady pre mediálne služby v súlade s čl. 9 nariadenia (EÚ) 2022/2065. Nad rozsah súčasnej úpravy je potrebné doplniť obsahové náležitosti rozhodnutia o identifikačné a lokalizačné údaje podľa čl. 9 ods. 2 písm. a) bodu ii) nariadenia (EÚ) 2022/2065, informáciu o právnom základe podľa čl. 9 ods. 2 písm. a) bodu i) nariadenia (EÚ) 2022/2065, územnú pôsobnosť podľa čl. 9 ods. 2 písm. b) nariadenia (EÚ) 2022/2065, informáciu o orgánoch verejnej správy, ktoré sú adresátmi informácie o spôsobe vykonania príkazu podľa čl. 9 ods. 2 písm. a) bodu vi) nariadenia (EÚ) 2022/2065, o poučenie o prostriedkoch nápravy v nadväznosti na čl. 9 ods. 2 písm. a) bod v) nariadenia (EÚ) 2022/2065 a upraviť jazykový režim rozhodnutí v súlade s čl. 9 ods. 2 písm. c) nariadenia (EÚ) 2022/2065, keďže príkazy konať proti nezákonnému obsahu, resp. rozhodnutia o zamedzení šírenia nelegálneho obsahu sa môžu zasielať aj zahraničným poskytovateľom sprostredkovateľskej služby. Čl. 9 nariadenia (EÚ) 2022/2065 predpokladá doručovanie príkazov konať proti nezákonnému obsahu prostredníctvom elektronických kontaktných miest, ktoré si musí podľa čl. 11 tohto nariadenia vytvoriť každý poskytovateľ sprostredkovateľskej služby. Keďže ide o odklon od úpravy doručovania rozhodnutí podľa správneho poriadku, je potrebné priamo v zákone o mediálnych službách uviesť odkaz na osobitný režim doručovania. Keďže okruh potenciálnych adresátov rozhodnutí o zamedzení šírenia nelegálneho obsahu v zmysle zákona o mediálnych službách je širší ako predpokladá </w:t>
      </w:r>
      <w:r>
        <w:lastRenderedPageBreak/>
        <w:t>čl. 9 nariadenia (EÚ) 2022/2065 (a to vzhľadom na širší predmet úpravy zákona o mediálnych službách), osobitný režim doručovania sa bude môcť použiť iba v prípade, ak adresátom rozhodnutia bude poskytovateľ sprostredkovateľskej služby.</w:t>
      </w:r>
    </w:p>
    <w:p w:rsidR="00960E62" w:rsidRDefault="00960E62" w:rsidP="00960E62">
      <w:pPr>
        <w:jc w:val="both"/>
      </w:pPr>
    </w:p>
    <w:p w:rsidR="00960E62" w:rsidRPr="00954D18" w:rsidRDefault="00960E62" w:rsidP="00960E62">
      <w:pPr>
        <w:jc w:val="both"/>
      </w:pPr>
      <w:r>
        <w:t>Ak ide o príkazy podľa čl. 9 nariadenia (EÚ) 2022/2065, poskytovateľom sprostredkovateľskej služby vznikajú povinnosti v zmysle nariadenia (EÚ) 2022/2065, preto je nevyhnutné, aby priamo z príkazov vyplývalo, že ide o príkazy podľa čl. 9 nariadenia (EÚ) 2022/2065. Ak teda Rada pre mediálne služby bude chcieť adresovať subjektu, ktorý je poskytovateľom sprostredkovateľskej služby podľa nariadenia (EÚ) 2022/2065, rozhodnutie o zamedzení šírenia nelegálneho obsahu s účinkami príkazu konať proti nezákonnému obsahu podľa čl. 9 nariadenia (EÚ) 2022/2065, musí priamo v rozhodnutí uviesť odkaz nielen na § 153 zákona o mediálnych službách, ale aj odkaz na čl. 9 nariadenia (EÚ) 2022/2065. I</w:t>
      </w:r>
      <w:r w:rsidRPr="00954D18">
        <w:t>n</w:t>
      </w:r>
      <w:r w:rsidRPr="00954D18">
        <w:rPr>
          <w:rFonts w:hint="eastAsia"/>
        </w:rPr>
        <w:t>é</w:t>
      </w:r>
      <w:r w:rsidRPr="00954D18">
        <w:t xml:space="preserve"> rozhodnutia pod</w:t>
      </w:r>
      <w:r w:rsidRPr="00954D18">
        <w:rPr>
          <w:rFonts w:hint="eastAsia"/>
        </w:rPr>
        <w:t>ľ</w:t>
      </w:r>
      <w:r w:rsidRPr="00954D18">
        <w:t>a in</w:t>
      </w:r>
      <w:r w:rsidRPr="00954D18">
        <w:rPr>
          <w:rFonts w:hint="eastAsia"/>
        </w:rPr>
        <w:t>ý</w:t>
      </w:r>
      <w:r w:rsidRPr="00954D18">
        <w:t>ch n</w:t>
      </w:r>
      <w:r w:rsidRPr="00954D18">
        <w:rPr>
          <w:rFonts w:hint="eastAsia"/>
        </w:rPr>
        <w:t>á</w:t>
      </w:r>
      <w:r w:rsidRPr="00954D18">
        <w:t>rodn</w:t>
      </w:r>
      <w:r w:rsidRPr="00954D18">
        <w:rPr>
          <w:rFonts w:hint="eastAsia"/>
        </w:rPr>
        <w:t>ý</w:t>
      </w:r>
      <w:r w:rsidRPr="00954D18">
        <w:t>ch predpisov mimo z</w:t>
      </w:r>
      <w:r w:rsidRPr="00954D18">
        <w:rPr>
          <w:rFonts w:hint="eastAsia"/>
        </w:rPr>
        <w:t>á</w:t>
      </w:r>
      <w:r w:rsidRPr="00954D18">
        <w:t>kona o medi</w:t>
      </w:r>
      <w:r w:rsidRPr="00954D18">
        <w:rPr>
          <w:rFonts w:hint="eastAsia"/>
        </w:rPr>
        <w:t>á</w:t>
      </w:r>
      <w:r w:rsidRPr="00954D18">
        <w:t>lnych slu</w:t>
      </w:r>
      <w:r w:rsidRPr="00954D18">
        <w:rPr>
          <w:rFonts w:hint="eastAsia"/>
        </w:rPr>
        <w:t>ž</w:t>
      </w:r>
      <w:r w:rsidRPr="00954D18">
        <w:t>b</w:t>
      </w:r>
      <w:r w:rsidRPr="00954D18">
        <w:rPr>
          <w:rFonts w:hint="eastAsia"/>
        </w:rPr>
        <w:t>á</w:t>
      </w:r>
      <w:r w:rsidRPr="00954D18">
        <w:t>ch aktu</w:t>
      </w:r>
      <w:r w:rsidRPr="00954D18">
        <w:rPr>
          <w:rFonts w:hint="eastAsia"/>
        </w:rPr>
        <w:t>á</w:t>
      </w:r>
      <w:r w:rsidRPr="00954D18">
        <w:t>lne nespadaj</w:t>
      </w:r>
      <w:r w:rsidRPr="00954D18">
        <w:rPr>
          <w:rFonts w:hint="eastAsia"/>
        </w:rPr>
        <w:t>ú</w:t>
      </w:r>
      <w:r w:rsidRPr="00954D18">
        <w:t xml:space="preserve"> pod </w:t>
      </w:r>
      <w:r w:rsidRPr="00954D18">
        <w:rPr>
          <w:rFonts w:hint="eastAsia"/>
        </w:rPr>
        <w:t>úč</w:t>
      </w:r>
      <w:r w:rsidRPr="00954D18">
        <w:t xml:space="preserve">inky </w:t>
      </w:r>
      <w:r w:rsidRPr="00954D18">
        <w:rPr>
          <w:rFonts w:hint="eastAsia"/>
        </w:rPr>
        <w:t>č</w:t>
      </w:r>
      <w:r w:rsidRPr="00954D18">
        <w:t>l. 9 a 10</w:t>
      </w:r>
      <w:r w:rsidRPr="00954D18">
        <w:rPr>
          <w:rFonts w:hint="eastAsia"/>
        </w:rPr>
        <w:t> </w:t>
      </w:r>
      <w:r w:rsidRPr="00954D18">
        <w:t xml:space="preserve"> nariadenia (E</w:t>
      </w:r>
      <w:r w:rsidRPr="00954D18">
        <w:rPr>
          <w:rFonts w:hint="eastAsia"/>
        </w:rPr>
        <w:t>Ú</w:t>
      </w:r>
      <w:r w:rsidRPr="00954D18">
        <w:t>) 2022/2065, s t</w:t>
      </w:r>
      <w:r w:rsidRPr="00954D18">
        <w:rPr>
          <w:rFonts w:hint="eastAsia"/>
        </w:rPr>
        <w:t>ý</w:t>
      </w:r>
      <w:r w:rsidRPr="00954D18">
        <w:t xml:space="preserve">m, </w:t>
      </w:r>
      <w:r w:rsidRPr="00954D18">
        <w:rPr>
          <w:rFonts w:hint="eastAsia"/>
        </w:rPr>
        <w:t>ž</w:t>
      </w:r>
      <w:r w:rsidRPr="00954D18">
        <w:t>e ak do bud</w:t>
      </w:r>
      <w:r w:rsidRPr="00954D18">
        <w:rPr>
          <w:rFonts w:hint="eastAsia"/>
        </w:rPr>
        <w:t>ú</w:t>
      </w:r>
      <w:r w:rsidRPr="00954D18">
        <w:t>cna vyplynie potreba roz</w:t>
      </w:r>
      <w:r w:rsidRPr="00954D18">
        <w:rPr>
          <w:rFonts w:hint="eastAsia"/>
        </w:rPr>
        <w:t>ší</w:t>
      </w:r>
      <w:r w:rsidRPr="00954D18">
        <w:t>renia pr</w:t>
      </w:r>
      <w:r w:rsidRPr="00954D18">
        <w:rPr>
          <w:rFonts w:hint="eastAsia"/>
        </w:rPr>
        <w:t>á</w:t>
      </w:r>
      <w:r w:rsidRPr="00954D18">
        <w:t>vomoci vyd</w:t>
      </w:r>
      <w:r w:rsidRPr="00954D18">
        <w:rPr>
          <w:rFonts w:hint="eastAsia"/>
        </w:rPr>
        <w:t>á</w:t>
      </w:r>
      <w:r w:rsidRPr="00954D18">
        <w:t>va</w:t>
      </w:r>
      <w:r w:rsidRPr="00954D18">
        <w:rPr>
          <w:rFonts w:hint="eastAsia"/>
        </w:rPr>
        <w:t>ť</w:t>
      </w:r>
      <w:r w:rsidRPr="00954D18">
        <w:t xml:space="preserve"> pr</w:t>
      </w:r>
      <w:r w:rsidRPr="00954D18">
        <w:rPr>
          <w:rFonts w:hint="eastAsia"/>
        </w:rPr>
        <w:t>í</w:t>
      </w:r>
      <w:r w:rsidRPr="00954D18">
        <w:t xml:space="preserve">kazy s </w:t>
      </w:r>
      <w:r w:rsidRPr="00954D18">
        <w:rPr>
          <w:rFonts w:hint="eastAsia"/>
        </w:rPr>
        <w:t>úč</w:t>
      </w:r>
      <w:r w:rsidRPr="00954D18">
        <w:t>inkami pod</w:t>
      </w:r>
      <w:r w:rsidRPr="00954D18">
        <w:rPr>
          <w:rFonts w:hint="eastAsia"/>
        </w:rPr>
        <w:t>ľ</w:t>
      </w:r>
      <w:r w:rsidRPr="00954D18">
        <w:t>a t</w:t>
      </w:r>
      <w:r w:rsidRPr="00954D18">
        <w:rPr>
          <w:rFonts w:hint="eastAsia"/>
        </w:rPr>
        <w:t>ý</w:t>
      </w:r>
      <w:r w:rsidRPr="00954D18">
        <w:t xml:space="preserve">chto </w:t>
      </w:r>
      <w:r w:rsidRPr="00954D18">
        <w:rPr>
          <w:rFonts w:hint="eastAsia"/>
        </w:rPr>
        <w:t>č</w:t>
      </w:r>
      <w:r w:rsidRPr="00954D18">
        <w:t>l</w:t>
      </w:r>
      <w:r w:rsidRPr="00954D18">
        <w:rPr>
          <w:rFonts w:hint="eastAsia"/>
        </w:rPr>
        <w:t>á</w:t>
      </w:r>
      <w:r w:rsidRPr="00954D18">
        <w:t>nkov</w:t>
      </w:r>
      <w:r>
        <w:t>,</w:t>
      </w:r>
      <w:r w:rsidRPr="00954D18">
        <w:t xml:space="preserve"> </w:t>
      </w:r>
      <w:r w:rsidRPr="00954D18">
        <w:rPr>
          <w:rFonts w:hint="eastAsia"/>
        </w:rPr>
        <w:t>č</w:t>
      </w:r>
      <w:r w:rsidRPr="00954D18">
        <w:t>i u</w:t>
      </w:r>
      <w:r w:rsidRPr="00954D18">
        <w:rPr>
          <w:rFonts w:hint="eastAsia"/>
        </w:rPr>
        <w:t>ž </w:t>
      </w:r>
      <w:r w:rsidRPr="00954D18">
        <w:t xml:space="preserve"> koordin</w:t>
      </w:r>
      <w:r w:rsidRPr="00954D18">
        <w:rPr>
          <w:rFonts w:hint="eastAsia"/>
        </w:rPr>
        <w:t>á</w:t>
      </w:r>
      <w:r w:rsidRPr="00954D18">
        <w:t>torovi digit</w:t>
      </w:r>
      <w:r w:rsidRPr="00954D18">
        <w:rPr>
          <w:rFonts w:hint="eastAsia"/>
        </w:rPr>
        <w:t>á</w:t>
      </w:r>
      <w:r w:rsidRPr="00954D18">
        <w:t>lnych slu</w:t>
      </w:r>
      <w:r w:rsidRPr="00954D18">
        <w:rPr>
          <w:rFonts w:hint="eastAsia"/>
        </w:rPr>
        <w:t>ž</w:t>
      </w:r>
      <w:r w:rsidRPr="00954D18">
        <w:t>ieb alebo in</w:t>
      </w:r>
      <w:r w:rsidRPr="00954D18">
        <w:rPr>
          <w:rFonts w:hint="eastAsia"/>
        </w:rPr>
        <w:t>ý</w:t>
      </w:r>
      <w:r w:rsidRPr="00954D18">
        <w:t>m org</w:t>
      </w:r>
      <w:r w:rsidRPr="00954D18">
        <w:rPr>
          <w:rFonts w:hint="eastAsia"/>
        </w:rPr>
        <w:t>á</w:t>
      </w:r>
      <w:r w:rsidRPr="00954D18">
        <w:t>nom,</w:t>
      </w:r>
      <w:r w:rsidRPr="00954D18">
        <w:rPr>
          <w:rFonts w:hint="eastAsia"/>
        </w:rPr>
        <w:t> </w:t>
      </w:r>
      <w:r w:rsidRPr="00954D18">
        <w:t xml:space="preserve"> bude to rie</w:t>
      </w:r>
      <w:r w:rsidRPr="00954D18">
        <w:rPr>
          <w:rFonts w:hint="eastAsia"/>
        </w:rPr>
        <w:t>š</w:t>
      </w:r>
      <w:r w:rsidRPr="00954D18">
        <w:t>en</w:t>
      </w:r>
      <w:r w:rsidRPr="00954D18">
        <w:rPr>
          <w:rFonts w:hint="eastAsia"/>
        </w:rPr>
        <w:t>é</w:t>
      </w:r>
      <w:r w:rsidRPr="00954D18">
        <w:t xml:space="preserve"> pr</w:t>
      </w:r>
      <w:r w:rsidRPr="00954D18">
        <w:rPr>
          <w:rFonts w:hint="eastAsia"/>
        </w:rPr>
        <w:t>í</w:t>
      </w:r>
      <w:r w:rsidRPr="00954D18">
        <w:t>slu</w:t>
      </w:r>
      <w:r w:rsidRPr="00954D18">
        <w:rPr>
          <w:rFonts w:hint="eastAsia"/>
        </w:rPr>
        <w:t>š</w:t>
      </w:r>
      <w:r w:rsidRPr="00954D18">
        <w:t>nou legislat</w:t>
      </w:r>
      <w:r w:rsidRPr="00954D18">
        <w:rPr>
          <w:rFonts w:hint="eastAsia"/>
        </w:rPr>
        <w:t>í</w:t>
      </w:r>
      <w:r w:rsidRPr="00954D18">
        <w:t xml:space="preserve">vnou </w:t>
      </w:r>
      <w:r w:rsidRPr="00954D18">
        <w:rPr>
          <w:rFonts w:hint="eastAsia"/>
        </w:rPr>
        <w:t>ú</w:t>
      </w:r>
      <w:r w:rsidRPr="00954D18">
        <w:t>pravou s jasn</w:t>
      </w:r>
      <w:r w:rsidRPr="00954D18">
        <w:rPr>
          <w:rFonts w:hint="eastAsia"/>
        </w:rPr>
        <w:t>ý</w:t>
      </w:r>
      <w:r w:rsidRPr="00954D18">
        <w:t>m vymedzen</w:t>
      </w:r>
      <w:r w:rsidRPr="00954D18">
        <w:rPr>
          <w:rFonts w:hint="eastAsia"/>
        </w:rPr>
        <w:t>í</w:t>
      </w:r>
      <w:r w:rsidRPr="00954D18">
        <w:t xml:space="preserve">m odkazu na </w:t>
      </w:r>
      <w:r w:rsidRPr="00954D18">
        <w:rPr>
          <w:rFonts w:hint="eastAsia"/>
        </w:rPr>
        <w:t>č</w:t>
      </w:r>
      <w:r w:rsidRPr="00954D18">
        <w:t xml:space="preserve">l. 9 alebo </w:t>
      </w:r>
      <w:r>
        <w:t xml:space="preserve">čl. </w:t>
      </w:r>
      <w:r w:rsidRPr="00954D18">
        <w:t>10 nariadenia (E</w:t>
      </w:r>
      <w:r w:rsidRPr="00954D18">
        <w:rPr>
          <w:rFonts w:hint="eastAsia"/>
        </w:rPr>
        <w:t>Ú</w:t>
      </w:r>
      <w:r w:rsidRPr="00954D18">
        <w:t xml:space="preserve">) 2022/2065. </w:t>
      </w:r>
    </w:p>
    <w:p w:rsidR="00960E62" w:rsidRDefault="00960E62" w:rsidP="00960E62">
      <w:pPr>
        <w:jc w:val="both"/>
      </w:pPr>
    </w:p>
    <w:p w:rsidR="00960E62" w:rsidRDefault="00960E62" w:rsidP="00960E62">
      <w:pPr>
        <w:jc w:val="both"/>
      </w:pPr>
      <w:r>
        <w:t>Okrem týchto zmien sa v odseku 4 navrhuje z dôvodu posilnenia právnej istoty doplniť lehotu, v ktorej je možné podať námietky proti rozhodnutiam o zamedzení šírenia nelegálneho obsahu. Ďalej sa tiež upravuje, že v prípade, ak podané námietky budú uznané za dôvodné v plnom rozsahu, Rada pre mediálne služby zruší pôvodné rozhodnutie o zamedzení šírenia nelegálneho obsahu, keďže vydávanie nového upraveného rozhodnutia nie je v tomto prípade účelné, dôvodné, efektívne.</w:t>
      </w:r>
    </w:p>
    <w:p w:rsidR="00960E62" w:rsidRDefault="00960E62" w:rsidP="00960E62">
      <w:pPr>
        <w:jc w:val="both"/>
      </w:pPr>
    </w:p>
    <w:p w:rsidR="00960E62" w:rsidRPr="00694CEF" w:rsidRDefault="00960E62" w:rsidP="00960E62">
      <w:pPr>
        <w:jc w:val="both"/>
        <w:rPr>
          <w:u w:val="single"/>
        </w:rPr>
      </w:pPr>
      <w:r w:rsidRPr="00691815">
        <w:rPr>
          <w:u w:val="single"/>
        </w:rPr>
        <w:t xml:space="preserve">K bodu </w:t>
      </w:r>
      <w:r>
        <w:rPr>
          <w:u w:val="single"/>
        </w:rPr>
        <w:t>66</w:t>
      </w:r>
    </w:p>
    <w:p w:rsidR="00960E62" w:rsidRPr="00126EAB" w:rsidRDefault="00960E62" w:rsidP="00960E62">
      <w:pPr>
        <w:jc w:val="both"/>
      </w:pPr>
      <w:r w:rsidRPr="00126EAB">
        <w:t>Vzhľadom na skutočnosť, že v zmysle § 142 ods. 6 zákona o mediálnych službách regulátor môže uložiť vysielateľovi sankciu, ak vysielateľ vysiela programovú službu v rozpore s podmienkami príslušného oprávnenia, navrhuje sa doplnenie povinnosti vysielateľa  vysielať programovú službu v súlade s podmienkami autorizácie.</w:t>
      </w:r>
    </w:p>
    <w:p w:rsidR="00960E62" w:rsidRPr="00126EAB" w:rsidRDefault="00960E62" w:rsidP="00960E62">
      <w:pPr>
        <w:jc w:val="both"/>
      </w:pPr>
    </w:p>
    <w:p w:rsidR="00960E62" w:rsidRPr="000D430E" w:rsidRDefault="00960E62" w:rsidP="00960E62">
      <w:pPr>
        <w:jc w:val="both"/>
        <w:rPr>
          <w:u w:val="single"/>
        </w:rPr>
      </w:pPr>
      <w:r w:rsidRPr="000D430E">
        <w:rPr>
          <w:u w:val="single"/>
        </w:rPr>
        <w:t>K bodu 6</w:t>
      </w:r>
      <w:r>
        <w:rPr>
          <w:u w:val="single"/>
        </w:rPr>
        <w:t>7</w:t>
      </w:r>
    </w:p>
    <w:p w:rsidR="00960E62" w:rsidRPr="000D430E" w:rsidRDefault="00960E62" w:rsidP="00960E62">
      <w:pPr>
        <w:jc w:val="both"/>
      </w:pPr>
      <w:r w:rsidRPr="000D430E">
        <w:t>Navrhuje sa, aby povinnou náležitosťou žiadosti o autorizáciu vysielania bola identifikácia kritérií podľa § 3, ktoré zakladajú voči žiadateľovi právomoc Slovenskej republiky iba v prípade žiadosti o autorizáciu vysielania televíznej programovej služby. Uvedené sa navrhuje z dôvodu, že § 3 upravuje jurisdikčné kritéria iba vo vzťahu k televíznemu vysielateľovi.</w:t>
      </w:r>
    </w:p>
    <w:p w:rsidR="00960E62" w:rsidRPr="000D430E" w:rsidRDefault="00960E62" w:rsidP="00960E62">
      <w:pPr>
        <w:jc w:val="both"/>
      </w:pPr>
    </w:p>
    <w:p w:rsidR="00960E62" w:rsidRPr="000D430E" w:rsidRDefault="00960E62" w:rsidP="00960E62">
      <w:pPr>
        <w:jc w:val="both"/>
        <w:rPr>
          <w:u w:val="single"/>
        </w:rPr>
      </w:pPr>
      <w:r w:rsidRPr="000D430E">
        <w:rPr>
          <w:u w:val="single"/>
        </w:rPr>
        <w:t>K bodu 6</w:t>
      </w:r>
      <w:r>
        <w:rPr>
          <w:u w:val="single"/>
        </w:rPr>
        <w:t>8</w:t>
      </w:r>
    </w:p>
    <w:p w:rsidR="00960E62" w:rsidRPr="000D430E" w:rsidRDefault="00960E62" w:rsidP="00960E62">
      <w:pPr>
        <w:jc w:val="both"/>
      </w:pPr>
      <w:r w:rsidRPr="000D430E">
        <w:t xml:space="preserve">Z dôvodu, že regulátor nemá na základe podanej žiadosti o autorizáciu vysielania k dispozícii údaje, na základe ktorých by spoľahlivo vedel v rozhodnutí o autorizácii vysielania uviesť, či ide o monotypovú programovú službu, navrhuje sa precizovať ustanovenie upravujúce náležitosti rozhodnutia o udelení autorizácie tak, aby regulátor v predmetnom rozhodnutí uvádzal iba informáciu, či ide o monotypovú programovú službu, ktorá je reklamnou programovou službou. </w:t>
      </w:r>
    </w:p>
    <w:p w:rsidR="00960E62" w:rsidRPr="000D430E" w:rsidRDefault="00960E62" w:rsidP="00960E62">
      <w:pPr>
        <w:jc w:val="both"/>
      </w:pPr>
    </w:p>
    <w:p w:rsidR="00960E62" w:rsidRPr="00694CEF" w:rsidRDefault="00960E62" w:rsidP="00960E62">
      <w:pPr>
        <w:jc w:val="both"/>
        <w:rPr>
          <w:u w:val="single"/>
        </w:rPr>
      </w:pPr>
      <w:r w:rsidRPr="000D430E">
        <w:rPr>
          <w:u w:val="single"/>
        </w:rPr>
        <w:t>K bodu 6</w:t>
      </w:r>
      <w:r>
        <w:rPr>
          <w:u w:val="single"/>
        </w:rPr>
        <w:t>9</w:t>
      </w:r>
    </w:p>
    <w:p w:rsidR="00960E62" w:rsidRPr="00126EAB" w:rsidRDefault="00960E62" w:rsidP="00960E62">
      <w:pPr>
        <w:jc w:val="both"/>
      </w:pPr>
      <w:r>
        <w:t>V § 191 ods. 1 sa navrhuje</w:t>
      </w:r>
      <w:r w:rsidRPr="00126EAB">
        <w:t xml:space="preserve"> doplnenie dvoch nových náležitostí, ktoré musí žiadosť o licenciu obsahovať. Sú nimi identifikácia požadovanej frekvencie a informácia o používaní doplnkovej služby vysielania na požadovanej frekvencii.</w:t>
      </w:r>
    </w:p>
    <w:p w:rsidR="00960E62" w:rsidRDefault="00960E62" w:rsidP="00960E62">
      <w:pPr>
        <w:jc w:val="both"/>
      </w:pPr>
    </w:p>
    <w:p w:rsidR="00960E62" w:rsidRPr="00393EEF" w:rsidRDefault="00960E62" w:rsidP="00960E62">
      <w:pPr>
        <w:jc w:val="both"/>
        <w:rPr>
          <w:u w:val="single"/>
        </w:rPr>
      </w:pPr>
      <w:r w:rsidRPr="000D430E">
        <w:rPr>
          <w:u w:val="single"/>
        </w:rPr>
        <w:t xml:space="preserve">K bodom </w:t>
      </w:r>
      <w:r>
        <w:rPr>
          <w:u w:val="single"/>
        </w:rPr>
        <w:t>70 až 72</w:t>
      </w:r>
    </w:p>
    <w:p w:rsidR="00960E62" w:rsidRDefault="00960E62" w:rsidP="00960E62">
      <w:pPr>
        <w:jc w:val="both"/>
      </w:pPr>
      <w:r>
        <w:t>S cieľom poskytnúť Rade pre mediálne služby</w:t>
      </w:r>
      <w:r w:rsidRPr="003B376C">
        <w:t xml:space="preserve"> </w:t>
      </w:r>
      <w:r>
        <w:t>väčšiu voľnosť v rozhodovaní o vyhlasovaní</w:t>
      </w:r>
      <w:r w:rsidRPr="003B376C">
        <w:t xml:space="preserve"> výberových konaní na rozhlasové frekvencie </w:t>
      </w:r>
      <w:r>
        <w:t>sa navrhuje vypustiť obmedzenie</w:t>
      </w:r>
      <w:r w:rsidRPr="003B376C">
        <w:t xml:space="preserve">, </w:t>
      </w:r>
      <w:r>
        <w:t>podľa ktorého sa tieto</w:t>
      </w:r>
      <w:r w:rsidRPr="003B376C">
        <w:t xml:space="preserve"> výberové konania </w:t>
      </w:r>
      <w:r>
        <w:t>mohli</w:t>
      </w:r>
      <w:r w:rsidRPr="003B376C">
        <w:t xml:space="preserve"> konať iba dvakrá</w:t>
      </w:r>
      <w:r>
        <w:t>t ročne v konkrétnych obdobiach. Regulátor</w:t>
      </w:r>
      <w:r w:rsidRPr="003B376C">
        <w:t xml:space="preserve"> </w:t>
      </w:r>
      <w:r>
        <w:t>sa tak bude môcť lepšie</w:t>
      </w:r>
      <w:r w:rsidRPr="003B376C">
        <w:t xml:space="preserve"> prispôsobiť aktuálnemu počtu voľných frekvencií.</w:t>
      </w:r>
      <w:r>
        <w:t xml:space="preserve"> Z dôvodu vypustenia uvedeného obmedzenia sa zároveň navrhuje vypustiť ustanovenie upravujúce presné dátumy začatia konania o udelenie licencie.</w:t>
      </w:r>
    </w:p>
    <w:p w:rsidR="00960E62" w:rsidRDefault="00960E62" w:rsidP="00960E62">
      <w:pPr>
        <w:jc w:val="both"/>
      </w:pPr>
    </w:p>
    <w:p w:rsidR="00960E62" w:rsidRPr="000D430E" w:rsidRDefault="00960E62" w:rsidP="00960E62">
      <w:pPr>
        <w:jc w:val="both"/>
      </w:pPr>
      <w:r>
        <w:t>V nadväznosti na vypustenie odseku 2 v § 193 sa navrhuje upraviť vnútorný odkaz v § 194.</w:t>
      </w:r>
    </w:p>
    <w:p w:rsidR="00960E62" w:rsidRDefault="00960E62" w:rsidP="00960E62">
      <w:pPr>
        <w:jc w:val="both"/>
        <w:rPr>
          <w:u w:val="single"/>
        </w:rPr>
      </w:pPr>
    </w:p>
    <w:p w:rsidR="00960E62" w:rsidRPr="00694CEF" w:rsidRDefault="00960E62" w:rsidP="00960E62">
      <w:pPr>
        <w:jc w:val="both"/>
        <w:rPr>
          <w:u w:val="single"/>
        </w:rPr>
      </w:pPr>
      <w:r w:rsidRPr="000D430E">
        <w:rPr>
          <w:u w:val="single"/>
        </w:rPr>
        <w:t xml:space="preserve">K bodu </w:t>
      </w:r>
      <w:r>
        <w:rPr>
          <w:u w:val="single"/>
        </w:rPr>
        <w:t>73</w:t>
      </w:r>
      <w:r w:rsidRPr="00694CEF">
        <w:rPr>
          <w:u w:val="single"/>
        </w:rPr>
        <w:t xml:space="preserve"> </w:t>
      </w:r>
    </w:p>
    <w:p w:rsidR="00960E62" w:rsidRPr="00126EAB" w:rsidRDefault="00960E62" w:rsidP="00960E62">
      <w:pPr>
        <w:jc w:val="both"/>
      </w:pPr>
      <w:r w:rsidRPr="00126EAB">
        <w:t>Navrhuje sa spresnenie ustanovenia, ktoré upravuje výnimku z aplikácie vybraných ustanovení správneho poriadku tak, aby sa nevzťahovalo na všetky konania podľa zákona o mediálnych službách, ale iba na konanie regulátora, ktorým je Rada pre mediálne služby.</w:t>
      </w:r>
    </w:p>
    <w:p w:rsidR="00960E62" w:rsidRPr="00126EAB" w:rsidRDefault="00960E62" w:rsidP="00960E62">
      <w:pPr>
        <w:jc w:val="both"/>
      </w:pPr>
    </w:p>
    <w:p w:rsidR="00960E62" w:rsidRDefault="00960E62" w:rsidP="00960E62">
      <w:pPr>
        <w:jc w:val="both"/>
        <w:rPr>
          <w:u w:val="single"/>
        </w:rPr>
      </w:pPr>
      <w:r>
        <w:rPr>
          <w:u w:val="single"/>
        </w:rPr>
        <w:t>K bodu 74</w:t>
      </w:r>
    </w:p>
    <w:p w:rsidR="00960E62" w:rsidRDefault="00960E62" w:rsidP="00960E62">
      <w:pPr>
        <w:jc w:val="both"/>
      </w:pPr>
      <w:r>
        <w:t>Ustanovenie § 226 upravuje spracovávanie osobných údajov v kontexte zákona o mediálnych službách. Toto ustanovenie sa dopĺňa o osobitnú úpravu v nadväznosti na spracovávanie osobných údajov fyzických osôb, ktoré môže Rada pre mediálne služby získať pri výkone dohľadu nad plnením povinností podľa nariadenia (EÚ) 2019/1150 a nariadenia (EÚ) 2022/2065. Lehota na uchovávanie osobných údajov pre tieto prípady sa stanovuje na 10 rokov, čo zodpovedá primeranosti a potrebám aplikačnej praxe vzhľadom aj na nadväzujúce súdne konania týkajúce sa preskúmavania rozhodnutí.</w:t>
      </w:r>
    </w:p>
    <w:p w:rsidR="00960E62" w:rsidRPr="000F2CA2" w:rsidRDefault="00960E62" w:rsidP="00960E62">
      <w:pPr>
        <w:jc w:val="both"/>
      </w:pPr>
    </w:p>
    <w:p w:rsidR="00960E62" w:rsidRPr="00694CEF" w:rsidRDefault="00960E62" w:rsidP="00960E62">
      <w:pPr>
        <w:jc w:val="both"/>
        <w:rPr>
          <w:u w:val="single"/>
        </w:rPr>
      </w:pPr>
      <w:r w:rsidRPr="000D430E">
        <w:rPr>
          <w:u w:val="single"/>
        </w:rPr>
        <w:t>K</w:t>
      </w:r>
      <w:r>
        <w:rPr>
          <w:u w:val="single"/>
        </w:rPr>
        <w:t> bodom 75 a 76</w:t>
      </w:r>
    </w:p>
    <w:p w:rsidR="00960E62" w:rsidRDefault="00960E62" w:rsidP="00960E62">
      <w:pPr>
        <w:jc w:val="both"/>
      </w:pPr>
      <w:r w:rsidRPr="00126EAB">
        <w:t xml:space="preserve">Z dôvodu aplikačných problémov sa navrhuje </w:t>
      </w:r>
      <w:r>
        <w:t>upraviť</w:t>
      </w:r>
      <w:r w:rsidRPr="00126EAB">
        <w:t xml:space="preserve"> niektoré prechodné ustanovenia zákona upravujúce zabezpečenie multimodálneho prístupu verejnoprávnym vysielateľom v období do 31. decembra 2026. Keďže zabezpečenie hlasového komentovania pre nevidiacich pri publicistických programoch, ktoré sú založené na diskusii hostí, nie je prakticky možné uplatňovať, navrhuje sa, aby bol tento druh programov vyňatý z povinného 25 percentného podielu publicistických programov sprevádzaných hlasovým komentovaním, ktorý je verejnoprávny vysiela</w:t>
      </w:r>
      <w:r>
        <w:t>teľ povinný v prechodnom období</w:t>
      </w:r>
      <w:r w:rsidRPr="00126EAB">
        <w:t xml:space="preserve"> v rámci ustanoveného podielu programov s multimodál</w:t>
      </w:r>
      <w:r>
        <w:t>nym prístupom podľa § 239 ods. 2</w:t>
      </w:r>
      <w:r w:rsidRPr="00126EAB">
        <w:t xml:space="preserve"> až 4 zabezpečiť. Zároveň sa navrhuje aby sa podiel prog</w:t>
      </w:r>
      <w:r>
        <w:t>ramov podľa § 239 ods. 2</w:t>
      </w:r>
      <w:r w:rsidRPr="00126EAB">
        <w:t xml:space="preserve"> až 4 určil ako podiel vysielacieho času programov sprevádzaných titulkami pre osoby so sluchovým postihnutím, podiel vysielacieho času programov tlmočených do slovenského posunkového jazyka alebo v slovenskom posunkovom jazyku alebo podiel vysielacieho času programov sprevádzaných hlasovým komentovaním pre nevidiacich vo vysielaní všetkých televíznych programových služieb verejnoprávneho vysielateľa z celkového vysielacieho času programov vysielaných vo vysielaní všetkých televíznych programových služieb verejnoprávneho vysielateľa za kalendárny štvrťrok. Na zabezpečenie multimodálneho prístupu k televíznej programovej službe verejnoprávneho vysielateľ</w:t>
      </w:r>
      <w:r>
        <w:t>a</w:t>
      </w:r>
      <w:r w:rsidRPr="00126EAB">
        <w:t xml:space="preserve"> počas prechodného obdobia sa primerane vzťahujú ustanovenia § 55 ods. 5 až 9 a § 56.</w:t>
      </w:r>
    </w:p>
    <w:p w:rsidR="00960E62" w:rsidRPr="00A932D8" w:rsidRDefault="00960E62" w:rsidP="00960E62"/>
    <w:p w:rsidR="00960E62" w:rsidRDefault="00960E62" w:rsidP="00960E62">
      <w:pPr>
        <w:rPr>
          <w:b/>
        </w:rPr>
      </w:pPr>
      <w:r>
        <w:rPr>
          <w:b/>
        </w:rPr>
        <w:t>Čl. II</w:t>
      </w:r>
    </w:p>
    <w:p w:rsidR="00960E62" w:rsidRDefault="00960E62" w:rsidP="00960E62">
      <w:pPr>
        <w:jc w:val="both"/>
      </w:pPr>
    </w:p>
    <w:p w:rsidR="00960E62" w:rsidRDefault="00960E62" w:rsidP="00960E62">
      <w:pPr>
        <w:jc w:val="both"/>
      </w:pPr>
      <w:r>
        <w:t>Nariadenie (EÚ) 2022/2065 je rozšírením horizontálnej legislatívy EÚ pre elektronické služby. Nariadenie (EÚ) 2022/2065 v časti o zodpovednosti online sprostredkovateľov nahrádza s</w:t>
      </w:r>
      <w:r w:rsidRPr="00C70FD2">
        <w:t>mernic</w:t>
      </w:r>
      <w:r>
        <w:t>u</w:t>
      </w:r>
      <w:r w:rsidRPr="00C70FD2">
        <w:t xml:space="preserve"> Európskeho parlamentu a Rady 2000/31/ES z 8. júna 2000 o určitých </w:t>
      </w:r>
      <w:r w:rsidRPr="00C70FD2">
        <w:lastRenderedPageBreak/>
        <w:t>právnych aspektoch služieb informačnej spoločnosti na vnútornom trhu, najmä o elektronickom obchode (smernica o elektronickom obchode) (Ú. v. ES L 178, 17. 7. 2000).</w:t>
      </w:r>
      <w:r>
        <w:t xml:space="preserve"> Návrhom zákona sa preto navrhuje novelizácia zákona č. 22/2004 Z. z. </w:t>
      </w:r>
      <w:r w:rsidRPr="00C70FD2">
        <w:t>o elektronickom obchode a o zmene a doplnení zákona č. 128/2002 Z. z. o štátnej kontrole vnútorného trhu vo veciach ochrany spotrebiteľa a o zmene a doplnení niektorých zákonov v znení zákona č. 284/2002 Z. z.</w:t>
      </w:r>
      <w:r>
        <w:t xml:space="preserve"> v znení neskorších predpisov, ktorého § 6 doposiaľ transponoval články 12 až 15 smernice o zodpovednosti poskytovateľov sprostredkovateľských služieb. Predmetné ustanovenie zákona č. 22/2004 Z. z. sa vypúšťa bez náhrady, pretože daná regulácia je obsiahnutá v článkoch 4 až 6 a v článku 8 nariadenia (EÚ) 2022/2065.</w:t>
      </w:r>
    </w:p>
    <w:p w:rsidR="00960E62" w:rsidRDefault="00960E62" w:rsidP="00960E62">
      <w:pPr>
        <w:jc w:val="both"/>
        <w:rPr>
          <w:b/>
        </w:rPr>
      </w:pPr>
    </w:p>
    <w:p w:rsidR="00960E62" w:rsidRPr="00B53D2F" w:rsidRDefault="00960E62" w:rsidP="00960E62">
      <w:pPr>
        <w:jc w:val="both"/>
        <w:rPr>
          <w:b/>
        </w:rPr>
      </w:pPr>
      <w:r w:rsidRPr="006D3869">
        <w:rPr>
          <w:b/>
        </w:rPr>
        <w:t>Čl. III</w:t>
      </w:r>
    </w:p>
    <w:p w:rsidR="00960E62" w:rsidRDefault="00960E62" w:rsidP="00960E62">
      <w:pPr>
        <w:jc w:val="both"/>
        <w:rPr>
          <w:u w:val="single"/>
        </w:rPr>
      </w:pPr>
    </w:p>
    <w:p w:rsidR="00960E62" w:rsidRPr="00694CEF" w:rsidRDefault="00960E62" w:rsidP="00960E62">
      <w:pPr>
        <w:jc w:val="both"/>
        <w:rPr>
          <w:u w:val="single"/>
        </w:rPr>
      </w:pPr>
      <w:r w:rsidRPr="00694CEF">
        <w:rPr>
          <w:u w:val="single"/>
        </w:rPr>
        <w:t>K bodu 1</w:t>
      </w:r>
    </w:p>
    <w:p w:rsidR="00960E62" w:rsidRPr="00C07AE5" w:rsidRDefault="00960E62" w:rsidP="00960E62">
      <w:pPr>
        <w:jc w:val="both"/>
      </w:pPr>
      <w:r w:rsidRPr="00C07AE5">
        <w:t>Navrhuje sa precizovať znenie splnomocňovacieho ustanovenia na vydanie vyhlášky upravujúcej akceptovaných  systémov označovania obsahu , tak aby bolo zrejmé, že vyhláška má upravovať podrobnosti o uplatňovaní povinností vysielateľa a poskytovateľa audiovizuálnej mediálnej služby na požiadanie ustanovené v § 62 ods. 6 a 8 až 11 zákona o mediálnych službách.</w:t>
      </w:r>
    </w:p>
    <w:p w:rsidR="00960E62" w:rsidRPr="00C07AE5" w:rsidRDefault="00960E62" w:rsidP="00960E62">
      <w:pPr>
        <w:jc w:val="both"/>
      </w:pPr>
    </w:p>
    <w:p w:rsidR="00960E62" w:rsidRPr="00694CEF" w:rsidRDefault="00960E62" w:rsidP="00960E62">
      <w:pPr>
        <w:jc w:val="both"/>
        <w:rPr>
          <w:u w:val="single"/>
        </w:rPr>
      </w:pPr>
      <w:r w:rsidRPr="00694CEF">
        <w:rPr>
          <w:u w:val="single"/>
        </w:rPr>
        <w:t>K bodu 2</w:t>
      </w:r>
    </w:p>
    <w:p w:rsidR="00960E62" w:rsidRPr="00C07AE5" w:rsidRDefault="00960E62" w:rsidP="00960E62">
      <w:pPr>
        <w:jc w:val="both"/>
      </w:pPr>
      <w:r w:rsidRPr="00C07AE5">
        <w:t>Navrhuje sa upraviť znenie, ktoré  reguluje pôsobnosť komisie pre ochranu maloletých vykonávať dohľad nad niektorými zákonnými povinnosťami tak, aby bolo zrejmé, že kompetenciou tejto komisie je dohliadať taktiež na plnenie povinnosti uvedenej v § 62 ods. 1 písm. a) zákona o mediálnych službách (aby programy alebo iné zložky programovej služby alebo audiovizuálnej mediálnej služby na požiadanie, ktoré  môžu narušiť fyzický, psychický alebo morálny vývin maloletých, boli sprístupnené iba takým spôsobom, aby maloletí nemohli takéto programy alebo iné zložky programovej služby alebo audiovizuálnej mediálnej služby na požiadanie za bežných okolností počuť ani vidieť). V tejto súvislosti sa upravuje aj znenie poznámky pod čiarou k odkazu 17a.</w:t>
      </w:r>
    </w:p>
    <w:p w:rsidR="00960E62" w:rsidRPr="00C07AE5" w:rsidRDefault="00960E62" w:rsidP="00960E62">
      <w:pPr>
        <w:jc w:val="both"/>
      </w:pPr>
    </w:p>
    <w:p w:rsidR="00960E62" w:rsidRPr="00694CEF" w:rsidRDefault="00960E62" w:rsidP="00960E62">
      <w:pPr>
        <w:jc w:val="both"/>
        <w:rPr>
          <w:u w:val="single"/>
        </w:rPr>
      </w:pPr>
      <w:r w:rsidRPr="00694CEF">
        <w:rPr>
          <w:u w:val="single"/>
        </w:rPr>
        <w:t>K bodu 3</w:t>
      </w:r>
    </w:p>
    <w:p w:rsidR="00960E62" w:rsidRPr="00C07AE5" w:rsidRDefault="00960E62" w:rsidP="00960E62">
      <w:pPr>
        <w:jc w:val="both"/>
      </w:pPr>
      <w:r w:rsidRPr="00C07AE5">
        <w:t>Z dôvodu posilnenia právnej istoty členov komisie pre ochranu maloletých sa navrhuje v zákone upraviť, že členstvo v komisii je nezastupiteľné a výkon funkcie člena komisie sa považuje za iný úkon vo všeobecnom záujme. Za účelom výkonu funkcie člena komisie je teda zamestnávateľ povinný poskytnúť zamestnancovi pracovné voľno na nevyhnutne potrebný čas, ak túto činnosť nemožno vykonať mimo pracovného času.</w:t>
      </w:r>
    </w:p>
    <w:p w:rsidR="00960E62" w:rsidRPr="00C07AE5" w:rsidRDefault="00960E62" w:rsidP="00960E62">
      <w:pPr>
        <w:jc w:val="both"/>
      </w:pPr>
    </w:p>
    <w:p w:rsidR="00960E62" w:rsidRPr="00694CEF" w:rsidRDefault="00960E62" w:rsidP="00960E62">
      <w:pPr>
        <w:jc w:val="both"/>
        <w:rPr>
          <w:u w:val="single"/>
        </w:rPr>
      </w:pPr>
      <w:r w:rsidRPr="00694CEF">
        <w:rPr>
          <w:u w:val="single"/>
        </w:rPr>
        <w:t>K bodom 4 a 5</w:t>
      </w:r>
    </w:p>
    <w:p w:rsidR="00960E62" w:rsidRPr="00263866" w:rsidRDefault="00960E62" w:rsidP="00960E62">
      <w:pPr>
        <w:jc w:val="both"/>
      </w:pPr>
      <w:r w:rsidRPr="00C07AE5">
        <w:t>Upravuje sa konanie pred komisiou pre ochranu maloletých. S cieľom zjednotiť právny režim upravujúci konanie pred komisiou so zákonom o mediálnych službách sa navrhuje, aby sa na konanie pred komisiou nevzťahoval osobitný predpis o sťažnostiach, a aby sa pri vybavovaní podnetov na konanie pred komisiou primerane vzťahovali ustanovenia upravujúce postup regulátora pri vybavovaní podnetu na preverenie podľa zákona o mediálnych službách. Zároveň sa navrhuje, aby sa na konanie pred komisiou nevzťahovali niektoré ustanovenia správneho poriadku, obdobne, ako je to uvedené pri konaní regulátora podľa zákona o mediálnych službách.</w:t>
      </w:r>
      <w:r w:rsidRPr="000F7820">
        <w:t xml:space="preserve"> </w:t>
      </w:r>
      <w:r>
        <w:t>Zároveň sa ustanovuje, že p</w:t>
      </w:r>
      <w:r w:rsidRPr="00373320">
        <w:t>roti rozhodnutiu komisie o uložení pokuty sa nemožno odvolať</w:t>
      </w:r>
      <w:r>
        <w:t>.</w:t>
      </w:r>
    </w:p>
    <w:p w:rsidR="00960E62" w:rsidRPr="00C70FD2" w:rsidRDefault="00960E62" w:rsidP="00960E62"/>
    <w:p w:rsidR="00960E62" w:rsidRDefault="00960E62" w:rsidP="00960E62">
      <w:pPr>
        <w:rPr>
          <w:b/>
        </w:rPr>
      </w:pPr>
    </w:p>
    <w:p w:rsidR="00960E62" w:rsidRDefault="00960E62" w:rsidP="00960E62">
      <w:pPr>
        <w:rPr>
          <w:b/>
        </w:rPr>
      </w:pPr>
    </w:p>
    <w:p w:rsidR="00960E62" w:rsidRDefault="00960E62" w:rsidP="00960E62">
      <w:pPr>
        <w:rPr>
          <w:b/>
        </w:rPr>
      </w:pPr>
      <w:r>
        <w:rPr>
          <w:b/>
        </w:rPr>
        <w:lastRenderedPageBreak/>
        <w:t>Čl. IV</w:t>
      </w:r>
    </w:p>
    <w:p w:rsidR="00960E62" w:rsidRPr="00B45B10" w:rsidRDefault="00960E62" w:rsidP="00960E62">
      <w:pPr>
        <w:rPr>
          <w:b/>
        </w:rPr>
      </w:pPr>
    </w:p>
    <w:p w:rsidR="00960E62" w:rsidRDefault="00960E62" w:rsidP="00960E62">
      <w:pPr>
        <w:jc w:val="both"/>
      </w:pPr>
      <w:r>
        <w:t>Navrhuje sa, aby návrh zákona nadobudol účinnosť dňom vyhlásenia okrem  článku</w:t>
      </w:r>
      <w:r w:rsidRPr="006D3869">
        <w:t xml:space="preserve"> I bodov </w:t>
      </w:r>
      <w:r w:rsidRPr="00480E0E">
        <w:t xml:space="preserve"> </w:t>
      </w:r>
      <w:r>
        <w:t>19</w:t>
      </w:r>
      <w:r w:rsidRPr="00480E0E">
        <w:t>, 2</w:t>
      </w:r>
      <w:r>
        <w:t>2</w:t>
      </w:r>
      <w:r w:rsidRPr="00480E0E">
        <w:t xml:space="preserve">, </w:t>
      </w:r>
      <w:r>
        <w:t>38, 41, 45, 48</w:t>
      </w:r>
      <w:r w:rsidRPr="00480E0E">
        <w:t xml:space="preserve">, </w:t>
      </w:r>
      <w:r>
        <w:t>52</w:t>
      </w:r>
      <w:r w:rsidRPr="00480E0E">
        <w:t xml:space="preserve"> a </w:t>
      </w:r>
      <w:r>
        <w:t>53</w:t>
      </w:r>
      <w:r w:rsidRPr="006D3869">
        <w:t>, ktoré nadobúdajú úč</w:t>
      </w:r>
      <w:r>
        <w:t>innosť 28. júna 2025 a okrem článku</w:t>
      </w:r>
      <w:r w:rsidRPr="006D3869">
        <w:t xml:space="preserve"> I bodov  </w:t>
      </w:r>
      <w:r>
        <w:t>4</w:t>
      </w:r>
      <w:r w:rsidRPr="00480E0E">
        <w:t xml:space="preserve"> a </w:t>
      </w:r>
      <w:r>
        <w:t>5</w:t>
      </w:r>
      <w:r w:rsidRPr="006D3869">
        <w:t>, ktoré nadobúdajú účinnosť 1. januára 2027.</w:t>
      </w:r>
    </w:p>
    <w:p w:rsidR="00960E62" w:rsidRDefault="00960E62" w:rsidP="00960E62"/>
    <w:p w:rsidR="00960E62" w:rsidRDefault="00960E62" w:rsidP="00960E62">
      <w:pPr>
        <w:jc w:val="both"/>
      </w:pPr>
      <w:r>
        <w:t>Nadobudnutie účinnosti návrhu zákona dňom vyhlásenia sa odôvodňuje skutočnosťou, že z čl. 49 ods. 3 nariadenia (EÚ) 2022/2065 vyplynula členským štátom povinnosť určiť koordinátora digitálnych služieb do 17. februára 2024. Z dôvodu omeškania s určením koordinátora digitálnych služieb nemá Slovenská republika oficiálne zastúpenie v Európskom výbore pre digitálne služby a nemôže plnohodnotne participovať v rámci spolupráce na úrovni Európskej únie. Čo najskoršie určenie koordinátora digitálnych služieb a jeho vybavenie potrebnými kompetenciami je nevyhnutné pre zabezpečenie ochrany príjemcov sprostredkovateľských služieb v Slovenskej republike.</w:t>
      </w:r>
    </w:p>
    <w:p w:rsidR="005A2AB2" w:rsidRDefault="005A2AB2"/>
    <w:p w:rsidR="00FD3D5B" w:rsidRDefault="00F403FA" w:rsidP="00FD3D5B">
      <w:pPr>
        <w:spacing w:before="100" w:beforeAutospacing="1" w:after="100" w:afterAutospacing="1"/>
      </w:pPr>
      <w:r>
        <w:t>Bra</w:t>
      </w:r>
      <w:r w:rsidR="00960E62">
        <w:t>tislava 22</w:t>
      </w:r>
      <w:r w:rsidR="00FD3D5B" w:rsidRPr="00CB20BC">
        <w:t xml:space="preserve">. </w:t>
      </w:r>
      <w:r w:rsidR="00960E62">
        <w:t>mája 2024</w:t>
      </w:r>
    </w:p>
    <w:p w:rsidR="00F403FA" w:rsidRPr="00F403FA" w:rsidRDefault="00F403FA" w:rsidP="00FD3D5B">
      <w:pPr>
        <w:spacing w:before="100" w:beforeAutospacing="1" w:after="100" w:afterAutospacing="1"/>
      </w:pPr>
    </w:p>
    <w:p w:rsidR="00FD3D5B" w:rsidRPr="00E34F6D" w:rsidRDefault="00FD3D5B" w:rsidP="00FD3D5B">
      <w:pPr>
        <w:tabs>
          <w:tab w:val="left" w:pos="278"/>
        </w:tabs>
        <w:spacing w:after="120"/>
        <w:jc w:val="center"/>
      </w:pPr>
    </w:p>
    <w:p w:rsidR="00FD3D5B" w:rsidRDefault="00960E62" w:rsidP="00FD3D5B">
      <w:pPr>
        <w:tabs>
          <w:tab w:val="left" w:pos="278"/>
        </w:tabs>
        <w:jc w:val="center"/>
        <w:rPr>
          <w:b/>
        </w:rPr>
      </w:pPr>
      <w:r>
        <w:rPr>
          <w:b/>
        </w:rPr>
        <w:t>Robert Fico</w:t>
      </w:r>
      <w:bookmarkStart w:id="5" w:name="_GoBack"/>
      <w:bookmarkEnd w:id="5"/>
    </w:p>
    <w:p w:rsidR="00FD3D5B" w:rsidRPr="00E34F6D" w:rsidRDefault="00FD3D5B" w:rsidP="00FD3D5B">
      <w:pPr>
        <w:tabs>
          <w:tab w:val="left" w:pos="278"/>
        </w:tabs>
        <w:jc w:val="center"/>
      </w:pPr>
      <w:r w:rsidRPr="00E34F6D">
        <w:t xml:space="preserve">predseda vlády </w:t>
      </w:r>
    </w:p>
    <w:p w:rsidR="00FD3D5B" w:rsidRPr="00E34F6D" w:rsidRDefault="00FD3D5B" w:rsidP="00FD3D5B">
      <w:pPr>
        <w:tabs>
          <w:tab w:val="left" w:pos="278"/>
        </w:tabs>
        <w:jc w:val="center"/>
      </w:pPr>
      <w:r w:rsidRPr="00E34F6D">
        <w:t>Slovenskej republiky</w:t>
      </w:r>
    </w:p>
    <w:p w:rsidR="00FD3D5B" w:rsidRPr="00E34F6D" w:rsidRDefault="00FD3D5B" w:rsidP="00FD3D5B">
      <w:pPr>
        <w:tabs>
          <w:tab w:val="left" w:pos="278"/>
        </w:tabs>
        <w:jc w:val="center"/>
      </w:pPr>
    </w:p>
    <w:p w:rsidR="00FD3D5B" w:rsidRDefault="00FD3D5B" w:rsidP="00FD3D5B">
      <w:pPr>
        <w:tabs>
          <w:tab w:val="left" w:pos="278"/>
        </w:tabs>
        <w:jc w:val="center"/>
      </w:pPr>
    </w:p>
    <w:p w:rsidR="0096538A" w:rsidRPr="00E34F6D" w:rsidRDefault="0096538A" w:rsidP="00FD3D5B">
      <w:pPr>
        <w:tabs>
          <w:tab w:val="left" w:pos="278"/>
        </w:tabs>
        <w:jc w:val="center"/>
      </w:pPr>
    </w:p>
    <w:p w:rsidR="00FD3D5B" w:rsidRPr="00E34F6D" w:rsidRDefault="00FD3D5B" w:rsidP="00FD3D5B">
      <w:pPr>
        <w:tabs>
          <w:tab w:val="left" w:pos="278"/>
        </w:tabs>
        <w:jc w:val="center"/>
      </w:pPr>
    </w:p>
    <w:p w:rsidR="00FD3D5B" w:rsidRPr="00E34F6D" w:rsidRDefault="00960E62" w:rsidP="00FD3D5B">
      <w:pPr>
        <w:tabs>
          <w:tab w:val="left" w:pos="278"/>
        </w:tabs>
        <w:jc w:val="center"/>
        <w:rPr>
          <w:b/>
        </w:rPr>
      </w:pPr>
      <w:r>
        <w:rPr>
          <w:b/>
        </w:rPr>
        <w:t>Martina Šimkovičová</w:t>
      </w:r>
    </w:p>
    <w:p w:rsidR="00FD3D5B" w:rsidRPr="00E34F6D" w:rsidRDefault="00FD3D5B" w:rsidP="00FD3D5B">
      <w:pPr>
        <w:tabs>
          <w:tab w:val="left" w:pos="278"/>
        </w:tabs>
        <w:jc w:val="center"/>
      </w:pPr>
      <w:r w:rsidRPr="00E34F6D">
        <w:t>ministerka kultúry</w:t>
      </w:r>
    </w:p>
    <w:p w:rsidR="00FD3D5B" w:rsidRPr="00E34F6D" w:rsidRDefault="00FD3D5B" w:rsidP="00FD3D5B">
      <w:pPr>
        <w:tabs>
          <w:tab w:val="left" w:pos="278"/>
        </w:tabs>
        <w:jc w:val="center"/>
      </w:pPr>
      <w:r w:rsidRPr="00E34F6D">
        <w:t>Slovenskej republiky</w:t>
      </w:r>
    </w:p>
    <w:p w:rsidR="005D4161" w:rsidRDefault="005D4161"/>
    <w:sectPr w:rsidR="005D4161" w:rsidSect="008F40C5">
      <w:footerReference w:type="default" r:id="rId32"/>
      <w:pgSz w:w="11906" w:h="16838"/>
      <w:pgMar w:top="1417" w:right="1417" w:bottom="1417" w:left="1417" w:header="708" w:footer="708" w:gutter="0"/>
      <w:pgNumType w:start="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766" w:rsidRDefault="00D14766" w:rsidP="00F2072F">
      <w:r>
        <w:separator/>
      </w:r>
    </w:p>
  </w:endnote>
  <w:endnote w:type="continuationSeparator" w:id="0">
    <w:p w:rsidR="00D14766" w:rsidRDefault="00D14766" w:rsidP="00F2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1E3" w:rsidRDefault="005301E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5301E3" w:rsidRDefault="005301E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1E3" w:rsidRDefault="005301E3">
    <w:pPr>
      <w:pStyle w:val="Pta"/>
      <w:jc w:val="right"/>
    </w:pPr>
    <w:r>
      <w:fldChar w:fldCharType="begin"/>
    </w:r>
    <w:r>
      <w:instrText>PAGE   \* MERGEFORMAT</w:instrText>
    </w:r>
    <w:r>
      <w:fldChar w:fldCharType="separate"/>
    </w:r>
    <w:r w:rsidR="00F55A99">
      <w:rPr>
        <w:noProof/>
      </w:rPr>
      <w:t>20</w:t>
    </w:r>
    <w:r>
      <w:fldChar w:fldCharType="end"/>
    </w:r>
  </w:p>
  <w:p w:rsidR="005301E3" w:rsidRDefault="005301E3">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1E3" w:rsidRDefault="005301E3">
    <w:pPr>
      <w:pStyle w:val="Pta"/>
      <w:jc w:val="right"/>
    </w:pPr>
    <w:r>
      <w:fldChar w:fldCharType="begin"/>
    </w:r>
    <w:r>
      <w:instrText>PAGE   \* MERGEFORMAT</w:instrText>
    </w:r>
    <w:r>
      <w:fldChar w:fldCharType="separate"/>
    </w:r>
    <w:r>
      <w:rPr>
        <w:noProof/>
      </w:rPr>
      <w:t>0</w:t>
    </w:r>
    <w:r>
      <w:fldChar w:fldCharType="end"/>
    </w:r>
  </w:p>
  <w:p w:rsidR="005301E3" w:rsidRDefault="005301E3">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4FE" w:rsidRDefault="004A64F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4A64FE" w:rsidRDefault="004A64FE">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323097"/>
      <w:docPartObj>
        <w:docPartGallery w:val="Page Numbers (Bottom of Page)"/>
        <w:docPartUnique/>
      </w:docPartObj>
    </w:sdtPr>
    <w:sdtEndPr/>
    <w:sdtContent>
      <w:p w:rsidR="00084CA0" w:rsidRDefault="00084CA0">
        <w:pPr>
          <w:pStyle w:val="Pta"/>
          <w:jc w:val="right"/>
        </w:pPr>
        <w:r>
          <w:fldChar w:fldCharType="begin"/>
        </w:r>
        <w:r>
          <w:instrText>PAGE   \* MERGEFORMAT</w:instrText>
        </w:r>
        <w:r>
          <w:fldChar w:fldCharType="separate"/>
        </w:r>
        <w:r w:rsidR="00F55A99">
          <w:rPr>
            <w:noProof/>
          </w:rPr>
          <w:t>25</w:t>
        </w:r>
        <w:r>
          <w:fldChar w:fldCharType="end"/>
        </w:r>
      </w:p>
    </w:sdtContent>
  </w:sdt>
  <w:p w:rsidR="004A64FE" w:rsidRDefault="004A64FE" w:rsidP="00084CA0">
    <w:pPr>
      <w:pStyle w:val="Pta"/>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4FE" w:rsidRDefault="004A64FE">
    <w:pPr>
      <w:pStyle w:val="Pta"/>
      <w:jc w:val="right"/>
    </w:pPr>
    <w:r>
      <w:fldChar w:fldCharType="begin"/>
    </w:r>
    <w:r>
      <w:instrText>PAGE   \* MERGEFORMAT</w:instrText>
    </w:r>
    <w:r>
      <w:fldChar w:fldCharType="separate"/>
    </w:r>
    <w:r>
      <w:rPr>
        <w:noProof/>
      </w:rPr>
      <w:t>0</w:t>
    </w:r>
    <w:r>
      <w:fldChar w:fldCharType="end"/>
    </w:r>
  </w:p>
  <w:p w:rsidR="004A64FE" w:rsidRDefault="004A64FE">
    <w:pPr>
      <w:pStyle w:val="Pt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sdtContent>
      <w:p w:rsidR="008150DC" w:rsidRPr="006045CB" w:rsidRDefault="008150DC" w:rsidP="00054C41">
        <w:pPr>
          <w:pStyle w:val="Pta"/>
          <w:jc w:val="right"/>
        </w:pPr>
        <w:r w:rsidRPr="006045CB">
          <w:fldChar w:fldCharType="begin"/>
        </w:r>
        <w:r w:rsidRPr="006045CB">
          <w:instrText>PAGE   \* MERGEFORMAT</w:instrText>
        </w:r>
        <w:r w:rsidRPr="006045CB">
          <w:fldChar w:fldCharType="separate"/>
        </w:r>
        <w:r w:rsidR="00F55A99">
          <w:rPr>
            <w:noProof/>
          </w:rPr>
          <w:t>2</w:t>
        </w:r>
        <w:r w:rsidRPr="006045CB">
          <w:fldChar w:fldCharType="end"/>
        </w:r>
      </w:p>
    </w:sdtContent>
  </w:sdt>
  <w:p w:rsidR="008150DC" w:rsidRPr="00FF7125" w:rsidRDefault="008150DC" w:rsidP="00054C41">
    <w:pPr>
      <w:pStyle w:val="Pta"/>
    </w:pPr>
  </w:p>
  <w:p w:rsidR="008150DC" w:rsidRDefault="008150DC">
    <w:pPr>
      <w:pStyle w:val="Pt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103939"/>
      <w:docPartObj>
        <w:docPartGallery w:val="Page Numbers (Bottom of Page)"/>
        <w:docPartUnique/>
      </w:docPartObj>
    </w:sdtPr>
    <w:sdtEndPr/>
    <w:sdtContent>
      <w:p w:rsidR="008F40C5" w:rsidRDefault="008F40C5">
        <w:pPr>
          <w:pStyle w:val="Pta"/>
          <w:jc w:val="right"/>
        </w:pPr>
        <w:r>
          <w:fldChar w:fldCharType="begin"/>
        </w:r>
        <w:r>
          <w:instrText>PAGE   \* MERGEFORMAT</w:instrText>
        </w:r>
        <w:r>
          <w:fldChar w:fldCharType="separate"/>
        </w:r>
        <w:r w:rsidR="00F55A99">
          <w:rPr>
            <w:noProof/>
          </w:rPr>
          <w:t>59</w:t>
        </w:r>
        <w:r>
          <w:fldChar w:fldCharType="end"/>
        </w:r>
      </w:p>
    </w:sdtContent>
  </w:sdt>
  <w:p w:rsidR="00084CA0" w:rsidRDefault="00084CA0">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766" w:rsidRDefault="00D14766" w:rsidP="00F2072F">
      <w:r>
        <w:separator/>
      </w:r>
    </w:p>
  </w:footnote>
  <w:footnote w:type="continuationSeparator" w:id="0">
    <w:p w:rsidR="00D14766" w:rsidRDefault="00D14766" w:rsidP="00F2072F">
      <w:r>
        <w:continuationSeparator/>
      </w:r>
    </w:p>
  </w:footnote>
  <w:footnote w:id="1">
    <w:p w:rsidR="008150DC" w:rsidRDefault="008150DC" w:rsidP="008150DC">
      <w:pPr>
        <w:pStyle w:val="Textpoznmkypodiarou"/>
      </w:pPr>
      <w:r>
        <w:rPr>
          <w:rStyle w:val="Odkaznapoznmkupodiarou"/>
        </w:rPr>
        <w:footnoteRef/>
      </w:r>
      <w:r>
        <w:t xml:space="preserve"> </w:t>
      </w:r>
      <w:hyperlink r:id="rId1" w:history="1">
        <w:r w:rsidRPr="008C0F48">
          <w:rPr>
            <w:rStyle w:val="Hypertextovprepojenie"/>
          </w:rPr>
          <w:t>https://digital-strategy.ec.europa.eu/en/library/impact-assessment-digital-services-act</w:t>
        </w:r>
      </w:hyperlink>
    </w:p>
    <w:p w:rsidR="008150DC" w:rsidRDefault="008150DC" w:rsidP="008150DC">
      <w:pPr>
        <w:pStyle w:val="Textpoznmkypodiarou"/>
      </w:pPr>
    </w:p>
  </w:footnote>
  <w:footnote w:id="2">
    <w:p w:rsidR="008150DC" w:rsidRDefault="008150DC" w:rsidP="008150DC">
      <w:pPr>
        <w:pStyle w:val="Textpoznmkypodiarou"/>
      </w:pPr>
      <w:r>
        <w:rPr>
          <w:rStyle w:val="Odkaznapoznmkupodiarou"/>
        </w:rPr>
        <w:footnoteRef/>
      </w:r>
      <w:r>
        <w:t xml:space="preserve"> </w:t>
      </w:r>
      <w:hyperlink r:id="rId2" w:history="1">
        <w:r w:rsidRPr="008C0F48">
          <w:rPr>
            <w:rStyle w:val="Hypertextovprepojenie"/>
          </w:rPr>
          <w:t>https://www.slov-lex.sk/legislativne-procesy?p_p_id=processDetail_WAR_portletsel&amp;p_p_lifecycle=0&amp;p_p_state=normal&amp;p_p_mode=view&amp;p_p_col_id=column-2&amp;p_p_col_count=1&amp;_processDetail_WAR_portletsel_cisloLP=LPEU%2F2020%2F796&amp;_processDetail_WAR_portletsel_action=files</w:t>
        </w:r>
      </w:hyperlink>
    </w:p>
    <w:p w:rsidR="008150DC" w:rsidRDefault="008150DC" w:rsidP="008150DC">
      <w:pPr>
        <w:pStyle w:val="Textpoznmkypodiarou"/>
      </w:pPr>
    </w:p>
  </w:footnote>
  <w:footnote w:id="3">
    <w:p w:rsidR="008150DC" w:rsidRDefault="008150DC" w:rsidP="008150DC">
      <w:pPr>
        <w:pStyle w:val="Textpoznmkypodiarou"/>
      </w:pPr>
      <w:r>
        <w:rPr>
          <w:rStyle w:val="Odkaznapoznmkupodiarou"/>
        </w:rPr>
        <w:footnoteRef/>
      </w:r>
      <w:r>
        <w:t xml:space="preserve"> </w:t>
      </w:r>
      <w:hyperlink r:id="rId3" w:history="1">
        <w:r w:rsidRPr="008C0F48">
          <w:rPr>
            <w:rStyle w:val="Hypertextovprepojenie"/>
          </w:rPr>
          <w:t>https://eur-lex.europa.eu/legal-content/EN/TXT/?uri=SWD%3A2018%3A138%3AFIN</w:t>
        </w:r>
      </w:hyperlink>
    </w:p>
    <w:p w:rsidR="008150DC" w:rsidRDefault="008150DC" w:rsidP="008150DC">
      <w:pPr>
        <w:pStyle w:val="Textpoznmkypodiarou"/>
      </w:pPr>
    </w:p>
  </w:footnote>
  <w:footnote w:id="4">
    <w:p w:rsidR="008150DC" w:rsidRDefault="008150DC" w:rsidP="008150DC">
      <w:pPr>
        <w:pStyle w:val="Textpoznmkypodiarou"/>
      </w:pPr>
      <w:r>
        <w:rPr>
          <w:rStyle w:val="Odkaznapoznmkupodiarou"/>
        </w:rPr>
        <w:footnoteRef/>
      </w:r>
      <w:r>
        <w:t xml:space="preserve"> </w:t>
      </w:r>
      <w:hyperlink r:id="rId4" w:history="1">
        <w:r w:rsidRPr="008C0F48">
          <w:rPr>
            <w:rStyle w:val="Hypertextovprepojenie"/>
          </w:rPr>
          <w:t>https://www.slov-lex.sk/legislativne-procesy/-/SK/dokumenty/LP-2018-529</w:t>
        </w:r>
      </w:hyperlink>
    </w:p>
    <w:p w:rsidR="008150DC" w:rsidRDefault="008150DC" w:rsidP="008150DC">
      <w:pPr>
        <w:pStyle w:val="Textpoznmkypodiarou"/>
      </w:pPr>
    </w:p>
  </w:footnote>
  <w:footnote w:id="5">
    <w:p w:rsidR="008150DC" w:rsidRDefault="008150DC" w:rsidP="008150DC">
      <w:pPr>
        <w:pStyle w:val="Textpoznmkypodiarou"/>
      </w:pPr>
      <w:r>
        <w:rPr>
          <w:rStyle w:val="Odkaznapoznmkupodiarou"/>
        </w:rPr>
        <w:footnoteRef/>
      </w:r>
      <w:r>
        <w:t xml:space="preserve"> Čl. 15 nariadenia (EÚ) 2019/1150</w:t>
      </w:r>
    </w:p>
  </w:footnote>
  <w:footnote w:id="6">
    <w:p w:rsidR="008150DC" w:rsidRDefault="008150DC" w:rsidP="008150DC">
      <w:pPr>
        <w:pStyle w:val="Textpoznmkypodiarou"/>
      </w:pPr>
      <w:r>
        <w:rPr>
          <w:rStyle w:val="Odkaznapoznmkupodiarou"/>
        </w:rPr>
        <w:footnoteRef/>
      </w:r>
      <w:r>
        <w:t xml:space="preserve"> </w:t>
      </w:r>
      <w:hyperlink r:id="rId5" w:history="1">
        <w:r w:rsidRPr="008C0F48">
          <w:rPr>
            <w:rStyle w:val="Hypertextovprepojenie"/>
          </w:rPr>
          <w:t>https://ec.europa.eu/commission/presscorner/detail/SK/inf_23_142</w:t>
        </w:r>
      </w:hyperlink>
    </w:p>
    <w:p w:rsidR="008150DC" w:rsidRDefault="008150DC" w:rsidP="008150D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1E3" w:rsidRDefault="005301E3" w:rsidP="002B63FD">
    <w:pPr>
      <w:pStyle w:val="Hlavika"/>
      <w:jc w:val="right"/>
    </w:pPr>
    <w:r>
      <w:t>Príloha č. 2</w:t>
    </w:r>
  </w:p>
  <w:p w:rsidR="005301E3" w:rsidRPr="00EB59C8" w:rsidRDefault="005301E3" w:rsidP="002B63F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1E3" w:rsidRPr="0024067A" w:rsidRDefault="005301E3">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1E3" w:rsidRPr="000A15AE" w:rsidRDefault="005301E3" w:rsidP="002B63FD">
    <w:pPr>
      <w:pStyle w:val="Hlavika"/>
      <w:jc w:val="right"/>
    </w:pPr>
    <w: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4FE" w:rsidRDefault="004A64FE" w:rsidP="00B53972">
    <w:pPr>
      <w:pStyle w:val="Hlavika"/>
      <w:jc w:val="right"/>
    </w:pPr>
    <w:r>
      <w:t>Príloha č. 2</w:t>
    </w:r>
  </w:p>
  <w:p w:rsidR="004A64FE" w:rsidRPr="00EB59C8" w:rsidRDefault="004A64FE" w:rsidP="00B53972">
    <w:pPr>
      <w:pStyle w:val="Hlavika"/>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4FE" w:rsidRPr="0024067A" w:rsidRDefault="004A64FE">
    <w:pPr>
      <w:pStyle w:val="Hlavika"/>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4FE" w:rsidRPr="000A15AE" w:rsidRDefault="004A64FE" w:rsidP="00B53972">
    <w:pPr>
      <w:pStyle w:val="Hlavika"/>
      <w:jc w:val="right"/>
    </w:pPr>
    <w: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988447D"/>
    <w:multiLevelType w:val="hybridMultilevel"/>
    <w:tmpl w:val="A5682CC6"/>
    <w:lvl w:ilvl="0" w:tplc="43C8AF24">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B202E"/>
    <w:multiLevelType w:val="hybridMultilevel"/>
    <w:tmpl w:val="9A3EB92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1BDF7EE8"/>
    <w:multiLevelType w:val="hybridMultilevel"/>
    <w:tmpl w:val="28E43A6E"/>
    <w:lvl w:ilvl="0" w:tplc="6138FFDC">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1CBF1510"/>
    <w:multiLevelType w:val="hybridMultilevel"/>
    <w:tmpl w:val="57E6A564"/>
    <w:lvl w:ilvl="0" w:tplc="36723184">
      <w:start w:val="1"/>
      <w:numFmt w:val="decimal"/>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9334FA"/>
    <w:multiLevelType w:val="hybridMultilevel"/>
    <w:tmpl w:val="58226D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2741F6"/>
    <w:multiLevelType w:val="hybridMultilevel"/>
    <w:tmpl w:val="F49A4D82"/>
    <w:lvl w:ilvl="0" w:tplc="9DE4BED8">
      <w:start w:val="1"/>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221C562B"/>
    <w:multiLevelType w:val="hybridMultilevel"/>
    <w:tmpl w:val="F4A290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B03DBD"/>
    <w:multiLevelType w:val="hybridMultilevel"/>
    <w:tmpl w:val="1FE605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97C1E"/>
    <w:multiLevelType w:val="hybridMultilevel"/>
    <w:tmpl w:val="1FE605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56B51EA"/>
    <w:multiLevelType w:val="hybridMultilevel"/>
    <w:tmpl w:val="A9C8D3B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465E39CF"/>
    <w:multiLevelType w:val="hybridMultilevel"/>
    <w:tmpl w:val="D0C8204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2"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0C78E9"/>
    <w:multiLevelType w:val="hybridMultilevel"/>
    <w:tmpl w:val="915CEBE0"/>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B9A1A97"/>
    <w:multiLevelType w:val="hybridMultilevel"/>
    <w:tmpl w:val="ED66278C"/>
    <w:lvl w:ilvl="0" w:tplc="C10EEAFC">
      <w:start w:val="3"/>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5" w15:restartNumberingAfterBreak="0">
    <w:nsid w:val="54EF2CB4"/>
    <w:multiLevelType w:val="hybridMultilevel"/>
    <w:tmpl w:val="C04476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871817"/>
    <w:multiLevelType w:val="hybridMultilevel"/>
    <w:tmpl w:val="B41AF79C"/>
    <w:lvl w:ilvl="0" w:tplc="041B0001">
      <w:start w:val="1"/>
      <w:numFmt w:val="bullet"/>
      <w:lvlText w:val=""/>
      <w:lvlJc w:val="left"/>
      <w:pPr>
        <w:ind w:left="1789" w:hanging="360"/>
      </w:pPr>
      <w:rPr>
        <w:rFonts w:ascii="Symbol" w:hAnsi="Symbol" w:hint="default"/>
      </w:rPr>
    </w:lvl>
    <w:lvl w:ilvl="1" w:tplc="041B0003" w:tentative="1">
      <w:start w:val="1"/>
      <w:numFmt w:val="bullet"/>
      <w:lvlText w:val="o"/>
      <w:lvlJc w:val="left"/>
      <w:pPr>
        <w:ind w:left="2509" w:hanging="360"/>
      </w:pPr>
      <w:rPr>
        <w:rFonts w:ascii="Courier New" w:hAnsi="Courier New" w:cs="Courier New" w:hint="default"/>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abstractNum w:abstractNumId="28" w15:restartNumberingAfterBreak="0">
    <w:nsid w:val="5BA20D88"/>
    <w:multiLevelType w:val="hybridMultilevel"/>
    <w:tmpl w:val="29D0879C"/>
    <w:lvl w:ilvl="0" w:tplc="C366D4E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35"/>
  </w:num>
  <w:num w:numId="2">
    <w:abstractNumId w:val="8"/>
  </w:num>
  <w:num w:numId="3">
    <w:abstractNumId w:val="23"/>
  </w:num>
  <w:num w:numId="4">
    <w:abstractNumId w:val="0"/>
  </w:num>
  <w:num w:numId="5">
    <w:abstractNumId w:val="1"/>
  </w:num>
  <w:num w:numId="6">
    <w:abstractNumId w:val="16"/>
  </w:num>
  <w:num w:numId="7">
    <w:abstractNumId w:val="18"/>
  </w:num>
  <w:num w:numId="8">
    <w:abstractNumId w:val="13"/>
  </w:num>
  <w:num w:numId="9">
    <w:abstractNumId w:val="33"/>
  </w:num>
  <w:num w:numId="10">
    <w:abstractNumId w:val="29"/>
  </w:num>
  <w:num w:numId="11">
    <w:abstractNumId w:val="30"/>
  </w:num>
  <w:num w:numId="12">
    <w:abstractNumId w:val="17"/>
  </w:num>
  <w:num w:numId="13">
    <w:abstractNumId w:val="22"/>
  </w:num>
  <w:num w:numId="14">
    <w:abstractNumId w:val="19"/>
  </w:num>
  <w:num w:numId="15">
    <w:abstractNumId w:val="3"/>
  </w:num>
  <w:num w:numId="16">
    <w:abstractNumId w:val="31"/>
  </w:num>
  <w:num w:numId="17">
    <w:abstractNumId w:val="32"/>
  </w:num>
  <w:num w:numId="18">
    <w:abstractNumId w:val="34"/>
  </w:num>
  <w:num w:numId="19">
    <w:abstractNumId w:val="25"/>
  </w:num>
  <w:num w:numId="20">
    <w:abstractNumId w:val="9"/>
  </w:num>
  <w:num w:numId="21">
    <w:abstractNumId w:val="24"/>
  </w:num>
  <w:num w:numId="22">
    <w:abstractNumId w:val="27"/>
  </w:num>
  <w:num w:numId="23">
    <w:abstractNumId w:val="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 w:numId="27">
    <w:abstractNumId w:val="14"/>
  </w:num>
  <w:num w:numId="28">
    <w:abstractNumId w:val="4"/>
  </w:num>
  <w:num w:numId="29">
    <w:abstractNumId w:val="20"/>
  </w:num>
  <w:num w:numId="30">
    <w:abstractNumId w:val="21"/>
  </w:num>
  <w:num w:numId="31">
    <w:abstractNumId w:val="10"/>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8"/>
  </w:num>
  <w:num w:numId="35">
    <w:abstractNumId w:val="12"/>
  </w:num>
  <w:num w:numId="36">
    <w:abstractNumId w:val="15"/>
  </w:num>
  <w:num w:numId="37">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D8"/>
    <w:rsid w:val="000209B7"/>
    <w:rsid w:val="00025B43"/>
    <w:rsid w:val="000341CA"/>
    <w:rsid w:val="00035654"/>
    <w:rsid w:val="00060DEA"/>
    <w:rsid w:val="00062D5F"/>
    <w:rsid w:val="00070E68"/>
    <w:rsid w:val="00084CA0"/>
    <w:rsid w:val="0009121F"/>
    <w:rsid w:val="00093C5B"/>
    <w:rsid w:val="000A0E32"/>
    <w:rsid w:val="000B4B84"/>
    <w:rsid w:val="000C7A6D"/>
    <w:rsid w:val="000E25D1"/>
    <w:rsid w:val="000E61F5"/>
    <w:rsid w:val="000F3AD9"/>
    <w:rsid w:val="000F3F9A"/>
    <w:rsid w:val="000F7554"/>
    <w:rsid w:val="00106475"/>
    <w:rsid w:val="00117C2B"/>
    <w:rsid w:val="00124D1F"/>
    <w:rsid w:val="0013240F"/>
    <w:rsid w:val="00137CCF"/>
    <w:rsid w:val="00150670"/>
    <w:rsid w:val="001623ED"/>
    <w:rsid w:val="00181E2D"/>
    <w:rsid w:val="0018702D"/>
    <w:rsid w:val="0019482C"/>
    <w:rsid w:val="00197A75"/>
    <w:rsid w:val="001B0F2C"/>
    <w:rsid w:val="001B302D"/>
    <w:rsid w:val="001E1334"/>
    <w:rsid w:val="001F0877"/>
    <w:rsid w:val="00211403"/>
    <w:rsid w:val="0022085B"/>
    <w:rsid w:val="00224D42"/>
    <w:rsid w:val="0024607C"/>
    <w:rsid w:val="0025093A"/>
    <w:rsid w:val="00272022"/>
    <w:rsid w:val="002750FD"/>
    <w:rsid w:val="00280318"/>
    <w:rsid w:val="002821C8"/>
    <w:rsid w:val="002C024D"/>
    <w:rsid w:val="002C0C98"/>
    <w:rsid w:val="002C34FA"/>
    <w:rsid w:val="002F2EA4"/>
    <w:rsid w:val="002F4E51"/>
    <w:rsid w:val="002F794A"/>
    <w:rsid w:val="00313512"/>
    <w:rsid w:val="003144AF"/>
    <w:rsid w:val="0033235A"/>
    <w:rsid w:val="00360D3A"/>
    <w:rsid w:val="00392D6C"/>
    <w:rsid w:val="003B0EE2"/>
    <w:rsid w:val="003B2B7D"/>
    <w:rsid w:val="003B64EA"/>
    <w:rsid w:val="003E4829"/>
    <w:rsid w:val="003F319D"/>
    <w:rsid w:val="00411B46"/>
    <w:rsid w:val="00425E08"/>
    <w:rsid w:val="004630DB"/>
    <w:rsid w:val="00463121"/>
    <w:rsid w:val="00492FFE"/>
    <w:rsid w:val="004A64FE"/>
    <w:rsid w:val="004B02AE"/>
    <w:rsid w:val="004C3B47"/>
    <w:rsid w:val="004D191C"/>
    <w:rsid w:val="004D7333"/>
    <w:rsid w:val="004E2D2F"/>
    <w:rsid w:val="004F1703"/>
    <w:rsid w:val="004F1B28"/>
    <w:rsid w:val="004F234C"/>
    <w:rsid w:val="004F35C4"/>
    <w:rsid w:val="004F50EC"/>
    <w:rsid w:val="005026B9"/>
    <w:rsid w:val="00514403"/>
    <w:rsid w:val="00520EE7"/>
    <w:rsid w:val="00525AEA"/>
    <w:rsid w:val="005301E3"/>
    <w:rsid w:val="0053506C"/>
    <w:rsid w:val="00543A9D"/>
    <w:rsid w:val="00557123"/>
    <w:rsid w:val="00557C45"/>
    <w:rsid w:val="005732BA"/>
    <w:rsid w:val="005745E5"/>
    <w:rsid w:val="00594148"/>
    <w:rsid w:val="005A2AB2"/>
    <w:rsid w:val="005C3D8D"/>
    <w:rsid w:val="005D4161"/>
    <w:rsid w:val="005E3CD4"/>
    <w:rsid w:val="005E7CF6"/>
    <w:rsid w:val="005F0CD2"/>
    <w:rsid w:val="00613679"/>
    <w:rsid w:val="006255E3"/>
    <w:rsid w:val="00633088"/>
    <w:rsid w:val="00636629"/>
    <w:rsid w:val="00651407"/>
    <w:rsid w:val="00663BD6"/>
    <w:rsid w:val="0066627E"/>
    <w:rsid w:val="0068628A"/>
    <w:rsid w:val="006B3BFB"/>
    <w:rsid w:val="006F1984"/>
    <w:rsid w:val="006F2CDD"/>
    <w:rsid w:val="00714B0B"/>
    <w:rsid w:val="00723815"/>
    <w:rsid w:val="00727314"/>
    <w:rsid w:val="00743CA6"/>
    <w:rsid w:val="007603C0"/>
    <w:rsid w:val="007A7114"/>
    <w:rsid w:val="007B6D89"/>
    <w:rsid w:val="007B6EF2"/>
    <w:rsid w:val="00811BF4"/>
    <w:rsid w:val="008150DC"/>
    <w:rsid w:val="0081791A"/>
    <w:rsid w:val="00824017"/>
    <w:rsid w:val="008343A6"/>
    <w:rsid w:val="008351D6"/>
    <w:rsid w:val="00840137"/>
    <w:rsid w:val="00887F7F"/>
    <w:rsid w:val="008916D9"/>
    <w:rsid w:val="008917EA"/>
    <w:rsid w:val="00896807"/>
    <w:rsid w:val="008B4FA8"/>
    <w:rsid w:val="008B70BC"/>
    <w:rsid w:val="008C2E90"/>
    <w:rsid w:val="008E497D"/>
    <w:rsid w:val="008F40C5"/>
    <w:rsid w:val="0090086F"/>
    <w:rsid w:val="00907E4B"/>
    <w:rsid w:val="00923196"/>
    <w:rsid w:val="00930D39"/>
    <w:rsid w:val="00942A3A"/>
    <w:rsid w:val="0095219B"/>
    <w:rsid w:val="00960E62"/>
    <w:rsid w:val="00961842"/>
    <w:rsid w:val="00962586"/>
    <w:rsid w:val="009645A8"/>
    <w:rsid w:val="0096538A"/>
    <w:rsid w:val="00966774"/>
    <w:rsid w:val="00981EC6"/>
    <w:rsid w:val="00987DD8"/>
    <w:rsid w:val="009A1442"/>
    <w:rsid w:val="009B6980"/>
    <w:rsid w:val="009C0E83"/>
    <w:rsid w:val="009C706B"/>
    <w:rsid w:val="009C73AA"/>
    <w:rsid w:val="009D1254"/>
    <w:rsid w:val="009E6818"/>
    <w:rsid w:val="00A05634"/>
    <w:rsid w:val="00A247AB"/>
    <w:rsid w:val="00A465EC"/>
    <w:rsid w:val="00A6080F"/>
    <w:rsid w:val="00A80AD0"/>
    <w:rsid w:val="00A82371"/>
    <w:rsid w:val="00A91A3C"/>
    <w:rsid w:val="00AA1C12"/>
    <w:rsid w:val="00AA21E3"/>
    <w:rsid w:val="00AA6FBA"/>
    <w:rsid w:val="00AA7120"/>
    <w:rsid w:val="00AB210F"/>
    <w:rsid w:val="00AC38AC"/>
    <w:rsid w:val="00AC560D"/>
    <w:rsid w:val="00AD6D93"/>
    <w:rsid w:val="00AE3B4A"/>
    <w:rsid w:val="00AF003C"/>
    <w:rsid w:val="00B249CB"/>
    <w:rsid w:val="00B26BEA"/>
    <w:rsid w:val="00B36E3F"/>
    <w:rsid w:val="00B37E28"/>
    <w:rsid w:val="00B53972"/>
    <w:rsid w:val="00B67A7F"/>
    <w:rsid w:val="00B74B90"/>
    <w:rsid w:val="00B9075E"/>
    <w:rsid w:val="00B9562D"/>
    <w:rsid w:val="00BA17D7"/>
    <w:rsid w:val="00BA3A7E"/>
    <w:rsid w:val="00BA5172"/>
    <w:rsid w:val="00BC3919"/>
    <w:rsid w:val="00BC4CF8"/>
    <w:rsid w:val="00BD27E1"/>
    <w:rsid w:val="00BD4817"/>
    <w:rsid w:val="00BE3924"/>
    <w:rsid w:val="00BF4D88"/>
    <w:rsid w:val="00C124E0"/>
    <w:rsid w:val="00C148F9"/>
    <w:rsid w:val="00C165C8"/>
    <w:rsid w:val="00C23972"/>
    <w:rsid w:val="00C30C5F"/>
    <w:rsid w:val="00C541F9"/>
    <w:rsid w:val="00C70D69"/>
    <w:rsid w:val="00C90B1D"/>
    <w:rsid w:val="00C914BB"/>
    <w:rsid w:val="00C9685F"/>
    <w:rsid w:val="00C96982"/>
    <w:rsid w:val="00CB0C0A"/>
    <w:rsid w:val="00CB7BC0"/>
    <w:rsid w:val="00CC1E92"/>
    <w:rsid w:val="00CD2C00"/>
    <w:rsid w:val="00CD33C1"/>
    <w:rsid w:val="00CD6635"/>
    <w:rsid w:val="00CD7933"/>
    <w:rsid w:val="00D01DFB"/>
    <w:rsid w:val="00D14766"/>
    <w:rsid w:val="00D36583"/>
    <w:rsid w:val="00D36C6D"/>
    <w:rsid w:val="00D41237"/>
    <w:rsid w:val="00D41498"/>
    <w:rsid w:val="00D609D9"/>
    <w:rsid w:val="00D7719D"/>
    <w:rsid w:val="00D776D0"/>
    <w:rsid w:val="00D77C45"/>
    <w:rsid w:val="00D87762"/>
    <w:rsid w:val="00D87A16"/>
    <w:rsid w:val="00D916A9"/>
    <w:rsid w:val="00DB23E0"/>
    <w:rsid w:val="00DB29C8"/>
    <w:rsid w:val="00E033B4"/>
    <w:rsid w:val="00E24020"/>
    <w:rsid w:val="00E34617"/>
    <w:rsid w:val="00E40869"/>
    <w:rsid w:val="00E52D5E"/>
    <w:rsid w:val="00E92FDC"/>
    <w:rsid w:val="00EA62F7"/>
    <w:rsid w:val="00EB7E6A"/>
    <w:rsid w:val="00EC3380"/>
    <w:rsid w:val="00EC4FE1"/>
    <w:rsid w:val="00ED7A7B"/>
    <w:rsid w:val="00F2072F"/>
    <w:rsid w:val="00F32340"/>
    <w:rsid w:val="00F403FA"/>
    <w:rsid w:val="00F55A99"/>
    <w:rsid w:val="00F56479"/>
    <w:rsid w:val="00F724EC"/>
    <w:rsid w:val="00F75375"/>
    <w:rsid w:val="00F81E42"/>
    <w:rsid w:val="00FB2517"/>
    <w:rsid w:val="00FB39A3"/>
    <w:rsid w:val="00FC7E2D"/>
    <w:rsid w:val="00FD1A1A"/>
    <w:rsid w:val="00FD3D5B"/>
    <w:rsid w:val="00FF3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A1207A"/>
  <w15:docId w15:val="{0CDEFBA4-8865-4BC3-B857-DE423E4E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7DD8"/>
    <w:pPr>
      <w:widowControl w:val="0"/>
      <w:adjustRightInd w:val="0"/>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Zkladntext"/>
    <w:link w:val="Nadpis4Char"/>
    <w:qFormat/>
    <w:rsid w:val="00FD3D5B"/>
    <w:pPr>
      <w:keepNext/>
      <w:widowControl/>
      <w:numPr>
        <w:ilvl w:val="3"/>
        <w:numId w:val="4"/>
      </w:numPr>
      <w:suppressAutoHyphens/>
      <w:adjustRightInd/>
      <w:spacing w:line="100" w:lineRule="atLeast"/>
      <w:ind w:right="-2"/>
      <w:jc w:val="center"/>
      <w:outlineLvl w:val="3"/>
    </w:pPr>
    <w:rPr>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987DD8"/>
    <w:rPr>
      <w:rFonts w:ascii="Times New Roman" w:hAnsi="Times New Roman" w:cs="Times New Roman" w:hint="default"/>
      <w:color w:val="808080"/>
    </w:rPr>
  </w:style>
  <w:style w:type="paragraph" w:styleId="Odsekzoznamu">
    <w:name w:val="List Paragraph"/>
    <w:aliases w:val="body,Odsek zoznamu2,Normal bullet 2,Bullet list,1st level - Bullet List Paragraph,Lettre d'introduction,Paragrafo elenco,List Paragraph à moi,Paragraph,Bullet EY,List Paragraph11,Normal bullet 21,List Paragraph111,Bullet list1,lp,Dot pt,3"/>
    <w:basedOn w:val="Normlny"/>
    <w:link w:val="OdsekzoznamuChar"/>
    <w:uiPriority w:val="34"/>
    <w:qFormat/>
    <w:rsid w:val="00987DD8"/>
    <w:pPr>
      <w:ind w:left="720"/>
      <w:contextualSpacing/>
    </w:pPr>
  </w:style>
  <w:style w:type="paragraph" w:customStyle="1" w:styleId="CharChar1">
    <w:name w:val="Char Char1"/>
    <w:basedOn w:val="Normlny"/>
    <w:uiPriority w:val="99"/>
    <w:rsid w:val="00425E08"/>
    <w:pPr>
      <w:spacing w:after="160" w:line="240" w:lineRule="exact"/>
      <w:jc w:val="both"/>
      <w:textAlignment w:val="baseline"/>
    </w:pPr>
    <w:rPr>
      <w:rFonts w:ascii="Tahoma" w:hAnsi="Tahoma" w:cs="Tahoma"/>
      <w:sz w:val="20"/>
      <w:szCs w:val="20"/>
      <w:lang w:eastAsia="en-US"/>
    </w:rPr>
  </w:style>
  <w:style w:type="paragraph" w:customStyle="1" w:styleId="CarCharCharCharCharChar1">
    <w:name w:val="Car Char Char Char Char Char1"/>
    <w:basedOn w:val="Normlny"/>
    <w:uiPriority w:val="99"/>
    <w:rsid w:val="00942A3A"/>
    <w:pPr>
      <w:widowControl/>
      <w:adjustRightInd/>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unhideWhenUsed/>
    <w:rsid w:val="0018702D"/>
    <w:rPr>
      <w:rFonts w:ascii="Tahoma" w:hAnsi="Tahoma" w:cs="Tahoma"/>
      <w:sz w:val="16"/>
      <w:szCs w:val="16"/>
    </w:rPr>
  </w:style>
  <w:style w:type="character" w:customStyle="1" w:styleId="TextbublinyChar">
    <w:name w:val="Text bubliny Char"/>
    <w:basedOn w:val="Predvolenpsmoodseku"/>
    <w:link w:val="Textbubliny"/>
    <w:uiPriority w:val="99"/>
    <w:semiHidden/>
    <w:rsid w:val="0018702D"/>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18702D"/>
    <w:rPr>
      <w:rFonts w:cs="Times New Roman"/>
      <w:sz w:val="16"/>
      <w:szCs w:val="16"/>
    </w:rPr>
  </w:style>
  <w:style w:type="paragraph" w:styleId="Textkomentra">
    <w:name w:val="annotation text"/>
    <w:basedOn w:val="Normlny"/>
    <w:link w:val="TextkomentraChar"/>
    <w:uiPriority w:val="99"/>
    <w:unhideWhenUsed/>
    <w:rsid w:val="0018702D"/>
    <w:pPr>
      <w:widowControl/>
      <w:adjustRightInd/>
    </w:pPr>
    <w:rPr>
      <w:sz w:val="20"/>
      <w:szCs w:val="20"/>
    </w:rPr>
  </w:style>
  <w:style w:type="character" w:customStyle="1" w:styleId="TextkomentraChar">
    <w:name w:val="Text komentára Char"/>
    <w:basedOn w:val="Predvolenpsmoodseku"/>
    <w:link w:val="Textkomentra"/>
    <w:uiPriority w:val="99"/>
    <w:rsid w:val="0018702D"/>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rsid w:val="00070E68"/>
    <w:pPr>
      <w:widowControl/>
      <w:adjustRightInd/>
    </w:pPr>
    <w:rPr>
      <w:sz w:val="20"/>
      <w:szCs w:val="20"/>
    </w:rPr>
  </w:style>
  <w:style w:type="character" w:customStyle="1" w:styleId="TextpoznmkypodiarouChar">
    <w:name w:val="Text poznámky pod čiarou Char"/>
    <w:basedOn w:val="Predvolenpsmoodseku"/>
    <w:link w:val="Textpoznmkypodiarou"/>
    <w:uiPriority w:val="99"/>
    <w:rsid w:val="00070E68"/>
    <w:rPr>
      <w:rFonts w:ascii="Times New Roman" w:eastAsia="Times New Roman" w:hAnsi="Times New Roman" w:cs="Times New Roman"/>
      <w:sz w:val="20"/>
      <w:szCs w:val="20"/>
      <w:lang w:eastAsia="sk-SK"/>
    </w:rPr>
  </w:style>
  <w:style w:type="character" w:styleId="Odkaznapoznmkupodiarou">
    <w:name w:val="footnote reference"/>
    <w:aliases w:val="Footnote symbol,Footnote reference number"/>
    <w:basedOn w:val="Predvolenpsmoodseku"/>
    <w:uiPriority w:val="99"/>
    <w:rsid w:val="00070E68"/>
    <w:rPr>
      <w:rFonts w:cs="Times New Roman"/>
      <w:vertAlign w:val="superscript"/>
    </w:rPr>
  </w:style>
  <w:style w:type="paragraph" w:styleId="Predmetkomentra">
    <w:name w:val="annotation subject"/>
    <w:basedOn w:val="Textkomentra"/>
    <w:next w:val="Textkomentra"/>
    <w:link w:val="PredmetkomentraChar"/>
    <w:uiPriority w:val="99"/>
    <w:semiHidden/>
    <w:unhideWhenUsed/>
    <w:rsid w:val="00B36E3F"/>
    <w:pPr>
      <w:widowControl w:val="0"/>
      <w:adjustRightInd w:val="0"/>
    </w:pPr>
    <w:rPr>
      <w:b/>
      <w:bCs/>
    </w:rPr>
  </w:style>
  <w:style w:type="character" w:customStyle="1" w:styleId="PredmetkomentraChar">
    <w:name w:val="Predmet komentára Char"/>
    <w:basedOn w:val="TextkomentraChar"/>
    <w:link w:val="Predmetkomentra"/>
    <w:uiPriority w:val="99"/>
    <w:semiHidden/>
    <w:rsid w:val="00B36E3F"/>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594148"/>
    <w:pPr>
      <w:tabs>
        <w:tab w:val="center" w:pos="4536"/>
        <w:tab w:val="right" w:pos="9072"/>
      </w:tabs>
    </w:pPr>
  </w:style>
  <w:style w:type="character" w:customStyle="1" w:styleId="HlavikaChar">
    <w:name w:val="Hlavička Char"/>
    <w:basedOn w:val="Predvolenpsmoodseku"/>
    <w:link w:val="Hlavika"/>
    <w:uiPriority w:val="99"/>
    <w:rsid w:val="0059414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594148"/>
    <w:pPr>
      <w:tabs>
        <w:tab w:val="center" w:pos="4536"/>
        <w:tab w:val="right" w:pos="9072"/>
      </w:tabs>
    </w:pPr>
  </w:style>
  <w:style w:type="character" w:customStyle="1" w:styleId="PtaChar">
    <w:name w:val="Päta Char"/>
    <w:basedOn w:val="Predvolenpsmoodseku"/>
    <w:link w:val="Pta"/>
    <w:uiPriority w:val="99"/>
    <w:rsid w:val="00594148"/>
    <w:rPr>
      <w:rFonts w:ascii="Times New Roman" w:eastAsia="Times New Roman" w:hAnsi="Times New Roman" w:cs="Times New Roman"/>
      <w:sz w:val="24"/>
      <w:szCs w:val="24"/>
      <w:lang w:eastAsia="sk-SK"/>
    </w:rPr>
  </w:style>
  <w:style w:type="character" w:customStyle="1" w:styleId="Nadpis4Char">
    <w:name w:val="Nadpis 4 Char"/>
    <w:basedOn w:val="Predvolenpsmoodseku"/>
    <w:link w:val="Nadpis4"/>
    <w:rsid w:val="00FD3D5B"/>
    <w:rPr>
      <w:rFonts w:ascii="Times New Roman" w:eastAsia="Times New Roman" w:hAnsi="Times New Roman" w:cs="Times New Roman"/>
      <w:b/>
      <w:smallCaps/>
      <w:sz w:val="26"/>
      <w:szCs w:val="20"/>
      <w:lang w:eastAsia="ar-SA"/>
    </w:rPr>
  </w:style>
  <w:style w:type="table" w:customStyle="1" w:styleId="Mriekatabuky1">
    <w:name w:val="Mriežka tabuľky1"/>
    <w:basedOn w:val="Normlnatabuka"/>
    <w:next w:val="Mriekatabuky"/>
    <w:uiPriority w:val="59"/>
    <w:rsid w:val="00FD3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FD3D5B"/>
    <w:rPr>
      <w:color w:val="0000FF" w:themeColor="hyperlink"/>
      <w:u w:val="single"/>
    </w:rPr>
  </w:style>
  <w:style w:type="character" w:customStyle="1" w:styleId="norm00e1lnychar1">
    <w:name w:val="norm_00e1lny__char1"/>
    <w:rsid w:val="00FD3D5B"/>
    <w:rPr>
      <w:rFonts w:ascii="Times New Roman" w:hAnsi="Times New Roman" w:cs="Times New Roman"/>
      <w:strike w:val="0"/>
      <w:dstrike w:val="0"/>
      <w:sz w:val="20"/>
      <w:szCs w:val="20"/>
      <w:u w:val="none"/>
      <w:effect w:val="none"/>
    </w:rPr>
  </w:style>
  <w:style w:type="character" w:customStyle="1" w:styleId="z00e1kladn00fd0020textchar1">
    <w:name w:val="z_00e1kladn_00fd_0020text__char1"/>
    <w:rsid w:val="00FD3D5B"/>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FD3D5B"/>
    <w:pPr>
      <w:widowControl/>
      <w:adjustRightInd/>
      <w:spacing w:line="200" w:lineRule="atLeast"/>
    </w:pPr>
    <w:rPr>
      <w:sz w:val="20"/>
      <w:szCs w:val="20"/>
    </w:rPr>
  </w:style>
  <w:style w:type="paragraph" w:customStyle="1" w:styleId="z00e1kladn00fd0020text">
    <w:name w:val="z_00e1kladn_00fd_0020text"/>
    <w:basedOn w:val="Normlny"/>
    <w:rsid w:val="00FD3D5B"/>
    <w:pPr>
      <w:widowControl/>
      <w:adjustRightInd/>
      <w:spacing w:after="120" w:line="200" w:lineRule="atLeast"/>
    </w:pPr>
    <w:rPr>
      <w:sz w:val="20"/>
      <w:szCs w:val="20"/>
    </w:rPr>
  </w:style>
  <w:style w:type="paragraph" w:styleId="Zkladntext">
    <w:name w:val="Body Text"/>
    <w:basedOn w:val="Normlny"/>
    <w:link w:val="ZkladntextChar"/>
    <w:uiPriority w:val="99"/>
    <w:semiHidden/>
    <w:unhideWhenUsed/>
    <w:rsid w:val="00FD3D5B"/>
    <w:pPr>
      <w:widowControl/>
      <w:suppressAutoHyphens/>
      <w:adjustRightInd/>
      <w:spacing w:after="120" w:line="100" w:lineRule="atLeast"/>
    </w:pPr>
    <w:rPr>
      <w:sz w:val="20"/>
      <w:szCs w:val="20"/>
      <w:lang w:eastAsia="ar-SA"/>
    </w:rPr>
  </w:style>
  <w:style w:type="character" w:customStyle="1" w:styleId="ZkladntextChar">
    <w:name w:val="Základný text Char"/>
    <w:basedOn w:val="Predvolenpsmoodseku"/>
    <w:link w:val="Zkladntext"/>
    <w:uiPriority w:val="99"/>
    <w:semiHidden/>
    <w:rsid w:val="00FD3D5B"/>
    <w:rPr>
      <w:rFonts w:ascii="Times New Roman" w:eastAsia="Times New Roman" w:hAnsi="Times New Roman" w:cs="Times New Roman"/>
      <w:sz w:val="20"/>
      <w:szCs w:val="20"/>
      <w:lang w:eastAsia="ar-SA"/>
    </w:rPr>
  </w:style>
  <w:style w:type="table" w:styleId="Mriekatabuky">
    <w:name w:val="Table Grid"/>
    <w:basedOn w:val="Normlnatabuka"/>
    <w:uiPriority w:val="39"/>
    <w:rsid w:val="00FD3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B53972"/>
    <w:rPr>
      <w:rFonts w:cs="Times New Roman"/>
    </w:rPr>
  </w:style>
  <w:style w:type="paragraph" w:customStyle="1" w:styleId="xmsonormal">
    <w:name w:val="x_msonormal"/>
    <w:basedOn w:val="Normlny"/>
    <w:rsid w:val="00B53972"/>
    <w:pPr>
      <w:widowControl/>
      <w:adjustRightInd/>
      <w:spacing w:before="100" w:beforeAutospacing="1" w:after="100" w:afterAutospacing="1"/>
    </w:pPr>
    <w:rPr>
      <w:rFonts w:eastAsiaTheme="minorHAnsi"/>
      <w:sz w:val="20"/>
      <w:szCs w:val="20"/>
      <w:lang w:val="en-US" w:eastAsia="en-US"/>
    </w:rPr>
  </w:style>
  <w:style w:type="character" w:styleId="Zvraznenie">
    <w:name w:val="Emphasis"/>
    <w:basedOn w:val="Predvolenpsmoodseku"/>
    <w:uiPriority w:val="20"/>
    <w:qFormat/>
    <w:rsid w:val="005A2AB2"/>
    <w:rPr>
      <w:rFonts w:cs="Times New Roman"/>
      <w:i/>
    </w:rPr>
  </w:style>
  <w:style w:type="paragraph" w:customStyle="1" w:styleId="Normlny1">
    <w:name w:val="Normálny1"/>
    <w:basedOn w:val="Normlny"/>
    <w:rsid w:val="005A2AB2"/>
    <w:pPr>
      <w:widowControl/>
      <w:adjustRightInd/>
      <w:spacing w:before="100" w:beforeAutospacing="1" w:after="100" w:afterAutospacing="1"/>
    </w:pPr>
  </w:style>
  <w:style w:type="paragraph" w:customStyle="1" w:styleId="Default">
    <w:name w:val="Default"/>
    <w:rsid w:val="005301E3"/>
    <w:pPr>
      <w:autoSpaceDE w:val="0"/>
      <w:autoSpaceDN w:val="0"/>
      <w:adjustRightInd w:val="0"/>
      <w:spacing w:after="0" w:line="240" w:lineRule="auto"/>
    </w:pPr>
    <w:rPr>
      <w:rFonts w:ascii="Times New Roman" w:hAnsi="Times New Roman" w:cs="Times New Roman"/>
      <w:color w:val="000000"/>
      <w:sz w:val="24"/>
      <w:szCs w:val="24"/>
    </w:rPr>
  </w:style>
  <w:style w:type="character" w:styleId="Jemnodkaz">
    <w:name w:val="Subtle Reference"/>
    <w:basedOn w:val="Predvolenpsmoodseku"/>
    <w:uiPriority w:val="31"/>
    <w:qFormat/>
    <w:rsid w:val="005301E3"/>
    <w:rPr>
      <w:smallCaps/>
      <w:color w:val="5A5A5A" w:themeColor="text1" w:themeTint="A5"/>
    </w:rPr>
  </w:style>
  <w:style w:type="character" w:customStyle="1" w:styleId="OdsekzoznamuChar">
    <w:name w:val="Odsek zoznamu Char"/>
    <w:aliases w:val="body Char,Odsek zoznamu2 Char,Normal bullet 2 Char,Bullet list Char,1st level - Bullet List Paragraph Char,Lettre d'introduction Char,Paragrafo elenco Char,List Paragraph à moi Char,Paragraph Char,Bullet EY Char,List Paragraph11 Char"/>
    <w:link w:val="Odsekzoznamu"/>
    <w:uiPriority w:val="34"/>
    <w:qFormat/>
    <w:locked/>
    <w:rsid w:val="005301E3"/>
    <w:rPr>
      <w:rFonts w:ascii="Times New Roman" w:eastAsia="Times New Roman" w:hAnsi="Times New Roman" w:cs="Times New Roman"/>
      <w:sz w:val="24"/>
      <w:szCs w:val="24"/>
      <w:lang w:eastAsia="sk-SK"/>
    </w:rPr>
  </w:style>
  <w:style w:type="paragraph" w:styleId="Popis">
    <w:name w:val="caption"/>
    <w:basedOn w:val="Normlny"/>
    <w:next w:val="Normlny"/>
    <w:uiPriority w:val="35"/>
    <w:unhideWhenUsed/>
    <w:qFormat/>
    <w:rsid w:val="005301E3"/>
    <w:pPr>
      <w:widowControl/>
      <w:adjustRightInd/>
      <w:spacing w:after="200"/>
    </w:pPr>
    <w:rPr>
      <w:rFonts w:asciiTheme="minorHAnsi" w:eastAsiaTheme="minorHAnsi" w:hAnsiTheme="minorHAnsi" w:cstheme="minorBidi"/>
      <w:i/>
      <w:iCs/>
      <w:color w:val="1F497D" w:themeColor="text2"/>
      <w:sz w:val="18"/>
      <w:szCs w:val="18"/>
      <w:lang w:eastAsia="en-US"/>
    </w:rPr>
  </w:style>
  <w:style w:type="table" w:customStyle="1" w:styleId="Mriekatabuky2">
    <w:name w:val="Mriežka tabuľky2"/>
    <w:basedOn w:val="Normlnatabuka"/>
    <w:next w:val="Mriekatabuky"/>
    <w:uiPriority w:val="59"/>
    <w:rsid w:val="00815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95352">
      <w:bodyDiv w:val="1"/>
      <w:marLeft w:val="0"/>
      <w:marRight w:val="0"/>
      <w:marTop w:val="0"/>
      <w:marBottom w:val="0"/>
      <w:divBdr>
        <w:top w:val="none" w:sz="0" w:space="0" w:color="auto"/>
        <w:left w:val="none" w:sz="0" w:space="0" w:color="auto"/>
        <w:bottom w:val="none" w:sz="0" w:space="0" w:color="auto"/>
        <w:right w:val="none" w:sz="0" w:space="0" w:color="auto"/>
      </w:divBdr>
    </w:div>
    <w:div w:id="1398017261">
      <w:bodyDiv w:val="1"/>
      <w:marLeft w:val="0"/>
      <w:marRight w:val="0"/>
      <w:marTop w:val="0"/>
      <w:marBottom w:val="0"/>
      <w:divBdr>
        <w:top w:val="none" w:sz="0" w:space="0" w:color="auto"/>
        <w:left w:val="none" w:sz="0" w:space="0" w:color="auto"/>
        <w:bottom w:val="none" w:sz="0" w:space="0" w:color="auto"/>
        <w:right w:val="none" w:sz="0" w:space="0" w:color="auto"/>
      </w:divBdr>
    </w:div>
    <w:div w:id="1776320480">
      <w:bodyDiv w:val="1"/>
      <w:marLeft w:val="0"/>
      <w:marRight w:val="0"/>
      <w:marTop w:val="0"/>
      <w:marBottom w:val="0"/>
      <w:divBdr>
        <w:top w:val="none" w:sz="0" w:space="0" w:color="auto"/>
        <w:left w:val="none" w:sz="0" w:space="0" w:color="auto"/>
        <w:bottom w:val="none" w:sz="0" w:space="0" w:color="auto"/>
        <w:right w:val="none" w:sz="0" w:space="0" w:color="auto"/>
      </w:divBdr>
    </w:div>
    <w:div w:id="1795634995">
      <w:bodyDiv w:val="1"/>
      <w:marLeft w:val="0"/>
      <w:marRight w:val="0"/>
      <w:marTop w:val="0"/>
      <w:marBottom w:val="0"/>
      <w:divBdr>
        <w:top w:val="none" w:sz="0" w:space="0" w:color="auto"/>
        <w:left w:val="none" w:sz="0" w:space="0" w:color="auto"/>
        <w:bottom w:val="none" w:sz="0" w:space="0" w:color="auto"/>
        <w:right w:val="none" w:sz="0" w:space="0" w:color="auto"/>
      </w:divBdr>
    </w:div>
    <w:div w:id="194965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eur-lex.europa.eu/legal-content/EN/TXT/?uri=SWD%3A2018%3A138%3AFIN" TargetMode="Externa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slov-lex.sk/legislativne-procesy?p_p_id=processDetail_WAR_portletsel&amp;p_p_lifecycle=0&amp;p_p_state=normal&amp;p_p_mode=view&amp;p_p_col_id=column-2&amp;p_p_col_count=1&amp;_processDetail_WAR_portletsel_cisloLP=LPEU%2F2020%2F796&amp;_processDetail_WAR_portletsel_action=fil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ec.europa.eu/commission/presscorner/detail/SK/inf_23_1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igital-strategy.ec.europa.eu/en/library/impact-assessment-digital-services-act" TargetMode="Externa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yperlink" Target="https://www.slov-lex.sk/legislativne-procesy/SK/PI/2023/228"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s://www.antimon.gov.sk/usmernenia-a-pokyny-uradu-soft-law/?csrt=5838865053633304276" TargetMode="External"/><Relationship Id="rId4" Type="http://schemas.openxmlformats.org/officeDocument/2006/relationships/settings" Target="settings.xml"/><Relationship Id="rId9" Type="http://schemas.openxmlformats.org/officeDocument/2006/relationships/hyperlink" Target="https://www.slov-lex.sk/legislativne-procesy?p_p_id=processDetail_WAR_portletsel&amp;p_p_lifecycle=0&amp;p_p_state=normal&amp;p_p_mode=view&amp;p_p_col_id=column-2&amp;p_p_col_count=1&amp;_processDetail_WAR_portletsel_cisloLP=LPEU%2F2020%2F796&amp;_processDetail_WAR_portletsel_action=files" TargetMode="External"/><Relationship Id="rId14" Type="http://schemas.openxmlformats.org/officeDocument/2006/relationships/header" Target="header3.xml"/><Relationship Id="rId22" Type="http://schemas.openxmlformats.org/officeDocument/2006/relationships/hyperlink" Target="https://www.mhsr.sk/podnikatelske-prostredie/lepsia-regulacia/regulacne-zatazenie/kalkulacka-nakladov-regulacie" TargetMode="External"/><Relationship Id="rId27" Type="http://schemas.openxmlformats.org/officeDocument/2006/relationships/hyperlink" Target="https://www.slov-lex.sk/legislativne-procesy/-/SK/dokumenty/LP-2018-529" TargetMode="External"/><Relationship Id="rId30" Type="http://schemas.openxmlformats.org/officeDocument/2006/relationships/hyperlink" Target="https://www.antimon.gov.sk/-38-pokuty/" TargetMode="External"/><Relationship Id="rId8" Type="http://schemas.openxmlformats.org/officeDocument/2006/relationships/hyperlink" Target="mailto:ivana.malakova@culture.gov.s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SWD%3A2018%3A138%3AFIN" TargetMode="External"/><Relationship Id="rId2" Type="http://schemas.openxmlformats.org/officeDocument/2006/relationships/hyperlink" Target="https://www.slov-lex.sk/legislativne-procesy?p_p_id=processDetail_WAR_portletsel&amp;p_p_lifecycle=0&amp;p_p_state=normal&amp;p_p_mode=view&amp;p_p_col_id=column-2&amp;p_p_col_count=1&amp;_processDetail_WAR_portletsel_cisloLP=LPEU%2F2020%2F796&amp;_processDetail_WAR_portletsel_action=files" TargetMode="External"/><Relationship Id="rId1" Type="http://schemas.openxmlformats.org/officeDocument/2006/relationships/hyperlink" Target="https://digital-strategy.ec.europa.eu/en/library/impact-assessment-digital-services-act" TargetMode="External"/><Relationship Id="rId5" Type="http://schemas.openxmlformats.org/officeDocument/2006/relationships/hyperlink" Target="https://ec.europa.eu/commission/presscorner/detail/SK/inf_23_142" TargetMode="External"/><Relationship Id="rId4" Type="http://schemas.openxmlformats.org/officeDocument/2006/relationships/hyperlink" Target="https://www.slov-lex.sk/legislativne-procesy/-/SK/dokumenty/LP-2018-52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8CD27-F29D-4516-A26D-432AC443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49</Pages>
  <Words>19057</Words>
  <Characters>108627</Characters>
  <Application>Microsoft Office Word</Application>
  <DocSecurity>0</DocSecurity>
  <Lines>905</Lines>
  <Paragraphs>254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127430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Viktória  Knappová</dc:creator>
  <cp:lastModifiedBy>Knappová Viktória</cp:lastModifiedBy>
  <cp:revision>11</cp:revision>
  <cp:lastPrinted>2021-11-03T15:01:00Z</cp:lastPrinted>
  <dcterms:created xsi:type="dcterms:W3CDTF">2021-11-03T14:51:00Z</dcterms:created>
  <dcterms:modified xsi:type="dcterms:W3CDTF">2024-05-22T11:07:00Z</dcterms:modified>
</cp:coreProperties>
</file>