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696" w:rsidRPr="00A422CF" w:rsidRDefault="001B1696" w:rsidP="00FA5EF5">
      <w:pPr>
        <w:rPr>
          <w:b/>
          <w:caps/>
          <w:color w:val="000000"/>
          <w:spacing w:val="30"/>
        </w:rPr>
      </w:pPr>
      <w:r w:rsidRPr="00A422CF">
        <w:rPr>
          <w:b/>
          <w:caps/>
          <w:color w:val="000000"/>
          <w:spacing w:val="30"/>
        </w:rPr>
        <w:t>Dôvodová správa</w:t>
      </w:r>
    </w:p>
    <w:p w:rsidR="001B1696" w:rsidRPr="00A422CF" w:rsidRDefault="001B1696" w:rsidP="001B1696">
      <w:pPr>
        <w:jc w:val="both"/>
        <w:rPr>
          <w:color w:val="000000"/>
        </w:rPr>
      </w:pPr>
    </w:p>
    <w:p w:rsidR="001B1696" w:rsidRPr="00A422CF" w:rsidRDefault="001B1696" w:rsidP="001B1696">
      <w:pPr>
        <w:jc w:val="both"/>
        <w:rPr>
          <w:color w:val="000000"/>
        </w:rPr>
      </w:pPr>
    </w:p>
    <w:p w:rsidR="001B1696" w:rsidRPr="00A422CF" w:rsidRDefault="001B1696" w:rsidP="001B1696">
      <w:pPr>
        <w:jc w:val="both"/>
        <w:rPr>
          <w:b/>
          <w:color w:val="000000"/>
        </w:rPr>
      </w:pPr>
      <w:r w:rsidRPr="00A422CF">
        <w:rPr>
          <w:b/>
          <w:color w:val="000000"/>
        </w:rPr>
        <w:t>A. Všeobecná časť</w:t>
      </w:r>
    </w:p>
    <w:p w:rsidR="00767BE5" w:rsidRPr="00767BE5" w:rsidRDefault="00767BE5" w:rsidP="00767BE5">
      <w:pPr>
        <w:ind w:firstLine="567"/>
        <w:jc w:val="both"/>
      </w:pPr>
      <w:r>
        <w:t>N</w:t>
      </w:r>
      <w:r w:rsidR="008F6329" w:rsidRPr="0041536D">
        <w:t xml:space="preserve">ávrh zákona, ktorým sa mení a dopĺňa zákon č. </w:t>
      </w:r>
      <w:r w:rsidR="002D4541">
        <w:t>106</w:t>
      </w:r>
      <w:r w:rsidR="008F6329">
        <w:t xml:space="preserve">/2004 Z. z. </w:t>
      </w:r>
      <w:r w:rsidR="008F6329" w:rsidRPr="0041536D">
        <w:t>o spotrebnej dani z </w:t>
      </w:r>
      <w:r w:rsidR="00B76DC0" w:rsidRPr="00B76DC0">
        <w:t xml:space="preserve">tabakových výrobkov </w:t>
      </w:r>
      <w:r w:rsidR="008F6329" w:rsidRPr="0041536D">
        <w:t>v znení neskorších predpisov (ďalej len „návrh zákona“)</w:t>
      </w:r>
      <w:r w:rsidR="00B76DC0" w:rsidRPr="00B76DC0">
        <w:t xml:space="preserve"> </w:t>
      </w:r>
      <w:r>
        <w:t xml:space="preserve">sa predkladá </w:t>
      </w:r>
      <w:r w:rsidR="00B76DC0" w:rsidRPr="00B76DC0">
        <w:t>ako </w:t>
      </w:r>
      <w:r w:rsidR="00B76DC0" w:rsidRPr="00B76DC0">
        <w:rPr>
          <w:bCs/>
        </w:rPr>
        <w:t>iniciatívny</w:t>
      </w:r>
      <w:r w:rsidR="00B76DC0" w:rsidRPr="00B76DC0">
        <w:t> materiál.</w:t>
      </w:r>
    </w:p>
    <w:p w:rsidR="002129AB" w:rsidRDefault="002129AB" w:rsidP="00DD70CD">
      <w:pPr>
        <w:pStyle w:val="Zkladntext0"/>
        <w:ind w:firstLine="567"/>
        <w:jc w:val="both"/>
        <w:rPr>
          <w:rFonts w:ascii="Times New Roman" w:hAnsi="Times New Roman" w:cs="Times New Roman"/>
        </w:rPr>
      </w:pPr>
    </w:p>
    <w:p w:rsidR="002129AB" w:rsidRDefault="002129AB" w:rsidP="002129AB">
      <w:pPr>
        <w:pStyle w:val="Zkladntext0"/>
        <w:ind w:firstLine="567"/>
        <w:jc w:val="both"/>
        <w:rPr>
          <w:rFonts w:ascii="Times New Roman" w:hAnsi="Times New Roman" w:cs="Times New Roman"/>
        </w:rPr>
      </w:pPr>
      <w:r>
        <w:rPr>
          <w:rFonts w:ascii="Times New Roman" w:hAnsi="Times New Roman" w:cs="Times New Roman"/>
        </w:rPr>
        <w:t xml:space="preserve">Cieľom návrhu zákona je </w:t>
      </w:r>
    </w:p>
    <w:p w:rsidR="002129AB" w:rsidRDefault="002129AB" w:rsidP="002129AB">
      <w:pPr>
        <w:pStyle w:val="Zkladntext0"/>
        <w:numPr>
          <w:ilvl w:val="0"/>
          <w:numId w:val="8"/>
        </w:numPr>
        <w:jc w:val="both"/>
        <w:rPr>
          <w:rFonts w:ascii="Times New Roman" w:hAnsi="Times New Roman" w:cs="Times New Roman"/>
        </w:rPr>
      </w:pPr>
      <w:r>
        <w:rPr>
          <w:rFonts w:ascii="Times New Roman" w:hAnsi="Times New Roman" w:cs="Times New Roman"/>
        </w:rPr>
        <w:t>rozšírenie predmetu dane o výrobky súvisiace s tabakovými výrobkami, ktorými sú náplň do elektronickej cigarety, nikotínové vrecúško a iný nikotínový výrobok,</w:t>
      </w:r>
    </w:p>
    <w:p w:rsidR="002129AB" w:rsidRDefault="002129AB" w:rsidP="002129AB">
      <w:pPr>
        <w:pStyle w:val="Zkladntext0"/>
        <w:numPr>
          <w:ilvl w:val="0"/>
          <w:numId w:val="8"/>
        </w:numPr>
        <w:jc w:val="both"/>
        <w:rPr>
          <w:rFonts w:ascii="Times New Roman" w:hAnsi="Times New Roman" w:cs="Times New Roman"/>
        </w:rPr>
      </w:pPr>
      <w:r>
        <w:rPr>
          <w:rFonts w:ascii="Times New Roman" w:hAnsi="Times New Roman" w:cs="Times New Roman"/>
        </w:rPr>
        <w:t>zavedenie zdaňovania výrobkov súvisiacich s tabakovými výrobkami podľa daňového kalendára v rokoch 2025/2027,</w:t>
      </w:r>
    </w:p>
    <w:p w:rsidR="002129AB" w:rsidRDefault="002129AB" w:rsidP="002129AB">
      <w:pPr>
        <w:pStyle w:val="Zkladntext0"/>
        <w:numPr>
          <w:ilvl w:val="0"/>
          <w:numId w:val="8"/>
        </w:numPr>
        <w:jc w:val="both"/>
        <w:rPr>
          <w:rFonts w:ascii="Times New Roman" w:hAnsi="Times New Roman" w:cs="Times New Roman"/>
        </w:rPr>
      </w:pPr>
      <w:r>
        <w:rPr>
          <w:rFonts w:ascii="Times New Roman" w:hAnsi="Times New Roman" w:cs="Times New Roman"/>
        </w:rPr>
        <w:t>zavedenie označovania výrobkov súvisiacich s tabakovými výrobkami kontrolnou známkou na spotrebiteľskom balení a</w:t>
      </w:r>
      <w:r w:rsidR="006E5692">
        <w:rPr>
          <w:rFonts w:ascii="Times New Roman" w:hAnsi="Times New Roman" w:cs="Times New Roman"/>
        </w:rPr>
        <w:t> stanovenie lehoty</w:t>
      </w:r>
      <w:r>
        <w:rPr>
          <w:rFonts w:ascii="Times New Roman" w:hAnsi="Times New Roman" w:cs="Times New Roman"/>
        </w:rPr>
        <w:t xml:space="preserve"> na dopredaj výrobkov súvisiacich s tabakovými výrobkami</w:t>
      </w:r>
      <w:r w:rsidR="00537D6A" w:rsidRPr="00537D6A">
        <w:rPr>
          <w:rFonts w:ascii="Times New Roman" w:hAnsi="Times New Roman" w:cs="Times New Roman"/>
        </w:rPr>
        <w:t xml:space="preserve"> </w:t>
      </w:r>
      <w:r w:rsidR="00537D6A">
        <w:rPr>
          <w:rFonts w:ascii="Times New Roman" w:hAnsi="Times New Roman" w:cs="Times New Roman"/>
        </w:rPr>
        <w:t>neoznačený</w:t>
      </w:r>
      <w:r w:rsidR="0072795E">
        <w:rPr>
          <w:rFonts w:ascii="Times New Roman" w:hAnsi="Times New Roman" w:cs="Times New Roman"/>
        </w:rPr>
        <w:t>mi</w:t>
      </w:r>
      <w:r w:rsidR="00537D6A">
        <w:rPr>
          <w:rFonts w:ascii="Times New Roman" w:hAnsi="Times New Roman" w:cs="Times New Roman"/>
        </w:rPr>
        <w:t xml:space="preserve"> kontrolnou známkou na spotrebiteľskom balení</w:t>
      </w:r>
      <w:r>
        <w:rPr>
          <w:rFonts w:ascii="Times New Roman" w:hAnsi="Times New Roman" w:cs="Times New Roman"/>
        </w:rPr>
        <w:t>,</w:t>
      </w:r>
    </w:p>
    <w:p w:rsidR="002129AB" w:rsidRDefault="002129AB" w:rsidP="002129AB">
      <w:pPr>
        <w:pStyle w:val="Zkladntext0"/>
        <w:numPr>
          <w:ilvl w:val="0"/>
          <w:numId w:val="8"/>
        </w:numPr>
        <w:jc w:val="both"/>
        <w:rPr>
          <w:rFonts w:ascii="Times New Roman" w:hAnsi="Times New Roman" w:cs="Times New Roman"/>
        </w:rPr>
      </w:pPr>
      <w:r>
        <w:rPr>
          <w:rFonts w:ascii="Times New Roman" w:hAnsi="Times New Roman" w:cs="Times New Roman"/>
        </w:rPr>
        <w:t xml:space="preserve">sprehľadnenie a kontrola </w:t>
      </w:r>
      <w:r w:rsidR="0072795E">
        <w:rPr>
          <w:rFonts w:ascii="Times New Roman" w:hAnsi="Times New Roman" w:cs="Times New Roman"/>
        </w:rPr>
        <w:t xml:space="preserve">pohybu výrobkov </w:t>
      </w:r>
      <w:r>
        <w:rPr>
          <w:rFonts w:ascii="Times New Roman" w:hAnsi="Times New Roman" w:cs="Times New Roman"/>
        </w:rPr>
        <w:t>súvisiaci</w:t>
      </w:r>
      <w:r w:rsidR="0072795E">
        <w:rPr>
          <w:rFonts w:ascii="Times New Roman" w:hAnsi="Times New Roman" w:cs="Times New Roman"/>
        </w:rPr>
        <w:t>ch</w:t>
      </w:r>
      <w:r>
        <w:rPr>
          <w:rFonts w:ascii="Times New Roman" w:hAnsi="Times New Roman" w:cs="Times New Roman"/>
        </w:rPr>
        <w:t xml:space="preserve"> s tabakovými výrobkami a bezdymovými tabakovými výrobkami (evidencia obchodníkov – predajcov a distribútorov – platiteľov dane),</w:t>
      </w:r>
    </w:p>
    <w:p w:rsidR="002129AB" w:rsidRDefault="002129AB" w:rsidP="002129AB">
      <w:pPr>
        <w:pStyle w:val="Zkladntext0"/>
        <w:numPr>
          <w:ilvl w:val="0"/>
          <w:numId w:val="8"/>
        </w:numPr>
        <w:jc w:val="both"/>
        <w:rPr>
          <w:rFonts w:ascii="Times New Roman" w:hAnsi="Times New Roman" w:cs="Times New Roman"/>
        </w:rPr>
      </w:pPr>
      <w:r>
        <w:rPr>
          <w:rFonts w:ascii="Times New Roman" w:hAnsi="Times New Roman" w:cs="Times New Roman"/>
        </w:rPr>
        <w:t xml:space="preserve">rozšírenie definície bezdymového tabakového výrobku o žuvací </w:t>
      </w:r>
      <w:r w:rsidR="00197038">
        <w:rPr>
          <w:rFonts w:ascii="Times New Roman" w:hAnsi="Times New Roman" w:cs="Times New Roman"/>
        </w:rPr>
        <w:t xml:space="preserve">tabak </w:t>
      </w:r>
      <w:r>
        <w:rPr>
          <w:rFonts w:ascii="Times New Roman" w:hAnsi="Times New Roman" w:cs="Times New Roman"/>
        </w:rPr>
        <w:t>a šnupa</w:t>
      </w:r>
      <w:r w:rsidR="00C7762C">
        <w:rPr>
          <w:rFonts w:ascii="Times New Roman" w:hAnsi="Times New Roman" w:cs="Times New Roman"/>
        </w:rPr>
        <w:t>vý</w:t>
      </w:r>
      <w:r>
        <w:rPr>
          <w:rFonts w:ascii="Times New Roman" w:hAnsi="Times New Roman" w:cs="Times New Roman"/>
        </w:rPr>
        <w:t xml:space="preserve"> tabak,</w:t>
      </w:r>
    </w:p>
    <w:p w:rsidR="002129AB" w:rsidRDefault="002129AB" w:rsidP="002129AB">
      <w:pPr>
        <w:pStyle w:val="Zkladntext0"/>
        <w:numPr>
          <w:ilvl w:val="0"/>
          <w:numId w:val="8"/>
        </w:numPr>
        <w:jc w:val="both"/>
        <w:rPr>
          <w:rFonts w:ascii="Times New Roman" w:hAnsi="Times New Roman" w:cs="Times New Roman"/>
        </w:rPr>
      </w:pPr>
      <w:r>
        <w:rPr>
          <w:rFonts w:ascii="Times New Roman" w:hAnsi="Times New Roman" w:cs="Times New Roman"/>
        </w:rPr>
        <w:t xml:space="preserve">pokračovanie daňového kalendára pre tabakové výrobky </w:t>
      </w:r>
      <w:r w:rsidR="0072795E">
        <w:rPr>
          <w:rFonts w:ascii="Times New Roman" w:hAnsi="Times New Roman" w:cs="Times New Roman"/>
        </w:rPr>
        <w:t xml:space="preserve">v rokoch </w:t>
      </w:r>
      <w:r>
        <w:rPr>
          <w:rFonts w:ascii="Times New Roman" w:hAnsi="Times New Roman" w:cs="Times New Roman"/>
        </w:rPr>
        <w:t>2</w:t>
      </w:r>
      <w:r w:rsidR="006E5692">
        <w:rPr>
          <w:rFonts w:ascii="Times New Roman" w:hAnsi="Times New Roman" w:cs="Times New Roman"/>
        </w:rPr>
        <w:t>026/2028 v záujme lepšej predvída</w:t>
      </w:r>
      <w:r>
        <w:rPr>
          <w:rFonts w:ascii="Times New Roman" w:hAnsi="Times New Roman" w:cs="Times New Roman"/>
        </w:rPr>
        <w:t xml:space="preserve">teľnosti, istoty a transparentnosti a zároveň aj </w:t>
      </w:r>
      <w:r w:rsidR="0072795E">
        <w:rPr>
          <w:rFonts w:ascii="Times New Roman" w:hAnsi="Times New Roman" w:cs="Times New Roman"/>
        </w:rPr>
        <w:t xml:space="preserve">ustanovenie </w:t>
      </w:r>
      <w:r>
        <w:rPr>
          <w:rFonts w:ascii="Times New Roman" w:hAnsi="Times New Roman" w:cs="Times New Roman"/>
        </w:rPr>
        <w:t>lehoty na dopredaj jednotlivých tabakových výrobkov a</w:t>
      </w:r>
    </w:p>
    <w:p w:rsidR="00D02428" w:rsidRDefault="002129AB" w:rsidP="00D02428">
      <w:pPr>
        <w:pStyle w:val="Zkladntext0"/>
        <w:numPr>
          <w:ilvl w:val="0"/>
          <w:numId w:val="8"/>
        </w:numPr>
        <w:jc w:val="both"/>
        <w:rPr>
          <w:rFonts w:ascii="Times New Roman" w:hAnsi="Times New Roman" w:cs="Times New Roman"/>
        </w:rPr>
      </w:pPr>
      <w:r>
        <w:rPr>
          <w:rFonts w:ascii="Times New Roman" w:hAnsi="Times New Roman" w:cs="Times New Roman"/>
        </w:rPr>
        <w:t>legislatívno-technické úpravy vyplývajúce z aplikačnej praxe.</w:t>
      </w:r>
    </w:p>
    <w:p w:rsidR="00D02428" w:rsidRDefault="00D02428" w:rsidP="00D02428">
      <w:pPr>
        <w:pStyle w:val="Zkladntext0"/>
        <w:ind w:left="360"/>
        <w:jc w:val="both"/>
        <w:rPr>
          <w:rFonts w:ascii="Times New Roman" w:hAnsi="Times New Roman" w:cs="Times New Roman"/>
        </w:rPr>
      </w:pPr>
    </w:p>
    <w:p w:rsidR="00F728B9" w:rsidRDefault="00D02428" w:rsidP="001E45C1">
      <w:pPr>
        <w:pStyle w:val="Zkladntext0"/>
        <w:ind w:firstLine="360"/>
        <w:jc w:val="both"/>
        <w:rPr>
          <w:rFonts w:ascii="Times New Roman" w:hAnsi="Times New Roman" w:cs="Times New Roman"/>
        </w:rPr>
      </w:pPr>
      <w:r>
        <w:rPr>
          <w:rFonts w:ascii="Times New Roman" w:hAnsi="Times New Roman" w:cs="Times New Roman"/>
        </w:rPr>
        <w:t>Rozšírenie predmetu dane o výrobky súvisiace s tabakovým</w:t>
      </w:r>
      <w:r w:rsidR="00810087">
        <w:rPr>
          <w:rFonts w:ascii="Times New Roman" w:hAnsi="Times New Roman" w:cs="Times New Roman"/>
        </w:rPr>
        <w:t>i výrobkami je neharmonizovaná úprava</w:t>
      </w:r>
      <w:r>
        <w:rPr>
          <w:rFonts w:ascii="Times New Roman" w:hAnsi="Times New Roman" w:cs="Times New Roman"/>
        </w:rPr>
        <w:t>, ktorá v súčasnosti nespadá pod kontrolu pohybu tovaru</w:t>
      </w:r>
      <w:r w:rsidR="00537D6A">
        <w:rPr>
          <w:rFonts w:ascii="Times New Roman" w:hAnsi="Times New Roman" w:cs="Times New Roman"/>
        </w:rPr>
        <w:t xml:space="preserve"> v Európskej únii</w:t>
      </w:r>
      <w:r>
        <w:rPr>
          <w:rFonts w:ascii="Times New Roman" w:hAnsi="Times New Roman" w:cs="Times New Roman"/>
        </w:rPr>
        <w:t xml:space="preserve"> v rámci systému EMCS</w:t>
      </w:r>
      <w:r w:rsidR="00DE2D59">
        <w:rPr>
          <w:rFonts w:ascii="Times New Roman" w:hAnsi="Times New Roman" w:cs="Times New Roman"/>
        </w:rPr>
        <w:t xml:space="preserve"> (</w:t>
      </w:r>
      <w:proofErr w:type="spellStart"/>
      <w:r w:rsidR="00DE2D59">
        <w:rPr>
          <w:rFonts w:ascii="Times New Roman" w:hAnsi="Times New Roman" w:cs="Times New Roman"/>
        </w:rPr>
        <w:t>Excise</w:t>
      </w:r>
      <w:proofErr w:type="spellEnd"/>
      <w:r w:rsidR="00DE2D59">
        <w:rPr>
          <w:rFonts w:ascii="Times New Roman" w:hAnsi="Times New Roman" w:cs="Times New Roman"/>
        </w:rPr>
        <w:t xml:space="preserve"> </w:t>
      </w:r>
      <w:proofErr w:type="spellStart"/>
      <w:r w:rsidR="00DE2D59">
        <w:rPr>
          <w:rFonts w:ascii="Times New Roman" w:hAnsi="Times New Roman" w:cs="Times New Roman"/>
        </w:rPr>
        <w:t>Control</w:t>
      </w:r>
      <w:proofErr w:type="spellEnd"/>
      <w:r w:rsidR="00DE2D59">
        <w:rPr>
          <w:rFonts w:ascii="Times New Roman" w:hAnsi="Times New Roman" w:cs="Times New Roman"/>
        </w:rPr>
        <w:t xml:space="preserve"> and </w:t>
      </w:r>
      <w:proofErr w:type="spellStart"/>
      <w:r w:rsidR="00DE2D59">
        <w:rPr>
          <w:rFonts w:ascii="Times New Roman" w:hAnsi="Times New Roman" w:cs="Times New Roman"/>
        </w:rPr>
        <w:t>Movement</w:t>
      </w:r>
      <w:proofErr w:type="spellEnd"/>
      <w:r w:rsidR="00DE2D59">
        <w:rPr>
          <w:rFonts w:ascii="Times New Roman" w:hAnsi="Times New Roman" w:cs="Times New Roman"/>
        </w:rPr>
        <w:t xml:space="preserve"> </w:t>
      </w:r>
      <w:proofErr w:type="spellStart"/>
      <w:r w:rsidR="00DE2D59">
        <w:rPr>
          <w:rFonts w:ascii="Times New Roman" w:hAnsi="Times New Roman" w:cs="Times New Roman"/>
        </w:rPr>
        <w:t>System</w:t>
      </w:r>
      <w:proofErr w:type="spellEnd"/>
      <w:r w:rsidR="00DE2D59">
        <w:rPr>
          <w:rFonts w:ascii="Times New Roman" w:hAnsi="Times New Roman" w:cs="Times New Roman"/>
        </w:rPr>
        <w:t>)</w:t>
      </w:r>
      <w:r>
        <w:rPr>
          <w:rFonts w:ascii="Times New Roman" w:hAnsi="Times New Roman" w:cs="Times New Roman"/>
        </w:rPr>
        <w:t xml:space="preserve"> na daňovom území a území Európskej únie. </w:t>
      </w:r>
      <w:r w:rsidR="00DE2D59">
        <w:rPr>
          <w:rFonts w:ascii="Times New Roman" w:hAnsi="Times New Roman" w:cs="Times New Roman"/>
        </w:rPr>
        <w:t>Spotreba týchto</w:t>
      </w:r>
      <w:r w:rsidR="00DC07B1">
        <w:rPr>
          <w:rFonts w:ascii="Times New Roman" w:hAnsi="Times New Roman" w:cs="Times New Roman"/>
        </w:rPr>
        <w:t xml:space="preserve"> tzv. nových</w:t>
      </w:r>
      <w:r w:rsidR="00DE2D59">
        <w:rPr>
          <w:rFonts w:ascii="Times New Roman" w:hAnsi="Times New Roman" w:cs="Times New Roman"/>
        </w:rPr>
        <w:t xml:space="preserve">, </w:t>
      </w:r>
      <w:r w:rsidR="00537D6A">
        <w:rPr>
          <w:rFonts w:ascii="Times New Roman" w:hAnsi="Times New Roman" w:cs="Times New Roman"/>
        </w:rPr>
        <w:t xml:space="preserve">inovatívnych, </w:t>
      </w:r>
      <w:r w:rsidR="00DC07B1">
        <w:rPr>
          <w:rFonts w:ascii="Times New Roman" w:hAnsi="Times New Roman" w:cs="Times New Roman"/>
        </w:rPr>
        <w:t xml:space="preserve">výrobkov </w:t>
      </w:r>
      <w:r>
        <w:rPr>
          <w:rFonts w:ascii="Times New Roman" w:hAnsi="Times New Roman" w:cs="Times New Roman"/>
        </w:rPr>
        <w:t>každým rokom</w:t>
      </w:r>
      <w:r w:rsidR="00F728B9">
        <w:rPr>
          <w:rFonts w:ascii="Times New Roman" w:hAnsi="Times New Roman" w:cs="Times New Roman"/>
        </w:rPr>
        <w:t xml:space="preserve"> na našom daňovom území</w:t>
      </w:r>
      <w:r>
        <w:rPr>
          <w:rFonts w:ascii="Times New Roman" w:hAnsi="Times New Roman" w:cs="Times New Roman"/>
        </w:rPr>
        <w:t xml:space="preserve"> narastá,</w:t>
      </w:r>
      <w:r w:rsidR="00DE2D59">
        <w:rPr>
          <w:rFonts w:ascii="Times New Roman" w:hAnsi="Times New Roman" w:cs="Times New Roman"/>
        </w:rPr>
        <w:t xml:space="preserve"> pričom alarmujúcim faktom je, že je tomu tak v čoraz mladších vekových skupinách (napr. Národný výskum používania tabakových a nikotínových výrobkov v populácii detí a adolescentov v SR 2022, Prieskum ohľadom diétnych rizík dospelej populácie na Slovensku 2023, Svetová zdravotnícka organizácia (WHO) - medzinárodná štúdia</w:t>
      </w:r>
      <w:r w:rsidR="00DE2D59" w:rsidRPr="00DE2D59">
        <w:rPr>
          <w:rFonts w:ascii="Times New Roman" w:hAnsi="Times New Roman" w:cs="Times New Roman"/>
        </w:rPr>
        <w:t xml:space="preserve"> o zdraví a so zdravím súvisiacom správaní 11, 13 a 15 ročných školákov</w:t>
      </w:r>
      <w:r w:rsidR="00DE2D59">
        <w:rPr>
          <w:rFonts w:ascii="Times New Roman" w:hAnsi="Times New Roman" w:cs="Times New Roman"/>
        </w:rPr>
        <w:t xml:space="preserve"> -</w:t>
      </w:r>
      <w:r w:rsidR="00DE2D59" w:rsidRPr="00DE2D59">
        <w:rPr>
          <w:rFonts w:ascii="Times New Roman" w:hAnsi="Times New Roman" w:cs="Times New Roman"/>
        </w:rPr>
        <w:t xml:space="preserve"> </w:t>
      </w:r>
      <w:hyperlink r:id="rId8" w:history="1">
        <w:r w:rsidR="00DC07B1" w:rsidRPr="00B74E58">
          <w:rPr>
            <w:rStyle w:val="Hypertextovprepojenie"/>
            <w:rFonts w:ascii="Times New Roman" w:hAnsi="Times New Roman"/>
          </w:rPr>
          <w:t>https://hbscslovakia.com/</w:t>
        </w:r>
      </w:hyperlink>
      <w:r w:rsidR="00DE2D59">
        <w:rPr>
          <w:rFonts w:ascii="Times New Roman" w:hAnsi="Times New Roman" w:cs="Times New Roman"/>
        </w:rPr>
        <w:t>).</w:t>
      </w:r>
      <w:r w:rsidR="00DC07B1">
        <w:rPr>
          <w:rFonts w:ascii="Times New Roman" w:hAnsi="Times New Roman" w:cs="Times New Roman"/>
        </w:rPr>
        <w:t xml:space="preserve"> Ich narastajúca spotreba znamená, že sa stávajú </w:t>
      </w:r>
      <w:proofErr w:type="spellStart"/>
      <w:r>
        <w:rPr>
          <w:rFonts w:ascii="Times New Roman" w:hAnsi="Times New Roman" w:cs="Times New Roman"/>
        </w:rPr>
        <w:t>substitútmi</w:t>
      </w:r>
      <w:proofErr w:type="spellEnd"/>
      <w:r>
        <w:rPr>
          <w:rFonts w:ascii="Times New Roman" w:hAnsi="Times New Roman" w:cs="Times New Roman"/>
        </w:rPr>
        <w:t xml:space="preserve"> klasických tabakových výrobkov</w:t>
      </w:r>
      <w:r w:rsidR="00DC07B1">
        <w:rPr>
          <w:rFonts w:ascii="Times New Roman" w:hAnsi="Times New Roman" w:cs="Times New Roman"/>
        </w:rPr>
        <w:t xml:space="preserve">. Z dôvodu ich zatiaľ krátkej </w:t>
      </w:r>
      <w:r w:rsidR="007115A4">
        <w:rPr>
          <w:rFonts w:ascii="Times New Roman" w:hAnsi="Times New Roman" w:cs="Times New Roman"/>
        </w:rPr>
        <w:t>existencie</w:t>
      </w:r>
      <w:r w:rsidR="00DC07B1">
        <w:rPr>
          <w:rFonts w:ascii="Times New Roman" w:hAnsi="Times New Roman" w:cs="Times New Roman"/>
        </w:rPr>
        <w:t xml:space="preserve"> na trhu, nie je možné v súčasnosti na základe dostupných </w:t>
      </w:r>
      <w:r w:rsidR="000802B7">
        <w:rPr>
          <w:rFonts w:ascii="Times New Roman" w:hAnsi="Times New Roman" w:cs="Times New Roman"/>
        </w:rPr>
        <w:t>dôkazov (medicína založená na dôkazoch</w:t>
      </w:r>
      <w:r w:rsidR="00DC07B1">
        <w:rPr>
          <w:rFonts w:ascii="Times New Roman" w:hAnsi="Times New Roman" w:cs="Times New Roman"/>
        </w:rPr>
        <w:t xml:space="preserve">) tvrdiť, že ide o výrobky, ktoré sú menej škodlivé, a to </w:t>
      </w:r>
      <w:r w:rsidR="00F728B9">
        <w:rPr>
          <w:rFonts w:ascii="Times New Roman" w:hAnsi="Times New Roman" w:cs="Times New Roman"/>
        </w:rPr>
        <w:t>najmä pri nízkych vekových kategóriách, pri</w:t>
      </w:r>
      <w:r w:rsidR="001E45C1">
        <w:rPr>
          <w:rFonts w:ascii="Times New Roman" w:hAnsi="Times New Roman" w:cs="Times New Roman"/>
        </w:rPr>
        <w:t xml:space="preserve"> potencionálnom riziku budúcich verejných </w:t>
      </w:r>
      <w:r w:rsidR="00F728B9">
        <w:rPr>
          <w:rFonts w:ascii="Times New Roman" w:hAnsi="Times New Roman" w:cs="Times New Roman"/>
        </w:rPr>
        <w:t xml:space="preserve">výdavkov na zdravotnú starostlivosť spojenú s užívaním týchto produktov. Naopak, ich </w:t>
      </w:r>
      <w:r w:rsidR="001E45C1">
        <w:rPr>
          <w:rFonts w:ascii="Times New Roman" w:hAnsi="Times New Roman" w:cs="Times New Roman"/>
        </w:rPr>
        <w:t>užívanie</w:t>
      </w:r>
      <w:r w:rsidR="00F728B9">
        <w:rPr>
          <w:rFonts w:ascii="Times New Roman" w:hAnsi="Times New Roman" w:cs="Times New Roman"/>
        </w:rPr>
        <w:t xml:space="preserve"> </w:t>
      </w:r>
      <w:r w:rsidR="001E45C1">
        <w:rPr>
          <w:rFonts w:ascii="Times New Roman" w:hAnsi="Times New Roman" w:cs="Times New Roman"/>
        </w:rPr>
        <w:t xml:space="preserve">nie je </w:t>
      </w:r>
      <w:r w:rsidR="007115A4">
        <w:rPr>
          <w:rFonts w:ascii="Times New Roman" w:hAnsi="Times New Roman" w:cs="Times New Roman"/>
        </w:rPr>
        <w:t xml:space="preserve">často </w:t>
      </w:r>
      <w:r w:rsidR="001E45C1">
        <w:rPr>
          <w:rFonts w:ascii="Times New Roman" w:hAnsi="Times New Roman" w:cs="Times New Roman"/>
        </w:rPr>
        <w:t xml:space="preserve">spojené s vedomím </w:t>
      </w:r>
      <w:r w:rsidR="000802B7">
        <w:rPr>
          <w:rFonts w:ascii="Times New Roman" w:hAnsi="Times New Roman" w:cs="Times New Roman"/>
        </w:rPr>
        <w:t>potencionál</w:t>
      </w:r>
      <w:r w:rsidR="007115A4">
        <w:rPr>
          <w:rFonts w:ascii="Times New Roman" w:hAnsi="Times New Roman" w:cs="Times New Roman"/>
        </w:rPr>
        <w:t>ne</w:t>
      </w:r>
      <w:r w:rsidR="000802B7">
        <w:rPr>
          <w:rFonts w:ascii="Times New Roman" w:hAnsi="Times New Roman" w:cs="Times New Roman"/>
        </w:rPr>
        <w:t xml:space="preserve"> </w:t>
      </w:r>
      <w:r w:rsidR="001E45C1">
        <w:rPr>
          <w:rFonts w:ascii="Times New Roman" w:hAnsi="Times New Roman" w:cs="Times New Roman"/>
        </w:rPr>
        <w:t>existujúcich zdravotných rizík</w:t>
      </w:r>
      <w:r w:rsidR="00FA5EF5">
        <w:rPr>
          <w:rFonts w:ascii="Times New Roman" w:hAnsi="Times New Roman" w:cs="Times New Roman"/>
        </w:rPr>
        <w:t xml:space="preserve"> v širokej verejnosti. O</w:t>
      </w:r>
      <w:r w:rsidR="000802B7">
        <w:rPr>
          <w:rFonts w:ascii="Times New Roman" w:hAnsi="Times New Roman" w:cs="Times New Roman"/>
        </w:rPr>
        <w:t>baly</w:t>
      </w:r>
      <w:r w:rsidR="00FA5EF5">
        <w:rPr>
          <w:rFonts w:ascii="Times New Roman" w:hAnsi="Times New Roman" w:cs="Times New Roman"/>
        </w:rPr>
        <w:t xml:space="preserve"> týchto produktov</w:t>
      </w:r>
      <w:r w:rsidR="000802B7">
        <w:rPr>
          <w:rFonts w:ascii="Times New Roman" w:hAnsi="Times New Roman" w:cs="Times New Roman"/>
        </w:rPr>
        <w:t xml:space="preserve"> môžu byť</w:t>
      </w:r>
      <w:r w:rsidR="001E45C1">
        <w:rPr>
          <w:rFonts w:ascii="Times New Roman" w:hAnsi="Times New Roman" w:cs="Times New Roman"/>
        </w:rPr>
        <w:t xml:space="preserve"> ľahko zameniteľné s produktmi ako napr. žuvačky. Ochutené príchute takýchto výrobkov sú pre podstatnú časť užívateľov atraktívnym a rozhodujúcim faktorom</w:t>
      </w:r>
      <w:r w:rsidR="00FA5EF5">
        <w:rPr>
          <w:rFonts w:ascii="Times New Roman" w:hAnsi="Times New Roman" w:cs="Times New Roman"/>
        </w:rPr>
        <w:t xml:space="preserve"> pre ich užívanie</w:t>
      </w:r>
      <w:r w:rsidR="001E45C1">
        <w:rPr>
          <w:rFonts w:ascii="Times New Roman" w:hAnsi="Times New Roman" w:cs="Times New Roman"/>
        </w:rPr>
        <w:t>.</w:t>
      </w:r>
    </w:p>
    <w:p w:rsidR="00914EC4" w:rsidRDefault="00914EC4" w:rsidP="00914EC4">
      <w:pPr>
        <w:pStyle w:val="Zkladntext0"/>
        <w:ind w:firstLine="360"/>
        <w:jc w:val="both"/>
        <w:rPr>
          <w:rFonts w:ascii="Times New Roman" w:hAnsi="Times New Roman" w:cs="Times New Roman"/>
        </w:rPr>
      </w:pPr>
    </w:p>
    <w:p w:rsidR="00914EC4" w:rsidRPr="00A541D6" w:rsidRDefault="00914EC4" w:rsidP="00914EC4">
      <w:pPr>
        <w:pStyle w:val="Zkladntext0"/>
        <w:ind w:firstLine="360"/>
        <w:jc w:val="both"/>
        <w:rPr>
          <w:rFonts w:ascii="Times New Roman" w:hAnsi="Times New Roman" w:cs="Times New Roman"/>
        </w:rPr>
      </w:pPr>
      <w:r>
        <w:rPr>
          <w:rFonts w:ascii="Times New Roman" w:hAnsi="Times New Roman" w:cs="Times New Roman"/>
        </w:rPr>
        <w:t>Daň sa považuje za jeden z najúčinnejších  nástrojov kontroly spotreby</w:t>
      </w:r>
      <w:r w:rsidR="000802B7">
        <w:rPr>
          <w:rFonts w:ascii="Times New Roman" w:hAnsi="Times New Roman" w:cs="Times New Roman"/>
        </w:rPr>
        <w:t xml:space="preserve"> výrobkov spadajúcich do negatívnych </w:t>
      </w:r>
      <w:proofErr w:type="spellStart"/>
      <w:r w:rsidR="000802B7">
        <w:rPr>
          <w:rFonts w:ascii="Times New Roman" w:hAnsi="Times New Roman" w:cs="Times New Roman"/>
        </w:rPr>
        <w:t>externalít</w:t>
      </w:r>
      <w:proofErr w:type="spellEnd"/>
      <w:r>
        <w:rPr>
          <w:rFonts w:ascii="Times New Roman" w:hAnsi="Times New Roman" w:cs="Times New Roman"/>
        </w:rPr>
        <w:t xml:space="preserve">, </w:t>
      </w:r>
      <w:r w:rsidR="000802B7">
        <w:rPr>
          <w:rFonts w:ascii="Times New Roman" w:hAnsi="Times New Roman" w:cs="Times New Roman"/>
        </w:rPr>
        <w:t xml:space="preserve">a to </w:t>
      </w:r>
      <w:r>
        <w:rPr>
          <w:rFonts w:ascii="Times New Roman" w:hAnsi="Times New Roman" w:cs="Times New Roman"/>
        </w:rPr>
        <w:t xml:space="preserve">najmä </w:t>
      </w:r>
      <w:r w:rsidR="000802B7">
        <w:rPr>
          <w:rFonts w:ascii="Times New Roman" w:hAnsi="Times New Roman" w:cs="Times New Roman"/>
        </w:rPr>
        <w:t xml:space="preserve">u </w:t>
      </w:r>
      <w:r w:rsidR="00CF64DE">
        <w:rPr>
          <w:rFonts w:ascii="Times New Roman" w:hAnsi="Times New Roman" w:cs="Times New Roman"/>
        </w:rPr>
        <w:t xml:space="preserve">mladšej populácie. Na </w:t>
      </w:r>
      <w:r>
        <w:rPr>
          <w:rFonts w:ascii="Times New Roman" w:hAnsi="Times New Roman" w:cs="Times New Roman"/>
        </w:rPr>
        <w:t xml:space="preserve">výzvy </w:t>
      </w:r>
      <w:r w:rsidR="00CF64DE">
        <w:rPr>
          <w:rFonts w:ascii="Times New Roman" w:hAnsi="Times New Roman" w:cs="Times New Roman"/>
        </w:rPr>
        <w:t xml:space="preserve">spojené s týmito novými, inovatívnymi produktmi </w:t>
      </w:r>
      <w:r>
        <w:rPr>
          <w:rFonts w:ascii="Times New Roman" w:hAnsi="Times New Roman" w:cs="Times New Roman"/>
        </w:rPr>
        <w:t xml:space="preserve">bude určite v krátkom čase reagovať aj Európska únia. </w:t>
      </w:r>
      <w:r w:rsidR="000802B7">
        <w:rPr>
          <w:rFonts w:ascii="Times New Roman" w:hAnsi="Times New Roman" w:cs="Times New Roman"/>
        </w:rPr>
        <w:t xml:space="preserve">Pokiaľ ide o </w:t>
      </w:r>
      <w:r>
        <w:rPr>
          <w:rFonts w:ascii="Times New Roman" w:hAnsi="Times New Roman" w:cs="Times New Roman"/>
        </w:rPr>
        <w:t>regió</w:t>
      </w:r>
      <w:r w:rsidR="000802B7">
        <w:rPr>
          <w:rFonts w:ascii="Times New Roman" w:hAnsi="Times New Roman" w:cs="Times New Roman"/>
        </w:rPr>
        <w:t>n</w:t>
      </w:r>
      <w:r>
        <w:rPr>
          <w:rFonts w:ascii="Times New Roman" w:hAnsi="Times New Roman" w:cs="Times New Roman"/>
        </w:rPr>
        <w:t xml:space="preserve"> V4</w:t>
      </w:r>
      <w:r w:rsidR="000802B7">
        <w:rPr>
          <w:rFonts w:ascii="Times New Roman" w:hAnsi="Times New Roman" w:cs="Times New Roman"/>
        </w:rPr>
        <w:t>,</w:t>
      </w:r>
      <w:r>
        <w:rPr>
          <w:rFonts w:ascii="Times New Roman" w:hAnsi="Times New Roman" w:cs="Times New Roman"/>
        </w:rPr>
        <w:t xml:space="preserve"> Poľsko </w:t>
      </w:r>
      <w:r w:rsidR="000802B7">
        <w:rPr>
          <w:rFonts w:ascii="Times New Roman" w:hAnsi="Times New Roman" w:cs="Times New Roman"/>
        </w:rPr>
        <w:t xml:space="preserve">v súčasnosti </w:t>
      </w:r>
      <w:r>
        <w:rPr>
          <w:rFonts w:ascii="Times New Roman" w:hAnsi="Times New Roman" w:cs="Times New Roman"/>
        </w:rPr>
        <w:t xml:space="preserve">zdaňuje elektronické cigarety, Maďarsko elektronické </w:t>
      </w:r>
      <w:r w:rsidRPr="00A541D6">
        <w:rPr>
          <w:rFonts w:ascii="Times New Roman" w:hAnsi="Times New Roman" w:cs="Times New Roman"/>
        </w:rPr>
        <w:t>cigarety a nikotínové vrecúška a Česko zdaňuje elektronické cigarety, nikotínové vrecúška, iné nikotínové výrobky, žuvací tabak a šnupavý tabak.</w:t>
      </w:r>
    </w:p>
    <w:p w:rsidR="001E45C1" w:rsidRPr="00A541D6" w:rsidRDefault="001E45C1" w:rsidP="00F728B9">
      <w:pPr>
        <w:pStyle w:val="Zkladntext0"/>
        <w:jc w:val="both"/>
        <w:rPr>
          <w:rFonts w:ascii="Times New Roman" w:hAnsi="Times New Roman" w:cs="Times New Roman"/>
        </w:rPr>
      </w:pPr>
    </w:p>
    <w:p w:rsidR="007C0663" w:rsidRPr="007C0663" w:rsidRDefault="00F728B9" w:rsidP="007C0663">
      <w:pPr>
        <w:pStyle w:val="Zkladntext0"/>
        <w:ind w:firstLine="360"/>
        <w:jc w:val="both"/>
        <w:rPr>
          <w:rFonts w:ascii="Times New Roman" w:hAnsi="Times New Roman" w:cs="Times New Roman"/>
        </w:rPr>
      </w:pPr>
      <w:r w:rsidRPr="00A541D6">
        <w:rPr>
          <w:rFonts w:ascii="Times New Roman" w:hAnsi="Times New Roman" w:cs="Times New Roman"/>
        </w:rPr>
        <w:t>Vzrastajúca spotreba takýchto výrobkov</w:t>
      </w:r>
      <w:r w:rsidR="00CF64DE">
        <w:rPr>
          <w:rFonts w:ascii="Times New Roman" w:hAnsi="Times New Roman" w:cs="Times New Roman"/>
        </w:rPr>
        <w:t xml:space="preserve"> bez účinnej kontroly</w:t>
      </w:r>
      <w:r w:rsidRPr="00A541D6">
        <w:rPr>
          <w:rFonts w:ascii="Times New Roman" w:hAnsi="Times New Roman" w:cs="Times New Roman"/>
        </w:rPr>
        <w:t xml:space="preserve"> znamená aj vyššie riziko </w:t>
      </w:r>
      <w:r w:rsidR="00DF66E0">
        <w:rPr>
          <w:rFonts w:ascii="Times New Roman" w:hAnsi="Times New Roman" w:cs="Times New Roman"/>
        </w:rPr>
        <w:lastRenderedPageBreak/>
        <w:t xml:space="preserve">potenciálnych </w:t>
      </w:r>
      <w:r w:rsidRPr="00A541D6">
        <w:rPr>
          <w:rFonts w:ascii="Times New Roman" w:hAnsi="Times New Roman" w:cs="Times New Roman"/>
        </w:rPr>
        <w:t>daňových únikov</w:t>
      </w:r>
      <w:r w:rsidR="00DF66E0">
        <w:rPr>
          <w:rFonts w:ascii="Times New Roman" w:hAnsi="Times New Roman" w:cs="Times New Roman"/>
        </w:rPr>
        <w:t xml:space="preserve"> bez zavedenia príslušnej úpravy</w:t>
      </w:r>
      <w:r w:rsidRPr="00A541D6">
        <w:rPr>
          <w:rFonts w:ascii="Times New Roman" w:hAnsi="Times New Roman" w:cs="Times New Roman"/>
        </w:rPr>
        <w:t xml:space="preserve">. </w:t>
      </w:r>
      <w:r w:rsidR="007C0663" w:rsidRPr="007C0663">
        <w:rPr>
          <w:rFonts w:ascii="Times New Roman" w:hAnsi="Times New Roman" w:cs="Times New Roman"/>
        </w:rPr>
        <w:t>Na základe údajov z </w:t>
      </w:r>
      <w:proofErr w:type="spellStart"/>
      <w:r w:rsidR="007C0663" w:rsidRPr="007C0663">
        <w:rPr>
          <w:rFonts w:ascii="Times New Roman" w:hAnsi="Times New Roman" w:cs="Times New Roman"/>
        </w:rPr>
        <w:t>eKasy</w:t>
      </w:r>
      <w:proofErr w:type="spellEnd"/>
      <w:r w:rsidR="007C0663" w:rsidRPr="007C0663">
        <w:rPr>
          <w:rFonts w:ascii="Times New Roman" w:hAnsi="Times New Roman" w:cs="Times New Roman"/>
        </w:rPr>
        <w:t xml:space="preserve"> za obdobie mesiacov január 2022 až december 2023 spotreba týchto výrobkov v roku 2023 výrazne vzrástla. Predaj e-cigariet medziročne vzrástol o 200 % a nárast predaja nikotínových vrecúšok zodpovedá navýšeniu o 57 %.</w:t>
      </w:r>
    </w:p>
    <w:p w:rsidR="007C0663" w:rsidRDefault="007C0663" w:rsidP="007C0663">
      <w:pPr>
        <w:pStyle w:val="Zkladntext0"/>
        <w:jc w:val="both"/>
        <w:rPr>
          <w:rFonts w:ascii="Times New Roman" w:hAnsi="Times New Roman" w:cs="Times New Roman"/>
        </w:rPr>
      </w:pPr>
    </w:p>
    <w:p w:rsidR="00621E58" w:rsidRPr="00A541D6" w:rsidRDefault="00621E58" w:rsidP="0088377B">
      <w:pPr>
        <w:pStyle w:val="Zkladntext0"/>
        <w:ind w:firstLine="360"/>
        <w:jc w:val="both"/>
        <w:rPr>
          <w:rFonts w:ascii="Times New Roman" w:hAnsi="Times New Roman" w:cs="Times New Roman"/>
        </w:rPr>
      </w:pPr>
      <w:r w:rsidRPr="00A541D6">
        <w:rPr>
          <w:rFonts w:ascii="Times New Roman" w:hAnsi="Times New Roman" w:cs="Times New Roman"/>
        </w:rPr>
        <w:t>Keďže v súčasnosti neexistuje ucelený rámec kontroly ich predaja na daňovom území</w:t>
      </w:r>
      <w:r w:rsidR="00FA5EF5">
        <w:rPr>
          <w:rFonts w:ascii="Times New Roman" w:hAnsi="Times New Roman" w:cs="Times New Roman"/>
        </w:rPr>
        <w:t xml:space="preserve"> a časť produktov môže byť </w:t>
      </w:r>
      <w:r w:rsidR="007E1CC5" w:rsidRPr="00A541D6">
        <w:rPr>
          <w:rFonts w:ascii="Times New Roman" w:hAnsi="Times New Roman" w:cs="Times New Roman"/>
        </w:rPr>
        <w:t>nelegálna</w:t>
      </w:r>
      <w:r w:rsidR="000802B7">
        <w:rPr>
          <w:rFonts w:ascii="Times New Roman" w:hAnsi="Times New Roman" w:cs="Times New Roman"/>
        </w:rPr>
        <w:t>, resp. zdraviu závadná</w:t>
      </w:r>
      <w:r w:rsidR="007E1CC5" w:rsidRPr="00A541D6">
        <w:rPr>
          <w:rFonts w:ascii="Times New Roman" w:hAnsi="Times New Roman" w:cs="Times New Roman"/>
        </w:rPr>
        <w:t>, je nutné zaviesť systém evidencií na obchodovanie s predmetnými tovarmi,</w:t>
      </w:r>
      <w:r w:rsidR="00FA5EF5">
        <w:rPr>
          <w:rFonts w:ascii="Times New Roman" w:hAnsi="Times New Roman" w:cs="Times New Roman"/>
        </w:rPr>
        <w:t xml:space="preserve"> vrátane kontroly ich distribúcie na daňovom území a </w:t>
      </w:r>
      <w:r w:rsidR="0088377B">
        <w:rPr>
          <w:rFonts w:ascii="Times New Roman" w:hAnsi="Times New Roman" w:cs="Times New Roman"/>
        </w:rPr>
        <w:t>predaja na diaľku. Výkon kontroly nad výrobkami súvisiacimi s tabakovými výrobkami</w:t>
      </w:r>
      <w:r w:rsidR="005F28EF">
        <w:rPr>
          <w:rFonts w:ascii="Times New Roman" w:hAnsi="Times New Roman" w:cs="Times New Roman"/>
        </w:rPr>
        <w:t xml:space="preserve"> </w:t>
      </w:r>
      <w:r w:rsidR="007E1CC5" w:rsidRPr="00A541D6">
        <w:rPr>
          <w:rFonts w:ascii="Times New Roman" w:hAnsi="Times New Roman" w:cs="Times New Roman"/>
        </w:rPr>
        <w:t>sa zverí colným úradom</w:t>
      </w:r>
      <w:r w:rsidR="005F28EF">
        <w:rPr>
          <w:rFonts w:ascii="Times New Roman" w:hAnsi="Times New Roman" w:cs="Times New Roman"/>
        </w:rPr>
        <w:t xml:space="preserve">. Sprísnenie kontroly predaja, </w:t>
      </w:r>
      <w:r w:rsidR="007E1CC5" w:rsidRPr="00A541D6">
        <w:rPr>
          <w:rFonts w:ascii="Times New Roman" w:hAnsi="Times New Roman" w:cs="Times New Roman"/>
        </w:rPr>
        <w:t xml:space="preserve">zavedenie zdaňovania týchto produktov </w:t>
      </w:r>
      <w:r w:rsidR="005F28EF">
        <w:rPr>
          <w:rFonts w:ascii="Times New Roman" w:hAnsi="Times New Roman" w:cs="Times New Roman"/>
        </w:rPr>
        <w:t xml:space="preserve">a ich označovanie kontrolnou známkou bolo  požadované aj zo strany </w:t>
      </w:r>
      <w:r w:rsidR="007E1CC5" w:rsidRPr="00A541D6">
        <w:rPr>
          <w:rFonts w:ascii="Times New Roman" w:hAnsi="Times New Roman" w:cs="Times New Roman"/>
        </w:rPr>
        <w:t>podnikateľskej verejnosti podnikajúcej v tejto oblast</w:t>
      </w:r>
      <w:r w:rsidR="005F28EF">
        <w:rPr>
          <w:rFonts w:ascii="Times New Roman" w:hAnsi="Times New Roman" w:cs="Times New Roman"/>
        </w:rPr>
        <w:t>i v rámci konzultácii ako súčasti</w:t>
      </w:r>
      <w:r w:rsidR="007E1CC5" w:rsidRPr="00A541D6">
        <w:rPr>
          <w:rFonts w:ascii="Times New Roman" w:hAnsi="Times New Roman" w:cs="Times New Roman"/>
        </w:rPr>
        <w:t xml:space="preserve"> legislatívneho procesu. </w:t>
      </w:r>
    </w:p>
    <w:p w:rsidR="00914EC4" w:rsidRPr="00A541D6" w:rsidRDefault="00914EC4" w:rsidP="001E45C1">
      <w:pPr>
        <w:pStyle w:val="Zkladntext0"/>
        <w:ind w:firstLine="360"/>
        <w:jc w:val="both"/>
        <w:rPr>
          <w:rFonts w:ascii="Times New Roman" w:hAnsi="Times New Roman" w:cs="Times New Roman"/>
        </w:rPr>
      </w:pPr>
    </w:p>
    <w:p w:rsidR="00A541D6" w:rsidRPr="00A541D6" w:rsidRDefault="002129AB" w:rsidP="00A541D6">
      <w:pPr>
        <w:pStyle w:val="Zkladntext0"/>
        <w:ind w:firstLine="360"/>
        <w:jc w:val="both"/>
        <w:rPr>
          <w:rFonts w:ascii="Times New Roman" w:hAnsi="Times New Roman" w:cs="Times New Roman"/>
        </w:rPr>
      </w:pPr>
      <w:r w:rsidRPr="00A541D6">
        <w:rPr>
          <w:rFonts w:ascii="Times New Roman" w:hAnsi="Times New Roman" w:cs="Times New Roman"/>
        </w:rPr>
        <w:t>Vzhľadom na vysoký d</w:t>
      </w:r>
      <w:r w:rsidR="006E5692">
        <w:rPr>
          <w:rFonts w:ascii="Times New Roman" w:hAnsi="Times New Roman" w:cs="Times New Roman"/>
        </w:rPr>
        <w:t>eficit verejných financií a </w:t>
      </w:r>
      <w:r w:rsidR="00CF64DE">
        <w:rPr>
          <w:rFonts w:ascii="Times New Roman" w:hAnsi="Times New Roman" w:cs="Times New Roman"/>
        </w:rPr>
        <w:t>zadl</w:t>
      </w:r>
      <w:r w:rsidR="00CF64DE" w:rsidRPr="00A541D6">
        <w:rPr>
          <w:rFonts w:ascii="Times New Roman" w:hAnsi="Times New Roman" w:cs="Times New Roman"/>
        </w:rPr>
        <w:t>ženie</w:t>
      </w:r>
      <w:r w:rsidR="00F160DD">
        <w:rPr>
          <w:rFonts w:ascii="Times New Roman" w:hAnsi="Times New Roman" w:cs="Times New Roman"/>
        </w:rPr>
        <w:t xml:space="preserve"> Slovenskej republiky </w:t>
      </w:r>
      <w:r w:rsidRPr="00A541D6">
        <w:rPr>
          <w:rFonts w:ascii="Times New Roman" w:hAnsi="Times New Roman" w:cs="Times New Roman"/>
        </w:rPr>
        <w:t>je návrh zákona súčasťou konsolidačných opatrení, realizáciou ktorých sa zabezpečia dodatočné príjmy štátneho rozpočtu, čo prispeje k stabilizácii verejných financií a k eliminácii negatívnych vplyvov na vývoj hospodárenia Slovenskej republiky.</w:t>
      </w:r>
    </w:p>
    <w:p w:rsidR="00A541D6" w:rsidRPr="00A541D6" w:rsidRDefault="00A541D6" w:rsidP="00A541D6">
      <w:pPr>
        <w:pStyle w:val="Zkladntext0"/>
        <w:ind w:firstLine="360"/>
        <w:jc w:val="both"/>
        <w:rPr>
          <w:rFonts w:ascii="Times New Roman" w:hAnsi="Times New Roman" w:cs="Times New Roman"/>
        </w:rPr>
      </w:pPr>
    </w:p>
    <w:p w:rsidR="0096632F" w:rsidRPr="00C7152C" w:rsidRDefault="0096632F" w:rsidP="0096632F">
      <w:pPr>
        <w:pStyle w:val="Zkladntext0"/>
        <w:ind w:firstLine="360"/>
        <w:jc w:val="both"/>
        <w:rPr>
          <w:rFonts w:ascii="Times New Roman" w:hAnsi="Times New Roman" w:cs="Times New Roman"/>
        </w:rPr>
      </w:pPr>
      <w:r w:rsidRPr="00C7152C">
        <w:rPr>
          <w:rFonts w:ascii="Times New Roman" w:hAnsi="Times New Roman" w:cs="Times New Roman"/>
        </w:rPr>
        <w:t xml:space="preserve">Vplyvy návrhu zákona na </w:t>
      </w:r>
      <w:r w:rsidRPr="00F75278">
        <w:rPr>
          <w:rFonts w:ascii="Times New Roman" w:hAnsi="Times New Roman" w:cs="Times New Roman"/>
        </w:rPr>
        <w:t>rozpočet verejnej správy,</w:t>
      </w:r>
      <w:r w:rsidRPr="00C7152C">
        <w:rPr>
          <w:rFonts w:ascii="Times New Roman" w:hAnsi="Times New Roman" w:cs="Times New Roman"/>
        </w:rPr>
        <w:t xml:space="preserve"> limit verejných výdavkov, podnikateľské prostredie, sociálne prostredie, vplyvy na životné prostredie, informatizáciu spoločnosti, služby verejnej správy pre občana, man</w:t>
      </w:r>
      <w:r w:rsidR="003608E4">
        <w:rPr>
          <w:rFonts w:ascii="Times New Roman" w:hAnsi="Times New Roman" w:cs="Times New Roman"/>
        </w:rPr>
        <w:t>želstvo, rodičovstvo a rodinu sú uvedené</w:t>
      </w:r>
      <w:r w:rsidRPr="00C7152C">
        <w:rPr>
          <w:rFonts w:ascii="Times New Roman" w:hAnsi="Times New Roman" w:cs="Times New Roman"/>
        </w:rPr>
        <w:t xml:space="preserve"> v doložke vybraných vplyvov. </w:t>
      </w:r>
    </w:p>
    <w:p w:rsidR="0096632F" w:rsidRPr="00C7152C" w:rsidRDefault="0096632F" w:rsidP="0096632F">
      <w:pPr>
        <w:pStyle w:val="Zkladntext0"/>
        <w:ind w:firstLine="360"/>
        <w:jc w:val="both"/>
        <w:rPr>
          <w:rFonts w:ascii="Times New Roman" w:hAnsi="Times New Roman" w:cs="Times New Roman"/>
        </w:rPr>
      </w:pPr>
    </w:p>
    <w:p w:rsidR="0096632F" w:rsidRDefault="0096632F" w:rsidP="0096632F">
      <w:pPr>
        <w:pStyle w:val="Zkladntext0"/>
        <w:ind w:firstLine="360"/>
        <w:jc w:val="both"/>
        <w:rPr>
          <w:rFonts w:ascii="Times New Roman" w:hAnsi="Times New Roman" w:cs="Times New Roman"/>
        </w:rPr>
      </w:pPr>
      <w:r w:rsidRPr="000E1FE0">
        <w:rPr>
          <w:rFonts w:ascii="Times New Roman" w:hAnsi="Times New Roman" w:cs="Times New Roman"/>
        </w:rPr>
        <w:t xml:space="preserve">Predkladaný návrh zákona bude mať vplyv na </w:t>
      </w:r>
      <w:r w:rsidRPr="00221EC8">
        <w:rPr>
          <w:rFonts w:ascii="Times New Roman" w:hAnsi="Times New Roman" w:cs="Times New Roman"/>
        </w:rPr>
        <w:t xml:space="preserve">podnikateľské </w:t>
      </w:r>
      <w:r w:rsidRPr="000E1FE0">
        <w:rPr>
          <w:rFonts w:ascii="Times New Roman" w:hAnsi="Times New Roman" w:cs="Times New Roman"/>
        </w:rPr>
        <w:t>subjekt</w:t>
      </w:r>
      <w:r>
        <w:rPr>
          <w:rFonts w:ascii="Times New Roman" w:hAnsi="Times New Roman" w:cs="Times New Roman"/>
        </w:rPr>
        <w:t>y, ktoré obchodujú s tabakovými výrobkami, bezdymovými tabakovými výrobkami alebo s výrobkami súvisiacimi s tabakovými výrobkami.</w:t>
      </w:r>
    </w:p>
    <w:p w:rsidR="00A541D6" w:rsidRPr="00A541D6" w:rsidRDefault="00A541D6" w:rsidP="00A541D6">
      <w:pPr>
        <w:pStyle w:val="Zkladntext0"/>
        <w:ind w:firstLine="360"/>
        <w:jc w:val="both"/>
        <w:rPr>
          <w:rStyle w:val="Zstupntext"/>
          <w:color w:val="000000"/>
        </w:rPr>
      </w:pPr>
    </w:p>
    <w:p w:rsidR="00E836BF" w:rsidRPr="00A541D6" w:rsidRDefault="00E836BF" w:rsidP="00A541D6">
      <w:pPr>
        <w:pStyle w:val="Zkladntext0"/>
        <w:ind w:firstLine="360"/>
        <w:jc w:val="both"/>
        <w:rPr>
          <w:rFonts w:ascii="Times New Roman" w:hAnsi="Times New Roman" w:cs="Times New Roman"/>
        </w:rPr>
      </w:pPr>
      <w:r w:rsidRPr="00A541D6">
        <w:rPr>
          <w:rFonts w:ascii="Times New Roman" w:hAnsi="Times New Roman" w:cs="Times New Roman"/>
        </w:rPr>
        <w:t>Predkladaný návrh zákona je v súlade s Ústavou Slovenskej republiky, s ústavnými zákonmi, s nálezmi Ústavného súdu Slovenskej republiky a s medzinárodnými zmluvami a inými medzinárodnými dokumentmi, ktorými je Slovenská republika viazaná, ako aj v súlade s právom Európskej únie.</w:t>
      </w:r>
    </w:p>
    <w:p w:rsidR="00E836BF" w:rsidRPr="00A541D6" w:rsidRDefault="00E836BF" w:rsidP="00E836BF">
      <w:pPr>
        <w:jc w:val="both"/>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3448D" w:rsidRDefault="00B3448D" w:rsidP="00BA1532">
      <w:pPr>
        <w:jc w:val="center"/>
        <w:rPr>
          <w:b/>
          <w:sz w:val="28"/>
          <w:szCs w:val="28"/>
        </w:rPr>
      </w:pPr>
    </w:p>
    <w:p w:rsidR="00B3448D" w:rsidRDefault="00B3448D" w:rsidP="00BA1532">
      <w:pPr>
        <w:jc w:val="center"/>
        <w:rPr>
          <w:b/>
          <w:sz w:val="28"/>
          <w:szCs w:val="28"/>
        </w:rPr>
      </w:pPr>
    </w:p>
    <w:p w:rsidR="00B3448D" w:rsidRDefault="00B3448D"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Default="00BA1532" w:rsidP="00BA1532">
      <w:pPr>
        <w:jc w:val="center"/>
        <w:rPr>
          <w:b/>
          <w:sz w:val="28"/>
          <w:szCs w:val="28"/>
        </w:rPr>
      </w:pPr>
    </w:p>
    <w:p w:rsidR="00BA1532" w:rsidRPr="00612E08" w:rsidRDefault="00BA1532" w:rsidP="00BA1532">
      <w:pPr>
        <w:jc w:val="center"/>
        <w:rPr>
          <w:b/>
          <w:sz w:val="28"/>
          <w:szCs w:val="28"/>
        </w:rPr>
      </w:pPr>
      <w:r w:rsidRPr="00612E08">
        <w:rPr>
          <w:b/>
          <w:sz w:val="28"/>
          <w:szCs w:val="28"/>
        </w:rPr>
        <w:lastRenderedPageBreak/>
        <w:t>Doložka vybraných vplyvov</w:t>
      </w:r>
    </w:p>
    <w:p w:rsidR="00BA1532" w:rsidRPr="00612E08" w:rsidRDefault="00BA1532" w:rsidP="00BA1532">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A1532" w:rsidRPr="00612E08" w:rsidTr="005277C1">
        <w:tc>
          <w:tcPr>
            <w:tcW w:w="9180" w:type="dxa"/>
            <w:gridSpan w:val="11"/>
            <w:tcBorders>
              <w:bottom w:val="single" w:sz="4" w:space="0" w:color="FFFFFF"/>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BA1532" w:rsidRPr="00612E08" w:rsidTr="005277C1">
        <w:tc>
          <w:tcPr>
            <w:tcW w:w="9180" w:type="dxa"/>
            <w:gridSpan w:val="11"/>
            <w:tcBorders>
              <w:bottom w:val="single" w:sz="4" w:space="0" w:color="FFFFFF"/>
            </w:tcBorders>
            <w:shd w:val="clear" w:color="auto" w:fill="E2E2E2"/>
          </w:tcPr>
          <w:p w:rsidR="00BA1532" w:rsidRPr="00612E08" w:rsidRDefault="00BA1532" w:rsidP="005277C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BA1532" w:rsidRPr="00612E08" w:rsidTr="005277C1">
        <w:tc>
          <w:tcPr>
            <w:tcW w:w="9180" w:type="dxa"/>
            <w:gridSpan w:val="11"/>
            <w:tcBorders>
              <w:top w:val="single" w:sz="4" w:space="0" w:color="FFFFFF"/>
              <w:bottom w:val="single" w:sz="4" w:space="0" w:color="auto"/>
            </w:tcBorders>
          </w:tcPr>
          <w:p w:rsidR="00BA1532" w:rsidRPr="003831B8" w:rsidRDefault="00BA1532" w:rsidP="005277C1">
            <w:pPr>
              <w:jc w:val="both"/>
              <w:rPr>
                <w:rFonts w:ascii="Times New Roman" w:eastAsia="Times New Roman" w:hAnsi="Times New Roman" w:cs="Times New Roman"/>
                <w:b/>
                <w:lang w:eastAsia="sk-SK"/>
              </w:rPr>
            </w:pPr>
            <w:r w:rsidRPr="00AC6985">
              <w:rPr>
                <w:rFonts w:ascii="Times New Roman" w:hAnsi="Times New Roman" w:cs="Times New Roman"/>
                <w:b/>
              </w:rPr>
              <w:t>Návrh zákona, ktorým sa mení a dopĺňa zákon č. 106/2004 Z. z. o spotrebnej dani z tabakových výrobkov v znení neskorších predpisov</w:t>
            </w:r>
          </w:p>
        </w:tc>
      </w:tr>
      <w:tr w:rsidR="00BA1532" w:rsidRPr="00612E08" w:rsidTr="005277C1">
        <w:tc>
          <w:tcPr>
            <w:tcW w:w="9180" w:type="dxa"/>
            <w:gridSpan w:val="11"/>
            <w:tcBorders>
              <w:top w:val="single" w:sz="4" w:space="0" w:color="auto"/>
              <w:left w:val="single" w:sz="4" w:space="0" w:color="auto"/>
              <w:bottom w:val="single" w:sz="4" w:space="0" w:color="FFFFFF"/>
            </w:tcBorders>
            <w:shd w:val="clear" w:color="auto" w:fill="E2E2E2"/>
          </w:tcPr>
          <w:p w:rsidR="00BA1532" w:rsidRPr="00612E08" w:rsidRDefault="00BA1532" w:rsidP="005277C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BA1532" w:rsidRPr="00612E08" w:rsidTr="005277C1">
        <w:tc>
          <w:tcPr>
            <w:tcW w:w="9180" w:type="dxa"/>
            <w:gridSpan w:val="11"/>
            <w:tcBorders>
              <w:top w:val="single" w:sz="4" w:space="0" w:color="FFFFFF"/>
              <w:left w:val="single" w:sz="4" w:space="0" w:color="auto"/>
              <w:bottom w:val="single" w:sz="4" w:space="0" w:color="auto"/>
            </w:tcBorders>
            <w:shd w:val="clear" w:color="auto" w:fill="FFFFFF"/>
          </w:tcPr>
          <w:p w:rsidR="00BA1532" w:rsidRPr="003831B8" w:rsidRDefault="00BA1532" w:rsidP="005277C1">
            <w:pPr>
              <w:rPr>
                <w:rFonts w:ascii="Times New Roman" w:eastAsia="Times New Roman" w:hAnsi="Times New Roman" w:cs="Times New Roman"/>
                <w:lang w:eastAsia="sk-SK"/>
              </w:rPr>
            </w:pPr>
            <w:r w:rsidRPr="003831B8">
              <w:rPr>
                <w:rFonts w:ascii="Times New Roman" w:eastAsia="Times New Roman" w:hAnsi="Times New Roman" w:cs="Times New Roman"/>
                <w:lang w:eastAsia="sk-SK"/>
              </w:rPr>
              <w:t>Ministerstvo financií Slovenskej republiky.</w:t>
            </w:r>
          </w:p>
          <w:p w:rsidR="00BA1532" w:rsidRPr="00612E08" w:rsidRDefault="00BA1532" w:rsidP="005277C1">
            <w:pPr>
              <w:rPr>
                <w:rFonts w:ascii="Times New Roman" w:eastAsia="Times New Roman" w:hAnsi="Times New Roman" w:cs="Times New Roman"/>
                <w:sz w:val="20"/>
                <w:szCs w:val="20"/>
                <w:lang w:eastAsia="sk-SK"/>
              </w:rPr>
            </w:pPr>
          </w:p>
        </w:tc>
      </w:tr>
      <w:tr w:rsidR="00BA1532" w:rsidRPr="00612E08" w:rsidTr="005277C1">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BA1532" w:rsidRPr="00612E08" w:rsidRDefault="00BA1532" w:rsidP="005277C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A1532" w:rsidRPr="00612E08" w:rsidRDefault="00BA1532" w:rsidP="005277C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BA1532" w:rsidRPr="00612E08" w:rsidTr="005277C1">
        <w:tc>
          <w:tcPr>
            <w:tcW w:w="4212" w:type="dxa"/>
            <w:gridSpan w:val="2"/>
            <w:vMerge/>
            <w:tcBorders>
              <w:top w:val="nil"/>
              <w:left w:val="single" w:sz="4" w:space="0" w:color="auto"/>
              <w:bottom w:val="single" w:sz="4" w:space="0" w:color="FFFFFF"/>
            </w:tcBorders>
            <w:shd w:val="clear" w:color="auto" w:fill="E2E2E2"/>
          </w:tcPr>
          <w:p w:rsidR="00BA1532" w:rsidRPr="00612E08" w:rsidRDefault="00BA1532" w:rsidP="005277C1">
            <w:pPr>
              <w:rPr>
                <w:rFonts w:ascii="Times New Roman" w:eastAsia="Times New Roman" w:hAnsi="Times New Roman" w:cs="Times New Roman"/>
                <w:sz w:val="20"/>
                <w:szCs w:val="20"/>
                <w:lang w:eastAsia="sk-SK"/>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A1532" w:rsidRPr="00612E08" w:rsidRDefault="00BA1532" w:rsidP="005277C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BA1532" w:rsidRPr="00612E08" w:rsidRDefault="00BA1532" w:rsidP="005277C1">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BA1532" w:rsidRPr="00612E08" w:rsidTr="005277C1">
        <w:tc>
          <w:tcPr>
            <w:tcW w:w="4212" w:type="dxa"/>
            <w:gridSpan w:val="2"/>
            <w:vMerge/>
            <w:tcBorders>
              <w:top w:val="nil"/>
              <w:left w:val="single" w:sz="4" w:space="0" w:color="auto"/>
              <w:bottom w:val="single" w:sz="4" w:space="0" w:color="auto"/>
            </w:tcBorders>
            <w:shd w:val="clear" w:color="auto" w:fill="E2E2E2"/>
          </w:tcPr>
          <w:p w:rsidR="00BA1532" w:rsidRPr="00612E08" w:rsidRDefault="00BA1532" w:rsidP="005277C1">
            <w:pPr>
              <w:rPr>
                <w:rFonts w:ascii="Times New Roman" w:eastAsia="Times New Roman" w:hAnsi="Times New Roman" w:cs="Times New Roman"/>
                <w:sz w:val="20"/>
                <w:szCs w:val="20"/>
                <w:lang w:eastAsia="sk-SK"/>
              </w:rPr>
            </w:pPr>
          </w:p>
        </w:tc>
        <w:sdt>
          <w:sdtPr>
            <w:rPr>
              <w:sz w:val="20"/>
              <w:szCs w:val="20"/>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A1532" w:rsidRPr="00612E08" w:rsidRDefault="00BA1532" w:rsidP="005277C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BA1532" w:rsidRPr="00612E08" w:rsidTr="005277C1">
        <w:tc>
          <w:tcPr>
            <w:tcW w:w="9180" w:type="dxa"/>
            <w:gridSpan w:val="11"/>
            <w:tcBorders>
              <w:top w:val="single" w:sz="4" w:space="0" w:color="auto"/>
              <w:left w:val="single" w:sz="4" w:space="0" w:color="auto"/>
              <w:bottom w:val="single" w:sz="4" w:space="0" w:color="FFFFFF"/>
            </w:tcBorders>
            <w:shd w:val="clear" w:color="auto" w:fill="FFFFFF"/>
          </w:tcPr>
          <w:p w:rsidR="00BA1532" w:rsidRDefault="00BA1532" w:rsidP="005277C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BA1532" w:rsidRPr="001D7C78" w:rsidRDefault="00BA1532" w:rsidP="005277C1">
            <w:pPr>
              <w:jc w:val="both"/>
              <w:rPr>
                <w:rFonts w:ascii="Times New Roman" w:eastAsia="Times New Roman" w:hAnsi="Times New Roman" w:cs="Times New Roman"/>
                <w:sz w:val="20"/>
                <w:szCs w:val="20"/>
                <w:lang w:eastAsia="sk-SK"/>
              </w:rPr>
            </w:pPr>
            <w:r w:rsidRPr="001D7C78">
              <w:rPr>
                <w:rFonts w:ascii="Times New Roman" w:hAnsi="Times New Roman"/>
                <w:sz w:val="20"/>
                <w:szCs w:val="20"/>
              </w:rPr>
              <w:t xml:space="preserve">Smernica Rady </w:t>
            </w:r>
            <w:r w:rsidRPr="001D7C78">
              <w:rPr>
                <w:rFonts w:ascii="Times New Roman" w:hAnsi="Times New Roman"/>
                <w:sz w:val="20"/>
                <w:szCs w:val="20"/>
                <w:u w:val="single"/>
              </w:rPr>
              <w:t>2011/64/EÚ</w:t>
            </w:r>
            <w:r w:rsidRPr="001D7C78">
              <w:rPr>
                <w:rFonts w:ascii="Times New Roman" w:hAnsi="Times New Roman"/>
                <w:sz w:val="20"/>
                <w:szCs w:val="20"/>
              </w:rPr>
              <w:t xml:space="preserve"> </w:t>
            </w:r>
            <w:r w:rsidRPr="001D7C78">
              <w:rPr>
                <w:rStyle w:val="Siln"/>
                <w:rFonts w:ascii="Times New Roman" w:hAnsi="Times New Roman"/>
                <w:sz w:val="20"/>
                <w:szCs w:val="20"/>
              </w:rPr>
              <w:t xml:space="preserve">z 21. júna 2011 o štruktúre a sadzbách spotrebnej dane </w:t>
            </w:r>
            <w:r w:rsidRPr="001D7C78">
              <w:rPr>
                <w:rStyle w:val="Siln"/>
                <w:rFonts w:ascii="Times New Roman" w:hAnsi="Times New Roman"/>
                <w:sz w:val="20"/>
                <w:szCs w:val="20"/>
              </w:rPr>
              <w:br/>
              <w:t>z tabakových výrobkov (kodifikované znenie)</w:t>
            </w:r>
            <w:r w:rsidRPr="001D7C78">
              <w:rPr>
                <w:rFonts w:ascii="Times New Roman" w:hAnsi="Times New Roman"/>
                <w:sz w:val="20"/>
                <w:szCs w:val="20"/>
              </w:rPr>
              <w:t xml:space="preserve"> (</w:t>
            </w:r>
            <w:r w:rsidRPr="001D7C78">
              <w:rPr>
                <w:rStyle w:val="Zvraznenie"/>
                <w:rFonts w:ascii="Times New Roman" w:hAnsi="Times New Roman"/>
                <w:sz w:val="20"/>
                <w:szCs w:val="20"/>
              </w:rPr>
              <w:t>Ú. v. EÚ L 176, 5.7. 2011).</w:t>
            </w:r>
          </w:p>
        </w:tc>
      </w:tr>
      <w:tr w:rsidR="00BA1532" w:rsidRPr="00612E08" w:rsidTr="005277C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BA1532" w:rsidRPr="00612E08" w:rsidRDefault="00BA1532" w:rsidP="005277C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BA1532" w:rsidRPr="00C62E8F" w:rsidRDefault="00BA1532" w:rsidP="005277C1">
            <w:pPr>
              <w:rPr>
                <w:rFonts w:ascii="Times New Roman" w:eastAsia="Times New Roman" w:hAnsi="Times New Roman" w:cs="Times New Roman"/>
                <w:i/>
                <w:sz w:val="20"/>
                <w:szCs w:val="20"/>
                <w:lang w:eastAsia="sk-SK"/>
              </w:rPr>
            </w:pPr>
            <w:r w:rsidRPr="00C62E8F">
              <w:rPr>
                <w:rFonts w:ascii="Times New Roman" w:eastAsia="Times New Roman" w:hAnsi="Times New Roman" w:cs="Times New Roman"/>
                <w:i/>
                <w:sz w:val="20"/>
                <w:szCs w:val="20"/>
                <w:lang w:eastAsia="sk-SK"/>
              </w:rPr>
              <w:t>Apríl 2024</w:t>
            </w:r>
          </w:p>
        </w:tc>
      </w:tr>
      <w:tr w:rsidR="00BA1532" w:rsidRPr="00612E08" w:rsidTr="005277C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5277C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BA1532" w:rsidRPr="00C62E8F" w:rsidRDefault="00BA1532" w:rsidP="005277C1">
            <w:pPr>
              <w:rPr>
                <w:rFonts w:ascii="Times New Roman" w:eastAsia="Times New Roman" w:hAnsi="Times New Roman" w:cs="Times New Roman"/>
                <w:i/>
                <w:sz w:val="20"/>
                <w:szCs w:val="20"/>
                <w:lang w:eastAsia="sk-SK"/>
              </w:rPr>
            </w:pPr>
            <w:r w:rsidRPr="00C62E8F">
              <w:rPr>
                <w:rFonts w:ascii="Times New Roman" w:eastAsia="Times New Roman" w:hAnsi="Times New Roman" w:cs="Times New Roman"/>
                <w:i/>
                <w:sz w:val="20"/>
                <w:szCs w:val="20"/>
                <w:lang w:eastAsia="sk-SK"/>
              </w:rPr>
              <w:t>Apríl 2024</w:t>
            </w:r>
          </w:p>
        </w:tc>
      </w:tr>
      <w:tr w:rsidR="00BA1532" w:rsidRPr="00612E08" w:rsidTr="005277C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5277C1">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BA1532" w:rsidRPr="00612E08" w:rsidRDefault="00BA1532" w:rsidP="005277C1">
            <w:pPr>
              <w:rPr>
                <w:rFonts w:ascii="Times New Roman" w:eastAsia="Times New Roman" w:hAnsi="Times New Roman" w:cs="Times New Roman"/>
                <w:i/>
                <w:sz w:val="20"/>
                <w:szCs w:val="20"/>
                <w:lang w:eastAsia="sk-SK"/>
              </w:rPr>
            </w:pPr>
          </w:p>
        </w:tc>
      </w:tr>
      <w:tr w:rsidR="00BA1532" w:rsidRPr="00612E08" w:rsidTr="005277C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5277C1">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BA1532" w:rsidRPr="00612E08" w:rsidRDefault="00BA1532" w:rsidP="005277C1">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 2024</w:t>
            </w:r>
          </w:p>
        </w:tc>
      </w:tr>
      <w:tr w:rsidR="00BA1532" w:rsidRPr="00612E08" w:rsidTr="005277C1">
        <w:tc>
          <w:tcPr>
            <w:tcW w:w="9180" w:type="dxa"/>
            <w:gridSpan w:val="11"/>
            <w:tcBorders>
              <w:top w:val="single" w:sz="4" w:space="0" w:color="auto"/>
              <w:left w:val="nil"/>
              <w:bottom w:val="single" w:sz="4" w:space="0" w:color="auto"/>
              <w:right w:val="nil"/>
            </w:tcBorders>
            <w:shd w:val="clear" w:color="auto" w:fill="FFFFFF"/>
          </w:tcPr>
          <w:p w:rsidR="00BA1532" w:rsidRPr="00612E08" w:rsidRDefault="00BA1532" w:rsidP="005277C1">
            <w:pPr>
              <w:rPr>
                <w:rFonts w:ascii="Times New Roman" w:eastAsia="Times New Roman" w:hAnsi="Times New Roman" w:cs="Times New Roman"/>
                <w:sz w:val="20"/>
                <w:szCs w:val="20"/>
                <w:lang w:eastAsia="sk-SK"/>
              </w:rPr>
            </w:pPr>
          </w:p>
        </w:tc>
      </w:tr>
      <w:tr w:rsidR="00BA1532" w:rsidRPr="00612E08" w:rsidTr="005277C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BA1532" w:rsidRPr="00612E08" w:rsidTr="005277C1">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A1532" w:rsidRPr="00612E08" w:rsidRDefault="00BA1532" w:rsidP="005277C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BA1532" w:rsidRDefault="00BA1532" w:rsidP="005277C1">
            <w:pPr>
              <w:pStyle w:val="Zkladntext0"/>
              <w:jc w:val="both"/>
              <w:rPr>
                <w:rFonts w:ascii="Times New Roman" w:hAnsi="Times New Roman" w:cs="Times New Roman"/>
                <w:sz w:val="20"/>
                <w:szCs w:val="20"/>
              </w:rPr>
            </w:pPr>
          </w:p>
          <w:p w:rsidR="00BA1532" w:rsidRPr="00D54662" w:rsidRDefault="00BA1532" w:rsidP="005277C1">
            <w:pPr>
              <w:pStyle w:val="Zkladntext0"/>
              <w:jc w:val="both"/>
              <w:rPr>
                <w:rFonts w:ascii="Times New Roman" w:hAnsi="Times New Roman" w:cs="Times New Roman"/>
                <w:sz w:val="20"/>
                <w:szCs w:val="20"/>
              </w:rPr>
            </w:pPr>
            <w:r>
              <w:rPr>
                <w:rFonts w:ascii="Times New Roman" w:hAnsi="Times New Roman" w:cs="Times New Roman"/>
                <w:sz w:val="20"/>
                <w:szCs w:val="20"/>
              </w:rPr>
              <w:t>R</w:t>
            </w:r>
            <w:r w:rsidRPr="00D54662">
              <w:rPr>
                <w:rFonts w:ascii="Times New Roman" w:hAnsi="Times New Roman" w:cs="Times New Roman"/>
                <w:sz w:val="20"/>
                <w:szCs w:val="20"/>
              </w:rPr>
              <w:t>ozšír</w:t>
            </w:r>
            <w:r>
              <w:rPr>
                <w:rFonts w:ascii="Times New Roman" w:hAnsi="Times New Roman" w:cs="Times New Roman"/>
                <w:sz w:val="20"/>
                <w:szCs w:val="20"/>
              </w:rPr>
              <w:t>iť predmet</w:t>
            </w:r>
            <w:r w:rsidRPr="00D54662">
              <w:rPr>
                <w:rFonts w:ascii="Times New Roman" w:hAnsi="Times New Roman" w:cs="Times New Roman"/>
                <w:sz w:val="20"/>
                <w:szCs w:val="20"/>
              </w:rPr>
              <w:t xml:space="preserve"> dane o výrobky súvisiace s tabakovými výrobkami, ktorými sú náplň do elektronickej cigarety, nikotínové vr</w:t>
            </w:r>
            <w:r>
              <w:rPr>
                <w:rFonts w:ascii="Times New Roman" w:hAnsi="Times New Roman" w:cs="Times New Roman"/>
                <w:sz w:val="20"/>
                <w:szCs w:val="20"/>
              </w:rPr>
              <w:t>ecúško a iný nikotínový výrobok.</w:t>
            </w:r>
          </w:p>
          <w:p w:rsidR="00BA1532" w:rsidRDefault="00BA1532" w:rsidP="005277C1">
            <w:pPr>
              <w:pStyle w:val="Zkladntext0"/>
              <w:jc w:val="both"/>
              <w:rPr>
                <w:rFonts w:ascii="Times New Roman" w:hAnsi="Times New Roman" w:cs="Times New Roman"/>
                <w:sz w:val="20"/>
                <w:szCs w:val="20"/>
              </w:rPr>
            </w:pPr>
            <w:r>
              <w:rPr>
                <w:rFonts w:ascii="Times New Roman" w:hAnsi="Times New Roman" w:cs="Times New Roman"/>
                <w:sz w:val="20"/>
                <w:szCs w:val="20"/>
              </w:rPr>
              <w:t>Z</w:t>
            </w:r>
            <w:r w:rsidRPr="00D54662">
              <w:rPr>
                <w:rFonts w:ascii="Times New Roman" w:hAnsi="Times New Roman" w:cs="Times New Roman"/>
                <w:sz w:val="20"/>
                <w:szCs w:val="20"/>
              </w:rPr>
              <w:t>av</w:t>
            </w:r>
            <w:r>
              <w:rPr>
                <w:rFonts w:ascii="Times New Roman" w:hAnsi="Times New Roman" w:cs="Times New Roman"/>
                <w:sz w:val="20"/>
                <w:szCs w:val="20"/>
              </w:rPr>
              <w:t>iesť</w:t>
            </w:r>
            <w:r w:rsidRPr="00D54662">
              <w:rPr>
                <w:rFonts w:ascii="Times New Roman" w:hAnsi="Times New Roman" w:cs="Times New Roman"/>
                <w:sz w:val="20"/>
                <w:szCs w:val="20"/>
              </w:rPr>
              <w:t xml:space="preserve"> zdaňovani</w:t>
            </w:r>
            <w:r>
              <w:rPr>
                <w:rFonts w:ascii="Times New Roman" w:hAnsi="Times New Roman" w:cs="Times New Roman"/>
                <w:sz w:val="20"/>
                <w:szCs w:val="20"/>
              </w:rPr>
              <w:t>e</w:t>
            </w:r>
            <w:r w:rsidRPr="00D54662">
              <w:rPr>
                <w:rFonts w:ascii="Times New Roman" w:hAnsi="Times New Roman" w:cs="Times New Roman"/>
                <w:sz w:val="20"/>
                <w:szCs w:val="20"/>
              </w:rPr>
              <w:t xml:space="preserve"> výrobkov súvisiacich s tabakovými výrobkami podľa daňové</w:t>
            </w:r>
            <w:r>
              <w:rPr>
                <w:rFonts w:ascii="Times New Roman" w:hAnsi="Times New Roman" w:cs="Times New Roman"/>
                <w:sz w:val="20"/>
                <w:szCs w:val="20"/>
              </w:rPr>
              <w:t>ho kalendára v rokoch 2025/2027 a</w:t>
            </w:r>
            <w:r w:rsidRPr="00D54662">
              <w:rPr>
                <w:rFonts w:ascii="Times New Roman" w:hAnsi="Times New Roman" w:cs="Times New Roman"/>
                <w:sz w:val="20"/>
                <w:szCs w:val="20"/>
              </w:rPr>
              <w:t xml:space="preserve"> pokračovanie daňového kalendára</w:t>
            </w:r>
            <w:r>
              <w:rPr>
                <w:rFonts w:ascii="Times New Roman" w:hAnsi="Times New Roman" w:cs="Times New Roman"/>
                <w:sz w:val="20"/>
                <w:szCs w:val="20"/>
              </w:rPr>
              <w:t xml:space="preserve"> pre tabakové výrobky v rokoch 2026/2028.</w:t>
            </w:r>
          </w:p>
          <w:p w:rsidR="00BA1532" w:rsidRPr="00D54662" w:rsidRDefault="00BA1532" w:rsidP="005277C1">
            <w:pPr>
              <w:pStyle w:val="Zkladntext0"/>
              <w:jc w:val="both"/>
              <w:rPr>
                <w:rFonts w:ascii="Times New Roman" w:hAnsi="Times New Roman" w:cs="Times New Roman"/>
                <w:sz w:val="20"/>
                <w:szCs w:val="20"/>
              </w:rPr>
            </w:pPr>
            <w:r>
              <w:rPr>
                <w:rFonts w:ascii="Times New Roman" w:hAnsi="Times New Roman" w:cs="Times New Roman"/>
                <w:sz w:val="20"/>
                <w:szCs w:val="20"/>
              </w:rPr>
              <w:t>Rozšíriť povinnosti o</w:t>
            </w:r>
            <w:r w:rsidRPr="00D54662">
              <w:rPr>
                <w:rFonts w:ascii="Times New Roman" w:hAnsi="Times New Roman" w:cs="Times New Roman"/>
                <w:sz w:val="20"/>
                <w:szCs w:val="20"/>
              </w:rPr>
              <w:t>značovani</w:t>
            </w:r>
            <w:r>
              <w:rPr>
                <w:rFonts w:ascii="Times New Roman" w:hAnsi="Times New Roman" w:cs="Times New Roman"/>
                <w:sz w:val="20"/>
                <w:szCs w:val="20"/>
              </w:rPr>
              <w:t>a aj pre</w:t>
            </w:r>
            <w:r w:rsidRPr="00D54662">
              <w:rPr>
                <w:rFonts w:ascii="Times New Roman" w:hAnsi="Times New Roman" w:cs="Times New Roman"/>
                <w:sz w:val="20"/>
                <w:szCs w:val="20"/>
              </w:rPr>
              <w:t xml:space="preserve"> výrobk</w:t>
            </w:r>
            <w:r>
              <w:rPr>
                <w:rFonts w:ascii="Times New Roman" w:hAnsi="Times New Roman" w:cs="Times New Roman"/>
                <w:sz w:val="20"/>
                <w:szCs w:val="20"/>
              </w:rPr>
              <w:t>y súvisiace</w:t>
            </w:r>
            <w:r w:rsidRPr="00D54662">
              <w:rPr>
                <w:rFonts w:ascii="Times New Roman" w:hAnsi="Times New Roman" w:cs="Times New Roman"/>
                <w:sz w:val="20"/>
                <w:szCs w:val="20"/>
              </w:rPr>
              <w:t xml:space="preserve"> s tabakovými výrobkami kontrolnou známkou na spotrebiteľskom balení a stanovi</w:t>
            </w:r>
            <w:r>
              <w:rPr>
                <w:rFonts w:ascii="Times New Roman" w:hAnsi="Times New Roman" w:cs="Times New Roman"/>
                <w:sz w:val="20"/>
                <w:szCs w:val="20"/>
              </w:rPr>
              <w:t>ť</w:t>
            </w:r>
            <w:r w:rsidRPr="00D54662">
              <w:rPr>
                <w:rFonts w:ascii="Times New Roman" w:hAnsi="Times New Roman" w:cs="Times New Roman"/>
                <w:sz w:val="20"/>
                <w:szCs w:val="20"/>
              </w:rPr>
              <w:t xml:space="preserve"> lehoty na dopredaj neoznačených výrobkov súv</w:t>
            </w:r>
            <w:r>
              <w:rPr>
                <w:rFonts w:ascii="Times New Roman" w:hAnsi="Times New Roman" w:cs="Times New Roman"/>
                <w:sz w:val="20"/>
                <w:szCs w:val="20"/>
              </w:rPr>
              <w:t>isiacich s tabakovými výrobkami.</w:t>
            </w:r>
          </w:p>
          <w:p w:rsidR="00BA1532" w:rsidRPr="00D54662" w:rsidRDefault="00BA1532" w:rsidP="005277C1">
            <w:pPr>
              <w:pStyle w:val="Zkladntext0"/>
              <w:jc w:val="both"/>
              <w:rPr>
                <w:rFonts w:ascii="Times New Roman" w:hAnsi="Times New Roman" w:cs="Times New Roman"/>
                <w:sz w:val="20"/>
                <w:szCs w:val="20"/>
              </w:rPr>
            </w:pPr>
            <w:r>
              <w:rPr>
                <w:rFonts w:ascii="Times New Roman" w:hAnsi="Times New Roman" w:cs="Times New Roman"/>
                <w:sz w:val="20"/>
                <w:szCs w:val="20"/>
              </w:rPr>
              <w:t>E</w:t>
            </w:r>
            <w:r w:rsidRPr="00D54662">
              <w:rPr>
                <w:rFonts w:ascii="Times New Roman" w:hAnsi="Times New Roman" w:cs="Times New Roman"/>
                <w:sz w:val="20"/>
                <w:szCs w:val="20"/>
              </w:rPr>
              <w:t>videncia obchodníkov – predajcov a d</w:t>
            </w:r>
            <w:r>
              <w:rPr>
                <w:rFonts w:ascii="Times New Roman" w:hAnsi="Times New Roman" w:cs="Times New Roman"/>
                <w:sz w:val="20"/>
                <w:szCs w:val="20"/>
              </w:rPr>
              <w:t>istribútorov – platiteľov dane.</w:t>
            </w:r>
          </w:p>
          <w:p w:rsidR="00BA1532" w:rsidRPr="00D54662" w:rsidRDefault="00BA1532" w:rsidP="005277C1">
            <w:pPr>
              <w:pStyle w:val="Zkladntext0"/>
              <w:jc w:val="both"/>
              <w:rPr>
                <w:rFonts w:ascii="Times New Roman" w:hAnsi="Times New Roman" w:cs="Times New Roman"/>
                <w:sz w:val="20"/>
                <w:szCs w:val="20"/>
              </w:rPr>
            </w:pPr>
            <w:r>
              <w:rPr>
                <w:rFonts w:ascii="Times New Roman" w:hAnsi="Times New Roman" w:cs="Times New Roman"/>
                <w:sz w:val="20"/>
                <w:szCs w:val="20"/>
              </w:rPr>
              <w:t>R</w:t>
            </w:r>
            <w:r w:rsidRPr="00D54662">
              <w:rPr>
                <w:rFonts w:ascii="Times New Roman" w:hAnsi="Times New Roman" w:cs="Times New Roman"/>
                <w:sz w:val="20"/>
                <w:szCs w:val="20"/>
              </w:rPr>
              <w:t>ozšíri</w:t>
            </w:r>
            <w:r>
              <w:rPr>
                <w:rFonts w:ascii="Times New Roman" w:hAnsi="Times New Roman" w:cs="Times New Roman"/>
                <w:sz w:val="20"/>
                <w:szCs w:val="20"/>
              </w:rPr>
              <w:t>ť</w:t>
            </w:r>
            <w:r w:rsidRPr="00D54662">
              <w:rPr>
                <w:rFonts w:ascii="Times New Roman" w:hAnsi="Times New Roman" w:cs="Times New Roman"/>
                <w:sz w:val="20"/>
                <w:szCs w:val="20"/>
              </w:rPr>
              <w:t xml:space="preserve"> definíci</w:t>
            </w:r>
            <w:r>
              <w:rPr>
                <w:rFonts w:ascii="Times New Roman" w:hAnsi="Times New Roman" w:cs="Times New Roman"/>
                <w:sz w:val="20"/>
                <w:szCs w:val="20"/>
              </w:rPr>
              <w:t>u</w:t>
            </w:r>
            <w:r w:rsidRPr="00D54662">
              <w:rPr>
                <w:rFonts w:ascii="Times New Roman" w:hAnsi="Times New Roman" w:cs="Times New Roman"/>
                <w:sz w:val="20"/>
                <w:szCs w:val="20"/>
              </w:rPr>
              <w:t xml:space="preserve"> bezdymového tabakového v</w:t>
            </w:r>
            <w:r>
              <w:rPr>
                <w:rFonts w:ascii="Times New Roman" w:hAnsi="Times New Roman" w:cs="Times New Roman"/>
                <w:sz w:val="20"/>
                <w:szCs w:val="20"/>
              </w:rPr>
              <w:t>ýrobku o žuvací tabak a šnupavý tabak.</w:t>
            </w:r>
          </w:p>
          <w:p w:rsidR="00BA1532" w:rsidRPr="00612E08" w:rsidRDefault="00BA1532" w:rsidP="005277C1">
            <w:pPr>
              <w:jc w:val="both"/>
              <w:rPr>
                <w:rFonts w:ascii="Times New Roman" w:eastAsia="Times New Roman" w:hAnsi="Times New Roman" w:cs="Times New Roman"/>
                <w:b/>
                <w:sz w:val="20"/>
                <w:szCs w:val="20"/>
                <w:lang w:eastAsia="sk-SK"/>
              </w:rPr>
            </w:pPr>
            <w:r>
              <w:rPr>
                <w:rFonts w:ascii="Times New Roman" w:hAnsi="Times New Roman" w:cs="Times New Roman"/>
                <w:sz w:val="20"/>
                <w:szCs w:val="20"/>
              </w:rPr>
              <w:t>L</w:t>
            </w:r>
            <w:r w:rsidRPr="00D54662">
              <w:rPr>
                <w:rFonts w:ascii="Times New Roman" w:hAnsi="Times New Roman" w:cs="Times New Roman"/>
                <w:sz w:val="20"/>
                <w:szCs w:val="20"/>
              </w:rPr>
              <w:t>egislatívno-technické úpravy vyplývajúce z aplikačnej praxe.</w:t>
            </w:r>
          </w:p>
        </w:tc>
      </w:tr>
      <w:tr w:rsidR="00BA1532" w:rsidRPr="00612E08" w:rsidTr="005277C1">
        <w:tc>
          <w:tcPr>
            <w:tcW w:w="9180" w:type="dxa"/>
            <w:gridSpan w:val="11"/>
            <w:tcBorders>
              <w:top w:val="single" w:sz="4" w:space="0" w:color="auto"/>
              <w:left w:val="single" w:sz="4" w:space="0" w:color="auto"/>
              <w:bottom w:val="nil"/>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BA1532" w:rsidRPr="00612E08" w:rsidTr="005277C1">
        <w:trPr>
          <w:trHeight w:val="454"/>
        </w:trPr>
        <w:tc>
          <w:tcPr>
            <w:tcW w:w="9180" w:type="dxa"/>
            <w:gridSpan w:val="11"/>
            <w:tcBorders>
              <w:top w:val="nil"/>
              <w:left w:val="single" w:sz="4" w:space="0" w:color="auto"/>
              <w:bottom w:val="single" w:sz="4" w:space="0" w:color="auto"/>
              <w:right w:val="single" w:sz="4" w:space="0" w:color="auto"/>
            </w:tcBorders>
            <w:shd w:val="clear" w:color="auto" w:fill="FFFFFF"/>
          </w:tcPr>
          <w:p w:rsidR="00BA1532" w:rsidRPr="00612E08" w:rsidRDefault="00BA1532" w:rsidP="005277C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BA1532" w:rsidRDefault="00BA1532" w:rsidP="005277C1">
            <w:pPr>
              <w:pStyle w:val="Zkladntext0"/>
              <w:jc w:val="both"/>
              <w:rPr>
                <w:rFonts w:ascii="Times New Roman" w:hAnsi="Times New Roman" w:cs="Times New Roman"/>
                <w:sz w:val="20"/>
                <w:szCs w:val="20"/>
              </w:rPr>
            </w:pPr>
          </w:p>
          <w:p w:rsidR="00BA1532" w:rsidRPr="00D54662" w:rsidRDefault="00BA1532" w:rsidP="005277C1">
            <w:pPr>
              <w:pStyle w:val="Zkladntext0"/>
              <w:ind w:firstLine="567"/>
              <w:jc w:val="both"/>
              <w:rPr>
                <w:rFonts w:ascii="Times New Roman" w:hAnsi="Times New Roman" w:cs="Times New Roman"/>
                <w:sz w:val="20"/>
                <w:szCs w:val="20"/>
              </w:rPr>
            </w:pPr>
            <w:r w:rsidRPr="00D54662">
              <w:rPr>
                <w:rFonts w:ascii="Times New Roman" w:hAnsi="Times New Roman" w:cs="Times New Roman"/>
                <w:sz w:val="20"/>
                <w:szCs w:val="20"/>
              </w:rPr>
              <w:t xml:space="preserve">Cieľom návrhu zákona je </w:t>
            </w:r>
          </w:p>
          <w:p w:rsidR="00BA1532" w:rsidRPr="00D54662" w:rsidRDefault="00BA1532" w:rsidP="00BA1532">
            <w:pPr>
              <w:pStyle w:val="Zkladntext0"/>
              <w:numPr>
                <w:ilvl w:val="0"/>
                <w:numId w:val="8"/>
              </w:numPr>
              <w:jc w:val="both"/>
              <w:rPr>
                <w:rFonts w:ascii="Times New Roman" w:hAnsi="Times New Roman" w:cs="Times New Roman"/>
                <w:sz w:val="20"/>
                <w:szCs w:val="20"/>
              </w:rPr>
            </w:pPr>
            <w:r w:rsidRPr="00D54662">
              <w:rPr>
                <w:rFonts w:ascii="Times New Roman" w:hAnsi="Times New Roman" w:cs="Times New Roman"/>
                <w:sz w:val="20"/>
                <w:szCs w:val="20"/>
              </w:rPr>
              <w:t>rozšírenie predmetu dane o výrobky súvisiace s tabakovými výrobkami, ktorými sú náplň do elektronickej cigarety, nikotínové vrecúško a iný nikotínový výrobok,</w:t>
            </w:r>
          </w:p>
          <w:p w:rsidR="00BA1532" w:rsidRPr="00D54662" w:rsidRDefault="00BA1532" w:rsidP="00BA1532">
            <w:pPr>
              <w:pStyle w:val="Zkladntext0"/>
              <w:numPr>
                <w:ilvl w:val="0"/>
                <w:numId w:val="8"/>
              </w:numPr>
              <w:jc w:val="both"/>
              <w:rPr>
                <w:rFonts w:ascii="Times New Roman" w:hAnsi="Times New Roman" w:cs="Times New Roman"/>
                <w:sz w:val="20"/>
                <w:szCs w:val="20"/>
              </w:rPr>
            </w:pPr>
            <w:r w:rsidRPr="00D54662">
              <w:rPr>
                <w:rFonts w:ascii="Times New Roman" w:hAnsi="Times New Roman" w:cs="Times New Roman"/>
                <w:sz w:val="20"/>
                <w:szCs w:val="20"/>
              </w:rPr>
              <w:t>zavedenie zdaňovania výrobkov súvisiacich s tabakovými výrobkami podľa daňového kalendára v rokoch 2025/2027,</w:t>
            </w:r>
          </w:p>
          <w:p w:rsidR="00BA1532" w:rsidRPr="00D54662" w:rsidRDefault="00BA1532" w:rsidP="00BA1532">
            <w:pPr>
              <w:pStyle w:val="Zkladntext0"/>
              <w:numPr>
                <w:ilvl w:val="0"/>
                <w:numId w:val="8"/>
              </w:numPr>
              <w:jc w:val="both"/>
              <w:rPr>
                <w:rFonts w:ascii="Times New Roman" w:hAnsi="Times New Roman" w:cs="Times New Roman"/>
                <w:sz w:val="20"/>
                <w:szCs w:val="20"/>
              </w:rPr>
            </w:pPr>
            <w:r w:rsidRPr="00D54662">
              <w:rPr>
                <w:rFonts w:ascii="Times New Roman" w:hAnsi="Times New Roman" w:cs="Times New Roman"/>
                <w:sz w:val="20"/>
                <w:szCs w:val="20"/>
              </w:rPr>
              <w:t>zavedenie označovania výrobkov súvisiacich s tabakovými výrobkami kontrolnou známkou na spotrebiteľskom balení a stanovenie lehoty na dopredaj výrobkov súvisiacich s tabakovými výrobkami neoznačených</w:t>
            </w:r>
            <w:r>
              <w:rPr>
                <w:rFonts w:ascii="Times New Roman" w:hAnsi="Times New Roman" w:cs="Times New Roman"/>
                <w:sz w:val="20"/>
                <w:szCs w:val="20"/>
              </w:rPr>
              <w:t xml:space="preserve"> kontrolnou známkou na spotrebiteľskom balení</w:t>
            </w:r>
            <w:r w:rsidRPr="00D54662">
              <w:rPr>
                <w:rFonts w:ascii="Times New Roman" w:hAnsi="Times New Roman" w:cs="Times New Roman"/>
                <w:sz w:val="20"/>
                <w:szCs w:val="20"/>
              </w:rPr>
              <w:t>,</w:t>
            </w:r>
          </w:p>
          <w:p w:rsidR="00BA1532" w:rsidRPr="00D54662" w:rsidRDefault="00BA1532" w:rsidP="00BA1532">
            <w:pPr>
              <w:pStyle w:val="Zkladntext0"/>
              <w:numPr>
                <w:ilvl w:val="0"/>
                <w:numId w:val="8"/>
              </w:numPr>
              <w:jc w:val="both"/>
              <w:rPr>
                <w:rFonts w:ascii="Times New Roman" w:hAnsi="Times New Roman" w:cs="Times New Roman"/>
                <w:sz w:val="20"/>
                <w:szCs w:val="20"/>
              </w:rPr>
            </w:pPr>
            <w:r w:rsidRPr="00D54662">
              <w:rPr>
                <w:rFonts w:ascii="Times New Roman" w:hAnsi="Times New Roman" w:cs="Times New Roman"/>
                <w:sz w:val="20"/>
                <w:szCs w:val="20"/>
              </w:rPr>
              <w:t>sprehľadnenie a kontrola obchodného reťazca s výrobkami súvisiacimi s tabakovými výrobkami a bezdymovými tabakovými výrobkami (evidencia obchodníkov – predajcov a distribútorov – platiteľov dane),</w:t>
            </w:r>
          </w:p>
          <w:p w:rsidR="00BA1532" w:rsidRPr="00D54662" w:rsidRDefault="00BA1532" w:rsidP="00BA1532">
            <w:pPr>
              <w:pStyle w:val="Zkladntext0"/>
              <w:numPr>
                <w:ilvl w:val="0"/>
                <w:numId w:val="8"/>
              </w:numPr>
              <w:jc w:val="both"/>
              <w:rPr>
                <w:rFonts w:ascii="Times New Roman" w:hAnsi="Times New Roman" w:cs="Times New Roman"/>
                <w:sz w:val="20"/>
                <w:szCs w:val="20"/>
              </w:rPr>
            </w:pPr>
            <w:r w:rsidRPr="00D54662">
              <w:rPr>
                <w:rFonts w:ascii="Times New Roman" w:hAnsi="Times New Roman" w:cs="Times New Roman"/>
                <w:sz w:val="20"/>
                <w:szCs w:val="20"/>
              </w:rPr>
              <w:t xml:space="preserve">rozšírenie definície bezdymového tabakového výrobku o žuvací </w:t>
            </w:r>
            <w:r>
              <w:rPr>
                <w:rFonts w:ascii="Times New Roman" w:hAnsi="Times New Roman" w:cs="Times New Roman"/>
                <w:sz w:val="20"/>
                <w:szCs w:val="20"/>
              </w:rPr>
              <w:t xml:space="preserve">tabak </w:t>
            </w:r>
            <w:r w:rsidRPr="00D54662">
              <w:rPr>
                <w:rFonts w:ascii="Times New Roman" w:hAnsi="Times New Roman" w:cs="Times New Roman"/>
                <w:sz w:val="20"/>
                <w:szCs w:val="20"/>
              </w:rPr>
              <w:t>a šnupavý tabak,</w:t>
            </w:r>
          </w:p>
          <w:p w:rsidR="00BA1532" w:rsidRPr="00D54662" w:rsidRDefault="00BA1532" w:rsidP="00BA1532">
            <w:pPr>
              <w:pStyle w:val="Zkladntext0"/>
              <w:numPr>
                <w:ilvl w:val="0"/>
                <w:numId w:val="8"/>
              </w:numPr>
              <w:jc w:val="both"/>
              <w:rPr>
                <w:rFonts w:ascii="Times New Roman" w:hAnsi="Times New Roman" w:cs="Times New Roman"/>
                <w:sz w:val="20"/>
                <w:szCs w:val="20"/>
              </w:rPr>
            </w:pPr>
            <w:r w:rsidRPr="00D54662">
              <w:rPr>
                <w:rFonts w:ascii="Times New Roman" w:hAnsi="Times New Roman" w:cs="Times New Roman"/>
                <w:sz w:val="20"/>
                <w:szCs w:val="20"/>
              </w:rPr>
              <w:t>pokračovanie daňového</w:t>
            </w:r>
            <w:r>
              <w:rPr>
                <w:rFonts w:ascii="Times New Roman" w:hAnsi="Times New Roman" w:cs="Times New Roman"/>
                <w:sz w:val="20"/>
                <w:szCs w:val="20"/>
              </w:rPr>
              <w:t xml:space="preserve"> kalendára pre tabakové výrobky v rokoch </w:t>
            </w:r>
            <w:r w:rsidRPr="00D54662">
              <w:rPr>
                <w:rFonts w:ascii="Times New Roman" w:hAnsi="Times New Roman" w:cs="Times New Roman"/>
                <w:sz w:val="20"/>
                <w:szCs w:val="20"/>
              </w:rPr>
              <w:t>2026/2028 v záujme lepšej predvídateľnosti, istoty a transparentnosti a zároveň aj lehoty na dopredaj jednotlivých tabakových výrobkov a</w:t>
            </w:r>
          </w:p>
          <w:p w:rsidR="00BA1532" w:rsidRPr="00D54662" w:rsidRDefault="00BA1532" w:rsidP="00BA1532">
            <w:pPr>
              <w:pStyle w:val="Zkladntext0"/>
              <w:numPr>
                <w:ilvl w:val="0"/>
                <w:numId w:val="8"/>
              </w:numPr>
              <w:jc w:val="both"/>
              <w:rPr>
                <w:rFonts w:ascii="Times New Roman" w:hAnsi="Times New Roman" w:cs="Times New Roman"/>
                <w:sz w:val="20"/>
                <w:szCs w:val="20"/>
              </w:rPr>
            </w:pPr>
            <w:r w:rsidRPr="00D54662">
              <w:rPr>
                <w:rFonts w:ascii="Times New Roman" w:hAnsi="Times New Roman" w:cs="Times New Roman"/>
                <w:sz w:val="20"/>
                <w:szCs w:val="20"/>
              </w:rPr>
              <w:lastRenderedPageBreak/>
              <w:t>legislatívno-technické úpravy vyplývajúce z aplikačnej praxe.</w:t>
            </w:r>
          </w:p>
          <w:p w:rsidR="00BA1532" w:rsidRPr="00D54662" w:rsidRDefault="00BA1532" w:rsidP="005277C1">
            <w:pPr>
              <w:pStyle w:val="Zkladntext0"/>
              <w:ind w:left="360"/>
              <w:jc w:val="both"/>
              <w:rPr>
                <w:rFonts w:ascii="Times New Roman" w:hAnsi="Times New Roman" w:cs="Times New Roman"/>
                <w:sz w:val="20"/>
                <w:szCs w:val="20"/>
              </w:rPr>
            </w:pPr>
          </w:p>
          <w:p w:rsidR="00BA1532" w:rsidRPr="00D54662" w:rsidRDefault="00BA1532" w:rsidP="005277C1">
            <w:pPr>
              <w:pStyle w:val="Zkladntext0"/>
              <w:jc w:val="both"/>
              <w:rPr>
                <w:rFonts w:ascii="Times New Roman" w:hAnsi="Times New Roman" w:cs="Times New Roman"/>
                <w:sz w:val="20"/>
                <w:szCs w:val="20"/>
              </w:rPr>
            </w:pPr>
            <w:r w:rsidRPr="00D54662">
              <w:rPr>
                <w:rFonts w:ascii="Times New Roman" w:hAnsi="Times New Roman" w:cs="Times New Roman"/>
                <w:sz w:val="20"/>
                <w:szCs w:val="20"/>
              </w:rPr>
              <w:t>Vzhľadom na vysoký d</w:t>
            </w:r>
            <w:r>
              <w:rPr>
                <w:rFonts w:ascii="Times New Roman" w:hAnsi="Times New Roman" w:cs="Times New Roman"/>
                <w:sz w:val="20"/>
                <w:szCs w:val="20"/>
              </w:rPr>
              <w:t>eficit verejných financií a zadl</w:t>
            </w:r>
            <w:r w:rsidRPr="00D54662">
              <w:rPr>
                <w:rFonts w:ascii="Times New Roman" w:hAnsi="Times New Roman" w:cs="Times New Roman"/>
                <w:sz w:val="20"/>
                <w:szCs w:val="20"/>
              </w:rPr>
              <w:t>ženie Slovenska je navrhovaný návrh zákona súčasťou konsolidačných opatrení, realizáciou ktorých sa zabezpečia dodatočné príjmy štátneho rozpočtu, čo prispeje k stabilizácii verejných financií a k eliminácii negatívnych vplyvov na vývoj hospodárenia Slovenskej republiky.</w:t>
            </w:r>
          </w:p>
          <w:p w:rsidR="00BA1532" w:rsidRPr="00612E08" w:rsidRDefault="00BA1532" w:rsidP="005277C1">
            <w:pPr>
              <w:jc w:val="both"/>
              <w:rPr>
                <w:rFonts w:ascii="Times New Roman" w:eastAsia="Times New Roman" w:hAnsi="Times New Roman" w:cs="Times New Roman"/>
                <w:sz w:val="20"/>
                <w:szCs w:val="20"/>
                <w:lang w:eastAsia="sk-SK"/>
              </w:rPr>
            </w:pPr>
          </w:p>
        </w:tc>
      </w:tr>
      <w:tr w:rsidR="00BA1532" w:rsidRPr="00612E08" w:rsidTr="005277C1">
        <w:tc>
          <w:tcPr>
            <w:tcW w:w="9180" w:type="dxa"/>
            <w:gridSpan w:val="11"/>
            <w:tcBorders>
              <w:top w:val="single" w:sz="4" w:space="0" w:color="auto"/>
              <w:left w:val="single" w:sz="4" w:space="0" w:color="auto"/>
              <w:bottom w:val="nil"/>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BA1532" w:rsidRPr="00612E08" w:rsidTr="005277C1">
        <w:tc>
          <w:tcPr>
            <w:tcW w:w="9180" w:type="dxa"/>
            <w:gridSpan w:val="11"/>
            <w:tcBorders>
              <w:top w:val="nil"/>
              <w:left w:val="single" w:sz="4" w:space="0" w:color="auto"/>
              <w:bottom w:val="single" w:sz="4" w:space="0" w:color="auto"/>
              <w:right w:val="single" w:sz="4" w:space="0" w:color="auto"/>
            </w:tcBorders>
            <w:shd w:val="clear" w:color="auto" w:fill="FFFFFF"/>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BA1532" w:rsidRPr="00612E08" w:rsidRDefault="00BA1532" w:rsidP="005277C1">
            <w:pPr>
              <w:jc w:val="both"/>
              <w:rPr>
                <w:rFonts w:ascii="Times New Roman" w:eastAsia="Times New Roman" w:hAnsi="Times New Roman" w:cs="Times New Roman"/>
                <w:i/>
                <w:sz w:val="20"/>
                <w:szCs w:val="20"/>
                <w:lang w:eastAsia="sk-SK"/>
              </w:rPr>
            </w:pPr>
            <w:r w:rsidRPr="00AC6985">
              <w:rPr>
                <w:rFonts w:ascii="Times New Roman" w:eastAsia="Times New Roman" w:hAnsi="Times New Roman" w:cs="Times New Roman"/>
                <w:sz w:val="20"/>
                <w:szCs w:val="20"/>
                <w:lang w:eastAsia="sk-SK"/>
              </w:rPr>
              <w:t>Podnikateľské subjekty, ktoré o</w:t>
            </w:r>
            <w:r>
              <w:rPr>
                <w:rFonts w:ascii="Times New Roman" w:eastAsia="Times New Roman" w:hAnsi="Times New Roman" w:cs="Times New Roman"/>
                <w:sz w:val="20"/>
                <w:szCs w:val="20"/>
                <w:lang w:eastAsia="sk-SK"/>
              </w:rPr>
              <w:t xml:space="preserve">bchodujú s tabakovými výrobkami, bezdymovými tabakovými výrobkami a výrobkami súvisiacimi s tabakovými výrobkami </w:t>
            </w:r>
            <w:r w:rsidRPr="00AC6985">
              <w:rPr>
                <w:rFonts w:ascii="Times New Roman" w:eastAsia="Times New Roman" w:hAnsi="Times New Roman" w:cs="Times New Roman"/>
                <w:sz w:val="20"/>
                <w:szCs w:val="20"/>
                <w:lang w:eastAsia="sk-SK"/>
              </w:rPr>
              <w:t>a koneční spotrebitelia tabakových výrobkov</w:t>
            </w:r>
            <w:r>
              <w:rPr>
                <w:rFonts w:ascii="Times New Roman" w:eastAsia="Times New Roman" w:hAnsi="Times New Roman" w:cs="Times New Roman"/>
                <w:sz w:val="20"/>
                <w:szCs w:val="20"/>
                <w:lang w:eastAsia="sk-SK"/>
              </w:rPr>
              <w:t>, bezdymových tabakových výrobkov a výrobkov súvisiacich s tabakovými výrobkami</w:t>
            </w:r>
            <w:r w:rsidRPr="00AC6985">
              <w:rPr>
                <w:rFonts w:ascii="Times New Roman" w:eastAsia="Times New Roman" w:hAnsi="Times New Roman" w:cs="Times New Roman"/>
                <w:sz w:val="20"/>
                <w:szCs w:val="20"/>
                <w:lang w:eastAsia="sk-SK"/>
              </w:rPr>
              <w:t>.</w:t>
            </w:r>
          </w:p>
        </w:tc>
      </w:tr>
      <w:tr w:rsidR="00BA1532" w:rsidRPr="00612E08" w:rsidTr="005277C1">
        <w:tc>
          <w:tcPr>
            <w:tcW w:w="9180" w:type="dxa"/>
            <w:gridSpan w:val="11"/>
            <w:tcBorders>
              <w:top w:val="single" w:sz="4" w:space="0" w:color="auto"/>
              <w:left w:val="single" w:sz="4" w:space="0" w:color="auto"/>
              <w:bottom w:val="nil"/>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BA1532" w:rsidRPr="00612E08" w:rsidTr="005277C1">
        <w:trPr>
          <w:trHeight w:val="680"/>
        </w:trPr>
        <w:tc>
          <w:tcPr>
            <w:tcW w:w="9180" w:type="dxa"/>
            <w:gridSpan w:val="11"/>
            <w:tcBorders>
              <w:top w:val="nil"/>
              <w:left w:val="single" w:sz="4" w:space="0" w:color="auto"/>
              <w:bottom w:val="single" w:sz="4" w:space="0" w:color="auto"/>
              <w:right w:val="single" w:sz="4" w:space="0" w:color="auto"/>
            </w:tcBorders>
            <w:shd w:val="clear" w:color="auto" w:fill="FFFFFF"/>
          </w:tcPr>
          <w:p w:rsidR="00BA1532" w:rsidRPr="00612E08" w:rsidRDefault="00BA1532" w:rsidP="005277C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BA1532" w:rsidRDefault="00BA1532" w:rsidP="005277C1">
            <w:pPr>
              <w:jc w:val="both"/>
              <w:rPr>
                <w:rFonts w:ascii="Times New Roman" w:eastAsia="Times New Roman" w:hAnsi="Times New Roman" w:cs="Times New Roman"/>
                <w:sz w:val="20"/>
                <w:szCs w:val="20"/>
                <w:lang w:eastAsia="sk-SK"/>
              </w:rPr>
            </w:pPr>
          </w:p>
          <w:p w:rsidR="00BA1532" w:rsidRDefault="00BA1532" w:rsidP="005277C1">
            <w:pPr>
              <w:jc w:val="both"/>
              <w:rPr>
                <w:rFonts w:ascii="Times New Roman" w:eastAsia="Times New Roman" w:hAnsi="Times New Roman" w:cs="Times New Roman"/>
                <w:sz w:val="20"/>
                <w:szCs w:val="20"/>
                <w:lang w:eastAsia="sk-SK"/>
              </w:rPr>
            </w:pPr>
            <w:r w:rsidRPr="00EB2CDE">
              <w:rPr>
                <w:rFonts w:ascii="Times New Roman" w:eastAsia="Times New Roman" w:hAnsi="Times New Roman" w:cs="Times New Roman"/>
                <w:sz w:val="20"/>
                <w:szCs w:val="20"/>
                <w:lang w:eastAsia="sk-SK"/>
              </w:rPr>
              <w:t xml:space="preserve">Zachovanie súčasného stavu alebo prijatie </w:t>
            </w:r>
            <w:r>
              <w:rPr>
                <w:rFonts w:ascii="Times New Roman" w:eastAsia="Times New Roman" w:hAnsi="Times New Roman" w:cs="Times New Roman"/>
                <w:sz w:val="20"/>
                <w:szCs w:val="20"/>
                <w:lang w:eastAsia="sk-SK"/>
              </w:rPr>
              <w:t>nových</w:t>
            </w:r>
            <w:r w:rsidRPr="00EB2CDE">
              <w:rPr>
                <w:rFonts w:ascii="Times New Roman" w:eastAsia="Times New Roman" w:hAnsi="Times New Roman" w:cs="Times New Roman"/>
                <w:sz w:val="20"/>
                <w:szCs w:val="20"/>
                <w:lang w:eastAsia="sk-SK"/>
              </w:rPr>
              <w:t xml:space="preserve"> legislatívnych opatrení.</w:t>
            </w:r>
          </w:p>
          <w:p w:rsidR="00BA1532" w:rsidRDefault="00BA1532" w:rsidP="005277C1">
            <w:pPr>
              <w:jc w:val="both"/>
              <w:rPr>
                <w:rFonts w:ascii="Times New Roman" w:eastAsia="Times New Roman" w:hAnsi="Times New Roman" w:cs="Times New Roman"/>
                <w:sz w:val="20"/>
                <w:szCs w:val="20"/>
                <w:lang w:eastAsia="sk-SK"/>
              </w:rPr>
            </w:pPr>
          </w:p>
          <w:p w:rsidR="00BA1532" w:rsidRDefault="00BA1532" w:rsidP="005277C1">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BA1532" w:rsidRDefault="00BA1532" w:rsidP="005277C1">
            <w:pPr>
              <w:jc w:val="both"/>
              <w:rPr>
                <w:rFonts w:ascii="Times New Roman" w:eastAsia="Times New Roman" w:hAnsi="Times New Roman" w:cs="Times New Roman"/>
                <w:sz w:val="20"/>
                <w:szCs w:val="20"/>
                <w:lang w:eastAsia="sk-SK"/>
              </w:rPr>
            </w:pPr>
          </w:p>
          <w:p w:rsidR="00BA1532" w:rsidRDefault="00BA1532" w:rsidP="005277C1">
            <w:pPr>
              <w:jc w:val="both"/>
              <w:rPr>
                <w:rFonts w:ascii="Times New Roman" w:eastAsia="Times New Roman" w:hAnsi="Times New Roman" w:cs="Times New Roman"/>
                <w:sz w:val="20"/>
                <w:szCs w:val="20"/>
                <w:lang w:eastAsia="sk-SK"/>
              </w:rPr>
            </w:pPr>
            <w:r w:rsidRPr="00BC7C69">
              <w:rPr>
                <w:rFonts w:ascii="Times New Roman" w:eastAsia="Times New Roman" w:hAnsi="Times New Roman" w:cs="Times New Roman"/>
                <w:sz w:val="20"/>
                <w:szCs w:val="20"/>
                <w:lang w:eastAsia="sk-SK"/>
              </w:rPr>
              <w:t>Alternatíva č. 0</w:t>
            </w:r>
          </w:p>
          <w:p w:rsidR="00BA1532" w:rsidRPr="00BC7C69" w:rsidRDefault="00BA1532" w:rsidP="005277C1">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Zachovanie doterajšej právnej úpravy</w:t>
            </w:r>
          </w:p>
          <w:p w:rsidR="00BA1532" w:rsidRDefault="00BA1532" w:rsidP="005277C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Nedôjde k zvýšeniu príjmov štátneho rozpočtu a podnikateľské subjekty obchodujúce s tabakovými výrobkami budú v neistote kedy a ako sa budú zvyšovať sadzby spotrebnej dane z tabakových výrobkov. </w:t>
            </w:r>
          </w:p>
          <w:p w:rsidR="00BA1532" w:rsidRDefault="00BA1532" w:rsidP="005277C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Zároveň je možné, že chýbajúca legislatíva pri narastajúcej spotrebe alternatívnych výrobkov, ktoré sa stávajú </w:t>
            </w:r>
            <w:proofErr w:type="spellStart"/>
            <w:r>
              <w:rPr>
                <w:rFonts w:ascii="Times New Roman" w:eastAsia="Times New Roman" w:hAnsi="Times New Roman" w:cs="Times New Roman"/>
                <w:sz w:val="20"/>
                <w:szCs w:val="20"/>
                <w:lang w:eastAsia="sk-SK"/>
              </w:rPr>
              <w:t>substitútmi</w:t>
            </w:r>
            <w:proofErr w:type="spellEnd"/>
            <w:r>
              <w:rPr>
                <w:rFonts w:ascii="Times New Roman" w:eastAsia="Times New Roman" w:hAnsi="Times New Roman" w:cs="Times New Roman"/>
                <w:sz w:val="20"/>
                <w:szCs w:val="20"/>
                <w:lang w:eastAsia="sk-SK"/>
              </w:rPr>
              <w:t xml:space="preserve"> klasických tabakových výrobkov spôsobí narastajúce daňové úniky.</w:t>
            </w:r>
          </w:p>
          <w:p w:rsidR="00BA1532" w:rsidRPr="00612E08" w:rsidRDefault="00BA1532" w:rsidP="005277C1">
            <w:pPr>
              <w:jc w:val="both"/>
              <w:rPr>
                <w:rFonts w:ascii="Times New Roman" w:eastAsia="Times New Roman" w:hAnsi="Times New Roman" w:cs="Times New Roman"/>
                <w:i/>
                <w:sz w:val="20"/>
                <w:szCs w:val="20"/>
                <w:lang w:eastAsia="sk-SK"/>
              </w:rPr>
            </w:pPr>
          </w:p>
        </w:tc>
      </w:tr>
      <w:tr w:rsidR="00BA1532" w:rsidRPr="00612E08" w:rsidTr="005277C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BA1532" w:rsidRPr="00612E08" w:rsidTr="005277C1">
        <w:tc>
          <w:tcPr>
            <w:tcW w:w="6203" w:type="dxa"/>
            <w:gridSpan w:val="7"/>
            <w:tcBorders>
              <w:top w:val="single" w:sz="4" w:space="0" w:color="FFFFFF"/>
              <w:left w:val="single" w:sz="4" w:space="0" w:color="auto"/>
              <w:bottom w:val="nil"/>
              <w:right w:val="nil"/>
            </w:tcBorders>
            <w:shd w:val="clear" w:color="auto" w:fill="FFFFFF"/>
          </w:tcPr>
          <w:p w:rsidR="00BA1532" w:rsidRPr="00612E08" w:rsidRDefault="00BA1532" w:rsidP="005277C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BA1532" w:rsidRPr="00612E08" w:rsidRDefault="00870C88" w:rsidP="005277C1">
            <w:pPr>
              <w:jc w:val="center"/>
              <w:rPr>
                <w:rFonts w:ascii="Times New Roman" w:eastAsia="Times New Roman" w:hAnsi="Times New Roman" w:cs="Times New Roman"/>
                <w:b/>
                <w:sz w:val="20"/>
                <w:szCs w:val="20"/>
                <w:lang w:eastAsia="sk-SK"/>
              </w:rPr>
            </w:pPr>
            <w:sdt>
              <w:sdtPr>
                <w:rPr>
                  <w:b/>
                  <w:sz w:val="20"/>
                  <w:szCs w:val="20"/>
                </w:rPr>
                <w:id w:val="1929613764"/>
                <w14:checkbox>
                  <w14:checked w14:val="1"/>
                  <w14:checkedState w14:val="2612" w14:font="MS Gothic"/>
                  <w14:uncheckedState w14:val="2610" w14:font="MS Gothic"/>
                </w14:checkbox>
              </w:sdtPr>
              <w:sdtEndPr/>
              <w:sdtContent>
                <w:r w:rsidR="00BA1532">
                  <w:rPr>
                    <w:rFonts w:ascii="MS Gothic" w:eastAsia="MS Gothic" w:hAnsi="MS Gothic" w:cs="Times New Roman" w:hint="eastAsia"/>
                    <w:b/>
                    <w:sz w:val="20"/>
                    <w:szCs w:val="20"/>
                    <w:lang w:eastAsia="sk-SK"/>
                  </w:rPr>
                  <w:t>☒</w:t>
                </w:r>
              </w:sdtContent>
            </w:sdt>
            <w:r w:rsidR="00BA1532"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BA1532" w:rsidRPr="00612E08" w:rsidRDefault="00870C88" w:rsidP="005277C1">
            <w:pPr>
              <w:jc w:val="center"/>
              <w:rPr>
                <w:rFonts w:ascii="Times New Roman" w:eastAsia="Times New Roman" w:hAnsi="Times New Roman" w:cs="Times New Roman"/>
                <w:b/>
                <w:sz w:val="20"/>
                <w:szCs w:val="20"/>
                <w:lang w:eastAsia="sk-SK"/>
              </w:rPr>
            </w:pPr>
            <w:sdt>
              <w:sdtPr>
                <w:rPr>
                  <w:b/>
                  <w:sz w:val="20"/>
                  <w:szCs w:val="20"/>
                </w:rPr>
                <w:id w:val="-1594626508"/>
                <w14:checkbox>
                  <w14:checked w14:val="0"/>
                  <w14:checkedState w14:val="2612" w14:font="MS Gothic"/>
                  <w14:uncheckedState w14:val="2610" w14:font="MS Gothic"/>
                </w14:checkbox>
              </w:sdtPr>
              <w:sdtEndPr/>
              <w:sdtContent>
                <w:r w:rsidR="00BA1532">
                  <w:rPr>
                    <w:rFonts w:ascii="MS Gothic" w:eastAsia="MS Gothic" w:hAnsi="MS Gothic" w:cs="Times New Roman" w:hint="eastAsia"/>
                    <w:b/>
                    <w:sz w:val="20"/>
                    <w:szCs w:val="20"/>
                    <w:lang w:eastAsia="sk-SK"/>
                  </w:rPr>
                  <w:t>☐</w:t>
                </w:r>
              </w:sdtContent>
            </w:sdt>
            <w:r w:rsidR="00BA1532" w:rsidRPr="00612E08">
              <w:rPr>
                <w:rFonts w:ascii="Times New Roman" w:eastAsia="Times New Roman" w:hAnsi="Times New Roman" w:cs="Times New Roman"/>
                <w:b/>
                <w:sz w:val="20"/>
                <w:szCs w:val="20"/>
                <w:lang w:eastAsia="sk-SK"/>
              </w:rPr>
              <w:t xml:space="preserve">  Nie</w:t>
            </w:r>
          </w:p>
        </w:tc>
      </w:tr>
      <w:tr w:rsidR="00BA1532" w:rsidRPr="00612E08" w:rsidTr="005277C1">
        <w:tc>
          <w:tcPr>
            <w:tcW w:w="9180" w:type="dxa"/>
            <w:gridSpan w:val="11"/>
            <w:tcBorders>
              <w:top w:val="nil"/>
              <w:left w:val="single" w:sz="4" w:space="0" w:color="auto"/>
              <w:bottom w:val="single" w:sz="4" w:space="0" w:color="auto"/>
              <w:right w:val="single" w:sz="4" w:space="0" w:color="auto"/>
            </w:tcBorders>
            <w:shd w:val="clear" w:color="auto" w:fill="FFFFFF"/>
          </w:tcPr>
          <w:p w:rsidR="00BA1532" w:rsidRPr="00B462E5" w:rsidRDefault="00BA1532" w:rsidP="005277C1">
            <w:pPr>
              <w:rPr>
                <w:rFonts w:ascii="Times New Roman" w:eastAsia="Times New Roman" w:hAnsi="Times New Roman" w:cs="Times New Roman"/>
                <w:i/>
                <w:sz w:val="20"/>
                <w:szCs w:val="20"/>
                <w:lang w:eastAsia="sk-SK"/>
              </w:rPr>
            </w:pPr>
            <w:r w:rsidRPr="00B462E5">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BA1532" w:rsidRPr="00B462E5" w:rsidRDefault="00BA1532" w:rsidP="005277C1">
            <w:pPr>
              <w:jc w:val="both"/>
              <w:rPr>
                <w:rFonts w:ascii="Times New Roman" w:hAnsi="Times New Roman" w:cs="Times New Roman"/>
                <w:bCs/>
                <w:color w:val="000000"/>
                <w:sz w:val="20"/>
                <w:szCs w:val="20"/>
                <w:shd w:val="clear" w:color="auto" w:fill="FFFFFF"/>
              </w:rPr>
            </w:pPr>
            <w:r w:rsidRPr="00B462E5">
              <w:rPr>
                <w:rFonts w:ascii="Times New Roman" w:eastAsia="Times New Roman" w:hAnsi="Times New Roman" w:cs="Times New Roman"/>
                <w:sz w:val="20"/>
                <w:szCs w:val="20"/>
                <w:lang w:eastAsia="sk-SK"/>
              </w:rPr>
              <w:t xml:space="preserve">Vyhláška Ministerstva financií Slovenskej republiky č. 254/2014 Z. z., </w:t>
            </w:r>
            <w:r w:rsidRPr="00B462E5">
              <w:rPr>
                <w:rFonts w:ascii="Times New Roman" w:hAnsi="Times New Roman" w:cs="Times New Roman"/>
                <w:bCs/>
                <w:color w:val="000000"/>
                <w:sz w:val="20"/>
                <w:szCs w:val="20"/>
                <w:shd w:val="clear" w:color="auto" w:fill="FFFFFF"/>
              </w:rPr>
              <w:t>ktorou sa ustanovujú náležitosti, vyhotovenie a cena kontrolnej známky určenej na označovanie spotrebiteľského balenia tabakových výrobkov v znení neskorších predpisov.</w:t>
            </w:r>
          </w:p>
          <w:p w:rsidR="00BA1532" w:rsidRDefault="00BA1532" w:rsidP="005277C1">
            <w:pPr>
              <w:jc w:val="both"/>
              <w:rPr>
                <w:rFonts w:ascii="Times New Roman" w:hAnsi="Times New Roman" w:cs="Times New Roman"/>
                <w:bCs/>
                <w:color w:val="000000"/>
                <w:sz w:val="20"/>
                <w:szCs w:val="20"/>
                <w:shd w:val="clear" w:color="auto" w:fill="FFFFFF"/>
              </w:rPr>
            </w:pPr>
            <w:r w:rsidRPr="00B462E5">
              <w:rPr>
                <w:rFonts w:ascii="Times New Roman" w:eastAsia="Times New Roman" w:hAnsi="Times New Roman" w:cs="Times New Roman"/>
                <w:sz w:val="20"/>
                <w:szCs w:val="20"/>
                <w:lang w:eastAsia="sk-SK"/>
              </w:rPr>
              <w:t xml:space="preserve">Vyhláška Ministerstva financií Slovenskej republiky č. 255/2014 Z. z. </w:t>
            </w:r>
            <w:r w:rsidRPr="00B462E5">
              <w:rPr>
                <w:rFonts w:ascii="Times New Roman" w:hAnsi="Times New Roman" w:cs="Times New Roman"/>
                <w:bCs/>
                <w:color w:val="000000"/>
                <w:sz w:val="20"/>
                <w:szCs w:val="20"/>
                <w:shd w:val="clear" w:color="auto" w:fill="FFFFFF"/>
              </w:rPr>
              <w:t>o označovaní balení kontrolných známok určených na označovanie spotrebiteľského balenia tabakových výrobkov a o oznamovaní a zverejňovaní údajov o týchto kontrolných známkach v znení neskorších predpisov.</w:t>
            </w:r>
          </w:p>
          <w:p w:rsidR="00BA1532" w:rsidRPr="00612E08" w:rsidRDefault="00BA1532" w:rsidP="005277C1">
            <w:pPr>
              <w:jc w:val="both"/>
              <w:rPr>
                <w:rFonts w:ascii="Times New Roman" w:eastAsia="Times New Roman" w:hAnsi="Times New Roman" w:cs="Times New Roman"/>
                <w:sz w:val="20"/>
                <w:szCs w:val="20"/>
                <w:lang w:eastAsia="sk-SK"/>
              </w:rPr>
            </w:pPr>
            <w:r w:rsidRPr="00B462E5">
              <w:rPr>
                <w:rFonts w:ascii="Times New Roman" w:eastAsia="Times New Roman" w:hAnsi="Times New Roman" w:cs="Times New Roman"/>
                <w:sz w:val="20"/>
                <w:szCs w:val="20"/>
                <w:lang w:eastAsia="sk-SK"/>
              </w:rPr>
              <w:t>Vyhláška Ministerstva fina</w:t>
            </w:r>
            <w:r>
              <w:rPr>
                <w:rFonts w:ascii="Times New Roman" w:eastAsia="Times New Roman" w:hAnsi="Times New Roman" w:cs="Times New Roman"/>
                <w:sz w:val="20"/>
                <w:szCs w:val="20"/>
                <w:lang w:eastAsia="sk-SK"/>
              </w:rPr>
              <w:t>ncií Slovenskej republiky č. 63/2017</w:t>
            </w:r>
            <w:r w:rsidRPr="00B462E5">
              <w:rPr>
                <w:rFonts w:ascii="Times New Roman" w:eastAsia="Times New Roman" w:hAnsi="Times New Roman" w:cs="Times New Roman"/>
                <w:sz w:val="20"/>
                <w:szCs w:val="20"/>
                <w:lang w:eastAsia="sk-SK"/>
              </w:rPr>
              <w:t xml:space="preserve"> Z. z. </w:t>
            </w:r>
            <w:r>
              <w:rPr>
                <w:rFonts w:ascii="Times New Roman" w:hAnsi="Times New Roman" w:cs="Times New Roman"/>
                <w:bCs/>
                <w:color w:val="000000"/>
                <w:sz w:val="20"/>
                <w:szCs w:val="20"/>
                <w:shd w:val="clear" w:color="auto" w:fill="FFFFFF"/>
              </w:rPr>
              <w:t>ktorou sa ustanovuje vzor tlačiva daňového priznania a dodatočného daňového priznania k spotrebnej dani z bezdymového tabakového výrobku.</w:t>
            </w:r>
          </w:p>
        </w:tc>
      </w:tr>
      <w:tr w:rsidR="00BA1532" w:rsidRPr="00612E08" w:rsidTr="005277C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BA1532" w:rsidRPr="00612E08" w:rsidTr="005277C1">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BA1532" w:rsidRPr="00612E08" w:rsidTr="005277C1">
              <w:trPr>
                <w:trHeight w:val="90"/>
              </w:trPr>
              <w:tc>
                <w:tcPr>
                  <w:tcW w:w="8643" w:type="dxa"/>
                </w:tcPr>
                <w:p w:rsidR="00BA1532" w:rsidRDefault="00BA1532" w:rsidP="005277C1">
                  <w:pPr>
                    <w:pStyle w:val="Default"/>
                    <w:rPr>
                      <w:i/>
                      <w:iCs/>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p w:rsidR="00BA1532" w:rsidRPr="001D7C78" w:rsidRDefault="00BA1532" w:rsidP="005277C1">
                  <w:pPr>
                    <w:pStyle w:val="Default"/>
                    <w:jc w:val="both"/>
                    <w:rPr>
                      <w:color w:val="auto"/>
                      <w:sz w:val="20"/>
                      <w:szCs w:val="20"/>
                    </w:rPr>
                  </w:pPr>
                  <w:r w:rsidRPr="001D7C78">
                    <w:rPr>
                      <w:sz w:val="20"/>
                      <w:szCs w:val="20"/>
                    </w:rPr>
                    <w:t xml:space="preserve">Smernica Rady </w:t>
                  </w:r>
                  <w:r w:rsidRPr="001D7C78">
                    <w:rPr>
                      <w:sz w:val="20"/>
                      <w:szCs w:val="20"/>
                      <w:u w:val="single"/>
                    </w:rPr>
                    <w:t>2011/64/EÚ</w:t>
                  </w:r>
                  <w:r w:rsidRPr="001D7C78">
                    <w:rPr>
                      <w:sz w:val="20"/>
                      <w:szCs w:val="20"/>
                    </w:rPr>
                    <w:t xml:space="preserve"> </w:t>
                  </w:r>
                  <w:r w:rsidRPr="001D7C78">
                    <w:rPr>
                      <w:rStyle w:val="Siln"/>
                      <w:sz w:val="20"/>
                      <w:szCs w:val="20"/>
                    </w:rPr>
                    <w:t xml:space="preserve">z 21. júna 2011 o štruktúre a sadzbách spotrebnej dane </w:t>
                  </w:r>
                  <w:r w:rsidRPr="001D7C78">
                    <w:rPr>
                      <w:rStyle w:val="Siln"/>
                      <w:sz w:val="20"/>
                      <w:szCs w:val="20"/>
                    </w:rPr>
                    <w:br/>
                    <w:t>z tabakových výrobkov (kodifikované znenie)</w:t>
                  </w:r>
                  <w:r w:rsidRPr="001D7C78">
                    <w:rPr>
                      <w:sz w:val="20"/>
                      <w:szCs w:val="20"/>
                    </w:rPr>
                    <w:t xml:space="preserve"> (</w:t>
                  </w:r>
                  <w:r w:rsidRPr="001D7C78">
                    <w:rPr>
                      <w:rStyle w:val="Zvraznenie"/>
                      <w:sz w:val="20"/>
                      <w:szCs w:val="20"/>
                    </w:rPr>
                    <w:t xml:space="preserve">Ú. v. EÚ L 176, 5.7. 2011). </w:t>
                  </w:r>
                </w:p>
              </w:tc>
            </w:tr>
            <w:tr w:rsidR="00BA1532" w:rsidRPr="00612E08" w:rsidTr="005277C1">
              <w:trPr>
                <w:trHeight w:val="296"/>
              </w:trPr>
              <w:tc>
                <w:tcPr>
                  <w:tcW w:w="8643" w:type="dxa"/>
                </w:tcPr>
                <w:p w:rsidR="00BA1532" w:rsidRPr="00612E08" w:rsidRDefault="00BA1532" w:rsidP="005277C1">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BA1532" w:rsidRPr="00612E08" w:rsidRDefault="00BA1532" w:rsidP="005277C1">
                  <w:pPr>
                    <w:pStyle w:val="Default"/>
                    <w:rPr>
                      <w:i/>
                      <w:iCs/>
                      <w:color w:val="auto"/>
                      <w:sz w:val="20"/>
                      <w:szCs w:val="20"/>
                    </w:rPr>
                  </w:pPr>
                </w:p>
                <w:p w:rsidR="00BA1532" w:rsidRPr="00612E08" w:rsidRDefault="00BA1532" w:rsidP="005277C1">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BA1532" w:rsidRPr="00612E08" w:rsidTr="005277C1">
              <w:trPr>
                <w:trHeight w:val="296"/>
              </w:trPr>
              <w:tc>
                <w:tcPr>
                  <w:tcW w:w="8643" w:type="dxa"/>
                </w:tcPr>
                <w:p w:rsidR="00BA1532" w:rsidRPr="00612E08" w:rsidRDefault="00BA1532" w:rsidP="005277C1">
                  <w:pPr>
                    <w:pStyle w:val="Default"/>
                    <w:rPr>
                      <w:rFonts w:ascii="Segoe UI Symbol" w:hAnsi="Segoe UI Symbol" w:cs="Segoe UI Symbol"/>
                      <w:color w:val="auto"/>
                      <w:sz w:val="20"/>
                      <w:szCs w:val="20"/>
                    </w:rPr>
                  </w:pPr>
                </w:p>
              </w:tc>
            </w:tr>
          </w:tbl>
          <w:p w:rsidR="00BA1532" w:rsidRPr="00612E08" w:rsidRDefault="00BA1532" w:rsidP="005277C1">
            <w:pPr>
              <w:jc w:val="both"/>
              <w:rPr>
                <w:rFonts w:ascii="Times New Roman" w:eastAsia="Times New Roman" w:hAnsi="Times New Roman" w:cs="Times New Roman"/>
                <w:i/>
                <w:sz w:val="20"/>
                <w:szCs w:val="20"/>
                <w:lang w:eastAsia="sk-SK"/>
              </w:rPr>
            </w:pPr>
          </w:p>
        </w:tc>
      </w:tr>
      <w:tr w:rsidR="00BA1532" w:rsidRPr="00612E08" w:rsidTr="005277C1">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BA1532" w:rsidRPr="00612E08" w:rsidRDefault="00BA1532" w:rsidP="005277C1">
            <w:pPr>
              <w:jc w:val="center"/>
              <w:rPr>
                <w:rFonts w:ascii="Times New Roman" w:eastAsia="Times New Roman" w:hAnsi="Times New Roman" w:cs="Times New Roman"/>
                <w:sz w:val="20"/>
                <w:szCs w:val="20"/>
                <w:lang w:eastAsia="sk-SK"/>
              </w:rPr>
            </w:pPr>
          </w:p>
        </w:tc>
      </w:tr>
      <w:tr w:rsidR="00BA1532" w:rsidRPr="00612E08" w:rsidTr="005277C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BA1532" w:rsidRPr="00612E08" w:rsidTr="005277C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A1532" w:rsidRPr="00612E08" w:rsidRDefault="00BA1532" w:rsidP="005277C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BA1532" w:rsidRPr="00612E08" w:rsidRDefault="00BA1532" w:rsidP="005277C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BA1532" w:rsidRDefault="00BA1532" w:rsidP="005277C1">
            <w:pPr>
              <w:jc w:val="both"/>
              <w:rPr>
                <w:rFonts w:ascii="Times New Roman" w:eastAsia="Times New Roman" w:hAnsi="Times New Roman" w:cs="Times New Roman"/>
                <w:sz w:val="20"/>
                <w:szCs w:val="20"/>
                <w:lang w:eastAsia="sk-SK"/>
              </w:rPr>
            </w:pPr>
          </w:p>
          <w:p w:rsidR="00BA1532" w:rsidRPr="00396FDC" w:rsidRDefault="00BA1532" w:rsidP="005277C1">
            <w:pPr>
              <w:jc w:val="both"/>
              <w:rPr>
                <w:rFonts w:ascii="Times New Roman" w:eastAsia="Times New Roman" w:hAnsi="Times New Roman" w:cs="Times New Roman"/>
                <w:sz w:val="20"/>
                <w:szCs w:val="20"/>
                <w:lang w:eastAsia="sk-SK"/>
              </w:rPr>
            </w:pPr>
            <w:r w:rsidRPr="00A93F81">
              <w:rPr>
                <w:rFonts w:ascii="Times New Roman" w:eastAsia="Times New Roman" w:hAnsi="Times New Roman" w:cs="Times New Roman"/>
                <w:sz w:val="20"/>
                <w:szCs w:val="20"/>
                <w:lang w:eastAsia="sk-SK"/>
              </w:rPr>
              <w:t>Ministerstvo financií Slovenskej republiky preskúma účelnosť návrhu zákona na základe podnetov orgánov finančnej správy vykonávajúcich správu daní.</w:t>
            </w:r>
            <w:r>
              <w:rPr>
                <w:rFonts w:ascii="Times New Roman" w:eastAsia="Times New Roman" w:hAnsi="Times New Roman" w:cs="Times New Roman"/>
                <w:sz w:val="20"/>
                <w:szCs w:val="20"/>
                <w:lang w:eastAsia="sk-SK"/>
              </w:rPr>
              <w:t xml:space="preserve"> Výška sadzieb dane na výrobky podliehajúce spotrebnej dani sa pravidelne prehodnocuje v súvislosti k predpokladanému výberu dane. Vzhľadom na nastavenie daňového kalendára do roku 2028, sa opätovné preskúmanie výšky sadzieb predpokladá v roku 2028. </w:t>
            </w:r>
          </w:p>
        </w:tc>
      </w:tr>
      <w:tr w:rsidR="00BA1532" w:rsidRPr="00612E08" w:rsidTr="005277C1">
        <w:tc>
          <w:tcPr>
            <w:tcW w:w="9180" w:type="dxa"/>
            <w:gridSpan w:val="11"/>
            <w:tcBorders>
              <w:top w:val="nil"/>
              <w:left w:val="nil"/>
              <w:bottom w:val="single" w:sz="4" w:space="0" w:color="auto"/>
              <w:right w:val="nil"/>
            </w:tcBorders>
            <w:shd w:val="clear" w:color="auto" w:fill="FFFFFF"/>
          </w:tcPr>
          <w:p w:rsidR="00BA1532" w:rsidRPr="00612E08" w:rsidRDefault="00BA1532" w:rsidP="005277C1">
            <w:pPr>
              <w:jc w:val="both"/>
              <w:rPr>
                <w:rFonts w:ascii="Times New Roman" w:eastAsia="Times New Roman" w:hAnsi="Times New Roman" w:cs="Times New Roman"/>
                <w:b/>
                <w:sz w:val="20"/>
                <w:szCs w:val="20"/>
                <w:lang w:eastAsia="sk-SK"/>
              </w:rPr>
            </w:pPr>
          </w:p>
          <w:p w:rsidR="00BA1532" w:rsidRPr="00612E08" w:rsidRDefault="00BA1532" w:rsidP="005277C1">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BA1532" w:rsidRPr="00612E08" w:rsidRDefault="00BA1532" w:rsidP="005277C1">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vyplniť iba v prípade, ak sa záverečné posúdenie vybraných vplyvov uskutočnilo v zmysle bodu 9.1. jednotnej metodiky.</w:t>
            </w:r>
          </w:p>
          <w:p w:rsidR="00BA1532" w:rsidRPr="00612E08" w:rsidRDefault="00BA1532" w:rsidP="005277C1">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BA1532" w:rsidRPr="00612E08" w:rsidRDefault="00BA1532" w:rsidP="005277C1">
            <w:pPr>
              <w:jc w:val="both"/>
              <w:rPr>
                <w:rFonts w:ascii="Times New Roman" w:eastAsia="Times New Roman" w:hAnsi="Times New Roman" w:cs="Times New Roman"/>
                <w:sz w:val="20"/>
                <w:szCs w:val="20"/>
                <w:lang w:eastAsia="sk-SK"/>
              </w:rPr>
            </w:pPr>
          </w:p>
          <w:p w:rsidR="00BA1532" w:rsidRPr="00612E08" w:rsidRDefault="00BA1532" w:rsidP="005277C1">
            <w:pPr>
              <w:jc w:val="both"/>
              <w:rPr>
                <w:rFonts w:ascii="Times New Roman" w:eastAsia="Times New Roman" w:hAnsi="Times New Roman" w:cs="Times New Roman"/>
                <w:b/>
                <w:sz w:val="20"/>
                <w:szCs w:val="20"/>
                <w:lang w:eastAsia="sk-SK"/>
              </w:rPr>
            </w:pPr>
          </w:p>
        </w:tc>
      </w:tr>
      <w:tr w:rsidR="00BA1532" w:rsidRPr="00612E08" w:rsidTr="005277C1">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Vybrané vplyvy  materiálu</w:t>
            </w:r>
          </w:p>
        </w:tc>
      </w:tr>
      <w:tr w:rsidR="00BA1532" w:rsidRPr="00612E08" w:rsidTr="005277C1">
        <w:tc>
          <w:tcPr>
            <w:tcW w:w="3812" w:type="dxa"/>
            <w:tcBorders>
              <w:top w:val="single" w:sz="4" w:space="0" w:color="auto"/>
              <w:left w:val="single" w:sz="4" w:space="0" w:color="auto"/>
              <w:bottom w:val="nil"/>
              <w:right w:val="single" w:sz="4" w:space="0" w:color="auto"/>
            </w:tcBorders>
            <w:shd w:val="clear" w:color="auto" w:fill="E2E2E2"/>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b/>
              <w:sz w:val="20"/>
              <w:szCs w:val="20"/>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BA1532" w:rsidRPr="00612E08" w:rsidRDefault="00BA1532" w:rsidP="005277C1">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BA1532" w:rsidRPr="00612E08" w:rsidRDefault="00BA1532" w:rsidP="005277C1">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A1532" w:rsidRPr="00612E08" w:rsidTr="005277C1">
        <w:tc>
          <w:tcPr>
            <w:tcW w:w="3812" w:type="dxa"/>
            <w:tcBorders>
              <w:top w:val="nil"/>
              <w:left w:val="single" w:sz="4" w:space="0" w:color="auto"/>
              <w:bottom w:val="nil"/>
              <w:right w:val="single" w:sz="4" w:space="0" w:color="auto"/>
            </w:tcBorders>
            <w:shd w:val="clear" w:color="auto" w:fill="E2E2E2"/>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BA1532" w:rsidRPr="00A93F81" w:rsidRDefault="00BA1532" w:rsidP="005277C1">
                <w:pPr>
                  <w:jc w:val="center"/>
                  <w:rPr>
                    <w:rFonts w:ascii="Times New Roman" w:eastAsia="Times New Roman" w:hAnsi="Times New Roman" w:cs="Times New Roman"/>
                    <w:sz w:val="20"/>
                    <w:szCs w:val="20"/>
                    <w:lang w:eastAsia="sk-SK"/>
                  </w:rPr>
                </w:pPr>
                <w:r w:rsidRPr="00A93F81">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BA1532" w:rsidRPr="00A93F81" w:rsidRDefault="00BA1532" w:rsidP="005277C1">
            <w:pPr>
              <w:rPr>
                <w:rFonts w:ascii="Times New Roman" w:eastAsia="Times New Roman" w:hAnsi="Times New Roman" w:cs="Times New Roman"/>
                <w:sz w:val="20"/>
                <w:szCs w:val="20"/>
                <w:lang w:eastAsia="sk-SK"/>
              </w:rPr>
            </w:pPr>
            <w:r w:rsidRPr="00A93F81">
              <w:rPr>
                <w:rFonts w:ascii="Times New Roman" w:eastAsia="Times New Roman" w:hAnsi="Times New Roman" w:cs="Times New Roman"/>
                <w:sz w:val="20"/>
                <w:szCs w:val="20"/>
                <w:lang w:eastAsia="sk-SK"/>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BA1532" w:rsidRPr="00612E08" w:rsidRDefault="00BA1532" w:rsidP="005277C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BA1532" w:rsidRPr="00612E08" w:rsidRDefault="00BA1532" w:rsidP="005277C1">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BA1532" w:rsidRPr="00612E08" w:rsidRDefault="00BA1532" w:rsidP="005277C1">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BA1532" w:rsidRPr="00612E08" w:rsidTr="005277C1">
        <w:tc>
          <w:tcPr>
            <w:tcW w:w="3812" w:type="dxa"/>
            <w:tcBorders>
              <w:top w:val="nil"/>
              <w:left w:val="single" w:sz="4" w:space="0" w:color="auto"/>
              <w:bottom w:val="nil"/>
              <w:right w:val="single" w:sz="4" w:space="0" w:color="auto"/>
            </w:tcBorders>
            <w:shd w:val="clear" w:color="auto" w:fill="E2E2E2"/>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BA1532" w:rsidRPr="00612E08" w:rsidRDefault="00BA1532" w:rsidP="005277C1">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BA1532" w:rsidRPr="00612E08" w:rsidRDefault="00BA1532" w:rsidP="005277C1">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A1532" w:rsidRPr="00612E08" w:rsidTr="005277C1">
        <w:tc>
          <w:tcPr>
            <w:tcW w:w="3812" w:type="dxa"/>
            <w:tcBorders>
              <w:top w:val="nil"/>
              <w:left w:val="single" w:sz="4" w:space="0" w:color="auto"/>
              <w:bottom w:val="single" w:sz="4" w:space="0" w:color="auto"/>
              <w:right w:val="single" w:sz="4" w:space="0" w:color="auto"/>
            </w:tcBorders>
            <w:shd w:val="clear" w:color="auto" w:fill="E2E2E2"/>
          </w:tcPr>
          <w:p w:rsidR="00BA1532" w:rsidRPr="00612E08" w:rsidRDefault="00BA1532" w:rsidP="005277C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BA1532" w:rsidRPr="00612E08" w:rsidRDefault="00BA1532" w:rsidP="005277C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BA1532" w:rsidRPr="00612E08" w:rsidRDefault="00BA1532" w:rsidP="005277C1">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BA1532" w:rsidRPr="00612E08" w:rsidRDefault="00BA1532" w:rsidP="005277C1">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BA1532" w:rsidRPr="00612E08" w:rsidTr="005277C1">
        <w:tc>
          <w:tcPr>
            <w:tcW w:w="3812" w:type="dxa"/>
            <w:tcBorders>
              <w:top w:val="single" w:sz="4" w:space="0" w:color="auto"/>
              <w:left w:val="single" w:sz="4" w:space="0" w:color="auto"/>
              <w:bottom w:val="single" w:sz="4" w:space="0" w:color="auto"/>
              <w:right w:val="single" w:sz="4" w:space="0" w:color="auto"/>
            </w:tcBorders>
            <w:shd w:val="clear" w:color="auto" w:fill="E2E2E2"/>
          </w:tcPr>
          <w:p w:rsidR="00BA1532" w:rsidRPr="00612E08" w:rsidRDefault="00BA1532" w:rsidP="005277C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BA1532" w:rsidRPr="00612E08" w:rsidRDefault="00BA1532" w:rsidP="005277C1">
            <w:pPr>
              <w:rPr>
                <w:rFonts w:ascii="Times New Roman" w:eastAsia="Times New Roman" w:hAnsi="Times New Roman" w:cs="Times New Roman"/>
                <w:sz w:val="20"/>
                <w:szCs w:val="20"/>
                <w:lang w:eastAsia="sk-SK"/>
              </w:rPr>
            </w:pPr>
          </w:p>
        </w:tc>
        <w:sdt>
          <w:sdtPr>
            <w:rPr>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BA1532" w:rsidRPr="00612E08" w:rsidRDefault="00BA1532" w:rsidP="005277C1">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A1532" w:rsidRPr="00612E08" w:rsidRDefault="00BA1532" w:rsidP="005277C1">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BA1532" w:rsidRPr="00612E08" w:rsidTr="005277C1">
        <w:tc>
          <w:tcPr>
            <w:tcW w:w="3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1532" w:rsidRPr="00A24737"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shd w:val="clear" w:color="auto" w:fill="auto"/>
                <w:vAlign w:val="center"/>
              </w:tcPr>
              <w:p w:rsidR="00BA1532" w:rsidRPr="00A93F81" w:rsidRDefault="00BA1532" w:rsidP="005277C1">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shd w:val="clear" w:color="auto" w:fill="auto"/>
            <w:vAlign w:val="center"/>
          </w:tcPr>
          <w:p w:rsidR="00BA1532" w:rsidRPr="00A93F81" w:rsidRDefault="00BA1532" w:rsidP="005277C1">
            <w:pPr>
              <w:rPr>
                <w:rFonts w:ascii="Times New Roman" w:eastAsia="Times New Roman" w:hAnsi="Times New Roman" w:cs="Times New Roman"/>
                <w:sz w:val="20"/>
                <w:szCs w:val="20"/>
                <w:lang w:eastAsia="sk-SK"/>
              </w:rPr>
            </w:pPr>
            <w:r w:rsidRPr="00A93F81">
              <w:rPr>
                <w:rFonts w:ascii="Times New Roman" w:eastAsia="Times New Roman" w:hAnsi="Times New Roman" w:cs="Times New Roman"/>
                <w:b/>
                <w:sz w:val="20"/>
                <w:szCs w:val="20"/>
                <w:lang w:eastAsia="sk-SK"/>
              </w:rPr>
              <w:t>Pozitívne</w:t>
            </w:r>
          </w:p>
        </w:tc>
        <w:sdt>
          <w:sdtPr>
            <w:rPr>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shd w:val="clear" w:color="auto" w:fill="auto"/>
                <w:vAlign w:val="center"/>
              </w:tcPr>
              <w:p w:rsidR="00BA1532" w:rsidRPr="00A24737" w:rsidRDefault="00BA1532" w:rsidP="005277C1">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shd w:val="clear" w:color="auto" w:fill="auto"/>
            <w:vAlign w:val="center"/>
          </w:tcPr>
          <w:p w:rsidR="00BA1532" w:rsidRPr="00A24737" w:rsidRDefault="00BA1532" w:rsidP="005277C1">
            <w:pPr>
              <w:rPr>
                <w:rFonts w:ascii="Times New Roman" w:eastAsia="Times New Roman" w:hAnsi="Times New Roman" w:cs="Times New Roman"/>
                <w:sz w:val="20"/>
                <w:szCs w:val="20"/>
                <w:lang w:eastAsia="sk-SK"/>
              </w:rPr>
            </w:pPr>
            <w:r w:rsidRPr="00A24737">
              <w:rPr>
                <w:rFonts w:ascii="Times New Roman" w:eastAsia="Times New Roman" w:hAnsi="Times New Roman" w:cs="Times New Roman"/>
                <w:b/>
                <w:sz w:val="20"/>
                <w:szCs w:val="20"/>
                <w:lang w:eastAsia="sk-SK"/>
              </w:rPr>
              <w:t>Žiadne</w:t>
            </w:r>
          </w:p>
        </w:tc>
        <w:sdt>
          <w:sdtPr>
            <w:rPr>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shd w:val="clear" w:color="auto" w:fill="auto"/>
                <w:vAlign w:val="center"/>
              </w:tcPr>
              <w:p w:rsidR="00BA1532" w:rsidRPr="00A24737" w:rsidRDefault="00BA1532" w:rsidP="005277C1">
                <w:pPr>
                  <w:ind w:left="-107" w:right="-108"/>
                  <w:jc w:val="center"/>
                  <w:rPr>
                    <w:rFonts w:ascii="Times New Roman" w:eastAsia="Times New Roman" w:hAnsi="Times New Roman" w:cs="Times New Roman"/>
                    <w:sz w:val="20"/>
                    <w:szCs w:val="20"/>
                    <w:lang w:eastAsia="sk-SK"/>
                  </w:rPr>
                </w:pPr>
                <w:r w:rsidRPr="00A24737">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shd w:val="clear" w:color="auto" w:fill="auto"/>
            <w:vAlign w:val="center"/>
          </w:tcPr>
          <w:p w:rsidR="00BA1532" w:rsidRPr="00A24737" w:rsidRDefault="00BA1532" w:rsidP="005277C1">
            <w:pPr>
              <w:ind w:left="34"/>
              <w:rPr>
                <w:rFonts w:ascii="Times New Roman" w:eastAsia="Times New Roman" w:hAnsi="Times New Roman" w:cs="Times New Roman"/>
                <w:sz w:val="20"/>
                <w:szCs w:val="20"/>
                <w:lang w:eastAsia="sk-SK"/>
              </w:rPr>
            </w:pPr>
            <w:r w:rsidRPr="00A24737">
              <w:rPr>
                <w:rFonts w:ascii="Times New Roman" w:eastAsia="Times New Roman" w:hAnsi="Times New Roman" w:cs="Times New Roman"/>
                <w:b/>
                <w:sz w:val="20"/>
                <w:szCs w:val="20"/>
                <w:lang w:eastAsia="sk-SK"/>
              </w:rPr>
              <w:t>Negatívne</w:t>
            </w:r>
          </w:p>
        </w:tc>
      </w:tr>
      <w:tr w:rsidR="00BA1532" w:rsidRPr="00612E08" w:rsidTr="005277C1">
        <w:tc>
          <w:tcPr>
            <w:tcW w:w="3812" w:type="dxa"/>
            <w:tcBorders>
              <w:top w:val="single" w:sz="4" w:space="0" w:color="auto"/>
              <w:left w:val="single" w:sz="4" w:space="0" w:color="auto"/>
              <w:bottom w:val="nil"/>
              <w:right w:val="single" w:sz="4" w:space="0" w:color="auto"/>
            </w:tcBorders>
            <w:shd w:val="clear" w:color="auto" w:fill="E2E2E2"/>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b/>
              <w:sz w:val="20"/>
              <w:szCs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BA1532" w:rsidRPr="00612E08" w:rsidRDefault="00BA1532" w:rsidP="005277C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BA1532" w:rsidRPr="00612E08" w:rsidRDefault="00BA1532" w:rsidP="005277C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A1532" w:rsidRPr="00612E08" w:rsidTr="005277C1">
        <w:tc>
          <w:tcPr>
            <w:tcW w:w="3812" w:type="dxa"/>
            <w:tcBorders>
              <w:top w:val="nil"/>
              <w:left w:val="single" w:sz="4" w:space="0" w:color="000000"/>
              <w:bottom w:val="nil"/>
              <w:right w:val="single" w:sz="4" w:space="0" w:color="000000"/>
            </w:tcBorders>
            <w:shd w:val="clear" w:color="auto" w:fill="E2E2E2"/>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BA1532" w:rsidRPr="00612E08" w:rsidRDefault="00BA1532" w:rsidP="005277C1">
            <w:pPr>
              <w:rPr>
                <w:rFonts w:ascii="Times New Roman" w:eastAsia="Times New Roman" w:hAnsi="Times New Roman" w:cs="Times New Roman"/>
                <w:sz w:val="20"/>
                <w:szCs w:val="20"/>
                <w:lang w:eastAsia="sk-SK"/>
              </w:rPr>
            </w:pPr>
          </w:p>
        </w:tc>
        <w:sdt>
          <w:sdtPr>
            <w:rPr>
              <w:sz w:val="20"/>
              <w:szCs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BA1532" w:rsidRPr="00612E08" w:rsidRDefault="00BA1532" w:rsidP="005277C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BA1532" w:rsidRPr="00612E08" w:rsidRDefault="00BA1532" w:rsidP="005277C1">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BA1532" w:rsidRPr="00612E08" w:rsidRDefault="00BA1532" w:rsidP="005277C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BA1532" w:rsidRPr="00612E08" w:rsidRDefault="00BA1532" w:rsidP="005277C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BA1532" w:rsidRPr="00612E08" w:rsidRDefault="00BA1532" w:rsidP="005277C1">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BA1532" w:rsidRPr="00612E08" w:rsidTr="005277C1">
        <w:tc>
          <w:tcPr>
            <w:tcW w:w="3812" w:type="dxa"/>
            <w:tcBorders>
              <w:top w:val="nil"/>
              <w:left w:val="single" w:sz="4" w:space="0" w:color="auto"/>
              <w:bottom w:val="single" w:sz="4" w:space="0" w:color="auto"/>
              <w:right w:val="single" w:sz="4" w:space="0" w:color="auto"/>
            </w:tcBorders>
            <w:shd w:val="clear" w:color="auto" w:fill="E2E2E2"/>
          </w:tcPr>
          <w:p w:rsidR="00BA1532" w:rsidRPr="00612E08" w:rsidRDefault="00BA1532" w:rsidP="005277C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b/>
              <w:sz w:val="20"/>
              <w:szCs w:val="20"/>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BA1532" w:rsidRPr="00612E08" w:rsidRDefault="00BA1532" w:rsidP="005277C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BA1532" w:rsidRPr="00612E08" w:rsidRDefault="00BA1532" w:rsidP="005277C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BA1532" w:rsidRPr="00612E08" w:rsidTr="005277C1">
        <w:tc>
          <w:tcPr>
            <w:tcW w:w="3812" w:type="dxa"/>
            <w:tcBorders>
              <w:top w:val="single" w:sz="4" w:space="0" w:color="000000"/>
              <w:left w:val="single" w:sz="4" w:space="0" w:color="auto"/>
              <w:bottom w:val="single" w:sz="4" w:space="0" w:color="auto"/>
              <w:right w:val="single" w:sz="4" w:space="0" w:color="auto"/>
            </w:tcBorders>
            <w:shd w:val="clear" w:color="auto" w:fill="E2E2E2"/>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A1532" w:rsidRPr="00612E08" w:rsidRDefault="00BA1532" w:rsidP="005277C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A1532" w:rsidRPr="00612E08" w:rsidRDefault="00BA1532" w:rsidP="005277C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A1532" w:rsidRPr="00612E08" w:rsidTr="005277C1">
        <w:tc>
          <w:tcPr>
            <w:tcW w:w="3812" w:type="dxa"/>
            <w:tcBorders>
              <w:top w:val="single" w:sz="4" w:space="0" w:color="auto"/>
              <w:left w:val="single" w:sz="4" w:space="0" w:color="auto"/>
              <w:bottom w:val="nil"/>
              <w:right w:val="single" w:sz="4" w:space="0" w:color="auto"/>
            </w:tcBorders>
            <w:shd w:val="clear" w:color="auto" w:fill="E2E2E2"/>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A1532" w:rsidRPr="00612E08" w:rsidRDefault="00BA1532" w:rsidP="005277C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A1532" w:rsidRPr="00612E08" w:rsidRDefault="00BA1532" w:rsidP="005277C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A1532" w:rsidRPr="00612E08" w:rsidTr="005277C1">
        <w:tc>
          <w:tcPr>
            <w:tcW w:w="3812" w:type="dxa"/>
            <w:tcBorders>
              <w:top w:val="nil"/>
              <w:left w:val="single" w:sz="4" w:space="0" w:color="auto"/>
              <w:bottom w:val="single" w:sz="4" w:space="0" w:color="auto"/>
              <w:right w:val="single" w:sz="4" w:space="0" w:color="auto"/>
            </w:tcBorders>
            <w:shd w:val="clear" w:color="auto" w:fill="E2E2E2"/>
          </w:tcPr>
          <w:p w:rsidR="00BA1532" w:rsidRPr="00612E08" w:rsidRDefault="00BA1532" w:rsidP="005277C1">
            <w:pPr>
              <w:rPr>
                <w:rFonts w:ascii="Times New Roman" w:eastAsia="Times New Roman" w:hAnsi="Times New Roman" w:cs="Times New Roman"/>
                <w:sz w:val="20"/>
                <w:szCs w:val="20"/>
                <w:lang w:eastAsia="sk-SK"/>
              </w:rPr>
            </w:pPr>
          </w:p>
          <w:p w:rsidR="00BA1532" w:rsidRPr="00612E08" w:rsidRDefault="00BA1532" w:rsidP="005277C1">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BA1532" w:rsidRPr="00612E08" w:rsidRDefault="00BA1532" w:rsidP="005277C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p>
        </w:tc>
        <w:sdt>
          <w:sdtPr>
            <w:rPr>
              <w:b/>
              <w:sz w:val="20"/>
              <w:szCs w:val="20"/>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A1532" w:rsidRPr="00612E08" w:rsidRDefault="00BA1532" w:rsidP="005277C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BA1532" w:rsidRPr="00612E08" w:rsidTr="005277C1">
        <w:tc>
          <w:tcPr>
            <w:tcW w:w="3812" w:type="dxa"/>
            <w:tcBorders>
              <w:top w:val="single" w:sz="4" w:space="0" w:color="auto"/>
              <w:left w:val="single" w:sz="4" w:space="0" w:color="auto"/>
              <w:bottom w:val="single" w:sz="4" w:space="0" w:color="auto"/>
              <w:right w:val="single" w:sz="4" w:space="0" w:color="auto"/>
            </w:tcBorders>
            <w:shd w:val="clear" w:color="auto" w:fill="E2E2E2"/>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b/>
              <w:sz w:val="20"/>
              <w:szCs w:val="20"/>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A1532" w:rsidRPr="00612E08" w:rsidRDefault="00BA1532" w:rsidP="005277C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A1532" w:rsidRPr="00612E08" w:rsidRDefault="00BA1532" w:rsidP="005277C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A1532" w:rsidRPr="00612E08" w:rsidTr="005277C1">
        <w:tc>
          <w:tcPr>
            <w:tcW w:w="3812" w:type="dxa"/>
            <w:tcBorders>
              <w:top w:val="single" w:sz="4" w:space="0" w:color="auto"/>
              <w:left w:val="single" w:sz="4" w:space="0" w:color="auto"/>
              <w:bottom w:val="nil"/>
              <w:right w:val="single" w:sz="4" w:space="0" w:color="auto"/>
            </w:tcBorders>
            <w:shd w:val="clear" w:color="auto" w:fill="E2E2E2"/>
          </w:tcPr>
          <w:p w:rsidR="00BA1532" w:rsidRPr="00612E08" w:rsidRDefault="00BA1532" w:rsidP="005277C1">
            <w:pPr>
              <w:rPr>
                <w:b/>
                <w:sz w:val="20"/>
                <w:szCs w:val="20"/>
              </w:rPr>
            </w:pPr>
            <w:r w:rsidRPr="00612E08">
              <w:rPr>
                <w:rFonts w:eastAsia="Calibri"/>
                <w:b/>
                <w:sz w:val="20"/>
                <w:szCs w:val="20"/>
              </w:rPr>
              <w:t>Vplyvy na služby verejnej správy pre občana, z</w:t>
            </w:r>
            <w:r>
              <w:rPr>
                <w:rFonts w:eastAsia="Calibri"/>
                <w:b/>
                <w:sz w:val="20"/>
                <w:szCs w:val="20"/>
              </w:rPr>
              <w:t> </w:t>
            </w:r>
            <w:r w:rsidRPr="00612E08">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rsidR="00BA1532" w:rsidRPr="00612E08" w:rsidRDefault="00BA1532" w:rsidP="005277C1">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BA1532" w:rsidRPr="00612E08" w:rsidRDefault="00BA1532" w:rsidP="005277C1">
            <w:pPr>
              <w:ind w:right="-108"/>
              <w:rPr>
                <w:b/>
                <w:sz w:val="20"/>
                <w:szCs w:val="20"/>
              </w:rPr>
            </w:pPr>
          </w:p>
        </w:tc>
        <w:tc>
          <w:tcPr>
            <w:tcW w:w="569" w:type="dxa"/>
            <w:gridSpan w:val="2"/>
            <w:tcBorders>
              <w:top w:val="single" w:sz="4" w:space="0" w:color="auto"/>
              <w:left w:val="nil"/>
              <w:bottom w:val="nil"/>
              <w:right w:val="nil"/>
            </w:tcBorders>
            <w:shd w:val="clear" w:color="auto" w:fill="auto"/>
          </w:tcPr>
          <w:p w:rsidR="00BA1532" w:rsidRPr="00612E08" w:rsidRDefault="00BA1532" w:rsidP="005277C1">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BA1532" w:rsidRPr="00612E08" w:rsidRDefault="00BA1532" w:rsidP="005277C1">
            <w:pPr>
              <w:rPr>
                <w:b/>
                <w:sz w:val="20"/>
                <w:szCs w:val="20"/>
              </w:rPr>
            </w:pPr>
          </w:p>
        </w:tc>
        <w:tc>
          <w:tcPr>
            <w:tcW w:w="547" w:type="dxa"/>
            <w:tcBorders>
              <w:top w:val="single" w:sz="4" w:space="0" w:color="auto"/>
              <w:left w:val="nil"/>
              <w:bottom w:val="nil"/>
              <w:right w:val="nil"/>
            </w:tcBorders>
            <w:shd w:val="clear" w:color="auto" w:fill="auto"/>
          </w:tcPr>
          <w:p w:rsidR="00BA1532" w:rsidRPr="00612E08" w:rsidRDefault="00BA1532" w:rsidP="005277C1">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BA1532" w:rsidRPr="00612E08" w:rsidRDefault="00BA1532" w:rsidP="005277C1">
            <w:pPr>
              <w:ind w:left="54"/>
              <w:rPr>
                <w:b/>
                <w:sz w:val="20"/>
                <w:szCs w:val="20"/>
              </w:rPr>
            </w:pPr>
          </w:p>
        </w:tc>
      </w:tr>
      <w:tr w:rsidR="00BA1532" w:rsidRPr="00612E08" w:rsidTr="005277C1">
        <w:tc>
          <w:tcPr>
            <w:tcW w:w="3812" w:type="dxa"/>
            <w:tcBorders>
              <w:top w:val="nil"/>
              <w:left w:val="single" w:sz="4" w:space="0" w:color="auto"/>
              <w:bottom w:val="nil"/>
              <w:right w:val="single" w:sz="4" w:space="0" w:color="auto"/>
            </w:tcBorders>
            <w:shd w:val="clear" w:color="auto" w:fill="E2E2E2"/>
          </w:tcPr>
          <w:p w:rsidR="00BA1532" w:rsidRPr="00612E08" w:rsidRDefault="00BA1532" w:rsidP="005277C1">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BA1532" w:rsidRPr="00612E08" w:rsidRDefault="00BA1532" w:rsidP="005277C1">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BA1532" w:rsidRPr="00612E08" w:rsidRDefault="00BA1532" w:rsidP="005277C1">
            <w:pPr>
              <w:ind w:right="-108"/>
              <w:rPr>
                <w:b/>
                <w:sz w:val="20"/>
                <w:szCs w:val="20"/>
              </w:rPr>
            </w:pPr>
            <w:r w:rsidRPr="00612E08">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BA1532" w:rsidRPr="00612E08" w:rsidRDefault="00BA1532" w:rsidP="005277C1">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BA1532" w:rsidRPr="00612E08" w:rsidRDefault="00BA1532" w:rsidP="005277C1">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BA1532" w:rsidRPr="00612E08" w:rsidRDefault="00BA1532" w:rsidP="005277C1">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BA1532" w:rsidRPr="00612E08" w:rsidRDefault="00BA1532" w:rsidP="005277C1">
            <w:pPr>
              <w:ind w:left="54"/>
              <w:rPr>
                <w:b/>
                <w:sz w:val="20"/>
                <w:szCs w:val="20"/>
              </w:rPr>
            </w:pPr>
            <w:r w:rsidRPr="00612E08">
              <w:rPr>
                <w:b/>
                <w:sz w:val="20"/>
                <w:szCs w:val="20"/>
              </w:rPr>
              <w:t>Negatívne</w:t>
            </w:r>
          </w:p>
        </w:tc>
      </w:tr>
      <w:tr w:rsidR="00BA1532" w:rsidRPr="00612E08" w:rsidTr="005277C1">
        <w:tc>
          <w:tcPr>
            <w:tcW w:w="3812" w:type="dxa"/>
            <w:tcBorders>
              <w:top w:val="nil"/>
              <w:left w:val="single" w:sz="4" w:space="0" w:color="auto"/>
              <w:bottom w:val="nil"/>
              <w:right w:val="single" w:sz="4" w:space="0" w:color="auto"/>
            </w:tcBorders>
            <w:shd w:val="clear" w:color="auto" w:fill="E2E2E2"/>
          </w:tcPr>
          <w:p w:rsidR="00BA1532" w:rsidRPr="00612E08" w:rsidRDefault="00BA1532" w:rsidP="005277C1">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BA1532" w:rsidRPr="00612E08" w:rsidRDefault="00BA1532" w:rsidP="005277C1">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BA1532" w:rsidRPr="00612E08" w:rsidRDefault="00BA1532" w:rsidP="005277C1">
            <w:pPr>
              <w:ind w:right="-108"/>
              <w:rPr>
                <w:b/>
                <w:sz w:val="20"/>
                <w:szCs w:val="20"/>
              </w:rPr>
            </w:pPr>
            <w:r w:rsidRPr="00612E08">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BA1532" w:rsidRPr="00612E08" w:rsidRDefault="00BA1532" w:rsidP="005277C1">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BA1532" w:rsidRPr="00612E08" w:rsidRDefault="00BA1532" w:rsidP="005277C1">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BA1532" w:rsidRPr="00612E08" w:rsidRDefault="00BA1532" w:rsidP="005277C1">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BA1532" w:rsidRPr="00612E08" w:rsidRDefault="00BA1532" w:rsidP="005277C1">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A1532" w:rsidRPr="00612E08" w:rsidTr="005277C1">
        <w:tc>
          <w:tcPr>
            <w:tcW w:w="3812" w:type="dxa"/>
            <w:tcBorders>
              <w:top w:val="single" w:sz="4" w:space="0" w:color="000000"/>
              <w:left w:val="single" w:sz="4" w:space="0" w:color="auto"/>
              <w:bottom w:val="single" w:sz="4" w:space="0" w:color="auto"/>
              <w:right w:val="single" w:sz="4" w:space="0" w:color="auto"/>
            </w:tcBorders>
            <w:shd w:val="clear" w:color="auto" w:fill="E2E2E2"/>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w:t>
            </w:r>
            <w:r>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BA1532" w:rsidRPr="00612E08" w:rsidRDefault="00BA1532" w:rsidP="005277C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BA1532" w:rsidRPr="00612E08" w:rsidRDefault="00BA1532" w:rsidP="005277C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BA1532" w:rsidRPr="00612E08" w:rsidRDefault="00BA1532" w:rsidP="005277C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A1532" w:rsidRPr="00612E08" w:rsidRDefault="00BA1532" w:rsidP="005277C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BA1532" w:rsidRPr="00612E08" w:rsidRDefault="00BA1532" w:rsidP="00BA1532">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BA1532" w:rsidRPr="00612E08" w:rsidTr="005277C1">
        <w:tc>
          <w:tcPr>
            <w:tcW w:w="9176" w:type="dxa"/>
            <w:tcBorders>
              <w:top w:val="single" w:sz="4" w:space="0" w:color="auto"/>
              <w:left w:val="single" w:sz="4" w:space="0" w:color="auto"/>
              <w:bottom w:val="nil"/>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BA1532" w:rsidRPr="00612E08" w:rsidTr="005277C1">
        <w:trPr>
          <w:trHeight w:val="713"/>
        </w:trPr>
        <w:tc>
          <w:tcPr>
            <w:tcW w:w="9176" w:type="dxa"/>
            <w:tcBorders>
              <w:top w:val="nil"/>
              <w:left w:val="single" w:sz="4" w:space="0" w:color="auto"/>
              <w:bottom w:val="single" w:sz="4" w:space="0" w:color="FFFFFF"/>
              <w:right w:val="single" w:sz="4" w:space="0" w:color="auto"/>
            </w:tcBorders>
            <w:shd w:val="clear" w:color="auto" w:fill="auto"/>
          </w:tcPr>
          <w:p w:rsidR="00BA1532" w:rsidRPr="00612E08" w:rsidRDefault="00BA1532" w:rsidP="005277C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BA1532" w:rsidRPr="00612E08" w:rsidRDefault="00BA1532" w:rsidP="005277C1">
            <w:pPr>
              <w:jc w:val="both"/>
              <w:rPr>
                <w:rFonts w:ascii="Times New Roman" w:eastAsia="Times New Roman" w:hAnsi="Times New Roman" w:cs="Times New Roman"/>
                <w:i/>
                <w:sz w:val="20"/>
                <w:szCs w:val="20"/>
                <w:lang w:eastAsia="sk-SK"/>
              </w:rPr>
            </w:pPr>
          </w:p>
          <w:p w:rsidR="00BA1532" w:rsidRPr="00612E08" w:rsidRDefault="00BA1532" w:rsidP="005277C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BA1532" w:rsidRPr="00612E08" w:rsidRDefault="00BA1532" w:rsidP="005277C1">
            <w:pPr>
              <w:jc w:val="both"/>
              <w:rPr>
                <w:rFonts w:ascii="Times New Roman" w:eastAsia="Times New Roman" w:hAnsi="Times New Roman" w:cs="Times New Roman"/>
                <w:i/>
                <w:sz w:val="20"/>
                <w:szCs w:val="20"/>
                <w:lang w:eastAsia="sk-SK"/>
              </w:rPr>
            </w:pPr>
          </w:p>
          <w:p w:rsidR="00BA1532" w:rsidRPr="00612E08" w:rsidRDefault="00BA1532" w:rsidP="005277C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BA1532" w:rsidRPr="00612E08" w:rsidRDefault="00BA1532" w:rsidP="005277C1">
            <w:pPr>
              <w:jc w:val="both"/>
              <w:rPr>
                <w:rFonts w:ascii="Times New Roman" w:eastAsia="Times New Roman" w:hAnsi="Times New Roman" w:cs="Times New Roman"/>
                <w:i/>
                <w:sz w:val="20"/>
                <w:szCs w:val="20"/>
                <w:lang w:eastAsia="sk-SK"/>
              </w:rPr>
            </w:pPr>
          </w:p>
          <w:p w:rsidR="00BA1532" w:rsidRPr="00612E08" w:rsidRDefault="00BA1532" w:rsidP="005277C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BA1532" w:rsidRDefault="00BA1532" w:rsidP="005277C1">
            <w:pPr>
              <w:jc w:val="both"/>
              <w:rPr>
                <w:rFonts w:ascii="Times New Roman" w:eastAsia="Times New Roman" w:hAnsi="Times New Roman" w:cs="Times New Roman"/>
                <w:sz w:val="20"/>
                <w:szCs w:val="20"/>
                <w:lang w:eastAsia="sk-SK"/>
              </w:rPr>
            </w:pPr>
          </w:p>
          <w:p w:rsidR="00BA1532" w:rsidRPr="006118CC" w:rsidRDefault="00BA1532" w:rsidP="005277C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Pozitívny vplyv na rozpočet verejnej správy vyplýva zo zvýšenia sadzieb spotrebnej dane z tabakových výrobkov a zavedenia sadzby spotrebnej dane pre</w:t>
            </w:r>
            <w:r w:rsidRPr="006118CC">
              <w:rPr>
                <w:rFonts w:ascii="Times New Roman" w:eastAsia="Times New Roman" w:hAnsi="Times New Roman" w:cs="Times New Roman"/>
                <w:sz w:val="20"/>
                <w:szCs w:val="20"/>
                <w:lang w:eastAsia="sk-SK"/>
              </w:rPr>
              <w:t> výrobky súvisiace s tabakovými výrobkami</w:t>
            </w:r>
            <w:r>
              <w:rPr>
                <w:rFonts w:ascii="Times New Roman" w:eastAsia="Times New Roman" w:hAnsi="Times New Roman" w:cs="Times New Roman"/>
                <w:sz w:val="20"/>
                <w:szCs w:val="20"/>
                <w:lang w:eastAsia="sk-SK"/>
              </w:rPr>
              <w:t xml:space="preserve"> a bezdymové tabakové výrobky, ktorými sú žuvací tabak a šnupavý tabak. </w:t>
            </w:r>
            <w:r w:rsidRPr="006118CC">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Návrh zákona definuje nový správny delikt pre subjekt, ktorý </w:t>
            </w:r>
            <w:r>
              <w:rPr>
                <w:rFonts w:ascii="Times New Roman" w:eastAsia="Times New Roman" w:hAnsi="Times New Roman" w:cs="Times New Roman"/>
                <w:sz w:val="20"/>
                <w:szCs w:val="20"/>
                <w:lang w:eastAsia="sk-SK"/>
              </w:rPr>
              <w:lastRenderedPageBreak/>
              <w:t>obchoduje alebo distribuuje bezdymový tabakový výrobok alebo výrobok súvisiaci s tabakovými výrobkami bez príslušného povolenia. Výnos z prislúchajúcej sankcie môže predstavovať príjem rozpočtu verejnej správy, avšak v tejto súvislosti nie je možné prognózovať správanie dotknutých subjektov.</w:t>
            </w:r>
          </w:p>
          <w:p w:rsidR="00BA1532" w:rsidRPr="006118CC" w:rsidRDefault="00BA1532" w:rsidP="005277C1">
            <w:pPr>
              <w:jc w:val="both"/>
              <w:rPr>
                <w:rFonts w:ascii="Times New Roman" w:eastAsia="Times New Roman" w:hAnsi="Times New Roman" w:cs="Times New Roman"/>
                <w:sz w:val="20"/>
                <w:szCs w:val="20"/>
                <w:lang w:eastAsia="sk-SK"/>
              </w:rPr>
            </w:pPr>
            <w:r w:rsidRPr="006118CC">
              <w:rPr>
                <w:rFonts w:ascii="Times New Roman" w:eastAsia="Times New Roman" w:hAnsi="Times New Roman" w:cs="Times New Roman"/>
                <w:sz w:val="20"/>
                <w:szCs w:val="20"/>
                <w:lang w:eastAsia="sk-SK"/>
              </w:rPr>
              <w:t>Negatívny vplyv na rozpočet verejnej správy predstavujú výdavky na úpravu informačných systémov Finančného riaditeľstva Slovenskej republiky.</w:t>
            </w:r>
          </w:p>
          <w:p w:rsidR="00BA1532" w:rsidRPr="006118CC" w:rsidRDefault="00BA1532" w:rsidP="005277C1">
            <w:pPr>
              <w:jc w:val="both"/>
              <w:rPr>
                <w:rFonts w:ascii="Times New Roman" w:eastAsia="Times New Roman" w:hAnsi="Times New Roman" w:cs="Times New Roman"/>
                <w:sz w:val="20"/>
                <w:szCs w:val="20"/>
                <w:lang w:eastAsia="sk-SK"/>
              </w:rPr>
            </w:pPr>
          </w:p>
          <w:p w:rsidR="00BA1532" w:rsidRPr="00612E08" w:rsidRDefault="00BA1532" w:rsidP="005277C1">
            <w:pPr>
              <w:jc w:val="both"/>
              <w:rPr>
                <w:rFonts w:ascii="Times New Roman" w:eastAsia="Calibri" w:hAnsi="Times New Roman" w:cs="Times New Roman"/>
                <w:b/>
              </w:rPr>
            </w:pPr>
            <w:r w:rsidRPr="006118CC">
              <w:rPr>
                <w:rFonts w:ascii="Times New Roman" w:hAnsi="Times New Roman" w:cs="Times New Roman"/>
                <w:bCs/>
                <w:sz w:val="20"/>
                <w:szCs w:val="20"/>
              </w:rPr>
              <w:t>Financovanie predmetných výdavkov bude zabezpečené v rámci limitov výdavkov kapitoly Ministerstva financií Slovenskej republiky na rozpočtový rok 2024 a 2025.</w:t>
            </w:r>
          </w:p>
        </w:tc>
      </w:tr>
      <w:tr w:rsidR="00BA1532" w:rsidRPr="00612E08" w:rsidTr="005277C1">
        <w:tc>
          <w:tcPr>
            <w:tcW w:w="9176" w:type="dxa"/>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Kontakt na spracovateľa</w:t>
            </w:r>
          </w:p>
        </w:tc>
      </w:tr>
      <w:tr w:rsidR="00BA1532" w:rsidRPr="00612E08" w:rsidTr="005277C1">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A1532" w:rsidRDefault="00BA1532" w:rsidP="005277C1">
            <w:pPr>
              <w:rPr>
                <w:rFonts w:ascii="Times New Roman" w:hAnsi="Times New Roman"/>
                <w:sz w:val="20"/>
                <w:szCs w:val="20"/>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BA1532" w:rsidRDefault="00BA1532" w:rsidP="005277C1">
            <w:pPr>
              <w:rPr>
                <w:rFonts w:ascii="Times New Roman" w:hAnsi="Times New Roman"/>
                <w:sz w:val="20"/>
                <w:szCs w:val="20"/>
              </w:rPr>
            </w:pPr>
          </w:p>
          <w:p w:rsidR="00BA1532" w:rsidRPr="00D54662" w:rsidRDefault="00BA1532" w:rsidP="005277C1">
            <w:pPr>
              <w:rPr>
                <w:rFonts w:ascii="Times New Roman" w:hAnsi="Times New Roman"/>
                <w:sz w:val="20"/>
                <w:szCs w:val="20"/>
              </w:rPr>
            </w:pPr>
            <w:r>
              <w:rPr>
                <w:rFonts w:ascii="Times New Roman" w:hAnsi="Times New Roman"/>
                <w:sz w:val="20"/>
                <w:szCs w:val="20"/>
              </w:rPr>
              <w:t>Ministerstvo financií SR, sekcia daňová a colná, odbor nepriamych daní, oddelenie spotrebných daní,</w:t>
            </w:r>
          </w:p>
          <w:p w:rsidR="00BA1532" w:rsidRPr="00FD3ED4" w:rsidRDefault="00BA1532" w:rsidP="005277C1">
            <w:pPr>
              <w:rPr>
                <w:rFonts w:ascii="Times New Roman" w:eastAsia="Times New Roman" w:hAnsi="Times New Roman" w:cs="Times New Roman"/>
                <w:sz w:val="20"/>
                <w:szCs w:val="20"/>
                <w:lang w:eastAsia="sk-SK"/>
              </w:rPr>
            </w:pPr>
            <w:r>
              <w:rPr>
                <w:rFonts w:ascii="Times New Roman" w:hAnsi="Times New Roman" w:cs="Times New Roman"/>
                <w:sz w:val="20"/>
                <w:szCs w:val="20"/>
              </w:rPr>
              <w:t>JUD</w:t>
            </w:r>
            <w:r w:rsidRPr="00FD3ED4">
              <w:rPr>
                <w:rFonts w:ascii="Times New Roman" w:hAnsi="Times New Roman" w:cs="Times New Roman"/>
                <w:sz w:val="20"/>
                <w:szCs w:val="20"/>
              </w:rPr>
              <w:t xml:space="preserve">r. </w:t>
            </w:r>
            <w:r>
              <w:rPr>
                <w:rFonts w:ascii="Times New Roman" w:hAnsi="Times New Roman" w:cs="Times New Roman"/>
                <w:sz w:val="20"/>
                <w:szCs w:val="20"/>
              </w:rPr>
              <w:t>Lenka</w:t>
            </w:r>
            <w:r w:rsidRPr="00FD3ED4">
              <w:rPr>
                <w:rFonts w:ascii="Times New Roman" w:hAnsi="Times New Roman" w:cs="Times New Roman"/>
                <w:sz w:val="20"/>
                <w:szCs w:val="20"/>
              </w:rPr>
              <w:t xml:space="preserve"> </w:t>
            </w:r>
            <w:proofErr w:type="spellStart"/>
            <w:r>
              <w:rPr>
                <w:rFonts w:ascii="Times New Roman" w:hAnsi="Times New Roman" w:cs="Times New Roman"/>
                <w:sz w:val="20"/>
                <w:szCs w:val="20"/>
              </w:rPr>
              <w:t>Celderová</w:t>
            </w:r>
            <w:proofErr w:type="spellEnd"/>
            <w:r w:rsidRPr="00FD3ED4">
              <w:rPr>
                <w:rFonts w:ascii="Times New Roman" w:hAnsi="Times New Roman" w:cs="Times New Roman"/>
                <w:sz w:val="20"/>
                <w:szCs w:val="20"/>
              </w:rPr>
              <w:t xml:space="preserve">, </w:t>
            </w:r>
            <w:hyperlink r:id="rId9" w:history="1">
              <w:r w:rsidRPr="00FD3ED4">
                <w:rPr>
                  <w:rStyle w:val="Hypertextovprepojenie"/>
                  <w:rFonts w:ascii="Times New Roman" w:hAnsi="Times New Roman"/>
                  <w:sz w:val="20"/>
                  <w:szCs w:val="20"/>
                </w:rPr>
                <w:t>l</w:t>
              </w:r>
              <w:r>
                <w:rPr>
                  <w:rStyle w:val="Hypertextovprepojenie"/>
                  <w:rFonts w:ascii="Times New Roman" w:hAnsi="Times New Roman"/>
                  <w:sz w:val="20"/>
                  <w:szCs w:val="20"/>
                </w:rPr>
                <w:t>enka</w:t>
              </w:r>
              <w:r w:rsidRPr="00FD3ED4">
                <w:rPr>
                  <w:rStyle w:val="Hypertextovprepojenie"/>
                  <w:rFonts w:ascii="Times New Roman" w:hAnsi="Times New Roman"/>
                  <w:sz w:val="20"/>
                  <w:szCs w:val="20"/>
                </w:rPr>
                <w:t>.</w:t>
              </w:r>
              <w:r>
                <w:rPr>
                  <w:rStyle w:val="Hypertextovprepojenie"/>
                  <w:rFonts w:ascii="Times New Roman" w:hAnsi="Times New Roman"/>
                  <w:sz w:val="20"/>
                  <w:szCs w:val="20"/>
                </w:rPr>
                <w:t>celderova</w:t>
              </w:r>
              <w:r w:rsidRPr="00FD3ED4">
                <w:rPr>
                  <w:rStyle w:val="Hypertextovprepojenie"/>
                  <w:rFonts w:ascii="Times New Roman" w:hAnsi="Times New Roman"/>
                  <w:sz w:val="20"/>
                  <w:szCs w:val="20"/>
                </w:rPr>
                <w:t>@mfsr.sk</w:t>
              </w:r>
            </w:hyperlink>
            <w:r>
              <w:rPr>
                <w:rStyle w:val="Hypertextovprepojenie"/>
                <w:rFonts w:ascii="Times New Roman" w:hAnsi="Times New Roman"/>
                <w:sz w:val="20"/>
                <w:szCs w:val="20"/>
              </w:rPr>
              <w:t>,</w:t>
            </w:r>
            <w:r w:rsidRPr="008E637D">
              <w:rPr>
                <w:rStyle w:val="Hypertextovprepojenie"/>
                <w:rFonts w:ascii="Times New Roman" w:hAnsi="Times New Roman"/>
                <w:sz w:val="20"/>
                <w:szCs w:val="20"/>
              </w:rPr>
              <w:t xml:space="preserve"> 02/59583496</w:t>
            </w:r>
          </w:p>
          <w:p w:rsidR="00BA1532" w:rsidRPr="00A33022" w:rsidRDefault="00BA1532" w:rsidP="005277C1">
            <w:pPr>
              <w:rPr>
                <w:rFonts w:ascii="Times New Roman" w:eastAsia="Times New Roman" w:hAnsi="Times New Roman" w:cs="Times New Roman"/>
                <w:sz w:val="20"/>
                <w:szCs w:val="20"/>
                <w:lang w:eastAsia="sk-SK"/>
              </w:rPr>
            </w:pPr>
          </w:p>
        </w:tc>
      </w:tr>
      <w:tr w:rsidR="00BA1532" w:rsidRPr="00612E08" w:rsidTr="005277C1">
        <w:tc>
          <w:tcPr>
            <w:tcW w:w="9176" w:type="dxa"/>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BA1532">
            <w:pPr>
              <w:numPr>
                <w:ilvl w:val="0"/>
                <w:numId w:val="9"/>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BA1532" w:rsidRPr="00612E08" w:rsidTr="005277C1">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A1532" w:rsidRPr="00612E08" w:rsidRDefault="00BA1532" w:rsidP="005277C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rPr>
              <w:t xml:space="preserve"> </w:t>
            </w:r>
          </w:p>
          <w:p w:rsidR="00BA1532" w:rsidRDefault="00BA1532" w:rsidP="005277C1">
            <w:pPr>
              <w:jc w:val="both"/>
              <w:rPr>
                <w:rFonts w:ascii="Times New Roman" w:eastAsia="Times New Roman" w:hAnsi="Times New Roman" w:cs="Times New Roman"/>
                <w:sz w:val="20"/>
                <w:szCs w:val="20"/>
                <w:lang w:eastAsia="sk-SK"/>
              </w:rPr>
            </w:pPr>
          </w:p>
          <w:p w:rsidR="00BA1532" w:rsidRPr="00787F03" w:rsidRDefault="00BA1532" w:rsidP="005277C1">
            <w:pPr>
              <w:jc w:val="both"/>
              <w:rPr>
                <w:rFonts w:ascii="Times New Roman" w:eastAsia="Times New Roman" w:hAnsi="Times New Roman" w:cs="Times New Roman"/>
                <w:sz w:val="20"/>
                <w:szCs w:val="20"/>
                <w:lang w:eastAsia="sk-SK"/>
              </w:rPr>
            </w:pPr>
            <w:r w:rsidRPr="00C64F32">
              <w:rPr>
                <w:rFonts w:ascii="Times New Roman" w:eastAsia="Times New Roman" w:hAnsi="Times New Roman" w:cs="Times New Roman"/>
                <w:sz w:val="20"/>
                <w:szCs w:val="20"/>
                <w:lang w:eastAsia="sk-SK"/>
              </w:rPr>
              <w:t xml:space="preserve">Inštitút </w:t>
            </w:r>
            <w:r w:rsidRPr="00787F03">
              <w:rPr>
                <w:rFonts w:ascii="Times New Roman" w:eastAsia="Times New Roman" w:hAnsi="Times New Roman" w:cs="Times New Roman"/>
                <w:sz w:val="20"/>
                <w:szCs w:val="20"/>
                <w:lang w:eastAsia="sk-SK"/>
              </w:rPr>
              <w:t>finančnej politiky MF SR.</w:t>
            </w:r>
          </w:p>
          <w:p w:rsidR="00BA1532" w:rsidRPr="00787F03" w:rsidRDefault="00BA1532" w:rsidP="005277C1">
            <w:pPr>
              <w:shd w:val="clear" w:color="auto" w:fill="FFFFFF"/>
              <w:outlineLvl w:val="0"/>
              <w:rPr>
                <w:rFonts w:ascii="Times New Roman" w:eastAsia="Times New Roman" w:hAnsi="Times New Roman" w:cs="Times New Roman"/>
                <w:bCs/>
                <w:color w:val="212529"/>
                <w:kern w:val="36"/>
                <w:sz w:val="20"/>
                <w:szCs w:val="20"/>
                <w:lang w:eastAsia="sk-SK"/>
              </w:rPr>
            </w:pPr>
            <w:r w:rsidRPr="00787F03">
              <w:rPr>
                <w:rFonts w:ascii="Times New Roman" w:eastAsia="Times New Roman" w:hAnsi="Times New Roman" w:cs="Times New Roman"/>
                <w:bCs/>
                <w:color w:val="212529"/>
                <w:kern w:val="36"/>
                <w:sz w:val="20"/>
                <w:szCs w:val="20"/>
                <w:lang w:eastAsia="sk-SK"/>
              </w:rPr>
              <w:t>Národný výskum používania tabakových a nikotínových výrobkov v populácii detí a adolescentov v SR 2022</w:t>
            </w:r>
            <w:r>
              <w:rPr>
                <w:rFonts w:ascii="Times New Roman" w:eastAsia="Times New Roman" w:hAnsi="Times New Roman" w:cs="Times New Roman"/>
                <w:bCs/>
                <w:color w:val="212529"/>
                <w:kern w:val="36"/>
                <w:sz w:val="20"/>
                <w:szCs w:val="20"/>
                <w:lang w:eastAsia="sk-SK"/>
              </w:rPr>
              <w:t>.</w:t>
            </w:r>
          </w:p>
          <w:p w:rsidR="00BA1532" w:rsidRPr="003B6D93" w:rsidRDefault="00BA1532" w:rsidP="005277C1">
            <w:pPr>
              <w:jc w:val="both"/>
              <w:rPr>
                <w:rFonts w:ascii="Times New Roman" w:hAnsi="Times New Roman" w:cs="Times New Roman"/>
                <w:color w:val="000000"/>
              </w:rPr>
            </w:pPr>
          </w:p>
        </w:tc>
      </w:tr>
      <w:tr w:rsidR="00BA1532" w:rsidRPr="00612E08" w:rsidTr="005277C1">
        <w:tc>
          <w:tcPr>
            <w:tcW w:w="9176" w:type="dxa"/>
            <w:tcBorders>
              <w:top w:val="single" w:sz="4" w:space="0" w:color="auto"/>
              <w:left w:val="single" w:sz="4" w:space="0" w:color="auto"/>
              <w:bottom w:val="single" w:sz="4" w:space="0" w:color="FFFFFF"/>
              <w:right w:val="single" w:sz="4" w:space="0" w:color="auto"/>
            </w:tcBorders>
            <w:shd w:val="clear" w:color="auto" w:fill="E2E2E2"/>
          </w:tcPr>
          <w:p w:rsidR="00BA1532" w:rsidRPr="00612E08" w:rsidRDefault="00BA1532" w:rsidP="00BA1532">
            <w:pPr>
              <w:numPr>
                <w:ilvl w:val="0"/>
                <w:numId w:val="9"/>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BA1532" w:rsidRPr="00612E08" w:rsidRDefault="00BA1532" w:rsidP="005277C1">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BA1532" w:rsidRPr="00612E08" w:rsidTr="005277C1">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A1532" w:rsidRPr="00612E08" w:rsidRDefault="00BA1532" w:rsidP="005277C1">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A1532" w:rsidRPr="00612E08" w:rsidTr="005277C1">
              <w:trPr>
                <w:trHeight w:val="396"/>
              </w:trPr>
              <w:tc>
                <w:tcPr>
                  <w:tcW w:w="2552" w:type="dxa"/>
                </w:tcPr>
                <w:p w:rsidR="00BA1532" w:rsidRPr="00612E08" w:rsidRDefault="00870C88" w:rsidP="005277C1">
                  <w:pPr>
                    <w:rPr>
                      <w:rFonts w:ascii="Times New Roman" w:eastAsia="Times New Roman" w:hAnsi="Times New Roman" w:cs="Times New Roman"/>
                      <w:b/>
                      <w:sz w:val="20"/>
                      <w:szCs w:val="20"/>
                      <w:lang w:eastAsia="sk-SK"/>
                    </w:rPr>
                  </w:pPr>
                  <w:sdt>
                    <w:sdtPr>
                      <w:rPr>
                        <w:b/>
                        <w:sz w:val="20"/>
                        <w:szCs w:val="20"/>
                      </w:rPr>
                      <w:id w:val="-1874910888"/>
                      <w14:checkbox>
                        <w14:checked w14:val="0"/>
                        <w14:checkedState w14:val="2612" w14:font="MS Gothic"/>
                        <w14:uncheckedState w14:val="2610" w14:font="MS Gothic"/>
                      </w14:checkbox>
                    </w:sdtPr>
                    <w:sdtEndPr/>
                    <w:sdtContent>
                      <w:r w:rsidR="00BA1532" w:rsidRPr="00612E08">
                        <w:rPr>
                          <w:rFonts w:ascii="MS Gothic" w:eastAsia="MS Gothic" w:hAnsi="MS Gothic" w:cs="Times New Roman" w:hint="eastAsia"/>
                          <w:b/>
                          <w:sz w:val="20"/>
                          <w:szCs w:val="20"/>
                          <w:lang w:eastAsia="sk-SK"/>
                        </w:rPr>
                        <w:t>☐</w:t>
                      </w:r>
                    </w:sdtContent>
                  </w:sdt>
                  <w:r w:rsidR="00BA1532" w:rsidRPr="00612E08">
                    <w:rPr>
                      <w:rFonts w:ascii="Times New Roman" w:eastAsia="Times New Roman" w:hAnsi="Times New Roman" w:cs="Times New Roman"/>
                      <w:b/>
                      <w:sz w:val="20"/>
                      <w:szCs w:val="20"/>
                      <w:lang w:eastAsia="sk-SK"/>
                    </w:rPr>
                    <w:t xml:space="preserve">  Súhlasné </w:t>
                  </w:r>
                </w:p>
              </w:tc>
              <w:tc>
                <w:tcPr>
                  <w:tcW w:w="3827" w:type="dxa"/>
                </w:tcPr>
                <w:p w:rsidR="00BA1532" w:rsidRPr="00612E08" w:rsidRDefault="00870C88" w:rsidP="005277C1">
                  <w:pPr>
                    <w:rPr>
                      <w:rFonts w:ascii="Times New Roman" w:eastAsia="Times New Roman" w:hAnsi="Times New Roman" w:cs="Times New Roman"/>
                      <w:b/>
                      <w:sz w:val="20"/>
                      <w:szCs w:val="20"/>
                      <w:lang w:eastAsia="sk-SK"/>
                    </w:rPr>
                  </w:pPr>
                  <w:sdt>
                    <w:sdtPr>
                      <w:rPr>
                        <w:b/>
                        <w:sz w:val="20"/>
                        <w:szCs w:val="20"/>
                      </w:rPr>
                      <w:id w:val="1697888127"/>
                      <w14:checkbox>
                        <w14:checked w14:val="0"/>
                        <w14:checkedState w14:val="2612" w14:font="MS Gothic"/>
                        <w14:uncheckedState w14:val="2610" w14:font="MS Gothic"/>
                      </w14:checkbox>
                    </w:sdtPr>
                    <w:sdtEndPr/>
                    <w:sdtContent>
                      <w:r w:rsidR="00BA1532" w:rsidRPr="00612E08">
                        <w:rPr>
                          <w:rFonts w:ascii="MS Gothic" w:eastAsia="MS Gothic" w:hAnsi="MS Gothic" w:cs="Times New Roman" w:hint="eastAsia"/>
                          <w:b/>
                          <w:sz w:val="20"/>
                          <w:szCs w:val="20"/>
                          <w:lang w:eastAsia="sk-SK"/>
                        </w:rPr>
                        <w:t>☐</w:t>
                      </w:r>
                    </w:sdtContent>
                  </w:sdt>
                  <w:r w:rsidR="00BA1532"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BA1532" w:rsidRPr="00612E08" w:rsidRDefault="00870C88" w:rsidP="005277C1">
                  <w:pPr>
                    <w:ind w:right="459"/>
                    <w:rPr>
                      <w:rFonts w:ascii="Times New Roman" w:eastAsia="Times New Roman" w:hAnsi="Times New Roman" w:cs="Times New Roman"/>
                      <w:b/>
                      <w:sz w:val="20"/>
                      <w:szCs w:val="20"/>
                      <w:lang w:eastAsia="sk-SK"/>
                    </w:rPr>
                  </w:pPr>
                  <w:sdt>
                    <w:sdtPr>
                      <w:rPr>
                        <w:b/>
                        <w:sz w:val="20"/>
                        <w:szCs w:val="20"/>
                      </w:rPr>
                      <w:id w:val="-647822913"/>
                      <w14:checkbox>
                        <w14:checked w14:val="0"/>
                        <w14:checkedState w14:val="2612" w14:font="MS Gothic"/>
                        <w14:uncheckedState w14:val="2610" w14:font="MS Gothic"/>
                      </w14:checkbox>
                    </w:sdtPr>
                    <w:sdtEndPr/>
                    <w:sdtContent>
                      <w:r w:rsidR="00BA1532" w:rsidRPr="00612E08">
                        <w:rPr>
                          <w:rFonts w:ascii="MS Gothic" w:eastAsia="MS Gothic" w:hAnsi="MS Gothic" w:cs="Times New Roman" w:hint="eastAsia"/>
                          <w:b/>
                          <w:sz w:val="20"/>
                          <w:szCs w:val="20"/>
                          <w:lang w:eastAsia="sk-SK"/>
                        </w:rPr>
                        <w:t>☐</w:t>
                      </w:r>
                    </w:sdtContent>
                  </w:sdt>
                  <w:r w:rsidR="00BA1532" w:rsidRPr="00612E08">
                    <w:rPr>
                      <w:rFonts w:ascii="Times New Roman" w:eastAsia="Times New Roman" w:hAnsi="Times New Roman" w:cs="Times New Roman"/>
                      <w:b/>
                      <w:sz w:val="20"/>
                      <w:szCs w:val="20"/>
                      <w:lang w:eastAsia="sk-SK"/>
                    </w:rPr>
                    <w:t xml:space="preserve">  Nesúhlasné</w:t>
                  </w:r>
                </w:p>
              </w:tc>
            </w:tr>
          </w:tbl>
          <w:p w:rsidR="00BA1532" w:rsidRPr="00612E08" w:rsidRDefault="00BA1532" w:rsidP="005277C1">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BA1532" w:rsidRDefault="00BA1532" w:rsidP="005277C1">
            <w:pPr>
              <w:rPr>
                <w:rFonts w:ascii="Times New Roman" w:eastAsia="Times New Roman" w:hAnsi="Times New Roman" w:cs="Times New Roman"/>
                <w:b/>
                <w:sz w:val="20"/>
                <w:szCs w:val="20"/>
                <w:lang w:eastAsia="sk-SK"/>
              </w:rPr>
            </w:pPr>
          </w:p>
          <w:p w:rsidR="00BA1532" w:rsidRPr="001D7C78"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K doložke vybraných vplyvov:</w:t>
            </w:r>
          </w:p>
          <w:p w:rsidR="00BA1532" w:rsidRPr="001D7C78" w:rsidRDefault="00BA1532" w:rsidP="005277C1">
            <w:pPr>
              <w:jc w:val="both"/>
              <w:rPr>
                <w:rFonts w:ascii="Times New Roman" w:hAnsi="Times New Roman" w:cs="Times New Roman"/>
                <w:b/>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Komisia odporúča predkladateľovi v Doložke vybraných vplyvov v časti 8. Preskúmanie účelnosti doplniť dátum a kritéria hodnotenia účelnosti predkladaného materiálu.</w:t>
            </w:r>
          </w:p>
          <w:p w:rsidR="00BA1532"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u w:val="single"/>
              </w:rPr>
              <w:t>Odôvodnenie:</w:t>
            </w:r>
            <w:r w:rsidRPr="001D7C78">
              <w:rPr>
                <w:rFonts w:ascii="Times New Roman" w:hAnsi="Times New Roman" w:cs="Times New Roman"/>
                <w:bCs/>
                <w:sz w:val="20"/>
                <w:szCs w:val="20"/>
              </w:rPr>
              <w:t xml:space="preserve"> Preskúmanie účelnosti sa nastavuje po určitom čase, aby sa zhodnotilo, či a na základe akých kritérií bol cieľ naplnený. </w:t>
            </w:r>
          </w:p>
          <w:p w:rsidR="00BA1532"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Pripomienka akceptovaná.</w:t>
            </w:r>
          </w:p>
          <w:p w:rsidR="00BA1532" w:rsidRPr="001D7C78"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Doplnené.</w:t>
            </w:r>
          </w:p>
          <w:p w:rsidR="00BA1532" w:rsidRPr="001D7C78" w:rsidRDefault="00BA1532" w:rsidP="005277C1">
            <w:pPr>
              <w:jc w:val="both"/>
              <w:rPr>
                <w:rFonts w:ascii="Times New Roman" w:hAnsi="Times New Roman" w:cs="Times New Roman"/>
                <w:bCs/>
                <w:sz w:val="20"/>
                <w:szCs w:val="20"/>
              </w:rPr>
            </w:pPr>
          </w:p>
          <w:p w:rsidR="00BA1532"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Komisia žiada predkladateľa o vyznačenie Transpozície práva EÚ v časti Charakter predkladaného materiálu v Doložke vybraných vplyvov, vzhľadom k tomu, že dôvodom vypracovania materiálu je aj transpozícia Európskej legislatívy.</w:t>
            </w:r>
          </w:p>
          <w:p w:rsidR="00BA1532" w:rsidRDefault="00BA1532" w:rsidP="005277C1">
            <w:pPr>
              <w:jc w:val="both"/>
              <w:rPr>
                <w:rFonts w:ascii="Times New Roman" w:hAnsi="Times New Roman" w:cs="Times New Roman"/>
                <w:b/>
                <w:bCs/>
                <w:sz w:val="20"/>
                <w:szCs w:val="20"/>
              </w:rPr>
            </w:pPr>
            <w:r w:rsidRPr="00337C11">
              <w:rPr>
                <w:rFonts w:ascii="Times New Roman" w:hAnsi="Times New Roman" w:cs="Times New Roman"/>
                <w:b/>
                <w:bCs/>
                <w:sz w:val="20"/>
                <w:szCs w:val="20"/>
              </w:rPr>
              <w:t>Pripomienka akceptovaná.</w:t>
            </w:r>
          </w:p>
          <w:p w:rsidR="00BA1532"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Vyznačené.</w:t>
            </w:r>
          </w:p>
          <w:p w:rsidR="00BA1532" w:rsidRPr="001D7C78" w:rsidRDefault="00BA1532" w:rsidP="005277C1">
            <w:pPr>
              <w:jc w:val="both"/>
              <w:rPr>
                <w:rFonts w:ascii="Times New Roman" w:hAnsi="Times New Roman" w:cs="Times New Roman"/>
                <w:bCs/>
                <w:sz w:val="20"/>
                <w:szCs w:val="20"/>
              </w:rPr>
            </w:pPr>
          </w:p>
          <w:p w:rsidR="00BA1532"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Komisia žiada predkladateľa, aby zároveň uviedol v časti 7. Doložky vybraných vplyvov názov transponovanej smernice a skutočnosť, či návrh nejde nad rámec minimálnej transpozičnej povinnosti - tzv. identifikácia efektu </w:t>
            </w:r>
            <w:proofErr w:type="spellStart"/>
            <w:r w:rsidRPr="001D7C78">
              <w:rPr>
                <w:rFonts w:ascii="Times New Roman" w:hAnsi="Times New Roman" w:cs="Times New Roman"/>
                <w:bCs/>
                <w:sz w:val="20"/>
                <w:szCs w:val="20"/>
              </w:rPr>
              <w:t>gold-platingu</w:t>
            </w:r>
            <w:proofErr w:type="spellEnd"/>
            <w:r w:rsidRPr="001D7C78">
              <w:rPr>
                <w:rFonts w:ascii="Times New Roman" w:hAnsi="Times New Roman" w:cs="Times New Roman"/>
                <w:bCs/>
                <w:sz w:val="20"/>
                <w:szCs w:val="20"/>
              </w:rPr>
              <w:t xml:space="preserve"> podľa tabuľky zhody, a to najmä z hľadiska odôvodnenosti, resp. neodôvodnenosti jeho existencie v prípade jeho identifikácie.</w:t>
            </w:r>
          </w:p>
          <w:p w:rsidR="00BA1532" w:rsidRDefault="00BA1532" w:rsidP="005277C1">
            <w:pPr>
              <w:jc w:val="both"/>
              <w:rPr>
                <w:rFonts w:ascii="Times New Roman" w:hAnsi="Times New Roman" w:cs="Times New Roman"/>
                <w:b/>
                <w:bCs/>
                <w:sz w:val="20"/>
                <w:szCs w:val="20"/>
              </w:rPr>
            </w:pPr>
            <w:r w:rsidRPr="00337C11">
              <w:rPr>
                <w:rFonts w:ascii="Times New Roman" w:hAnsi="Times New Roman" w:cs="Times New Roman"/>
                <w:b/>
                <w:bCs/>
                <w:sz w:val="20"/>
                <w:szCs w:val="20"/>
              </w:rPr>
              <w:t>Pripomienka akceptovaná.</w:t>
            </w:r>
          </w:p>
          <w:p w:rsidR="00BA1532"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Uvedené, nejde o </w:t>
            </w:r>
            <w:proofErr w:type="spellStart"/>
            <w:r>
              <w:rPr>
                <w:rFonts w:ascii="Times New Roman" w:hAnsi="Times New Roman" w:cs="Times New Roman"/>
                <w:b/>
                <w:bCs/>
                <w:sz w:val="20"/>
                <w:szCs w:val="20"/>
              </w:rPr>
              <w:t>gold-plating</w:t>
            </w:r>
            <w:proofErr w:type="spellEnd"/>
            <w:r>
              <w:rPr>
                <w:rFonts w:ascii="Times New Roman" w:hAnsi="Times New Roman" w:cs="Times New Roman"/>
                <w:b/>
                <w:bCs/>
                <w:sz w:val="20"/>
                <w:szCs w:val="20"/>
              </w:rPr>
              <w:t>.</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
                <w:bCs/>
                <w:sz w:val="20"/>
                <w:szCs w:val="20"/>
              </w:rPr>
              <w:t>K vplyvom na podnikateľské prostredie</w:t>
            </w: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Komisia žiada dopracovať Analýzu vplyvov na podnikateľské prostredie časti 3.1 Náklady regulácie.</w:t>
            </w:r>
          </w:p>
          <w:p w:rsidR="00BA1532"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u w:val="single"/>
              </w:rPr>
              <w:t>Odôvodnenie:</w:t>
            </w:r>
            <w:r w:rsidRPr="001D7C78">
              <w:rPr>
                <w:rFonts w:ascii="Times New Roman" w:hAnsi="Times New Roman" w:cs="Times New Roman"/>
                <w:bCs/>
                <w:sz w:val="20"/>
                <w:szCs w:val="20"/>
              </w:rPr>
              <w:t xml:space="preserve"> Do Kalkulačky nákladov a do časti 3.1 je potrebné doplniť chýbajúce administratívne povinnosti vyplývajúce z §19aa ods. 11 a §19ab ods. 11 – povinnosť oznámiť colnému úradu zmenu údajov, predložiť doklady colnému úradu a viesť za kalendárny mesiac evidenciu. V tejto časti rovnako chýba odhad nákladov spojených so zavedením sankcie až do výšky 50 000 eur za obchodovanie alebo distribúciu bezdymového tabakového výrobku a výrobku súvisiaceho s tabakovými výrobkami bez povolenia na obchodovanie alebo bez povolenie na distribúciu. V neposlednom rade je potrebné doplniť administratívne vplyvy vyplývajúce z prechodných ustanovení (§ 44ag až 44ak) pre nové subjekty, ktoré vstúpia na trh. Komisia odporúča kvantifikovať na základe priemerného ročného prírastku subjektov na trh.</w:t>
            </w:r>
          </w:p>
          <w:p w:rsidR="00BA1532"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lastRenderedPageBreak/>
              <w:t>Pripomienka akceptovaná čiastočne.</w:t>
            </w:r>
          </w:p>
          <w:p w:rsidR="00BA1532"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Frekvenciu predkladania dokladov colnému úradu na jeho požiadanie nie je možné kvantifikovať, nakoľko nemožno predvídať správanie podnikateľských subjektov, ani postup colného úradu.</w:t>
            </w:r>
          </w:p>
          <w:p w:rsidR="00BA1532"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V prípade sankcie za obchodovanie alebo distribúciu s bezdymovým tabakovým výrobkom alebo s výrobkom súvisiacim s tabakovými výrobkami bez povolenia, ide o nový správny delikt a nie je možné vopred kvantifikovať vplyv na podnikateľské prostredie. Regulácia bola preto doplnená do časti 3.4 analýzy vplyvov na podnikateľské prostredie.</w:t>
            </w:r>
          </w:p>
          <w:p w:rsidR="00BA1532"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 xml:space="preserve">Administratívne vplyvy vyplývajúce z prechodných ustanovení (§ 44ah až § 44 ak) sú započítané v rámci už identifikovaných regulácií. </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Komisia žiada dopracovať Analýzu vplyvov na podnikateľské prostredie v časti 3.2 Vyhodnotenie konzultácií s podnikateľskými subjektmi pred predbežným pripomienkovým konaním</w:t>
            </w: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V zmysle Jednotnej metodiky je predkladateľ povinný uviesť formu konzultácií vrátane zdôvodnenia jej výberu, trvanie konzultácií a termíny stretnutí. Je potrebné uviesť spôsob oslovenia dotknutých subjektov, zoznam konzultujúcich subjektov, tiež </w:t>
            </w:r>
            <w:proofErr w:type="spellStart"/>
            <w:r w:rsidRPr="001D7C78">
              <w:rPr>
                <w:rFonts w:ascii="Times New Roman" w:hAnsi="Times New Roman" w:cs="Times New Roman"/>
                <w:bCs/>
                <w:sz w:val="20"/>
                <w:szCs w:val="20"/>
              </w:rPr>
              <w:t>link</w:t>
            </w:r>
            <w:proofErr w:type="spellEnd"/>
            <w:r w:rsidRPr="001D7C78">
              <w:rPr>
                <w:rFonts w:ascii="Times New Roman" w:hAnsi="Times New Roman" w:cs="Times New Roman"/>
                <w:bCs/>
                <w:sz w:val="20"/>
                <w:szCs w:val="20"/>
              </w:rPr>
              <w:t xml:space="preserve"> na webovú stránku, na ktorej boli konzultácie zverejnené. Tiež je potrebné popísať hlavné body konzultácií a ich závery.</w:t>
            </w:r>
          </w:p>
          <w:p w:rsidR="00BA1532" w:rsidRDefault="00BA1532" w:rsidP="005277C1">
            <w:pPr>
              <w:jc w:val="both"/>
              <w:rPr>
                <w:rFonts w:ascii="Times New Roman" w:hAnsi="Times New Roman" w:cs="Times New Roman"/>
                <w:b/>
                <w:bCs/>
                <w:sz w:val="20"/>
                <w:szCs w:val="20"/>
              </w:rPr>
            </w:pPr>
            <w:r w:rsidRPr="00337C11">
              <w:rPr>
                <w:rFonts w:ascii="Times New Roman" w:hAnsi="Times New Roman" w:cs="Times New Roman"/>
                <w:b/>
                <w:bCs/>
                <w:sz w:val="20"/>
                <w:szCs w:val="20"/>
              </w:rPr>
              <w:t>Pripomienka akceptovaná.</w:t>
            </w:r>
          </w:p>
          <w:p w:rsidR="00BA1532" w:rsidRDefault="00BA1532" w:rsidP="005277C1">
            <w:pPr>
              <w:jc w:val="both"/>
              <w:rPr>
                <w:rFonts w:ascii="Times New Roman" w:hAnsi="Times New Roman" w:cs="Times New Roman"/>
                <w:bCs/>
                <w:sz w:val="20"/>
                <w:szCs w:val="20"/>
              </w:rPr>
            </w:pPr>
            <w:r>
              <w:rPr>
                <w:rFonts w:ascii="Times New Roman" w:hAnsi="Times New Roman" w:cs="Times New Roman"/>
                <w:b/>
                <w:bCs/>
                <w:sz w:val="20"/>
                <w:szCs w:val="20"/>
              </w:rPr>
              <w:t>Dopracované.</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
                <w:bCs/>
                <w:sz w:val="20"/>
                <w:szCs w:val="20"/>
              </w:rPr>
              <w:t xml:space="preserve">Ku </w:t>
            </w:r>
            <w:proofErr w:type="spellStart"/>
            <w:r w:rsidRPr="001D7C78">
              <w:rPr>
                <w:rFonts w:ascii="Times New Roman" w:hAnsi="Times New Roman" w:cs="Times New Roman"/>
                <w:b/>
                <w:bCs/>
                <w:sz w:val="20"/>
                <w:szCs w:val="20"/>
              </w:rPr>
              <w:t>goldplatingu</w:t>
            </w:r>
            <w:proofErr w:type="spellEnd"/>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Komisia žiada predkladateľa o dopracovanie Doložky vybraných vplyvov v bode 1. Základné údaje. V bode 1. je potrebné vyplniť, že ide o Transpozíciu/implementáciu práva EÚ, keďže časť predkladaného materiálu je transpozíciou Smernice Rady 2011/64/EÚ z 21. júna 2011 o štruktúre a sadzbách spotrebnej dane z tabakových výrobkov. </w:t>
            </w:r>
          </w:p>
          <w:p w:rsidR="00BA1532" w:rsidRDefault="00BA1532" w:rsidP="005277C1">
            <w:pPr>
              <w:jc w:val="both"/>
              <w:rPr>
                <w:rFonts w:ascii="Times New Roman" w:hAnsi="Times New Roman" w:cs="Times New Roman"/>
                <w:b/>
                <w:bCs/>
                <w:sz w:val="20"/>
                <w:szCs w:val="20"/>
              </w:rPr>
            </w:pPr>
            <w:r w:rsidRPr="00337C11">
              <w:rPr>
                <w:rFonts w:ascii="Times New Roman" w:hAnsi="Times New Roman" w:cs="Times New Roman"/>
                <w:b/>
                <w:bCs/>
                <w:sz w:val="20"/>
                <w:szCs w:val="20"/>
              </w:rPr>
              <w:t>Pripomienka akceptovaná.</w:t>
            </w:r>
          </w:p>
          <w:p w:rsidR="00BA1532" w:rsidRPr="001D7C78"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Doplnené.</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Pri transpozícií článkov 8, 10 a 14 Smernice Rady 2011/64/EÚ z 21. júna 2011 o štruktúre a sadzbách spotrebnej dane z tabakových výrobkov sa Komisia domnieva, že dochádza ku </w:t>
            </w:r>
            <w:proofErr w:type="spellStart"/>
            <w:r w:rsidRPr="001D7C78">
              <w:rPr>
                <w:rFonts w:ascii="Times New Roman" w:hAnsi="Times New Roman" w:cs="Times New Roman"/>
                <w:bCs/>
                <w:sz w:val="20"/>
                <w:szCs w:val="20"/>
              </w:rPr>
              <w:t>goldplatingu</w:t>
            </w:r>
            <w:proofErr w:type="spellEnd"/>
            <w:r w:rsidRPr="001D7C78">
              <w:rPr>
                <w:rFonts w:ascii="Times New Roman" w:hAnsi="Times New Roman" w:cs="Times New Roman"/>
                <w:bCs/>
                <w:sz w:val="20"/>
                <w:szCs w:val="20"/>
              </w:rPr>
              <w:t xml:space="preserve"> typu b) navýšenie požiadaviek. Na základe uvedeného Komisia žiada náležite vyplniť stĺpce (9) a (10) tabuľky zhody a pod tabuľkou zhody v poznámke „Vyjadrenie k opodstatnenosti </w:t>
            </w:r>
            <w:proofErr w:type="spellStart"/>
            <w:r w:rsidRPr="001D7C78">
              <w:rPr>
                <w:rFonts w:ascii="Times New Roman" w:hAnsi="Times New Roman" w:cs="Times New Roman"/>
                <w:bCs/>
                <w:sz w:val="20"/>
                <w:szCs w:val="20"/>
              </w:rPr>
              <w:t>goldplatingu</w:t>
            </w:r>
            <w:proofErr w:type="spellEnd"/>
            <w:r w:rsidRPr="001D7C78">
              <w:rPr>
                <w:rFonts w:ascii="Times New Roman" w:hAnsi="Times New Roman" w:cs="Times New Roman"/>
                <w:bCs/>
                <w:sz w:val="20"/>
                <w:szCs w:val="20"/>
              </w:rPr>
              <w:t xml:space="preserve"> a jeho odôvodnenie“ doplniť odôvodnenie takejto úpravy.</w:t>
            </w:r>
          </w:p>
          <w:p w:rsidR="00BA1532"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u w:val="single"/>
              </w:rPr>
              <w:t>Odôvodnenie:</w:t>
            </w:r>
            <w:r w:rsidRPr="001D7C78">
              <w:rPr>
                <w:rFonts w:ascii="Times New Roman" w:hAnsi="Times New Roman" w:cs="Times New Roman"/>
                <w:bCs/>
                <w:sz w:val="20"/>
                <w:szCs w:val="20"/>
              </w:rPr>
              <w:t xml:space="preserve"> smernica v čl. 8, 10 a 14 stanovuje minimálne hranice pre stanovenie spotrebnej dane tabakových výrobkov. V predkladanom návrhu dochádza k navýšeniu spotrebnej dane z tabakových výrobkov, čo znamená, že Slovenská republika netransponuje smernicu v minimálnej miere, na najnižšej možnej hranici. Takáto transpozícia predstavuje negatívny vplyv na podnikateľské prostredie. Z tohto dôvodu sa Komisia domnieva, že dané ustanovenia predstavujú </w:t>
            </w:r>
            <w:proofErr w:type="spellStart"/>
            <w:r w:rsidRPr="001D7C78">
              <w:rPr>
                <w:rFonts w:ascii="Times New Roman" w:hAnsi="Times New Roman" w:cs="Times New Roman"/>
                <w:bCs/>
                <w:sz w:val="20"/>
                <w:szCs w:val="20"/>
              </w:rPr>
              <w:t>goldplating</w:t>
            </w:r>
            <w:proofErr w:type="spellEnd"/>
            <w:r w:rsidRPr="001D7C78">
              <w:rPr>
                <w:rFonts w:ascii="Times New Roman" w:hAnsi="Times New Roman" w:cs="Times New Roman"/>
                <w:bCs/>
                <w:sz w:val="20"/>
                <w:szCs w:val="20"/>
              </w:rPr>
              <w:t xml:space="preserve"> typu b) navýšenie požiadaviek.</w:t>
            </w:r>
          </w:p>
          <w:p w:rsidR="00BA1532"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Pripomienka neakceptovaná.</w:t>
            </w:r>
          </w:p>
          <w:p w:rsidR="00BA1532"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Nejde o </w:t>
            </w:r>
            <w:proofErr w:type="spellStart"/>
            <w:r>
              <w:rPr>
                <w:rFonts w:ascii="Times New Roman" w:hAnsi="Times New Roman" w:cs="Times New Roman"/>
                <w:b/>
                <w:bCs/>
                <w:sz w:val="20"/>
                <w:szCs w:val="20"/>
              </w:rPr>
              <w:t>gold-plating</w:t>
            </w:r>
            <w:proofErr w:type="spellEnd"/>
            <w:r>
              <w:rPr>
                <w:rFonts w:ascii="Times New Roman" w:hAnsi="Times New Roman" w:cs="Times New Roman"/>
                <w:b/>
                <w:bCs/>
                <w:sz w:val="20"/>
                <w:szCs w:val="20"/>
              </w:rPr>
              <w:t xml:space="preserve">. </w:t>
            </w:r>
            <w:r w:rsidRPr="00E8779E">
              <w:rPr>
                <w:rFonts w:ascii="Times New Roman" w:hAnsi="Times New Roman" w:cs="Times New Roman"/>
                <w:b/>
                <w:bCs/>
                <w:sz w:val="20"/>
                <w:szCs w:val="20"/>
              </w:rPr>
              <w:t>Zvýšením sadzby spotrebnej dane sa nezavádzajú žiadne nové povinnosti. Aktuálne nastavené zvýšenie nadväzuje už na aplikovaný daňový kalendár od roku 2017, ktorého cieľom je zabezpečiť transparentnosť a predvídateľnosť zvyšovania sadzieb spotrebnej dane pre daňové subjekty.</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Komisia žiada o doplnenie do bodu 3.1.4 Analýzy vplyvov na podnikateľské prostredie informácie k identifikovanému </w:t>
            </w:r>
            <w:proofErr w:type="spellStart"/>
            <w:r w:rsidRPr="001D7C78">
              <w:rPr>
                <w:rFonts w:ascii="Times New Roman" w:hAnsi="Times New Roman" w:cs="Times New Roman"/>
                <w:bCs/>
                <w:sz w:val="20"/>
                <w:szCs w:val="20"/>
              </w:rPr>
              <w:t>goldplatingu</w:t>
            </w:r>
            <w:proofErr w:type="spellEnd"/>
            <w:r w:rsidRPr="001D7C78">
              <w:rPr>
                <w:rFonts w:ascii="Times New Roman" w:hAnsi="Times New Roman" w:cs="Times New Roman"/>
                <w:bCs/>
                <w:sz w:val="20"/>
                <w:szCs w:val="20"/>
              </w:rPr>
              <w:t xml:space="preserve"> </w:t>
            </w:r>
            <w:proofErr w:type="spellStart"/>
            <w:r w:rsidRPr="001D7C78">
              <w:rPr>
                <w:rFonts w:ascii="Times New Roman" w:hAnsi="Times New Roman" w:cs="Times New Roman"/>
                <w:bCs/>
                <w:sz w:val="20"/>
                <w:szCs w:val="20"/>
              </w:rPr>
              <w:t>tybu</w:t>
            </w:r>
            <w:proofErr w:type="spellEnd"/>
            <w:r w:rsidRPr="001D7C78">
              <w:rPr>
                <w:rFonts w:ascii="Times New Roman" w:hAnsi="Times New Roman" w:cs="Times New Roman"/>
                <w:bCs/>
                <w:sz w:val="20"/>
                <w:szCs w:val="20"/>
              </w:rPr>
              <w:t xml:space="preserve"> b). </w:t>
            </w:r>
          </w:p>
          <w:p w:rsidR="00BA1532"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u w:val="single"/>
              </w:rPr>
              <w:t>Odôvodnenie:</w:t>
            </w:r>
            <w:r w:rsidRPr="001D7C78">
              <w:rPr>
                <w:rFonts w:ascii="Times New Roman" w:hAnsi="Times New Roman" w:cs="Times New Roman"/>
                <w:bCs/>
                <w:sz w:val="20"/>
                <w:szCs w:val="20"/>
              </w:rPr>
              <w:t xml:space="preserve"> na základe identifikovania </w:t>
            </w:r>
            <w:proofErr w:type="spellStart"/>
            <w:r w:rsidRPr="001D7C78">
              <w:rPr>
                <w:rFonts w:ascii="Times New Roman" w:hAnsi="Times New Roman" w:cs="Times New Roman"/>
                <w:bCs/>
                <w:sz w:val="20"/>
                <w:szCs w:val="20"/>
              </w:rPr>
              <w:t>goldplatingu</w:t>
            </w:r>
            <w:proofErr w:type="spellEnd"/>
            <w:r w:rsidRPr="001D7C78">
              <w:rPr>
                <w:rFonts w:ascii="Times New Roman" w:hAnsi="Times New Roman" w:cs="Times New Roman"/>
                <w:bCs/>
                <w:sz w:val="20"/>
                <w:szCs w:val="20"/>
              </w:rPr>
              <w:t xml:space="preserve"> pri transponovaní čl. 8, 10 a 14 Smernice Rady 2011/64/EÚ z 21. júna 2011 je potrebné vyplniť bod 3.1.4 Analýzy vplyvov na podnikateľské prostredie.</w:t>
            </w:r>
          </w:p>
          <w:p w:rsidR="00BA1532" w:rsidRDefault="00BA1532" w:rsidP="005277C1">
            <w:pPr>
              <w:jc w:val="both"/>
              <w:rPr>
                <w:rFonts w:ascii="Times New Roman" w:hAnsi="Times New Roman" w:cs="Times New Roman"/>
                <w:b/>
                <w:bCs/>
                <w:sz w:val="20"/>
                <w:szCs w:val="20"/>
              </w:rPr>
            </w:pPr>
            <w:r w:rsidRPr="00337C11">
              <w:rPr>
                <w:rFonts w:ascii="Times New Roman" w:hAnsi="Times New Roman" w:cs="Times New Roman"/>
                <w:b/>
                <w:bCs/>
                <w:sz w:val="20"/>
                <w:szCs w:val="20"/>
              </w:rPr>
              <w:t>Pripomienka neakceptovaná.</w:t>
            </w:r>
          </w:p>
          <w:p w:rsidR="00BA1532"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Nejde o </w:t>
            </w:r>
            <w:proofErr w:type="spellStart"/>
            <w:r>
              <w:rPr>
                <w:rFonts w:ascii="Times New Roman" w:hAnsi="Times New Roman" w:cs="Times New Roman"/>
                <w:b/>
                <w:bCs/>
                <w:sz w:val="20"/>
                <w:szCs w:val="20"/>
              </w:rPr>
              <w:t>gold-plating</w:t>
            </w:r>
            <w:proofErr w:type="spellEnd"/>
            <w:r>
              <w:rPr>
                <w:rFonts w:ascii="Times New Roman" w:hAnsi="Times New Roman" w:cs="Times New Roman"/>
                <w:b/>
                <w:bCs/>
                <w:sz w:val="20"/>
                <w:szCs w:val="20"/>
              </w:rPr>
              <w:t xml:space="preserve">. </w:t>
            </w:r>
            <w:r w:rsidRPr="00E8779E">
              <w:rPr>
                <w:rFonts w:ascii="Times New Roman" w:hAnsi="Times New Roman" w:cs="Times New Roman"/>
                <w:b/>
                <w:bCs/>
                <w:sz w:val="20"/>
                <w:szCs w:val="20"/>
              </w:rPr>
              <w:t>Zvýšením sadzby spotrebnej dane sa nezavádzajú žiadne nové povinnosti. Aktuálne nastavené zvýšenie nadväzuje už na aplikovaný daňový kalendár od roku 2017, ktorého cieľom je zabezpečiť transparentnosť a predvídateľnosť zvyšovania sadzieb spotrebnej dane pre daňové subjekty.</w:t>
            </w:r>
          </w:p>
          <w:p w:rsidR="00BA1532" w:rsidRPr="001D7C78" w:rsidRDefault="00BA1532" w:rsidP="005277C1">
            <w:pPr>
              <w:jc w:val="both"/>
              <w:rPr>
                <w:rFonts w:ascii="Times New Roman" w:hAnsi="Times New Roman" w:cs="Times New Roman"/>
                <w:bCs/>
                <w:sz w:val="20"/>
                <w:szCs w:val="20"/>
              </w:rPr>
            </w:pPr>
          </w:p>
          <w:p w:rsidR="00BA1532"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Komisia žiada v súvislosti s identifikovaním </w:t>
            </w:r>
            <w:proofErr w:type="spellStart"/>
            <w:r w:rsidRPr="001D7C78">
              <w:rPr>
                <w:rFonts w:ascii="Times New Roman" w:hAnsi="Times New Roman" w:cs="Times New Roman"/>
                <w:bCs/>
                <w:sz w:val="20"/>
                <w:szCs w:val="20"/>
              </w:rPr>
              <w:t>goldplatingu</w:t>
            </w:r>
            <w:proofErr w:type="spellEnd"/>
            <w:r w:rsidRPr="001D7C78">
              <w:rPr>
                <w:rFonts w:ascii="Times New Roman" w:hAnsi="Times New Roman" w:cs="Times New Roman"/>
                <w:bCs/>
                <w:sz w:val="20"/>
                <w:szCs w:val="20"/>
              </w:rPr>
              <w:t xml:space="preserve"> prepracovať stĺpec 9 a 10 tabuľky zhody a vypustiť z neho text „neidentifikovaná“ a upraviť ho podľa prílohy č. 3 k Legislatívnym pravidlám vlády SR, a to buď poznámkou „GP-N“,  čo znamená, že </w:t>
            </w:r>
            <w:proofErr w:type="spellStart"/>
            <w:r w:rsidRPr="001D7C78">
              <w:rPr>
                <w:rFonts w:ascii="Times New Roman" w:hAnsi="Times New Roman" w:cs="Times New Roman"/>
                <w:bCs/>
                <w:sz w:val="20"/>
                <w:szCs w:val="20"/>
              </w:rPr>
              <w:t>goldplating</w:t>
            </w:r>
            <w:proofErr w:type="spellEnd"/>
            <w:r w:rsidRPr="001D7C78">
              <w:rPr>
                <w:rFonts w:ascii="Times New Roman" w:hAnsi="Times New Roman" w:cs="Times New Roman"/>
                <w:bCs/>
                <w:sz w:val="20"/>
                <w:szCs w:val="20"/>
              </w:rPr>
              <w:t xml:space="preserve"> nie je identifikovaný, alebo v prípade identifikácie </w:t>
            </w:r>
            <w:proofErr w:type="spellStart"/>
            <w:r w:rsidRPr="001D7C78">
              <w:rPr>
                <w:rFonts w:ascii="Times New Roman" w:hAnsi="Times New Roman" w:cs="Times New Roman"/>
                <w:bCs/>
                <w:sz w:val="20"/>
                <w:szCs w:val="20"/>
              </w:rPr>
              <w:t>goldplatingu</w:t>
            </w:r>
            <w:proofErr w:type="spellEnd"/>
            <w:r w:rsidRPr="001D7C78">
              <w:rPr>
                <w:rFonts w:ascii="Times New Roman" w:hAnsi="Times New Roman" w:cs="Times New Roman"/>
                <w:bCs/>
                <w:sz w:val="20"/>
                <w:szCs w:val="20"/>
              </w:rPr>
              <w:t xml:space="preserve"> poznámkou „GP-A“ a kategóriu </w:t>
            </w:r>
            <w:proofErr w:type="spellStart"/>
            <w:r w:rsidRPr="001D7C78">
              <w:rPr>
                <w:rFonts w:ascii="Times New Roman" w:hAnsi="Times New Roman" w:cs="Times New Roman"/>
                <w:bCs/>
                <w:sz w:val="20"/>
                <w:szCs w:val="20"/>
              </w:rPr>
              <w:t>goldplatingu</w:t>
            </w:r>
            <w:proofErr w:type="spellEnd"/>
            <w:r w:rsidRPr="001D7C78">
              <w:rPr>
                <w:rFonts w:ascii="Times New Roman" w:hAnsi="Times New Roman" w:cs="Times New Roman"/>
                <w:bCs/>
                <w:sz w:val="20"/>
                <w:szCs w:val="20"/>
              </w:rPr>
              <w:t xml:space="preserve"> (písmeno o ktoré ide) a kategóriu v skrátenom slovnom označení, napr. „GP – A písm. b) („navýšenie požiadaviek“).</w:t>
            </w:r>
          </w:p>
          <w:p w:rsidR="00BA1532" w:rsidRDefault="00BA1532" w:rsidP="005277C1">
            <w:pPr>
              <w:jc w:val="both"/>
              <w:rPr>
                <w:rFonts w:ascii="Times New Roman" w:hAnsi="Times New Roman" w:cs="Times New Roman"/>
                <w:b/>
                <w:bCs/>
                <w:sz w:val="20"/>
                <w:szCs w:val="20"/>
              </w:rPr>
            </w:pPr>
            <w:r w:rsidRPr="00337C11">
              <w:rPr>
                <w:rFonts w:ascii="Times New Roman" w:hAnsi="Times New Roman" w:cs="Times New Roman"/>
                <w:b/>
                <w:bCs/>
                <w:sz w:val="20"/>
                <w:szCs w:val="20"/>
              </w:rPr>
              <w:t>Pripomienka akceptovaná.</w:t>
            </w:r>
          </w:p>
          <w:p w:rsidR="00BA1532" w:rsidRPr="001D7C78"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Upravené.</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Zároveň sa javí, že všetky transpozičné ustanovenia návrhu zákona preukazované v tabuľke zhody predstavujú navýšenie požiadaviek nad rámec minimálnych požiadaviek smernice 2011/64/EÚ, je preto potrebné náležite vyplniť stĺpce 9 a 10 tabuľky zhody, pod tabuľkou zhody uviesť </w:t>
            </w:r>
            <w:r w:rsidRPr="001D7C78">
              <w:rPr>
                <w:rFonts w:ascii="Times New Roman" w:hAnsi="Times New Roman" w:cs="Times New Roman"/>
                <w:bCs/>
                <w:i/>
                <w:iCs/>
                <w:sz w:val="20"/>
                <w:szCs w:val="20"/>
              </w:rPr>
              <w:t xml:space="preserve">„Vyjadrenie k opodstatnenosti </w:t>
            </w:r>
            <w:proofErr w:type="spellStart"/>
            <w:r w:rsidRPr="001D7C78">
              <w:rPr>
                <w:rFonts w:ascii="Times New Roman" w:hAnsi="Times New Roman" w:cs="Times New Roman"/>
                <w:bCs/>
                <w:i/>
                <w:iCs/>
                <w:sz w:val="20"/>
                <w:szCs w:val="20"/>
              </w:rPr>
              <w:t>goldplatingu</w:t>
            </w:r>
            <w:proofErr w:type="spellEnd"/>
            <w:r w:rsidRPr="001D7C78">
              <w:rPr>
                <w:rFonts w:ascii="Times New Roman" w:hAnsi="Times New Roman" w:cs="Times New Roman"/>
                <w:bCs/>
                <w:i/>
                <w:iCs/>
                <w:sz w:val="20"/>
                <w:szCs w:val="20"/>
              </w:rPr>
              <w:t xml:space="preserve"> a jeho odôvodnenie“</w:t>
            </w:r>
            <w:r w:rsidRPr="001D7C78">
              <w:rPr>
                <w:rFonts w:ascii="Times New Roman" w:hAnsi="Times New Roman" w:cs="Times New Roman"/>
                <w:bCs/>
                <w:sz w:val="20"/>
                <w:szCs w:val="20"/>
              </w:rPr>
              <w:t xml:space="preserve"> a uvedené reflektovať v doložke vybraných vplyvov.</w:t>
            </w:r>
          </w:p>
          <w:p w:rsidR="00BA1532" w:rsidRDefault="00BA1532" w:rsidP="005277C1">
            <w:pPr>
              <w:jc w:val="both"/>
              <w:rPr>
                <w:rFonts w:ascii="Times New Roman" w:hAnsi="Times New Roman" w:cs="Times New Roman"/>
                <w:b/>
                <w:bCs/>
                <w:sz w:val="20"/>
                <w:szCs w:val="20"/>
              </w:rPr>
            </w:pPr>
            <w:r w:rsidRPr="00337C11">
              <w:rPr>
                <w:rFonts w:ascii="Times New Roman" w:hAnsi="Times New Roman" w:cs="Times New Roman"/>
                <w:b/>
                <w:bCs/>
                <w:sz w:val="20"/>
                <w:szCs w:val="20"/>
              </w:rPr>
              <w:lastRenderedPageBreak/>
              <w:t>Pripomienka neakceptovaná.</w:t>
            </w:r>
          </w:p>
          <w:p w:rsidR="00BA1532"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Nejde o </w:t>
            </w:r>
            <w:proofErr w:type="spellStart"/>
            <w:r>
              <w:rPr>
                <w:rFonts w:ascii="Times New Roman" w:hAnsi="Times New Roman" w:cs="Times New Roman"/>
                <w:b/>
                <w:bCs/>
                <w:sz w:val="20"/>
                <w:szCs w:val="20"/>
              </w:rPr>
              <w:t>gold-plating</w:t>
            </w:r>
            <w:proofErr w:type="spellEnd"/>
            <w:r>
              <w:rPr>
                <w:rFonts w:ascii="Times New Roman" w:hAnsi="Times New Roman" w:cs="Times New Roman"/>
                <w:b/>
                <w:bCs/>
                <w:sz w:val="20"/>
                <w:szCs w:val="20"/>
              </w:rPr>
              <w:t xml:space="preserve">. </w:t>
            </w:r>
            <w:r w:rsidRPr="00E8779E">
              <w:rPr>
                <w:rFonts w:ascii="Times New Roman" w:hAnsi="Times New Roman" w:cs="Times New Roman"/>
                <w:b/>
                <w:bCs/>
                <w:sz w:val="20"/>
                <w:szCs w:val="20"/>
              </w:rPr>
              <w:t>Zvýšením sadzby spotrebnej dane sa nezavádzajú žiadne nové povinnosti. Aktuálne nastavené zvýšenie nadväzuje už na aplikovaný daňový kalendár od roku 2017, ktorého cieľom je zabezpečiť transparentnosť a predvídateľnosť zvyšovania sadzieb spotrebnej dane pre daňové subjekty.</w:t>
            </w:r>
          </w:p>
          <w:p w:rsidR="00BA1532" w:rsidRPr="001D7C78" w:rsidRDefault="00BA1532" w:rsidP="005277C1">
            <w:pPr>
              <w:jc w:val="both"/>
              <w:rPr>
                <w:rFonts w:ascii="Times New Roman" w:hAnsi="Times New Roman" w:cs="Times New Roman"/>
                <w:b/>
                <w:bCs/>
                <w:sz w:val="20"/>
                <w:szCs w:val="20"/>
              </w:rPr>
            </w:pPr>
          </w:p>
          <w:p w:rsidR="00BA1532" w:rsidRPr="001D7C78"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K vplyvom na rozpočet verejnej správy</w:t>
            </w: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Materiál zakladá pozitívne a negatívne vplyvy na rozpočet verejnej správy, ktoré sú kvantifikované v analýze vplyvov na rozpočet verejnej správy. Negatívne vplyvy kvantifikované v analýze vplyvov v sume 154 521 eur v roku 2024 a v sume 34 276 eur v roku 2025 na úpravu informačných systémov sú rozpočtovo zabezpečené v kapitole MF SR. Pozitívne vplyvy kvantifikované v sume 15 000 000 eur v roku 2025, v sume 126 000 000 eur v roku 2026 a v sume 180 000 000 eur v roku 2027 vyplývajú z rozšírenia dane z tabakových výrobkov.</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Vzhľadom na skutočnosť, že v § 41 Správne delikty zákona sa ustanovuje nový správny delikt (sankcia až do 50 000 eur) za obchodovanie alebo distribúciu bezdymového tabakového výrobku a výrobku súvisiaceho s tabakovými výrobkami bez povolenia na obchodovanie alebo bez povolenia na distribúciu, túto skutočnosť je potrebné uviesť v bode 10. Poznámky doložky vybraných vplyvov aj s kvalifikovaným odhadom tohto vplyvu. V prípade, že v súčasnosti nie je možné tento vplyv odhadnúť, je potrebné dôvod uviesť v bode 10. Poznámky.</w:t>
            </w:r>
          </w:p>
          <w:p w:rsidR="00BA1532" w:rsidRPr="001D7C78"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Pripomienka akceptovaná.</w:t>
            </w:r>
          </w:p>
          <w:p w:rsidR="00BA1532" w:rsidRDefault="00BA1532" w:rsidP="005277C1">
            <w:pPr>
              <w:jc w:val="both"/>
              <w:rPr>
                <w:rFonts w:ascii="Times New Roman" w:hAnsi="Times New Roman" w:cs="Times New Roman"/>
                <w:bCs/>
                <w:sz w:val="20"/>
                <w:szCs w:val="20"/>
              </w:rPr>
            </w:pPr>
            <w:r w:rsidRPr="001D7C78">
              <w:rPr>
                <w:rFonts w:ascii="Times New Roman" w:hAnsi="Times New Roman" w:cs="Times New Roman"/>
                <w:b/>
                <w:bCs/>
                <w:sz w:val="20"/>
                <w:szCs w:val="20"/>
              </w:rPr>
              <w:t>Doplnené</w:t>
            </w:r>
            <w:r>
              <w:rPr>
                <w:rFonts w:ascii="Times New Roman" w:hAnsi="Times New Roman" w:cs="Times New Roman"/>
                <w:bCs/>
                <w:sz w:val="20"/>
                <w:szCs w:val="20"/>
              </w:rPr>
              <w:t>.</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Komisia podotýka, že kvantifikácia vplyvu na rozpočet verejnej správy je nastavená na 3-mesačnú dobu dopredaja žuvacieho alebo šnupavého tabaku a výrobkov súvisiacich s tabakovými výrobkami v roku 2025. V návrhu sa ustanovuje 5-mesačná doba dopredaja týchto výrobkov v roku 2025.</w:t>
            </w:r>
          </w:p>
          <w:p w:rsidR="00BA1532"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Vzaté na vedomie.</w:t>
            </w:r>
          </w:p>
          <w:p w:rsidR="00BA1532" w:rsidRPr="001D7C78"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Existuje pozitívne riziko z internetového predaja, ktorý nie je dostatočne podchytený v kvantifikácii z dôvodu chýbajúcich údajov o tomto segmente trhu</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K sociálnym vplyvom</w:t>
            </w: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Predkladateľa Komisia zásadne žiada, aby v časti 9. doložky (Vybrané vplyvy materiálu) identifikoval negatívne sociálne vplyvy a vypracoval analýzu sociálnych vplyvov.</w:t>
            </w:r>
          </w:p>
          <w:p w:rsidR="00BA1532" w:rsidRPr="001D7C78" w:rsidRDefault="00BA1532" w:rsidP="005277C1">
            <w:pPr>
              <w:jc w:val="both"/>
              <w:rPr>
                <w:rFonts w:ascii="Times New Roman" w:hAnsi="Times New Roman" w:cs="Times New Roman"/>
                <w:b/>
                <w:bCs/>
                <w:sz w:val="20"/>
                <w:szCs w:val="20"/>
              </w:rPr>
            </w:pPr>
            <w:r w:rsidRPr="001D7C78">
              <w:rPr>
                <w:rFonts w:ascii="Times New Roman" w:hAnsi="Times New Roman" w:cs="Times New Roman"/>
                <w:bCs/>
                <w:sz w:val="20"/>
                <w:szCs w:val="20"/>
                <w:u w:val="single"/>
              </w:rPr>
              <w:t>Odôvodnenie:</w:t>
            </w:r>
            <w:r w:rsidRPr="001D7C78">
              <w:rPr>
                <w:rFonts w:ascii="Times New Roman" w:hAnsi="Times New Roman" w:cs="Times New Roman"/>
                <w:bCs/>
                <w:sz w:val="20"/>
                <w:szCs w:val="20"/>
              </w:rPr>
              <w:t xml:space="preserve"> Návrh zákona predpokladá jednak rozšírenie predmetu dane o výrobky súvisiace s tabakovými výrobkami od 1. 2. 2025 a z toho vyplývajúce zdaňovanie týchto výrobkov a jednak zvýšenie sadzby spotrebnej dane z tabakových výrobkov od 1. 2. 2026 a od 1. 2. 2028. Predkladateľ v analýze vplyvov na rozpočet verejnej správy odhaduje, že ceny e-cigariet v roku 2025 vzrastú v priemere o 50 centov, nikotínové vrecúška asi o 1,70 eura a tabakové cigarety v rokoch 2026 a 2028 zdražejú v priemere o 40 centov. Navrhované zmeny by mali negatívny sociálny vplyv na hospodárenie domácností vrátane skupín v riziku chudoby alebo sociálneho vylúčenia. Okrem negatívneho vplyvu na hospodárenie niektorých domácností nie je vylúčený ani pozitívny vplyv na hospodárenie iných domácností súvisiaci s obmedzením spotreby tabakových výrobkov v dôsledku zdražovania. Zníženie spotreby takýchto výrobkov je v súlade s koncepciou zdravého životného štýlu a predstavuje zmenšenie záťaže zdravotníctva, ako aj rozpočtov domácností. Veľkosť tejto skupiny však nie je možné odhadnúť. </w:t>
            </w:r>
          </w:p>
          <w:p w:rsidR="00BA1532"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Pripomienka neakceptovaná.</w:t>
            </w:r>
          </w:p>
          <w:p w:rsidR="00BA1532" w:rsidRPr="00641D20"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Cieľom zvýšenia sadzieb</w:t>
            </w:r>
            <w:r w:rsidRPr="006F447A">
              <w:rPr>
                <w:rFonts w:ascii="Times New Roman" w:hAnsi="Times New Roman" w:cs="Times New Roman"/>
                <w:b/>
                <w:bCs/>
                <w:sz w:val="20"/>
                <w:szCs w:val="20"/>
              </w:rPr>
              <w:t xml:space="preserve"> spotrebných daní je znížiť dostupnosť týchto výrobkov</w:t>
            </w:r>
            <w:r>
              <w:rPr>
                <w:rFonts w:ascii="Times New Roman" w:hAnsi="Times New Roman" w:cs="Times New Roman"/>
                <w:b/>
                <w:bCs/>
                <w:sz w:val="20"/>
                <w:szCs w:val="20"/>
              </w:rPr>
              <w:t xml:space="preserve"> spotrebiteľom</w:t>
            </w:r>
            <w:r w:rsidRPr="006F447A">
              <w:rPr>
                <w:rFonts w:ascii="Times New Roman" w:hAnsi="Times New Roman" w:cs="Times New Roman"/>
                <w:b/>
                <w:bCs/>
                <w:sz w:val="20"/>
                <w:szCs w:val="20"/>
              </w:rPr>
              <w:t>, a preto by táto úprava nemala mať negatívny sociálny dopad. Ako sa uvádza aj v stanovisku komisie</w:t>
            </w:r>
            <w:r>
              <w:rPr>
                <w:rFonts w:ascii="Times New Roman" w:hAnsi="Times New Roman" w:cs="Times New Roman"/>
                <w:b/>
                <w:bCs/>
                <w:sz w:val="20"/>
                <w:szCs w:val="20"/>
              </w:rPr>
              <w:t>,</w:t>
            </w:r>
            <w:r w:rsidRPr="006F447A">
              <w:rPr>
                <w:rFonts w:ascii="Times New Roman" w:hAnsi="Times New Roman" w:cs="Times New Roman"/>
                <w:b/>
                <w:bCs/>
                <w:sz w:val="20"/>
                <w:szCs w:val="20"/>
              </w:rPr>
              <w:t xml:space="preserve"> </w:t>
            </w:r>
            <w:r w:rsidRPr="001D7C78">
              <w:rPr>
                <w:rFonts w:ascii="Times New Roman" w:hAnsi="Times New Roman" w:cs="Times New Roman"/>
                <w:b/>
                <w:bCs/>
                <w:sz w:val="20"/>
                <w:szCs w:val="20"/>
              </w:rPr>
              <w:t xml:space="preserve">nie je vylúčený ani pozitívny vplyv na hospodárenie domácností súvisiaci s obmedzením spotreby tabakových výrobkov v dôsledku zdražovania. Zníženie spotreby takýchto výrobkov je v súlade s koncepciou zdravého životného štýlu a predstavuje zmenšenie záťaže zdravotníctva, ako aj rozpočtov domácností. </w:t>
            </w:r>
          </w:p>
          <w:p w:rsidR="00BA1532" w:rsidRPr="001D7C78" w:rsidRDefault="00BA1532" w:rsidP="005277C1">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BA1532" w:rsidRPr="001D7C78" w:rsidRDefault="00BA1532" w:rsidP="005277C1">
            <w:pPr>
              <w:jc w:val="both"/>
              <w:rPr>
                <w:rFonts w:ascii="Times New Roman" w:hAnsi="Times New Roman" w:cs="Times New Roman"/>
                <w:b/>
                <w:bCs/>
                <w:sz w:val="20"/>
                <w:szCs w:val="20"/>
              </w:rPr>
            </w:pPr>
            <w:r w:rsidRPr="001D7C78">
              <w:rPr>
                <w:rFonts w:ascii="Times New Roman" w:hAnsi="Times New Roman" w:cs="Times New Roman"/>
                <w:b/>
                <w:bCs/>
                <w:sz w:val="20"/>
                <w:szCs w:val="20"/>
              </w:rPr>
              <w:t>K vplyvom na manželstvo rodičovstvo a rodinu</w:t>
            </w: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K hodnoteniu vplyvov na manželstvo rodičovstvo a rodinu Komisia odporúča predkladateľovi, aby v súlade s Jednotnou metodikou na posudzovanie vybraných vplyvov doplnil v závere predkladacej správy text, že predkladaný materiál má vplyv na  manželstvo, rodičovstvo a rodinu.</w:t>
            </w: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Zvýšenie spotrebných cien tabaku a tabakových výrobkov znižuje dopyt po ich užívaní v rodinách s nízkym príjmom, čím dochádza k znižovaniu rizika vzniku závislostí na tabaku, tabakových výrobkoch a nikotíne. </w:t>
            </w: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Eliminácia, prípadne úplná nedostupnosť tabaku, tabakových výrobkov v rodine, prípadne zmena postoja rodičov k fajčeniu v dôsledku zvýšenej spotrebnej dani na tabak má pozitívny vplyv na deti vo vývinových obdobiach, senzitívnych pre napĺňanie bazálnych potrieb a utvárania ich osobnosti.</w:t>
            </w:r>
          </w:p>
          <w:p w:rsidR="00BA1532" w:rsidRPr="001D7C78" w:rsidRDefault="00BA1532" w:rsidP="005277C1">
            <w:pPr>
              <w:jc w:val="both"/>
              <w:rPr>
                <w:rFonts w:ascii="Times New Roman" w:hAnsi="Times New Roman" w:cs="Times New Roman"/>
                <w:bCs/>
                <w:sz w:val="20"/>
                <w:szCs w:val="20"/>
              </w:rPr>
            </w:pPr>
          </w:p>
          <w:p w:rsidR="00BA1532" w:rsidRPr="001D7C78" w:rsidRDefault="00BA1532" w:rsidP="005277C1">
            <w:pPr>
              <w:jc w:val="both"/>
              <w:rPr>
                <w:rFonts w:ascii="Times New Roman" w:hAnsi="Times New Roman" w:cs="Times New Roman"/>
                <w:bCs/>
                <w:sz w:val="20"/>
                <w:szCs w:val="20"/>
              </w:rPr>
            </w:pPr>
            <w:r w:rsidRPr="001D7C78">
              <w:rPr>
                <w:rFonts w:ascii="Times New Roman" w:hAnsi="Times New Roman" w:cs="Times New Roman"/>
                <w:bCs/>
                <w:sz w:val="20"/>
                <w:szCs w:val="20"/>
              </w:rPr>
              <w:t xml:space="preserve">Zvýšený náklad na rodinný rozpočet v dôsledku zvýšenej spotrebnej dani na tabak a tabakové výrobky môže predstavovať chýbajúce peňažné prostriedky pre spoločné rodinné aktivity a spoločne strávený čas s deťmi, čo je nutné vnímať negatívne. Naopak, v prípade zmeny spotrebného správania členov rodiny, kedy namiesto nákupu tabaku a tabakových výrobkov sa peňažné prostriedky môžu sústreďovať na nákup kvalitnejších potravín, </w:t>
            </w:r>
            <w:r w:rsidRPr="001D7C78">
              <w:rPr>
                <w:rFonts w:ascii="Times New Roman" w:hAnsi="Times New Roman" w:cs="Times New Roman"/>
                <w:bCs/>
                <w:sz w:val="20"/>
                <w:szCs w:val="20"/>
              </w:rPr>
              <w:lastRenderedPageBreak/>
              <w:t xml:space="preserve">vedenia zdravšieho životného štýlu, spoločných rodinných aktivít a pod. Komisia vníma ako pozitívny dopad návrhu zákona na rodinu.    </w:t>
            </w:r>
          </w:p>
          <w:p w:rsidR="00BA1532" w:rsidRPr="001D7C78" w:rsidRDefault="00BA1532" w:rsidP="005277C1">
            <w:pPr>
              <w:jc w:val="both"/>
              <w:rPr>
                <w:rFonts w:ascii="Times New Roman" w:hAnsi="Times New Roman" w:cs="Times New Roman"/>
                <w:bCs/>
                <w:sz w:val="20"/>
                <w:szCs w:val="20"/>
              </w:rPr>
            </w:pPr>
          </w:p>
          <w:p w:rsidR="00BA1532" w:rsidRPr="00F8634B" w:rsidRDefault="00BA1532" w:rsidP="005277C1">
            <w:pPr>
              <w:jc w:val="both"/>
              <w:rPr>
                <w:rFonts w:ascii="Times New Roman" w:eastAsia="Times New Roman" w:hAnsi="Times New Roman" w:cs="Times New Roman"/>
                <w:b/>
                <w:sz w:val="20"/>
                <w:szCs w:val="20"/>
                <w:lang w:eastAsia="sk-SK"/>
              </w:rPr>
            </w:pPr>
            <w:r w:rsidRPr="001D7C78">
              <w:rPr>
                <w:rFonts w:ascii="Times New Roman" w:hAnsi="Times New Roman" w:cs="Times New Roman"/>
                <w:bCs/>
                <w:sz w:val="20"/>
                <w:szCs w:val="20"/>
              </w:rPr>
              <w:t>Komisia preto odporúča predkladateľovi, aby  identifikoval v doložke vybraných vplyvov v bode 9. pozitívne vplyvy na manželstvo rodičovstvo a rodinu a vypracoval príslušnú analýzu vplyvov na manželstvo rodičovstvo a rodinu, ktorá je povinnou súčasťou predkladaného materiálu. Vplyvy na manželstvo, rodičovstvo a rodinu Komisia odporúča zhodnotiť najmä v bode 8.7.1.</w:t>
            </w:r>
          </w:p>
          <w:p w:rsidR="00BA1532" w:rsidRDefault="00BA1532" w:rsidP="005277C1">
            <w:pPr>
              <w:rPr>
                <w:rFonts w:ascii="Times New Roman" w:eastAsia="Times New Roman" w:hAnsi="Times New Roman" w:cs="Times New Roman"/>
                <w:b/>
                <w:sz w:val="20"/>
                <w:szCs w:val="20"/>
                <w:lang w:eastAsia="sk-SK"/>
              </w:rPr>
            </w:pPr>
          </w:p>
          <w:p w:rsidR="00BA1532" w:rsidRDefault="00BA1532" w:rsidP="005277C1">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Pripomienka neakceptovaná.</w:t>
            </w:r>
          </w:p>
          <w:p w:rsidR="00BA1532" w:rsidRPr="00612E08" w:rsidRDefault="00BA1532" w:rsidP="005277C1">
            <w:pPr>
              <w:rPr>
                <w:rFonts w:ascii="Times New Roman" w:eastAsia="Times New Roman" w:hAnsi="Times New Roman" w:cs="Times New Roman"/>
                <w:b/>
                <w:sz w:val="20"/>
                <w:szCs w:val="20"/>
                <w:lang w:eastAsia="sk-SK"/>
              </w:rPr>
            </w:pPr>
            <w:r w:rsidRPr="00167F52">
              <w:rPr>
                <w:rFonts w:ascii="Times New Roman" w:hAnsi="Times New Roman" w:cs="Times New Roman"/>
                <w:b/>
                <w:bCs/>
                <w:sz w:val="20"/>
                <w:szCs w:val="20"/>
              </w:rPr>
              <w:t>MF SR berie na vedomie odporúčací charakter pripomienky komisie</w:t>
            </w:r>
            <w:r>
              <w:rPr>
                <w:rFonts w:ascii="Times New Roman" w:hAnsi="Times New Roman" w:cs="Times New Roman"/>
                <w:b/>
                <w:bCs/>
                <w:sz w:val="20"/>
                <w:szCs w:val="20"/>
              </w:rPr>
              <w:t>, avšak vzhľadom na rôznorodosť nákupov a preferencie životného štýlu domácností, nedisponuje relevantnými dátami na spracovanie analýzy.</w:t>
            </w:r>
          </w:p>
          <w:p w:rsidR="00BA1532" w:rsidRPr="00612E08" w:rsidRDefault="00BA1532" w:rsidP="005277C1">
            <w:pPr>
              <w:rPr>
                <w:rFonts w:ascii="Times New Roman" w:eastAsia="Times New Roman" w:hAnsi="Times New Roman" w:cs="Times New Roman"/>
                <w:b/>
                <w:sz w:val="20"/>
                <w:szCs w:val="20"/>
                <w:lang w:eastAsia="sk-SK"/>
              </w:rPr>
            </w:pPr>
          </w:p>
        </w:tc>
      </w:tr>
      <w:tr w:rsidR="00BA1532" w:rsidRPr="00612E08" w:rsidTr="005277C1">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BA1532" w:rsidRPr="00612E08" w:rsidRDefault="00BA1532" w:rsidP="00BA1532">
            <w:pPr>
              <w:numPr>
                <w:ilvl w:val="0"/>
                <w:numId w:val="9"/>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 xml:space="preserve">Stanovisko Komisie na posudzovanie vybraných vplyvov zo záverečného posúdenia č. </w:t>
            </w:r>
            <w:r>
              <w:rPr>
                <w:rFonts w:ascii="Times New Roman" w:eastAsia="Calibri" w:hAnsi="Times New Roman" w:cs="Times New Roman"/>
                <w:b/>
              </w:rPr>
              <w:t>055/2024</w:t>
            </w:r>
            <w:r w:rsidRPr="00612E08">
              <w:rPr>
                <w:rFonts w:ascii="Times New Roman" w:eastAsia="Calibri" w:hAnsi="Times New Roman" w:cs="Times New Roman"/>
                <w:b/>
              </w:rPr>
              <w:t>.</w:t>
            </w:r>
            <w:r w:rsidRPr="00612E08">
              <w:rPr>
                <w:rFonts w:ascii="Times New Roman" w:eastAsia="Calibri" w:hAnsi="Times New Roman" w:cs="Times New Roman"/>
              </w:rPr>
              <w:t xml:space="preserve"> (v prípade, ak sa uskutočnilo v zmysle bodu 9.1. Jednotnej metodiky) </w:t>
            </w:r>
          </w:p>
        </w:tc>
      </w:tr>
      <w:tr w:rsidR="00BA1532" w:rsidRPr="00612E08" w:rsidTr="005277C1">
        <w:tblPrEx>
          <w:tblBorders>
            <w:insideH w:val="single" w:sz="4" w:space="0" w:color="FFFFFF"/>
            <w:insideV w:val="single" w:sz="4" w:space="0" w:color="FFFFFF"/>
          </w:tblBorders>
        </w:tblPrEx>
        <w:tc>
          <w:tcPr>
            <w:tcW w:w="9176" w:type="dxa"/>
            <w:shd w:val="clear" w:color="auto" w:fill="FFFFFF"/>
          </w:tcPr>
          <w:p w:rsidR="00BA1532" w:rsidRPr="00612E08" w:rsidRDefault="00BA1532" w:rsidP="005277C1">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A1532" w:rsidRPr="00612E08" w:rsidTr="005277C1">
              <w:trPr>
                <w:trHeight w:val="396"/>
              </w:trPr>
              <w:tc>
                <w:tcPr>
                  <w:tcW w:w="2552" w:type="dxa"/>
                </w:tcPr>
                <w:p w:rsidR="00BA1532" w:rsidRPr="00612E08" w:rsidRDefault="00870C88" w:rsidP="005277C1">
                  <w:pPr>
                    <w:rPr>
                      <w:rFonts w:ascii="Times New Roman" w:eastAsia="Times New Roman" w:hAnsi="Times New Roman" w:cs="Times New Roman"/>
                      <w:b/>
                      <w:sz w:val="20"/>
                      <w:szCs w:val="20"/>
                      <w:lang w:eastAsia="sk-SK"/>
                    </w:rPr>
                  </w:pPr>
                  <w:sdt>
                    <w:sdtPr>
                      <w:rPr>
                        <w:b/>
                        <w:sz w:val="20"/>
                        <w:szCs w:val="20"/>
                      </w:rPr>
                      <w:id w:val="888232876"/>
                      <w14:checkbox>
                        <w14:checked w14:val="0"/>
                        <w14:checkedState w14:val="2612" w14:font="MS Gothic"/>
                        <w14:uncheckedState w14:val="2610" w14:font="MS Gothic"/>
                      </w14:checkbox>
                    </w:sdtPr>
                    <w:sdtEndPr/>
                    <w:sdtContent>
                      <w:r w:rsidR="00BA1532" w:rsidRPr="00612E08">
                        <w:rPr>
                          <w:rFonts w:ascii="MS Gothic" w:eastAsia="MS Gothic" w:hAnsi="MS Gothic" w:cs="Times New Roman" w:hint="eastAsia"/>
                          <w:b/>
                          <w:sz w:val="20"/>
                          <w:szCs w:val="20"/>
                          <w:lang w:eastAsia="sk-SK"/>
                        </w:rPr>
                        <w:t>☐</w:t>
                      </w:r>
                    </w:sdtContent>
                  </w:sdt>
                  <w:r w:rsidR="00BA1532" w:rsidRPr="00612E08">
                    <w:rPr>
                      <w:rFonts w:ascii="Times New Roman" w:eastAsia="Times New Roman" w:hAnsi="Times New Roman" w:cs="Times New Roman"/>
                      <w:b/>
                      <w:sz w:val="20"/>
                      <w:szCs w:val="20"/>
                      <w:lang w:eastAsia="sk-SK"/>
                    </w:rPr>
                    <w:t xml:space="preserve">   Súhlasné </w:t>
                  </w:r>
                </w:p>
              </w:tc>
              <w:tc>
                <w:tcPr>
                  <w:tcW w:w="3827" w:type="dxa"/>
                </w:tcPr>
                <w:p w:rsidR="00BA1532" w:rsidRPr="00612E08" w:rsidRDefault="00870C88" w:rsidP="005277C1">
                  <w:pPr>
                    <w:rPr>
                      <w:rFonts w:ascii="Times New Roman" w:eastAsia="Times New Roman" w:hAnsi="Times New Roman" w:cs="Times New Roman"/>
                      <w:b/>
                      <w:sz w:val="20"/>
                      <w:szCs w:val="20"/>
                      <w:lang w:eastAsia="sk-SK"/>
                    </w:rPr>
                  </w:pPr>
                  <w:sdt>
                    <w:sdtPr>
                      <w:rPr>
                        <w:b/>
                        <w:sz w:val="20"/>
                        <w:szCs w:val="20"/>
                      </w:rPr>
                      <w:id w:val="953831761"/>
                      <w14:checkbox>
                        <w14:checked w14:val="0"/>
                        <w14:checkedState w14:val="2612" w14:font="MS Gothic"/>
                        <w14:uncheckedState w14:val="2610" w14:font="MS Gothic"/>
                      </w14:checkbox>
                    </w:sdtPr>
                    <w:sdtEndPr/>
                    <w:sdtContent>
                      <w:r w:rsidR="00BA1532" w:rsidRPr="00612E08">
                        <w:rPr>
                          <w:rFonts w:ascii="MS Gothic" w:eastAsia="MS Gothic" w:hAnsi="MS Gothic" w:cs="Times New Roman" w:hint="eastAsia"/>
                          <w:b/>
                          <w:sz w:val="20"/>
                          <w:szCs w:val="20"/>
                          <w:lang w:eastAsia="sk-SK"/>
                        </w:rPr>
                        <w:t>☐</w:t>
                      </w:r>
                    </w:sdtContent>
                  </w:sdt>
                  <w:r w:rsidR="00BA1532"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BA1532" w:rsidRPr="00612E08" w:rsidRDefault="00870C88" w:rsidP="005277C1">
                  <w:pPr>
                    <w:ind w:right="459"/>
                    <w:rPr>
                      <w:rFonts w:ascii="Times New Roman" w:eastAsia="Times New Roman" w:hAnsi="Times New Roman" w:cs="Times New Roman"/>
                      <w:b/>
                      <w:sz w:val="20"/>
                      <w:szCs w:val="20"/>
                      <w:lang w:eastAsia="sk-SK"/>
                    </w:rPr>
                  </w:pPr>
                  <w:sdt>
                    <w:sdtPr>
                      <w:rPr>
                        <w:b/>
                        <w:sz w:val="20"/>
                        <w:szCs w:val="20"/>
                      </w:rPr>
                      <w:id w:val="-361740452"/>
                      <w14:checkbox>
                        <w14:checked w14:val="1"/>
                        <w14:checkedState w14:val="2612" w14:font="MS Gothic"/>
                        <w14:uncheckedState w14:val="2610" w14:font="MS Gothic"/>
                      </w14:checkbox>
                    </w:sdtPr>
                    <w:sdtEndPr/>
                    <w:sdtContent>
                      <w:r w:rsidR="00BA1532">
                        <w:rPr>
                          <w:rFonts w:ascii="MS Gothic" w:eastAsia="MS Gothic" w:hAnsi="MS Gothic" w:cs="Times New Roman" w:hint="eastAsia"/>
                          <w:b/>
                          <w:sz w:val="20"/>
                          <w:szCs w:val="20"/>
                          <w:lang w:eastAsia="sk-SK"/>
                        </w:rPr>
                        <w:t>☒</w:t>
                      </w:r>
                    </w:sdtContent>
                  </w:sdt>
                  <w:r w:rsidR="00BA1532" w:rsidRPr="00612E08">
                    <w:rPr>
                      <w:rFonts w:ascii="Times New Roman" w:eastAsia="Times New Roman" w:hAnsi="Times New Roman" w:cs="Times New Roman"/>
                      <w:b/>
                      <w:sz w:val="20"/>
                      <w:szCs w:val="20"/>
                      <w:lang w:eastAsia="sk-SK"/>
                    </w:rPr>
                    <w:t xml:space="preserve">  Nesúhlasné</w:t>
                  </w:r>
                </w:p>
              </w:tc>
            </w:tr>
          </w:tbl>
          <w:p w:rsidR="00BA1532" w:rsidRDefault="00BA1532" w:rsidP="005277C1">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BA1532" w:rsidRDefault="00BA1532" w:rsidP="005277C1">
            <w:pPr>
              <w:jc w:val="both"/>
              <w:rPr>
                <w:rFonts w:ascii="Times New Roman" w:eastAsia="Times New Roman" w:hAnsi="Times New Roman" w:cs="Times New Roman"/>
                <w:b/>
                <w:sz w:val="20"/>
                <w:szCs w:val="20"/>
                <w:lang w:eastAsia="sk-SK"/>
              </w:rPr>
            </w:pPr>
          </w:p>
          <w:p w:rsidR="00BA1532" w:rsidRPr="00612E08" w:rsidRDefault="00BA1532" w:rsidP="005277C1">
            <w:pPr>
              <w:jc w:val="both"/>
              <w:rPr>
                <w:rFonts w:ascii="Times New Roman" w:eastAsia="Times New Roman" w:hAnsi="Times New Roman" w:cs="Times New Roman"/>
                <w:b/>
                <w:sz w:val="20"/>
                <w:szCs w:val="20"/>
                <w:lang w:eastAsia="sk-SK"/>
              </w:rPr>
            </w:pPr>
          </w:p>
        </w:tc>
      </w:tr>
    </w:tbl>
    <w:p w:rsidR="00BA1532" w:rsidRPr="00612E08"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Default="00BA1532" w:rsidP="00BA1532"/>
    <w:p w:rsidR="00BA1532" w:rsidRPr="007B7470" w:rsidRDefault="00BA1532" w:rsidP="00BA1532">
      <w:pPr>
        <w:jc w:val="center"/>
        <w:rPr>
          <w:b/>
          <w:bCs/>
          <w:sz w:val="28"/>
          <w:szCs w:val="28"/>
        </w:rPr>
      </w:pPr>
      <w:r w:rsidRPr="007B7470">
        <w:rPr>
          <w:b/>
          <w:bCs/>
          <w:sz w:val="28"/>
          <w:szCs w:val="28"/>
        </w:rPr>
        <w:lastRenderedPageBreak/>
        <w:t>Analýza vplyvov na rozpočet verejnej správy,</w:t>
      </w:r>
    </w:p>
    <w:p w:rsidR="00BA1532" w:rsidRPr="007B7470" w:rsidRDefault="00BA1532" w:rsidP="00BA1532">
      <w:pPr>
        <w:jc w:val="center"/>
        <w:rPr>
          <w:b/>
          <w:bCs/>
          <w:sz w:val="28"/>
          <w:szCs w:val="28"/>
        </w:rPr>
      </w:pPr>
      <w:r w:rsidRPr="007B7470">
        <w:rPr>
          <w:b/>
          <w:bCs/>
          <w:sz w:val="28"/>
          <w:szCs w:val="28"/>
        </w:rPr>
        <w:t>na zamestnanosť vo verejnej správe a financovanie návrhu</w:t>
      </w:r>
    </w:p>
    <w:p w:rsidR="00BA1532" w:rsidRPr="007B7470" w:rsidRDefault="00BA1532" w:rsidP="00BA1532">
      <w:pPr>
        <w:jc w:val="right"/>
        <w:rPr>
          <w:b/>
          <w:bCs/>
        </w:rPr>
      </w:pPr>
    </w:p>
    <w:p w:rsidR="00BA1532" w:rsidRPr="007B7470" w:rsidRDefault="00BA1532" w:rsidP="00BA1532">
      <w:pPr>
        <w:rPr>
          <w:b/>
          <w:bCs/>
        </w:rPr>
      </w:pPr>
      <w:r w:rsidRPr="007B7470">
        <w:rPr>
          <w:b/>
          <w:bCs/>
        </w:rPr>
        <w:t>2.1 Zhrnutie vplyvov na rozpočet verejnej správy v návrhu</w:t>
      </w:r>
    </w:p>
    <w:p w:rsidR="00BA1532" w:rsidRPr="007B7470" w:rsidRDefault="00BA1532" w:rsidP="00BA1532">
      <w:pPr>
        <w:jc w:val="right"/>
        <w:rPr>
          <w:sz w:val="20"/>
          <w:szCs w:val="20"/>
        </w:rPr>
      </w:pPr>
      <w:r w:rsidRPr="007B7470">
        <w:rPr>
          <w:sz w:val="20"/>
          <w:szCs w:val="20"/>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004"/>
        <w:gridCol w:w="1276"/>
        <w:gridCol w:w="1418"/>
        <w:gridCol w:w="1370"/>
      </w:tblGrid>
      <w:tr w:rsidR="00BA1532" w:rsidRPr="007B7470" w:rsidTr="005277C1">
        <w:trPr>
          <w:cantSplit/>
          <w:trHeight w:val="194"/>
          <w:jc w:val="center"/>
        </w:trPr>
        <w:tc>
          <w:tcPr>
            <w:tcW w:w="4661" w:type="dxa"/>
            <w:vMerge w:val="restart"/>
            <w:shd w:val="clear" w:color="auto" w:fill="BFBFBF" w:themeFill="background1" w:themeFillShade="BF"/>
            <w:vAlign w:val="center"/>
          </w:tcPr>
          <w:p w:rsidR="00BA1532" w:rsidRPr="007B7470" w:rsidRDefault="00BA1532" w:rsidP="005277C1">
            <w:pPr>
              <w:jc w:val="center"/>
              <w:rPr>
                <w:b/>
                <w:bCs/>
              </w:rPr>
            </w:pPr>
            <w:bookmarkStart w:id="0" w:name="OLE_LINK1"/>
            <w:r w:rsidRPr="007B7470">
              <w:rPr>
                <w:b/>
                <w:bCs/>
              </w:rPr>
              <w:t>Vplyvy na rozpočet verejnej správy</w:t>
            </w:r>
          </w:p>
        </w:tc>
        <w:tc>
          <w:tcPr>
            <w:tcW w:w="5068" w:type="dxa"/>
            <w:gridSpan w:val="4"/>
            <w:shd w:val="clear" w:color="auto" w:fill="BFBFBF" w:themeFill="background1" w:themeFillShade="BF"/>
            <w:vAlign w:val="center"/>
          </w:tcPr>
          <w:p w:rsidR="00BA1532" w:rsidRPr="007B7470" w:rsidRDefault="00BA1532" w:rsidP="005277C1">
            <w:pPr>
              <w:jc w:val="center"/>
              <w:rPr>
                <w:b/>
                <w:bCs/>
              </w:rPr>
            </w:pPr>
            <w:r w:rsidRPr="007B7470">
              <w:rPr>
                <w:b/>
                <w:bCs/>
              </w:rPr>
              <w:t>Vplyv na rozpočet verejnej správy (v eurách)</w:t>
            </w:r>
          </w:p>
        </w:tc>
      </w:tr>
      <w:tr w:rsidR="00BA1532" w:rsidRPr="007B7470" w:rsidTr="005277C1">
        <w:trPr>
          <w:cantSplit/>
          <w:trHeight w:val="70"/>
          <w:jc w:val="center"/>
        </w:trPr>
        <w:tc>
          <w:tcPr>
            <w:tcW w:w="4661" w:type="dxa"/>
            <w:vMerge/>
            <w:shd w:val="clear" w:color="auto" w:fill="BFBFBF" w:themeFill="background1" w:themeFillShade="BF"/>
            <w:vAlign w:val="center"/>
          </w:tcPr>
          <w:p w:rsidR="00BA1532" w:rsidRPr="007B7470" w:rsidRDefault="00BA1532" w:rsidP="005277C1">
            <w:pPr>
              <w:jc w:val="center"/>
              <w:rPr>
                <w:b/>
                <w:bCs/>
              </w:rPr>
            </w:pPr>
          </w:p>
        </w:tc>
        <w:tc>
          <w:tcPr>
            <w:tcW w:w="1004" w:type="dxa"/>
            <w:shd w:val="clear" w:color="auto" w:fill="BFBFBF" w:themeFill="background1" w:themeFillShade="BF"/>
            <w:vAlign w:val="center"/>
          </w:tcPr>
          <w:p w:rsidR="00BA1532" w:rsidRPr="007B7470" w:rsidRDefault="00BA1532" w:rsidP="005277C1">
            <w:pPr>
              <w:jc w:val="center"/>
              <w:rPr>
                <w:b/>
                <w:bCs/>
              </w:rPr>
            </w:pPr>
            <w:r>
              <w:rPr>
                <w:b/>
                <w:bCs/>
              </w:rPr>
              <w:t>2024</w:t>
            </w:r>
          </w:p>
        </w:tc>
        <w:tc>
          <w:tcPr>
            <w:tcW w:w="1276" w:type="dxa"/>
            <w:shd w:val="clear" w:color="auto" w:fill="BFBFBF" w:themeFill="background1" w:themeFillShade="BF"/>
            <w:vAlign w:val="center"/>
          </w:tcPr>
          <w:p w:rsidR="00BA1532" w:rsidRPr="007B7470" w:rsidRDefault="00BA1532" w:rsidP="005277C1">
            <w:pPr>
              <w:jc w:val="center"/>
              <w:rPr>
                <w:b/>
                <w:bCs/>
              </w:rPr>
            </w:pPr>
            <w:r>
              <w:rPr>
                <w:b/>
                <w:bCs/>
              </w:rPr>
              <w:t>2025</w:t>
            </w:r>
          </w:p>
        </w:tc>
        <w:tc>
          <w:tcPr>
            <w:tcW w:w="1418" w:type="dxa"/>
            <w:shd w:val="clear" w:color="auto" w:fill="BFBFBF" w:themeFill="background1" w:themeFillShade="BF"/>
            <w:vAlign w:val="center"/>
          </w:tcPr>
          <w:p w:rsidR="00BA1532" w:rsidRPr="007B7470" w:rsidRDefault="00BA1532" w:rsidP="005277C1">
            <w:pPr>
              <w:jc w:val="center"/>
              <w:rPr>
                <w:b/>
                <w:bCs/>
              </w:rPr>
            </w:pPr>
            <w:r w:rsidRPr="007B7470">
              <w:rPr>
                <w:b/>
                <w:bCs/>
              </w:rPr>
              <w:t>2</w:t>
            </w:r>
            <w:r>
              <w:rPr>
                <w:b/>
                <w:bCs/>
              </w:rPr>
              <w:t>026</w:t>
            </w:r>
          </w:p>
        </w:tc>
        <w:tc>
          <w:tcPr>
            <w:tcW w:w="1370" w:type="dxa"/>
            <w:shd w:val="clear" w:color="auto" w:fill="BFBFBF" w:themeFill="background1" w:themeFillShade="BF"/>
            <w:vAlign w:val="center"/>
          </w:tcPr>
          <w:p w:rsidR="00BA1532" w:rsidRPr="007B7470" w:rsidRDefault="00BA1532" w:rsidP="005277C1">
            <w:pPr>
              <w:jc w:val="center"/>
              <w:rPr>
                <w:b/>
                <w:bCs/>
              </w:rPr>
            </w:pPr>
            <w:r>
              <w:rPr>
                <w:b/>
                <w:bCs/>
              </w:rPr>
              <w:t>2027</w:t>
            </w:r>
          </w:p>
        </w:tc>
      </w:tr>
      <w:tr w:rsidR="00BA1532" w:rsidRPr="007B7470" w:rsidTr="005277C1">
        <w:trPr>
          <w:trHeight w:val="70"/>
          <w:jc w:val="center"/>
        </w:trPr>
        <w:tc>
          <w:tcPr>
            <w:tcW w:w="4661" w:type="dxa"/>
            <w:shd w:val="clear" w:color="auto" w:fill="C0C0C0"/>
            <w:noWrap/>
            <w:vAlign w:val="center"/>
          </w:tcPr>
          <w:p w:rsidR="00BA1532" w:rsidRPr="007B7470" w:rsidRDefault="00BA1532" w:rsidP="005277C1">
            <w:r w:rsidRPr="007B7470">
              <w:rPr>
                <w:b/>
                <w:bCs/>
              </w:rPr>
              <w:t>Príjmy verejnej správy celkom</w:t>
            </w:r>
          </w:p>
        </w:tc>
        <w:tc>
          <w:tcPr>
            <w:tcW w:w="1004" w:type="dxa"/>
            <w:shd w:val="clear" w:color="auto" w:fill="C0C0C0"/>
            <w:vAlign w:val="center"/>
          </w:tcPr>
          <w:p w:rsidR="00BA1532" w:rsidRPr="007B7470" w:rsidRDefault="00BA1532" w:rsidP="005277C1">
            <w:pPr>
              <w:jc w:val="right"/>
              <w:rPr>
                <w:b/>
                <w:bCs/>
              </w:rPr>
            </w:pPr>
            <w:r w:rsidRPr="007B7470">
              <w:rPr>
                <w:b/>
                <w:bCs/>
              </w:rPr>
              <w:t>0</w:t>
            </w:r>
          </w:p>
        </w:tc>
        <w:tc>
          <w:tcPr>
            <w:tcW w:w="1276" w:type="dxa"/>
            <w:shd w:val="clear" w:color="auto" w:fill="C0C0C0"/>
            <w:vAlign w:val="center"/>
          </w:tcPr>
          <w:p w:rsidR="00BA1532" w:rsidRPr="007B7470" w:rsidRDefault="00BA1532" w:rsidP="005277C1">
            <w:pPr>
              <w:jc w:val="right"/>
              <w:rPr>
                <w:b/>
                <w:bCs/>
              </w:rPr>
            </w:pPr>
            <w:r>
              <w:rPr>
                <w:b/>
                <w:bCs/>
              </w:rPr>
              <w:t>15 000 000</w:t>
            </w:r>
          </w:p>
        </w:tc>
        <w:tc>
          <w:tcPr>
            <w:tcW w:w="1418" w:type="dxa"/>
            <w:shd w:val="clear" w:color="auto" w:fill="C0C0C0"/>
            <w:vAlign w:val="center"/>
          </w:tcPr>
          <w:p w:rsidR="00BA1532" w:rsidRPr="007B7470" w:rsidRDefault="00BA1532" w:rsidP="005277C1">
            <w:pPr>
              <w:jc w:val="right"/>
              <w:rPr>
                <w:b/>
                <w:bCs/>
              </w:rPr>
            </w:pPr>
            <w:r>
              <w:rPr>
                <w:b/>
                <w:bCs/>
              </w:rPr>
              <w:t>126 000 000</w:t>
            </w:r>
          </w:p>
        </w:tc>
        <w:tc>
          <w:tcPr>
            <w:tcW w:w="1370" w:type="dxa"/>
            <w:shd w:val="clear" w:color="auto" w:fill="C0C0C0"/>
            <w:vAlign w:val="center"/>
          </w:tcPr>
          <w:p w:rsidR="00BA1532" w:rsidRPr="007B7470" w:rsidRDefault="00BA1532" w:rsidP="005277C1">
            <w:pPr>
              <w:jc w:val="right"/>
              <w:rPr>
                <w:b/>
                <w:bCs/>
              </w:rPr>
            </w:pPr>
            <w:r>
              <w:rPr>
                <w:b/>
                <w:bCs/>
              </w:rPr>
              <w:t>180 000 000</w:t>
            </w:r>
          </w:p>
        </w:tc>
      </w:tr>
      <w:tr w:rsidR="00BA1532" w:rsidRPr="007B7470" w:rsidTr="005277C1">
        <w:trPr>
          <w:trHeight w:val="132"/>
          <w:jc w:val="center"/>
        </w:trPr>
        <w:tc>
          <w:tcPr>
            <w:tcW w:w="4661" w:type="dxa"/>
            <w:noWrap/>
            <w:vAlign w:val="center"/>
          </w:tcPr>
          <w:p w:rsidR="00BA1532" w:rsidRPr="007B7470" w:rsidRDefault="00BA1532" w:rsidP="005277C1">
            <w:r w:rsidRPr="007B7470">
              <w:t>v tom: za každý subjekt verejnej správy zvlášť</w:t>
            </w:r>
          </w:p>
        </w:tc>
        <w:tc>
          <w:tcPr>
            <w:tcW w:w="1004" w:type="dxa"/>
            <w:noWrap/>
            <w:vAlign w:val="center"/>
          </w:tcPr>
          <w:p w:rsidR="00BA1532" w:rsidRPr="007B7470" w:rsidRDefault="00BA1532" w:rsidP="005277C1">
            <w:pPr>
              <w:jc w:val="right"/>
            </w:pPr>
            <w:r w:rsidRPr="007B7470">
              <w:t>0</w:t>
            </w:r>
          </w:p>
        </w:tc>
        <w:tc>
          <w:tcPr>
            <w:tcW w:w="1276" w:type="dxa"/>
            <w:noWrap/>
            <w:vAlign w:val="center"/>
          </w:tcPr>
          <w:p w:rsidR="00BA1532" w:rsidRPr="007B7470" w:rsidRDefault="00BA1532" w:rsidP="005277C1">
            <w:pPr>
              <w:jc w:val="right"/>
            </w:pPr>
            <w:r w:rsidRPr="007B7470">
              <w:t>0</w:t>
            </w:r>
          </w:p>
        </w:tc>
        <w:tc>
          <w:tcPr>
            <w:tcW w:w="1418" w:type="dxa"/>
            <w:noWrap/>
            <w:vAlign w:val="center"/>
          </w:tcPr>
          <w:p w:rsidR="00BA1532" w:rsidRPr="007B7470" w:rsidRDefault="00BA1532" w:rsidP="005277C1">
            <w:pPr>
              <w:jc w:val="right"/>
            </w:pPr>
            <w:r w:rsidRPr="007B7470">
              <w:t>0</w:t>
            </w:r>
          </w:p>
        </w:tc>
        <w:tc>
          <w:tcPr>
            <w:tcW w:w="1370" w:type="dxa"/>
            <w:noWrap/>
            <w:vAlign w:val="center"/>
          </w:tcPr>
          <w:p w:rsidR="00BA1532" w:rsidRPr="007B7470" w:rsidRDefault="00BA1532" w:rsidP="005277C1">
            <w:pPr>
              <w:jc w:val="right"/>
            </w:pPr>
            <w:r w:rsidRPr="007B7470">
              <w:t>0</w:t>
            </w: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xml:space="preserve">z toho:  </w:t>
            </w:r>
          </w:p>
        </w:tc>
        <w:tc>
          <w:tcPr>
            <w:tcW w:w="1004" w:type="dxa"/>
            <w:noWrap/>
            <w:vAlign w:val="center"/>
          </w:tcPr>
          <w:p w:rsidR="00BA1532" w:rsidRPr="007B7470" w:rsidRDefault="00BA1532" w:rsidP="005277C1">
            <w:pPr>
              <w:jc w:val="right"/>
              <w:rPr>
                <w:b/>
                <w:bCs/>
                <w:iCs/>
              </w:rPr>
            </w:pPr>
          </w:p>
        </w:tc>
        <w:tc>
          <w:tcPr>
            <w:tcW w:w="1276" w:type="dxa"/>
            <w:noWrap/>
            <w:vAlign w:val="center"/>
          </w:tcPr>
          <w:p w:rsidR="00BA1532" w:rsidRPr="007B7470" w:rsidRDefault="00BA1532" w:rsidP="005277C1">
            <w:pPr>
              <w:jc w:val="right"/>
              <w:rPr>
                <w:b/>
                <w:bCs/>
                <w:iCs/>
              </w:rPr>
            </w:pPr>
          </w:p>
        </w:tc>
        <w:tc>
          <w:tcPr>
            <w:tcW w:w="1418" w:type="dxa"/>
            <w:noWrap/>
            <w:vAlign w:val="center"/>
          </w:tcPr>
          <w:p w:rsidR="00BA1532" w:rsidRPr="007B7470" w:rsidRDefault="00BA1532" w:rsidP="005277C1">
            <w:pPr>
              <w:jc w:val="right"/>
              <w:rPr>
                <w:b/>
                <w:bCs/>
                <w:iCs/>
              </w:rPr>
            </w:pPr>
          </w:p>
        </w:tc>
        <w:tc>
          <w:tcPr>
            <w:tcW w:w="1370" w:type="dxa"/>
            <w:noWrap/>
            <w:vAlign w:val="center"/>
          </w:tcPr>
          <w:p w:rsidR="00BA1532" w:rsidRPr="007B7470" w:rsidRDefault="00BA1532" w:rsidP="005277C1">
            <w:pPr>
              <w:jc w:val="right"/>
              <w:rPr>
                <w:b/>
                <w:bCs/>
                <w:iCs/>
              </w:rPr>
            </w:pPr>
          </w:p>
        </w:tc>
      </w:tr>
      <w:tr w:rsidR="00BA1532" w:rsidRPr="007B7470" w:rsidTr="005277C1">
        <w:trPr>
          <w:trHeight w:val="125"/>
          <w:jc w:val="center"/>
        </w:trPr>
        <w:tc>
          <w:tcPr>
            <w:tcW w:w="4661" w:type="dxa"/>
            <w:noWrap/>
            <w:vAlign w:val="center"/>
          </w:tcPr>
          <w:p w:rsidR="00BA1532" w:rsidRPr="007B7470" w:rsidRDefault="00BA1532" w:rsidP="005277C1">
            <w:pPr>
              <w:rPr>
                <w:b/>
                <w:bCs/>
                <w:i/>
                <w:iCs/>
              </w:rPr>
            </w:pPr>
            <w:r w:rsidRPr="007B7470">
              <w:rPr>
                <w:b/>
                <w:bCs/>
                <w:i/>
                <w:iCs/>
              </w:rPr>
              <w:t>- vplyv na ŠR</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Pr>
                <w:b/>
                <w:bCs/>
                <w:iCs/>
              </w:rPr>
              <w:t>15 000 000</w:t>
            </w:r>
          </w:p>
        </w:tc>
        <w:tc>
          <w:tcPr>
            <w:tcW w:w="1418" w:type="dxa"/>
            <w:noWrap/>
            <w:vAlign w:val="center"/>
          </w:tcPr>
          <w:p w:rsidR="00BA1532" w:rsidRPr="007B7470" w:rsidRDefault="00BA1532" w:rsidP="005277C1">
            <w:pPr>
              <w:jc w:val="right"/>
              <w:rPr>
                <w:b/>
                <w:bCs/>
                <w:iCs/>
              </w:rPr>
            </w:pPr>
            <w:r>
              <w:rPr>
                <w:b/>
                <w:bCs/>
                <w:iCs/>
              </w:rPr>
              <w:t>126 000 000</w:t>
            </w:r>
          </w:p>
        </w:tc>
        <w:tc>
          <w:tcPr>
            <w:tcW w:w="1370" w:type="dxa"/>
            <w:noWrap/>
            <w:vAlign w:val="center"/>
          </w:tcPr>
          <w:p w:rsidR="00BA1532" w:rsidRPr="007B7470" w:rsidRDefault="00BA1532" w:rsidP="005277C1">
            <w:pPr>
              <w:jc w:val="right"/>
              <w:rPr>
                <w:b/>
                <w:bCs/>
                <w:iCs/>
              </w:rPr>
            </w:pPr>
            <w:r>
              <w:rPr>
                <w:b/>
                <w:bCs/>
                <w:iCs/>
              </w:rPr>
              <w:t>180 000 000</w:t>
            </w:r>
          </w:p>
        </w:tc>
      </w:tr>
      <w:tr w:rsidR="00BA1532" w:rsidRPr="007B7470" w:rsidTr="005277C1">
        <w:trPr>
          <w:trHeight w:val="125"/>
          <w:jc w:val="center"/>
        </w:trPr>
        <w:tc>
          <w:tcPr>
            <w:tcW w:w="4661" w:type="dxa"/>
            <w:noWrap/>
            <w:vAlign w:val="center"/>
          </w:tcPr>
          <w:p w:rsidR="00BA1532" w:rsidRPr="00C552D4" w:rsidRDefault="00BA1532" w:rsidP="005277C1">
            <w:pPr>
              <w:rPr>
                <w:bCs/>
                <w:iCs/>
              </w:rPr>
            </w:pPr>
            <w:r w:rsidRPr="007B7470">
              <w:rPr>
                <w:bCs/>
                <w:i/>
                <w:iCs/>
              </w:rPr>
              <w:t>Rozpočtové prostriedky</w:t>
            </w:r>
          </w:p>
        </w:tc>
        <w:tc>
          <w:tcPr>
            <w:tcW w:w="1004" w:type="dxa"/>
            <w:noWrap/>
            <w:vAlign w:val="center"/>
          </w:tcPr>
          <w:p w:rsidR="00BA1532" w:rsidRPr="007B7470" w:rsidRDefault="00BA1532" w:rsidP="005277C1">
            <w:pPr>
              <w:jc w:val="right"/>
              <w:rPr>
                <w:b/>
                <w:bCs/>
                <w:iCs/>
              </w:rPr>
            </w:pPr>
          </w:p>
        </w:tc>
        <w:tc>
          <w:tcPr>
            <w:tcW w:w="1276" w:type="dxa"/>
            <w:noWrap/>
            <w:vAlign w:val="center"/>
          </w:tcPr>
          <w:p w:rsidR="00BA1532" w:rsidRPr="007B7470" w:rsidRDefault="00BA1532" w:rsidP="005277C1">
            <w:pPr>
              <w:jc w:val="right"/>
              <w:rPr>
                <w:b/>
                <w:bCs/>
                <w:iCs/>
              </w:rPr>
            </w:pPr>
          </w:p>
        </w:tc>
        <w:tc>
          <w:tcPr>
            <w:tcW w:w="1418" w:type="dxa"/>
            <w:noWrap/>
            <w:vAlign w:val="center"/>
          </w:tcPr>
          <w:p w:rsidR="00BA1532" w:rsidRPr="007B7470" w:rsidRDefault="00BA1532" w:rsidP="005277C1">
            <w:pPr>
              <w:jc w:val="right"/>
              <w:rPr>
                <w:b/>
                <w:bCs/>
                <w:iCs/>
              </w:rPr>
            </w:pPr>
          </w:p>
        </w:tc>
        <w:tc>
          <w:tcPr>
            <w:tcW w:w="1370" w:type="dxa"/>
            <w:noWrap/>
            <w:vAlign w:val="center"/>
          </w:tcPr>
          <w:p w:rsidR="00BA1532" w:rsidRPr="007B7470" w:rsidRDefault="00BA1532" w:rsidP="005277C1">
            <w:pPr>
              <w:jc w:val="right"/>
              <w:rPr>
                <w:b/>
                <w:bCs/>
                <w:iCs/>
              </w:rPr>
            </w:pPr>
          </w:p>
        </w:tc>
      </w:tr>
      <w:tr w:rsidR="00BA1532" w:rsidRPr="007B7470" w:rsidTr="005277C1">
        <w:trPr>
          <w:trHeight w:val="125"/>
          <w:jc w:val="center"/>
        </w:trPr>
        <w:tc>
          <w:tcPr>
            <w:tcW w:w="4661" w:type="dxa"/>
            <w:noWrap/>
            <w:vAlign w:val="center"/>
          </w:tcPr>
          <w:p w:rsidR="00BA1532" w:rsidRPr="007B7470" w:rsidRDefault="00BA1532" w:rsidP="005277C1">
            <w:pPr>
              <w:ind w:left="259"/>
              <w:rPr>
                <w:b/>
                <w:bCs/>
                <w:i/>
                <w:iCs/>
              </w:rPr>
            </w:pPr>
            <w:r w:rsidRPr="006E1A3B">
              <w:rPr>
                <w:bCs/>
                <w:iCs/>
              </w:rPr>
              <w:t>v tom</w:t>
            </w:r>
            <w:r>
              <w:rPr>
                <w:bCs/>
                <w:iCs/>
              </w:rPr>
              <w:t>: (131) daň z pridanej hodnoty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Pr>
                <w:b/>
                <w:bCs/>
                <w:iCs/>
              </w:rPr>
              <w:t>3 000 000</w:t>
            </w:r>
          </w:p>
        </w:tc>
        <w:tc>
          <w:tcPr>
            <w:tcW w:w="1418" w:type="dxa"/>
            <w:noWrap/>
            <w:vAlign w:val="center"/>
          </w:tcPr>
          <w:p w:rsidR="00BA1532" w:rsidRPr="007B7470" w:rsidRDefault="00BA1532" w:rsidP="005277C1">
            <w:pPr>
              <w:jc w:val="right"/>
              <w:rPr>
                <w:b/>
                <w:bCs/>
                <w:iCs/>
              </w:rPr>
            </w:pPr>
            <w:r>
              <w:rPr>
                <w:b/>
                <w:bCs/>
                <w:iCs/>
              </w:rPr>
              <w:t>21 000 000</w:t>
            </w:r>
          </w:p>
        </w:tc>
        <w:tc>
          <w:tcPr>
            <w:tcW w:w="1370" w:type="dxa"/>
            <w:noWrap/>
            <w:vAlign w:val="center"/>
          </w:tcPr>
          <w:p w:rsidR="00BA1532" w:rsidRPr="007B7470" w:rsidRDefault="00BA1532" w:rsidP="005277C1">
            <w:pPr>
              <w:jc w:val="right"/>
              <w:rPr>
                <w:b/>
                <w:bCs/>
                <w:iCs/>
              </w:rPr>
            </w:pPr>
            <w:r>
              <w:rPr>
                <w:b/>
                <w:bCs/>
                <w:iCs/>
              </w:rPr>
              <w:t>30 000 000</w:t>
            </w:r>
          </w:p>
        </w:tc>
      </w:tr>
      <w:tr w:rsidR="00BA1532" w:rsidRPr="007B7470" w:rsidTr="005277C1">
        <w:trPr>
          <w:trHeight w:val="125"/>
          <w:jc w:val="center"/>
        </w:trPr>
        <w:tc>
          <w:tcPr>
            <w:tcW w:w="4661" w:type="dxa"/>
            <w:noWrap/>
            <w:vAlign w:val="center"/>
          </w:tcPr>
          <w:p w:rsidR="00BA1532" w:rsidRPr="007B7470" w:rsidRDefault="00BA1532" w:rsidP="005277C1">
            <w:pPr>
              <w:ind w:left="259"/>
              <w:rPr>
                <w:bCs/>
                <w:i/>
                <w:iCs/>
              </w:rPr>
            </w:pPr>
            <w:r w:rsidRPr="006E1A3B">
              <w:rPr>
                <w:bCs/>
                <w:iCs/>
              </w:rPr>
              <w:t>v tom</w:t>
            </w:r>
            <w:r>
              <w:rPr>
                <w:bCs/>
                <w:iCs/>
              </w:rPr>
              <w:t>: (132 009) spotrebná daň z tabakových výrobkov</w:t>
            </w:r>
          </w:p>
        </w:tc>
        <w:tc>
          <w:tcPr>
            <w:tcW w:w="1004" w:type="dxa"/>
            <w:noWrap/>
            <w:vAlign w:val="center"/>
          </w:tcPr>
          <w:p w:rsidR="00BA1532" w:rsidRPr="007B7470" w:rsidRDefault="00BA1532" w:rsidP="005277C1">
            <w:pPr>
              <w:jc w:val="right"/>
              <w:rPr>
                <w:b/>
                <w:bCs/>
                <w:iCs/>
              </w:rPr>
            </w:pPr>
            <w:r>
              <w:rPr>
                <w:b/>
                <w:bCs/>
                <w:iCs/>
              </w:rPr>
              <w:t>0</w:t>
            </w:r>
          </w:p>
        </w:tc>
        <w:tc>
          <w:tcPr>
            <w:tcW w:w="1276" w:type="dxa"/>
            <w:noWrap/>
            <w:vAlign w:val="center"/>
          </w:tcPr>
          <w:p w:rsidR="00BA1532" w:rsidRPr="007B7470" w:rsidRDefault="00BA1532" w:rsidP="005277C1">
            <w:pPr>
              <w:jc w:val="right"/>
              <w:rPr>
                <w:b/>
                <w:bCs/>
                <w:iCs/>
              </w:rPr>
            </w:pPr>
            <w:r>
              <w:rPr>
                <w:b/>
                <w:bCs/>
                <w:iCs/>
              </w:rPr>
              <w:t>12 000 000</w:t>
            </w:r>
          </w:p>
        </w:tc>
        <w:tc>
          <w:tcPr>
            <w:tcW w:w="1418" w:type="dxa"/>
            <w:noWrap/>
            <w:vAlign w:val="center"/>
          </w:tcPr>
          <w:p w:rsidR="00BA1532" w:rsidRPr="007B7470" w:rsidRDefault="00BA1532" w:rsidP="005277C1">
            <w:pPr>
              <w:jc w:val="right"/>
              <w:rPr>
                <w:b/>
                <w:bCs/>
                <w:iCs/>
              </w:rPr>
            </w:pPr>
            <w:r>
              <w:rPr>
                <w:b/>
                <w:bCs/>
                <w:iCs/>
              </w:rPr>
              <w:t>105 000 000</w:t>
            </w:r>
          </w:p>
        </w:tc>
        <w:tc>
          <w:tcPr>
            <w:tcW w:w="1370" w:type="dxa"/>
            <w:noWrap/>
            <w:vAlign w:val="center"/>
          </w:tcPr>
          <w:p w:rsidR="00BA1532" w:rsidRPr="007B7470" w:rsidRDefault="00BA1532" w:rsidP="005277C1">
            <w:pPr>
              <w:jc w:val="right"/>
              <w:rPr>
                <w:b/>
                <w:bCs/>
                <w:iCs/>
              </w:rPr>
            </w:pPr>
            <w:r>
              <w:rPr>
                <w:b/>
                <w:bCs/>
                <w:iCs/>
              </w:rPr>
              <w:t>150 000 000</w:t>
            </w:r>
          </w:p>
        </w:tc>
      </w:tr>
      <w:tr w:rsidR="00BA1532" w:rsidRPr="007B7470" w:rsidTr="005277C1">
        <w:trPr>
          <w:trHeight w:val="125"/>
          <w:jc w:val="center"/>
        </w:trPr>
        <w:tc>
          <w:tcPr>
            <w:tcW w:w="4661" w:type="dxa"/>
            <w:noWrap/>
            <w:vAlign w:val="center"/>
          </w:tcPr>
          <w:p w:rsidR="00BA1532" w:rsidRPr="007B7470" w:rsidRDefault="00BA1532" w:rsidP="005277C1">
            <w:pPr>
              <w:ind w:left="259"/>
              <w:rPr>
                <w:bCs/>
                <w:i/>
                <w:iCs/>
              </w:rPr>
            </w:pPr>
            <w:r w:rsidRPr="007B7470">
              <w:rPr>
                <w:bCs/>
                <w:i/>
                <w:iCs/>
              </w:rPr>
              <w:t>EÚ zdroje</w:t>
            </w:r>
          </w:p>
        </w:tc>
        <w:tc>
          <w:tcPr>
            <w:tcW w:w="1004" w:type="dxa"/>
            <w:noWrap/>
            <w:vAlign w:val="center"/>
          </w:tcPr>
          <w:p w:rsidR="00BA1532" w:rsidRPr="007B7470" w:rsidRDefault="00BA1532" w:rsidP="005277C1">
            <w:pPr>
              <w:jc w:val="right"/>
            </w:pPr>
            <w:r w:rsidRPr="007B7470">
              <w:t>0</w:t>
            </w:r>
          </w:p>
        </w:tc>
        <w:tc>
          <w:tcPr>
            <w:tcW w:w="1276" w:type="dxa"/>
            <w:noWrap/>
            <w:vAlign w:val="center"/>
          </w:tcPr>
          <w:p w:rsidR="00BA1532" w:rsidRPr="007B7470" w:rsidRDefault="00BA1532" w:rsidP="005277C1">
            <w:pPr>
              <w:jc w:val="right"/>
            </w:pPr>
            <w:r w:rsidRPr="007B7470">
              <w:t>0</w:t>
            </w:r>
          </w:p>
        </w:tc>
        <w:tc>
          <w:tcPr>
            <w:tcW w:w="1418" w:type="dxa"/>
            <w:noWrap/>
            <w:vAlign w:val="center"/>
          </w:tcPr>
          <w:p w:rsidR="00BA1532" w:rsidRPr="007B7470" w:rsidRDefault="00BA1532" w:rsidP="005277C1">
            <w:pPr>
              <w:jc w:val="right"/>
            </w:pPr>
            <w:r w:rsidRPr="007B7470">
              <w:t>0</w:t>
            </w:r>
          </w:p>
        </w:tc>
        <w:tc>
          <w:tcPr>
            <w:tcW w:w="1370" w:type="dxa"/>
            <w:noWrap/>
            <w:vAlign w:val="center"/>
          </w:tcPr>
          <w:p w:rsidR="00BA1532" w:rsidRPr="007B7470" w:rsidRDefault="00BA1532" w:rsidP="005277C1">
            <w:pPr>
              <w:jc w:val="right"/>
            </w:pPr>
            <w:r w:rsidRPr="007B7470">
              <w:t>0</w:t>
            </w:r>
          </w:p>
        </w:tc>
      </w:tr>
      <w:tr w:rsidR="00BA1532" w:rsidRPr="007B7470" w:rsidTr="005277C1">
        <w:trPr>
          <w:trHeight w:val="125"/>
          <w:jc w:val="center"/>
        </w:trPr>
        <w:tc>
          <w:tcPr>
            <w:tcW w:w="4661" w:type="dxa"/>
            <w:noWrap/>
            <w:vAlign w:val="center"/>
          </w:tcPr>
          <w:p w:rsidR="00BA1532" w:rsidRPr="007B7470" w:rsidRDefault="00BA1532" w:rsidP="005277C1">
            <w:pPr>
              <w:rPr>
                <w:b/>
                <w:bCs/>
                <w:i/>
                <w:iCs/>
              </w:rPr>
            </w:pPr>
            <w:r w:rsidRPr="007B7470">
              <w:rPr>
                <w:b/>
                <w:bCs/>
                <w:i/>
                <w:iCs/>
              </w:rPr>
              <w:t>- vplyv na obce</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125"/>
          <w:jc w:val="center"/>
        </w:trPr>
        <w:tc>
          <w:tcPr>
            <w:tcW w:w="4661" w:type="dxa"/>
            <w:noWrap/>
            <w:vAlign w:val="center"/>
          </w:tcPr>
          <w:p w:rsidR="00BA1532" w:rsidRPr="007B7470" w:rsidRDefault="00BA1532" w:rsidP="005277C1">
            <w:pPr>
              <w:rPr>
                <w:b/>
                <w:bCs/>
                <w:i/>
                <w:iCs/>
              </w:rPr>
            </w:pPr>
            <w:r w:rsidRPr="007B7470">
              <w:rPr>
                <w:b/>
                <w:bCs/>
                <w:i/>
                <w:iCs/>
              </w:rPr>
              <w:t>- vplyv na vyššie územné celky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125"/>
          <w:jc w:val="center"/>
        </w:trPr>
        <w:tc>
          <w:tcPr>
            <w:tcW w:w="4661" w:type="dxa"/>
            <w:noWrap/>
            <w:vAlign w:val="center"/>
          </w:tcPr>
          <w:p w:rsidR="00BA1532" w:rsidRPr="007B7470" w:rsidRDefault="00BA1532" w:rsidP="005277C1">
            <w:pPr>
              <w:rPr>
                <w:b/>
                <w:bCs/>
                <w:i/>
                <w:iCs/>
              </w:rPr>
            </w:pPr>
            <w:r w:rsidRPr="007B7470">
              <w:rPr>
                <w:b/>
                <w:bCs/>
                <w:i/>
                <w:iCs/>
              </w:rPr>
              <w:t>- vplyv na ostatné subjekty verejnej správy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125"/>
          <w:jc w:val="center"/>
        </w:trPr>
        <w:tc>
          <w:tcPr>
            <w:tcW w:w="4661" w:type="dxa"/>
            <w:shd w:val="clear" w:color="auto" w:fill="C0C0C0"/>
            <w:noWrap/>
            <w:vAlign w:val="center"/>
          </w:tcPr>
          <w:p w:rsidR="00BA1532" w:rsidRPr="007B7470" w:rsidRDefault="00BA1532" w:rsidP="005277C1">
            <w:pPr>
              <w:rPr>
                <w:b/>
                <w:bCs/>
              </w:rPr>
            </w:pPr>
            <w:r w:rsidRPr="007B7470">
              <w:rPr>
                <w:b/>
                <w:bCs/>
              </w:rPr>
              <w:t>Výdavky verejnej správy celkom</w:t>
            </w:r>
          </w:p>
        </w:tc>
        <w:tc>
          <w:tcPr>
            <w:tcW w:w="1004" w:type="dxa"/>
            <w:shd w:val="clear" w:color="auto" w:fill="C0C0C0"/>
            <w:noWrap/>
            <w:vAlign w:val="center"/>
          </w:tcPr>
          <w:p w:rsidR="00BA1532" w:rsidRPr="007B7470" w:rsidRDefault="00BA1532" w:rsidP="005277C1">
            <w:pPr>
              <w:jc w:val="right"/>
              <w:rPr>
                <w:b/>
                <w:bCs/>
              </w:rPr>
            </w:pPr>
            <w:r>
              <w:rPr>
                <w:b/>
                <w:bCs/>
              </w:rPr>
              <w:t>301 632</w:t>
            </w:r>
          </w:p>
        </w:tc>
        <w:tc>
          <w:tcPr>
            <w:tcW w:w="1276" w:type="dxa"/>
            <w:shd w:val="clear" w:color="auto" w:fill="C0C0C0"/>
            <w:noWrap/>
            <w:vAlign w:val="center"/>
          </w:tcPr>
          <w:p w:rsidR="00BA1532" w:rsidRPr="007B7470" w:rsidRDefault="00BA1532" w:rsidP="005277C1">
            <w:pPr>
              <w:jc w:val="right"/>
              <w:rPr>
                <w:b/>
                <w:bCs/>
              </w:rPr>
            </w:pPr>
            <w:r>
              <w:rPr>
                <w:b/>
                <w:bCs/>
              </w:rPr>
              <w:t>0</w:t>
            </w:r>
          </w:p>
        </w:tc>
        <w:tc>
          <w:tcPr>
            <w:tcW w:w="1418" w:type="dxa"/>
            <w:shd w:val="clear" w:color="auto" w:fill="C0C0C0"/>
            <w:noWrap/>
            <w:vAlign w:val="center"/>
          </w:tcPr>
          <w:p w:rsidR="00BA1532" w:rsidRPr="007B7470" w:rsidRDefault="00BA1532" w:rsidP="005277C1">
            <w:pPr>
              <w:jc w:val="right"/>
              <w:rPr>
                <w:b/>
                <w:bCs/>
              </w:rPr>
            </w:pPr>
            <w:r w:rsidRPr="007B7470">
              <w:rPr>
                <w:b/>
                <w:bCs/>
              </w:rPr>
              <w:t>0</w:t>
            </w:r>
          </w:p>
        </w:tc>
        <w:tc>
          <w:tcPr>
            <w:tcW w:w="1370" w:type="dxa"/>
            <w:shd w:val="clear" w:color="auto" w:fill="C0C0C0"/>
            <w:noWrap/>
            <w:vAlign w:val="center"/>
          </w:tcPr>
          <w:p w:rsidR="00BA1532" w:rsidRPr="007B7470" w:rsidRDefault="00BA1532" w:rsidP="005277C1">
            <w:pPr>
              <w:jc w:val="right"/>
              <w:rPr>
                <w:b/>
                <w:bCs/>
              </w:rPr>
            </w:pPr>
            <w:r w:rsidRPr="007B7470">
              <w:rPr>
                <w:b/>
                <w:bCs/>
              </w:rPr>
              <w:t xml:space="preserve">0   </w:t>
            </w:r>
          </w:p>
        </w:tc>
      </w:tr>
      <w:tr w:rsidR="00BA1532" w:rsidRPr="007B7470" w:rsidTr="005277C1">
        <w:trPr>
          <w:trHeight w:val="70"/>
          <w:jc w:val="center"/>
        </w:trPr>
        <w:tc>
          <w:tcPr>
            <w:tcW w:w="4661" w:type="dxa"/>
            <w:noWrap/>
            <w:vAlign w:val="center"/>
          </w:tcPr>
          <w:p w:rsidR="00BA1532" w:rsidRPr="007B7470" w:rsidRDefault="00BA1532" w:rsidP="005277C1">
            <w:r w:rsidRPr="007B7470">
              <w:t xml:space="preserve">v tom: </w:t>
            </w:r>
            <w:r>
              <w:t xml:space="preserve">kapitola </w:t>
            </w:r>
            <w:r w:rsidRPr="003B4714">
              <w:t>MF SR</w:t>
            </w:r>
            <w:r>
              <w:t>/0EK 0D IT financované zo ŠR – MF SR (FR SR)</w:t>
            </w:r>
          </w:p>
        </w:tc>
        <w:tc>
          <w:tcPr>
            <w:tcW w:w="1004" w:type="dxa"/>
            <w:noWrap/>
            <w:vAlign w:val="center"/>
          </w:tcPr>
          <w:p w:rsidR="00BA1532" w:rsidRPr="00D81B3A" w:rsidRDefault="00BA1532" w:rsidP="005277C1">
            <w:pPr>
              <w:jc w:val="right"/>
            </w:pPr>
            <w:r>
              <w:rPr>
                <w:bCs/>
              </w:rPr>
              <w:t>301 632</w:t>
            </w:r>
          </w:p>
        </w:tc>
        <w:tc>
          <w:tcPr>
            <w:tcW w:w="1276" w:type="dxa"/>
            <w:noWrap/>
            <w:vAlign w:val="center"/>
          </w:tcPr>
          <w:p w:rsidR="00BA1532" w:rsidRPr="00D81B3A" w:rsidRDefault="00BA1532" w:rsidP="005277C1">
            <w:pPr>
              <w:jc w:val="right"/>
            </w:pPr>
            <w:r>
              <w:rPr>
                <w:bCs/>
              </w:rPr>
              <w:t>0</w:t>
            </w:r>
          </w:p>
        </w:tc>
        <w:tc>
          <w:tcPr>
            <w:tcW w:w="1418" w:type="dxa"/>
            <w:noWrap/>
            <w:vAlign w:val="center"/>
          </w:tcPr>
          <w:p w:rsidR="00BA1532" w:rsidRPr="00D81B3A" w:rsidRDefault="00BA1532" w:rsidP="005277C1">
            <w:pPr>
              <w:jc w:val="right"/>
            </w:pPr>
            <w:r w:rsidRPr="00D57BCE">
              <w:rPr>
                <w:bCs/>
              </w:rPr>
              <w:t>0</w:t>
            </w:r>
          </w:p>
        </w:tc>
        <w:tc>
          <w:tcPr>
            <w:tcW w:w="1370" w:type="dxa"/>
            <w:noWrap/>
            <w:vAlign w:val="center"/>
          </w:tcPr>
          <w:p w:rsidR="00BA1532" w:rsidRPr="00D81B3A" w:rsidRDefault="00BA1532" w:rsidP="005277C1">
            <w:pPr>
              <w:jc w:val="right"/>
            </w:pPr>
            <w:r w:rsidRPr="00D57BCE">
              <w:rPr>
                <w:bCs/>
              </w:rPr>
              <w:t xml:space="preserve">0   </w:t>
            </w:r>
          </w:p>
        </w:tc>
      </w:tr>
      <w:tr w:rsidR="00BA1532" w:rsidRPr="007B7470" w:rsidTr="005277C1">
        <w:trPr>
          <w:trHeight w:val="70"/>
          <w:jc w:val="center"/>
        </w:trPr>
        <w:tc>
          <w:tcPr>
            <w:tcW w:w="4661" w:type="dxa"/>
            <w:noWrap/>
            <w:vAlign w:val="center"/>
          </w:tcPr>
          <w:p w:rsidR="00BA1532" w:rsidRPr="007D5ACE" w:rsidRDefault="00BA1532" w:rsidP="005277C1">
            <w:pPr>
              <w:rPr>
                <w:b/>
                <w:bCs/>
                <w:i/>
                <w:iCs/>
              </w:rPr>
            </w:pPr>
            <w:r w:rsidRPr="007D5ACE">
              <w:rPr>
                <w:b/>
                <w:bCs/>
                <w:i/>
                <w:iCs/>
              </w:rPr>
              <w:t xml:space="preserve">z toho: </w:t>
            </w:r>
          </w:p>
        </w:tc>
        <w:tc>
          <w:tcPr>
            <w:tcW w:w="1004" w:type="dxa"/>
            <w:noWrap/>
            <w:vAlign w:val="center"/>
          </w:tcPr>
          <w:p w:rsidR="00BA1532" w:rsidRPr="007D5ACE" w:rsidRDefault="00BA1532" w:rsidP="005277C1">
            <w:pPr>
              <w:jc w:val="right"/>
              <w:rPr>
                <w:b/>
                <w:bCs/>
                <w:iCs/>
              </w:rPr>
            </w:pPr>
          </w:p>
        </w:tc>
        <w:tc>
          <w:tcPr>
            <w:tcW w:w="1276" w:type="dxa"/>
            <w:noWrap/>
            <w:vAlign w:val="center"/>
          </w:tcPr>
          <w:p w:rsidR="00BA1532" w:rsidRPr="007D5ACE" w:rsidRDefault="00BA1532" w:rsidP="005277C1">
            <w:pPr>
              <w:jc w:val="right"/>
              <w:rPr>
                <w:b/>
                <w:bCs/>
                <w:iCs/>
              </w:rPr>
            </w:pPr>
          </w:p>
        </w:tc>
        <w:tc>
          <w:tcPr>
            <w:tcW w:w="1418" w:type="dxa"/>
            <w:noWrap/>
            <w:vAlign w:val="center"/>
          </w:tcPr>
          <w:p w:rsidR="00BA1532" w:rsidRPr="007D5ACE" w:rsidRDefault="00BA1532" w:rsidP="005277C1">
            <w:pPr>
              <w:jc w:val="right"/>
              <w:rPr>
                <w:b/>
                <w:bCs/>
                <w:iCs/>
              </w:rPr>
            </w:pPr>
          </w:p>
        </w:tc>
        <w:tc>
          <w:tcPr>
            <w:tcW w:w="1370" w:type="dxa"/>
            <w:noWrap/>
            <w:vAlign w:val="center"/>
          </w:tcPr>
          <w:p w:rsidR="00BA1532" w:rsidRPr="007D5ACE" w:rsidRDefault="00BA1532" w:rsidP="005277C1">
            <w:pPr>
              <w:jc w:val="right"/>
              <w:rPr>
                <w:b/>
                <w:bCs/>
                <w:iCs/>
              </w:rPr>
            </w:pP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vplyv na ŠR</w:t>
            </w:r>
          </w:p>
        </w:tc>
        <w:tc>
          <w:tcPr>
            <w:tcW w:w="1004" w:type="dxa"/>
            <w:noWrap/>
            <w:vAlign w:val="center"/>
          </w:tcPr>
          <w:p w:rsidR="00BA1532" w:rsidRPr="007B7470" w:rsidRDefault="00BA1532" w:rsidP="005277C1">
            <w:pPr>
              <w:jc w:val="right"/>
              <w:rPr>
                <w:b/>
                <w:bCs/>
                <w:iCs/>
              </w:rPr>
            </w:pPr>
            <w:r>
              <w:rPr>
                <w:b/>
                <w:bCs/>
              </w:rPr>
              <w:t>301 632</w:t>
            </w:r>
          </w:p>
        </w:tc>
        <w:tc>
          <w:tcPr>
            <w:tcW w:w="1276" w:type="dxa"/>
            <w:noWrap/>
            <w:vAlign w:val="center"/>
          </w:tcPr>
          <w:p w:rsidR="00BA1532" w:rsidRPr="007B7470" w:rsidRDefault="00BA1532" w:rsidP="005277C1">
            <w:pPr>
              <w:jc w:val="right"/>
              <w:rPr>
                <w:b/>
                <w:bCs/>
                <w:iCs/>
              </w:rPr>
            </w:pPr>
            <w:r>
              <w:rPr>
                <w:b/>
                <w:b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noWrap/>
            <w:vAlign w:val="center"/>
          </w:tcPr>
          <w:p w:rsidR="00BA1532" w:rsidRPr="007B7470" w:rsidRDefault="00BA1532" w:rsidP="005277C1">
            <w:pPr>
              <w:ind w:left="259"/>
              <w:rPr>
                <w:b/>
                <w:bCs/>
                <w:i/>
                <w:iCs/>
              </w:rPr>
            </w:pPr>
            <w:r w:rsidRPr="007B7470">
              <w:rPr>
                <w:bCs/>
                <w:i/>
                <w:iCs/>
              </w:rPr>
              <w:t>Rozpočtové prostriedky</w:t>
            </w:r>
          </w:p>
        </w:tc>
        <w:tc>
          <w:tcPr>
            <w:tcW w:w="1004" w:type="dxa"/>
            <w:noWrap/>
            <w:vAlign w:val="center"/>
          </w:tcPr>
          <w:p w:rsidR="00BA1532" w:rsidRPr="00427ECA" w:rsidRDefault="00BA1532" w:rsidP="005277C1">
            <w:pPr>
              <w:jc w:val="right"/>
              <w:rPr>
                <w:bCs/>
                <w:iCs/>
              </w:rPr>
            </w:pPr>
            <w:r>
              <w:rPr>
                <w:bCs/>
              </w:rPr>
              <w:t>301 632</w:t>
            </w:r>
          </w:p>
        </w:tc>
        <w:tc>
          <w:tcPr>
            <w:tcW w:w="1276" w:type="dxa"/>
            <w:noWrap/>
            <w:vAlign w:val="center"/>
          </w:tcPr>
          <w:p w:rsidR="00BA1532" w:rsidRPr="00427ECA" w:rsidRDefault="00BA1532" w:rsidP="005277C1">
            <w:pPr>
              <w:jc w:val="right"/>
              <w:rPr>
                <w:bCs/>
                <w:iCs/>
              </w:rPr>
            </w:pPr>
            <w:r>
              <w:rPr>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noWrap/>
            <w:vAlign w:val="center"/>
          </w:tcPr>
          <w:p w:rsidR="00BA1532" w:rsidRPr="007B7470" w:rsidRDefault="00BA1532" w:rsidP="005277C1">
            <w:pPr>
              <w:rPr>
                <w:bCs/>
                <w:i/>
                <w:iCs/>
              </w:rPr>
            </w:pPr>
            <w:r w:rsidRPr="007B7470">
              <w:rPr>
                <w:bCs/>
                <w:i/>
                <w:iCs/>
              </w:rPr>
              <w:t xml:space="preserve">    EÚ zdroje</w:t>
            </w:r>
          </w:p>
        </w:tc>
        <w:tc>
          <w:tcPr>
            <w:tcW w:w="1004" w:type="dxa"/>
            <w:noWrap/>
            <w:vAlign w:val="center"/>
          </w:tcPr>
          <w:p w:rsidR="00BA1532" w:rsidRPr="007B7470" w:rsidRDefault="00BA1532" w:rsidP="005277C1">
            <w:pPr>
              <w:jc w:val="right"/>
            </w:pPr>
            <w:r w:rsidRPr="007B7470">
              <w:t>0</w:t>
            </w:r>
          </w:p>
        </w:tc>
        <w:tc>
          <w:tcPr>
            <w:tcW w:w="1276" w:type="dxa"/>
            <w:noWrap/>
            <w:vAlign w:val="center"/>
          </w:tcPr>
          <w:p w:rsidR="00BA1532" w:rsidRPr="007B7470" w:rsidRDefault="00BA1532" w:rsidP="005277C1">
            <w:pPr>
              <w:jc w:val="right"/>
            </w:pPr>
            <w:r w:rsidRPr="007B7470">
              <w:t>0</w:t>
            </w:r>
          </w:p>
        </w:tc>
        <w:tc>
          <w:tcPr>
            <w:tcW w:w="1418" w:type="dxa"/>
            <w:noWrap/>
            <w:vAlign w:val="center"/>
          </w:tcPr>
          <w:p w:rsidR="00BA1532" w:rsidRPr="007B7470" w:rsidRDefault="00BA1532" w:rsidP="005277C1">
            <w:pPr>
              <w:jc w:val="right"/>
            </w:pPr>
            <w:r w:rsidRPr="007B7470">
              <w:t>0</w:t>
            </w:r>
          </w:p>
        </w:tc>
        <w:tc>
          <w:tcPr>
            <w:tcW w:w="1370" w:type="dxa"/>
            <w:noWrap/>
            <w:vAlign w:val="center"/>
          </w:tcPr>
          <w:p w:rsidR="00BA1532" w:rsidRPr="007B7470" w:rsidRDefault="00BA1532" w:rsidP="005277C1">
            <w:pPr>
              <w:jc w:val="right"/>
            </w:pPr>
            <w:r w:rsidRPr="007B7470">
              <w:t>0</w:t>
            </w:r>
          </w:p>
        </w:tc>
      </w:tr>
      <w:tr w:rsidR="00BA1532" w:rsidRPr="007B7470" w:rsidTr="005277C1">
        <w:trPr>
          <w:trHeight w:val="70"/>
          <w:jc w:val="center"/>
        </w:trPr>
        <w:tc>
          <w:tcPr>
            <w:tcW w:w="4661" w:type="dxa"/>
            <w:noWrap/>
            <w:vAlign w:val="center"/>
          </w:tcPr>
          <w:p w:rsidR="00BA1532" w:rsidRPr="007B7470" w:rsidRDefault="00BA1532" w:rsidP="005277C1">
            <w:pPr>
              <w:rPr>
                <w:bCs/>
                <w:i/>
                <w:iCs/>
              </w:rPr>
            </w:pPr>
            <w:r w:rsidRPr="007B7470">
              <w:rPr>
                <w:bCs/>
                <w:i/>
                <w:iCs/>
              </w:rPr>
              <w:t xml:space="preserve">    spolufinancovanie</w:t>
            </w:r>
          </w:p>
        </w:tc>
        <w:tc>
          <w:tcPr>
            <w:tcW w:w="1004" w:type="dxa"/>
            <w:noWrap/>
            <w:vAlign w:val="center"/>
          </w:tcPr>
          <w:p w:rsidR="00BA1532" w:rsidRPr="007B7470" w:rsidRDefault="00BA1532" w:rsidP="005277C1">
            <w:pPr>
              <w:jc w:val="right"/>
            </w:pPr>
            <w:r w:rsidRPr="007B7470">
              <w:t>0</w:t>
            </w:r>
          </w:p>
        </w:tc>
        <w:tc>
          <w:tcPr>
            <w:tcW w:w="1276" w:type="dxa"/>
            <w:noWrap/>
            <w:vAlign w:val="center"/>
          </w:tcPr>
          <w:p w:rsidR="00BA1532" w:rsidRPr="007B7470" w:rsidRDefault="00BA1532" w:rsidP="005277C1">
            <w:pPr>
              <w:jc w:val="right"/>
            </w:pPr>
            <w:r w:rsidRPr="007B7470">
              <w:t>0</w:t>
            </w:r>
          </w:p>
        </w:tc>
        <w:tc>
          <w:tcPr>
            <w:tcW w:w="1418" w:type="dxa"/>
            <w:noWrap/>
            <w:vAlign w:val="center"/>
          </w:tcPr>
          <w:p w:rsidR="00BA1532" w:rsidRPr="007B7470" w:rsidRDefault="00BA1532" w:rsidP="005277C1">
            <w:pPr>
              <w:jc w:val="right"/>
            </w:pPr>
            <w:r w:rsidRPr="007B7470">
              <w:t>0</w:t>
            </w:r>
          </w:p>
        </w:tc>
        <w:tc>
          <w:tcPr>
            <w:tcW w:w="1370" w:type="dxa"/>
            <w:noWrap/>
            <w:vAlign w:val="center"/>
          </w:tcPr>
          <w:p w:rsidR="00BA1532" w:rsidRPr="007B7470" w:rsidRDefault="00BA1532" w:rsidP="005277C1">
            <w:pPr>
              <w:jc w:val="right"/>
            </w:pPr>
            <w:r w:rsidRPr="007B7470">
              <w:t>0</w:t>
            </w:r>
          </w:p>
        </w:tc>
      </w:tr>
      <w:tr w:rsidR="00BA1532" w:rsidRPr="007B7470" w:rsidTr="005277C1">
        <w:trPr>
          <w:trHeight w:val="125"/>
          <w:jc w:val="center"/>
        </w:trPr>
        <w:tc>
          <w:tcPr>
            <w:tcW w:w="4661" w:type="dxa"/>
            <w:noWrap/>
            <w:vAlign w:val="center"/>
          </w:tcPr>
          <w:p w:rsidR="00BA1532" w:rsidRPr="007B7470" w:rsidRDefault="00BA1532" w:rsidP="005277C1">
            <w:pPr>
              <w:rPr>
                <w:b/>
                <w:bCs/>
                <w:i/>
                <w:iCs/>
              </w:rPr>
            </w:pPr>
            <w:r w:rsidRPr="007B7470">
              <w:rPr>
                <w:b/>
                <w:bCs/>
                <w:i/>
                <w:iCs/>
              </w:rPr>
              <w:t>- vplyv na obce</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125"/>
          <w:jc w:val="center"/>
        </w:trPr>
        <w:tc>
          <w:tcPr>
            <w:tcW w:w="4661" w:type="dxa"/>
            <w:noWrap/>
            <w:vAlign w:val="center"/>
          </w:tcPr>
          <w:p w:rsidR="00BA1532" w:rsidRPr="007B7470" w:rsidRDefault="00BA1532" w:rsidP="005277C1">
            <w:pPr>
              <w:ind w:left="203"/>
              <w:rPr>
                <w:bCs/>
                <w:i/>
                <w:iCs/>
              </w:rPr>
            </w:pPr>
            <w:r w:rsidRPr="007B7470">
              <w:rPr>
                <w:bCs/>
                <w:i/>
                <w:iCs/>
              </w:rPr>
              <w:t xml:space="preserve">z toho vplyv nových úloh v zmysle ods. 2 Čl. 6 ústavného zákona č. 493/2011 Z. z. </w:t>
            </w:r>
          </w:p>
          <w:p w:rsidR="00BA1532" w:rsidRPr="007B7470" w:rsidRDefault="00BA1532" w:rsidP="005277C1">
            <w:pPr>
              <w:ind w:left="203"/>
              <w:rPr>
                <w:b/>
                <w:bCs/>
                <w:i/>
                <w:iCs/>
              </w:rPr>
            </w:pPr>
            <w:r w:rsidRPr="007B7470">
              <w:rPr>
                <w:bCs/>
                <w:i/>
                <w:iCs/>
              </w:rPr>
              <w:t>o rozpočtovej zodpovednosti</w:t>
            </w:r>
          </w:p>
        </w:tc>
        <w:tc>
          <w:tcPr>
            <w:tcW w:w="1004" w:type="dxa"/>
            <w:noWrap/>
            <w:vAlign w:val="center"/>
          </w:tcPr>
          <w:p w:rsidR="00BA1532" w:rsidRPr="007B7470" w:rsidRDefault="00BA1532" w:rsidP="005277C1">
            <w:pPr>
              <w:jc w:val="right"/>
            </w:pPr>
            <w:r w:rsidRPr="007B7470">
              <w:t>0</w:t>
            </w:r>
          </w:p>
        </w:tc>
        <w:tc>
          <w:tcPr>
            <w:tcW w:w="1276" w:type="dxa"/>
            <w:noWrap/>
            <w:vAlign w:val="center"/>
          </w:tcPr>
          <w:p w:rsidR="00BA1532" w:rsidRPr="007B7470" w:rsidRDefault="00BA1532" w:rsidP="005277C1">
            <w:pPr>
              <w:jc w:val="right"/>
            </w:pPr>
            <w:r w:rsidRPr="007B7470">
              <w:t>0</w:t>
            </w:r>
          </w:p>
        </w:tc>
        <w:tc>
          <w:tcPr>
            <w:tcW w:w="1418" w:type="dxa"/>
            <w:noWrap/>
            <w:vAlign w:val="center"/>
          </w:tcPr>
          <w:p w:rsidR="00BA1532" w:rsidRPr="007B7470" w:rsidRDefault="00BA1532" w:rsidP="005277C1">
            <w:pPr>
              <w:jc w:val="right"/>
            </w:pPr>
            <w:r w:rsidRPr="007B7470">
              <w:t>0</w:t>
            </w:r>
          </w:p>
        </w:tc>
        <w:tc>
          <w:tcPr>
            <w:tcW w:w="1370" w:type="dxa"/>
            <w:noWrap/>
            <w:vAlign w:val="center"/>
          </w:tcPr>
          <w:p w:rsidR="00BA1532" w:rsidRPr="007B7470" w:rsidRDefault="00BA1532" w:rsidP="005277C1">
            <w:pPr>
              <w:jc w:val="right"/>
            </w:pPr>
            <w:r w:rsidRPr="007B7470">
              <w:t>0</w:t>
            </w:r>
          </w:p>
        </w:tc>
      </w:tr>
      <w:tr w:rsidR="00BA1532" w:rsidRPr="007B7470" w:rsidTr="005277C1">
        <w:trPr>
          <w:trHeight w:val="125"/>
          <w:jc w:val="center"/>
        </w:trPr>
        <w:tc>
          <w:tcPr>
            <w:tcW w:w="4661" w:type="dxa"/>
            <w:noWrap/>
            <w:vAlign w:val="center"/>
          </w:tcPr>
          <w:p w:rsidR="00BA1532" w:rsidRPr="007B7470" w:rsidRDefault="00BA1532" w:rsidP="005277C1">
            <w:pPr>
              <w:rPr>
                <w:b/>
                <w:bCs/>
                <w:i/>
                <w:iCs/>
              </w:rPr>
            </w:pPr>
            <w:r w:rsidRPr="007B7470">
              <w:rPr>
                <w:b/>
                <w:bCs/>
                <w:i/>
                <w:iCs/>
              </w:rPr>
              <w:t>- vplyv na vyššie územné celky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125"/>
          <w:jc w:val="center"/>
        </w:trPr>
        <w:tc>
          <w:tcPr>
            <w:tcW w:w="4661" w:type="dxa"/>
            <w:noWrap/>
            <w:vAlign w:val="center"/>
          </w:tcPr>
          <w:p w:rsidR="00BA1532" w:rsidRPr="007B7470" w:rsidRDefault="00BA1532" w:rsidP="005277C1">
            <w:pPr>
              <w:ind w:left="203"/>
              <w:rPr>
                <w:bCs/>
                <w:i/>
                <w:iCs/>
              </w:rPr>
            </w:pPr>
            <w:r w:rsidRPr="007B7470">
              <w:rPr>
                <w:bCs/>
                <w:i/>
                <w:iCs/>
              </w:rPr>
              <w:t xml:space="preserve">z toho vplyv nových úloh v zmysle ods. 2 Čl. 6 ústavného zákona č. 493/2011 Z. z. </w:t>
            </w:r>
          </w:p>
          <w:p w:rsidR="00BA1532" w:rsidRPr="007B7470" w:rsidRDefault="00BA1532" w:rsidP="005277C1">
            <w:pPr>
              <w:ind w:left="203"/>
              <w:rPr>
                <w:b/>
                <w:bCs/>
                <w:i/>
                <w:iCs/>
              </w:rPr>
            </w:pPr>
            <w:r w:rsidRPr="007B7470">
              <w:rPr>
                <w:bCs/>
                <w:i/>
                <w:iCs/>
              </w:rPr>
              <w:t>o rozpočtovej zodpovednosti</w:t>
            </w:r>
          </w:p>
        </w:tc>
        <w:tc>
          <w:tcPr>
            <w:tcW w:w="1004" w:type="dxa"/>
            <w:noWrap/>
            <w:vAlign w:val="center"/>
          </w:tcPr>
          <w:p w:rsidR="00BA1532" w:rsidRPr="007B7470" w:rsidRDefault="00BA1532" w:rsidP="005277C1">
            <w:pPr>
              <w:jc w:val="right"/>
            </w:pPr>
            <w:r w:rsidRPr="007B7470">
              <w:t>0</w:t>
            </w:r>
          </w:p>
        </w:tc>
        <w:tc>
          <w:tcPr>
            <w:tcW w:w="1276" w:type="dxa"/>
            <w:noWrap/>
            <w:vAlign w:val="center"/>
          </w:tcPr>
          <w:p w:rsidR="00BA1532" w:rsidRPr="007B7470" w:rsidRDefault="00BA1532" w:rsidP="005277C1">
            <w:pPr>
              <w:jc w:val="right"/>
            </w:pPr>
            <w:r w:rsidRPr="007B7470">
              <w:t>0</w:t>
            </w:r>
          </w:p>
        </w:tc>
        <w:tc>
          <w:tcPr>
            <w:tcW w:w="1418" w:type="dxa"/>
            <w:noWrap/>
            <w:vAlign w:val="center"/>
          </w:tcPr>
          <w:p w:rsidR="00BA1532" w:rsidRPr="007B7470" w:rsidRDefault="00BA1532" w:rsidP="005277C1">
            <w:pPr>
              <w:jc w:val="right"/>
            </w:pPr>
            <w:r w:rsidRPr="007B7470">
              <w:t>0</w:t>
            </w:r>
          </w:p>
        </w:tc>
        <w:tc>
          <w:tcPr>
            <w:tcW w:w="1370" w:type="dxa"/>
            <w:noWrap/>
            <w:vAlign w:val="center"/>
          </w:tcPr>
          <w:p w:rsidR="00BA1532" w:rsidRPr="007B7470" w:rsidRDefault="00BA1532" w:rsidP="005277C1">
            <w:pPr>
              <w:jc w:val="right"/>
            </w:pPr>
            <w:r w:rsidRPr="007B7470">
              <w:t>0</w:t>
            </w:r>
          </w:p>
        </w:tc>
      </w:tr>
      <w:tr w:rsidR="00BA1532" w:rsidRPr="007B7470" w:rsidTr="005277C1">
        <w:trPr>
          <w:trHeight w:val="70"/>
          <w:jc w:val="center"/>
        </w:trPr>
        <w:tc>
          <w:tcPr>
            <w:tcW w:w="4661" w:type="dxa"/>
            <w:noWrap/>
            <w:vAlign w:val="center"/>
          </w:tcPr>
          <w:p w:rsidR="00BA1532" w:rsidRPr="007B7470" w:rsidRDefault="00BA1532" w:rsidP="005277C1">
            <w:pPr>
              <w:rPr>
                <w:b/>
                <w:bCs/>
              </w:rPr>
            </w:pPr>
            <w:r w:rsidRPr="007B7470">
              <w:rPr>
                <w:b/>
                <w:bCs/>
                <w:i/>
                <w:iCs/>
              </w:rPr>
              <w:t>- vplyv na ostatné subjekty verejnej správy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shd w:val="clear" w:color="auto" w:fill="BFBFBF" w:themeFill="background1" w:themeFillShade="BF"/>
            <w:noWrap/>
            <w:vAlign w:val="center"/>
          </w:tcPr>
          <w:p w:rsidR="00BA1532" w:rsidRPr="007B7470" w:rsidRDefault="00BA1532" w:rsidP="005277C1">
            <w:pPr>
              <w:rPr>
                <w:b/>
                <w:bCs/>
              </w:rPr>
            </w:pPr>
            <w:r w:rsidRPr="007B7470">
              <w:rPr>
                <w:b/>
                <w:bCs/>
              </w:rPr>
              <w:t xml:space="preserve">Vplyv na počet zamestnancov </w:t>
            </w:r>
          </w:p>
        </w:tc>
        <w:tc>
          <w:tcPr>
            <w:tcW w:w="1004" w:type="dxa"/>
            <w:shd w:val="clear" w:color="auto" w:fill="BFBFBF" w:themeFill="background1" w:themeFillShade="BF"/>
            <w:noWrap/>
            <w:vAlign w:val="center"/>
          </w:tcPr>
          <w:p w:rsidR="00BA1532" w:rsidRPr="007B7470" w:rsidRDefault="00BA1532" w:rsidP="005277C1">
            <w:pPr>
              <w:jc w:val="right"/>
              <w:rPr>
                <w:b/>
                <w:bCs/>
              </w:rPr>
            </w:pPr>
            <w:r w:rsidRPr="007B7470">
              <w:rPr>
                <w:b/>
                <w:bCs/>
              </w:rPr>
              <w:t>0</w:t>
            </w:r>
          </w:p>
        </w:tc>
        <w:tc>
          <w:tcPr>
            <w:tcW w:w="1276" w:type="dxa"/>
            <w:shd w:val="clear" w:color="auto" w:fill="BFBFBF" w:themeFill="background1" w:themeFillShade="BF"/>
            <w:noWrap/>
            <w:vAlign w:val="center"/>
          </w:tcPr>
          <w:p w:rsidR="00BA1532" w:rsidRPr="007B7470" w:rsidRDefault="00BA1532" w:rsidP="005277C1">
            <w:pPr>
              <w:jc w:val="right"/>
              <w:rPr>
                <w:b/>
                <w:bCs/>
              </w:rPr>
            </w:pPr>
            <w:r w:rsidRPr="007B7470">
              <w:rPr>
                <w:b/>
                <w:bCs/>
              </w:rPr>
              <w:t>0</w:t>
            </w:r>
          </w:p>
        </w:tc>
        <w:tc>
          <w:tcPr>
            <w:tcW w:w="1418" w:type="dxa"/>
            <w:shd w:val="clear" w:color="auto" w:fill="BFBFBF" w:themeFill="background1" w:themeFillShade="BF"/>
            <w:noWrap/>
            <w:vAlign w:val="center"/>
          </w:tcPr>
          <w:p w:rsidR="00BA1532" w:rsidRPr="007B7470" w:rsidRDefault="00BA1532" w:rsidP="005277C1">
            <w:pPr>
              <w:jc w:val="right"/>
              <w:rPr>
                <w:b/>
                <w:bCs/>
              </w:rPr>
            </w:pPr>
            <w:r w:rsidRPr="007B7470">
              <w:rPr>
                <w:b/>
                <w:bCs/>
              </w:rPr>
              <w:t>0</w:t>
            </w:r>
          </w:p>
        </w:tc>
        <w:tc>
          <w:tcPr>
            <w:tcW w:w="1370" w:type="dxa"/>
            <w:shd w:val="clear" w:color="auto" w:fill="BFBFBF" w:themeFill="background1" w:themeFillShade="BF"/>
            <w:noWrap/>
            <w:vAlign w:val="center"/>
          </w:tcPr>
          <w:p w:rsidR="00BA1532" w:rsidRPr="007B7470" w:rsidRDefault="00BA1532" w:rsidP="005277C1">
            <w:pPr>
              <w:jc w:val="right"/>
              <w:rPr>
                <w:b/>
                <w:bCs/>
              </w:rPr>
            </w:pPr>
            <w:r w:rsidRPr="007B7470">
              <w:rPr>
                <w:b/>
                <w:bCs/>
              </w:rPr>
              <w:t>0</w:t>
            </w: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vplyv na ŠR</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vplyv na obce</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vplyv na vyššie územné celky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vplyv na ostatné subjekty verejnej správy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shd w:val="clear" w:color="auto" w:fill="BFBFBF" w:themeFill="background1" w:themeFillShade="BF"/>
            <w:noWrap/>
            <w:vAlign w:val="center"/>
          </w:tcPr>
          <w:p w:rsidR="00BA1532" w:rsidRPr="007B7470" w:rsidRDefault="00BA1532" w:rsidP="005277C1">
            <w:pPr>
              <w:rPr>
                <w:b/>
              </w:rPr>
            </w:pPr>
            <w:r w:rsidRPr="007B7470">
              <w:rPr>
                <w:b/>
              </w:rPr>
              <w:t>Vplyv na mzdové výdavky</w:t>
            </w:r>
          </w:p>
        </w:tc>
        <w:tc>
          <w:tcPr>
            <w:tcW w:w="1004" w:type="dxa"/>
            <w:shd w:val="clear" w:color="auto" w:fill="BFBFBF" w:themeFill="background1" w:themeFillShade="BF"/>
            <w:noWrap/>
            <w:vAlign w:val="center"/>
          </w:tcPr>
          <w:p w:rsidR="00BA1532" w:rsidRPr="007B7470" w:rsidRDefault="00BA1532" w:rsidP="005277C1">
            <w:pPr>
              <w:jc w:val="right"/>
              <w:rPr>
                <w:b/>
              </w:rPr>
            </w:pPr>
            <w:r w:rsidRPr="007B7470">
              <w:rPr>
                <w:b/>
              </w:rPr>
              <w:t>0</w:t>
            </w:r>
          </w:p>
        </w:tc>
        <w:tc>
          <w:tcPr>
            <w:tcW w:w="1276" w:type="dxa"/>
            <w:shd w:val="clear" w:color="auto" w:fill="BFBFBF" w:themeFill="background1" w:themeFillShade="BF"/>
            <w:noWrap/>
            <w:vAlign w:val="center"/>
          </w:tcPr>
          <w:p w:rsidR="00BA1532" w:rsidRPr="007B7470" w:rsidRDefault="00BA1532" w:rsidP="005277C1">
            <w:pPr>
              <w:jc w:val="right"/>
              <w:rPr>
                <w:b/>
              </w:rPr>
            </w:pPr>
            <w:r w:rsidRPr="007B7470">
              <w:rPr>
                <w:b/>
              </w:rPr>
              <w:t>0</w:t>
            </w:r>
          </w:p>
        </w:tc>
        <w:tc>
          <w:tcPr>
            <w:tcW w:w="1418" w:type="dxa"/>
            <w:shd w:val="clear" w:color="auto" w:fill="BFBFBF" w:themeFill="background1" w:themeFillShade="BF"/>
            <w:noWrap/>
            <w:vAlign w:val="center"/>
          </w:tcPr>
          <w:p w:rsidR="00BA1532" w:rsidRPr="007B7470" w:rsidRDefault="00BA1532" w:rsidP="005277C1">
            <w:pPr>
              <w:jc w:val="right"/>
              <w:rPr>
                <w:b/>
              </w:rPr>
            </w:pPr>
            <w:r w:rsidRPr="007B7470">
              <w:rPr>
                <w:b/>
              </w:rPr>
              <w:t>0</w:t>
            </w:r>
          </w:p>
        </w:tc>
        <w:tc>
          <w:tcPr>
            <w:tcW w:w="1370" w:type="dxa"/>
            <w:shd w:val="clear" w:color="auto" w:fill="BFBFBF" w:themeFill="background1" w:themeFillShade="BF"/>
            <w:noWrap/>
            <w:vAlign w:val="center"/>
          </w:tcPr>
          <w:p w:rsidR="00BA1532" w:rsidRPr="007B7470" w:rsidRDefault="00BA1532" w:rsidP="005277C1">
            <w:pPr>
              <w:jc w:val="right"/>
              <w:rPr>
                <w:b/>
              </w:rPr>
            </w:pPr>
            <w:r w:rsidRPr="007B7470">
              <w:rPr>
                <w:b/>
              </w:rPr>
              <w:t>0</w:t>
            </w: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vplyv na ŠR</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vplyv na obce</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noWrap/>
            <w:vAlign w:val="center"/>
          </w:tcPr>
          <w:p w:rsidR="00BA1532" w:rsidRPr="007B7470" w:rsidRDefault="00BA1532" w:rsidP="005277C1">
            <w:pPr>
              <w:rPr>
                <w:b/>
                <w:bCs/>
                <w:i/>
                <w:iCs/>
              </w:rPr>
            </w:pPr>
            <w:r w:rsidRPr="007B7470">
              <w:rPr>
                <w:b/>
                <w:bCs/>
                <w:i/>
                <w:iCs/>
              </w:rPr>
              <w:t>- vplyv na vyššie územné celky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noWrap/>
            <w:vAlign w:val="center"/>
          </w:tcPr>
          <w:p w:rsidR="00BA1532" w:rsidRPr="007B7470" w:rsidRDefault="00BA1532" w:rsidP="005277C1">
            <w:pPr>
              <w:rPr>
                <w:b/>
                <w:bCs/>
              </w:rPr>
            </w:pPr>
            <w:r w:rsidRPr="007B7470">
              <w:rPr>
                <w:b/>
                <w:bCs/>
                <w:i/>
                <w:iCs/>
              </w:rPr>
              <w:t>- vplyv na ostatné subjekty verejnej správy</w:t>
            </w:r>
          </w:p>
        </w:tc>
        <w:tc>
          <w:tcPr>
            <w:tcW w:w="1004" w:type="dxa"/>
            <w:noWrap/>
            <w:vAlign w:val="center"/>
          </w:tcPr>
          <w:p w:rsidR="00BA1532" w:rsidRPr="007B7470" w:rsidRDefault="00BA1532" w:rsidP="005277C1">
            <w:pPr>
              <w:jc w:val="right"/>
              <w:rPr>
                <w:b/>
                <w:bCs/>
                <w:iCs/>
              </w:rPr>
            </w:pPr>
            <w:r w:rsidRPr="007B7470">
              <w:rPr>
                <w:b/>
                <w:bCs/>
                <w:iCs/>
              </w:rPr>
              <w:t>0</w:t>
            </w:r>
          </w:p>
        </w:tc>
        <w:tc>
          <w:tcPr>
            <w:tcW w:w="1276" w:type="dxa"/>
            <w:noWrap/>
            <w:vAlign w:val="center"/>
          </w:tcPr>
          <w:p w:rsidR="00BA1532" w:rsidRPr="007B7470" w:rsidRDefault="00BA1532" w:rsidP="005277C1">
            <w:pPr>
              <w:jc w:val="right"/>
              <w:rPr>
                <w:b/>
                <w:bCs/>
                <w:iCs/>
              </w:rPr>
            </w:pPr>
            <w:r w:rsidRPr="007B7470">
              <w:rPr>
                <w:b/>
                <w:bCs/>
                <w:iCs/>
              </w:rPr>
              <w:t>0</w:t>
            </w:r>
          </w:p>
        </w:tc>
        <w:tc>
          <w:tcPr>
            <w:tcW w:w="1418" w:type="dxa"/>
            <w:noWrap/>
            <w:vAlign w:val="center"/>
          </w:tcPr>
          <w:p w:rsidR="00BA1532" w:rsidRPr="007B7470" w:rsidRDefault="00BA1532" w:rsidP="005277C1">
            <w:pPr>
              <w:jc w:val="right"/>
              <w:rPr>
                <w:b/>
                <w:bCs/>
                <w:iCs/>
              </w:rPr>
            </w:pPr>
            <w:r w:rsidRPr="007B7470">
              <w:rPr>
                <w:b/>
                <w:bCs/>
                <w:iCs/>
              </w:rPr>
              <w:t>0</w:t>
            </w:r>
          </w:p>
        </w:tc>
        <w:tc>
          <w:tcPr>
            <w:tcW w:w="1370" w:type="dxa"/>
            <w:noWrap/>
            <w:vAlign w:val="center"/>
          </w:tcPr>
          <w:p w:rsidR="00BA1532" w:rsidRPr="007B7470" w:rsidRDefault="00BA1532" w:rsidP="005277C1">
            <w:pPr>
              <w:jc w:val="right"/>
              <w:rPr>
                <w:b/>
                <w:bCs/>
                <w:iCs/>
              </w:rPr>
            </w:pPr>
            <w:r w:rsidRPr="007B7470">
              <w:rPr>
                <w:b/>
                <w:bCs/>
                <w:iCs/>
              </w:rPr>
              <w:t>0</w:t>
            </w:r>
          </w:p>
        </w:tc>
      </w:tr>
      <w:tr w:rsidR="00BA1532" w:rsidRPr="007B7470" w:rsidTr="005277C1">
        <w:trPr>
          <w:trHeight w:val="70"/>
          <w:jc w:val="center"/>
        </w:trPr>
        <w:tc>
          <w:tcPr>
            <w:tcW w:w="4661" w:type="dxa"/>
            <w:shd w:val="clear" w:color="auto" w:fill="C0C0C0"/>
            <w:noWrap/>
            <w:vAlign w:val="center"/>
          </w:tcPr>
          <w:p w:rsidR="00BA1532" w:rsidRPr="007B7470" w:rsidRDefault="00BA1532" w:rsidP="005277C1">
            <w:pPr>
              <w:rPr>
                <w:b/>
                <w:bCs/>
              </w:rPr>
            </w:pPr>
            <w:r w:rsidRPr="007B7470">
              <w:rPr>
                <w:b/>
                <w:bCs/>
              </w:rPr>
              <w:t>Financovanie zabezpečené v rozpočte</w:t>
            </w:r>
          </w:p>
        </w:tc>
        <w:tc>
          <w:tcPr>
            <w:tcW w:w="1004" w:type="dxa"/>
            <w:shd w:val="clear" w:color="auto" w:fill="C0C0C0"/>
            <w:noWrap/>
            <w:vAlign w:val="center"/>
          </w:tcPr>
          <w:p w:rsidR="00BA1532" w:rsidRPr="00B01611" w:rsidRDefault="00BA1532" w:rsidP="005277C1">
            <w:pPr>
              <w:jc w:val="right"/>
              <w:rPr>
                <w:b/>
                <w:bCs/>
              </w:rPr>
            </w:pPr>
            <w:r w:rsidRPr="00886828">
              <w:rPr>
                <w:b/>
                <w:bCs/>
              </w:rPr>
              <w:t>301 632</w:t>
            </w:r>
          </w:p>
        </w:tc>
        <w:tc>
          <w:tcPr>
            <w:tcW w:w="1276" w:type="dxa"/>
            <w:shd w:val="clear" w:color="auto" w:fill="C0C0C0"/>
            <w:noWrap/>
            <w:vAlign w:val="center"/>
          </w:tcPr>
          <w:p w:rsidR="00BA1532" w:rsidRPr="007B7470" w:rsidRDefault="00BA1532" w:rsidP="005277C1">
            <w:pPr>
              <w:jc w:val="right"/>
              <w:rPr>
                <w:b/>
                <w:bCs/>
              </w:rPr>
            </w:pPr>
            <w:r>
              <w:rPr>
                <w:b/>
                <w:bCs/>
              </w:rPr>
              <w:t>0</w:t>
            </w:r>
          </w:p>
        </w:tc>
        <w:tc>
          <w:tcPr>
            <w:tcW w:w="1418" w:type="dxa"/>
            <w:shd w:val="clear" w:color="auto" w:fill="C0C0C0"/>
            <w:noWrap/>
            <w:vAlign w:val="center"/>
          </w:tcPr>
          <w:p w:rsidR="00BA1532" w:rsidRPr="007B7470" w:rsidRDefault="00BA1532" w:rsidP="005277C1">
            <w:pPr>
              <w:jc w:val="right"/>
              <w:rPr>
                <w:b/>
                <w:bCs/>
              </w:rPr>
            </w:pPr>
            <w:r w:rsidRPr="007B7470">
              <w:rPr>
                <w:b/>
                <w:bCs/>
              </w:rPr>
              <w:t>0</w:t>
            </w:r>
          </w:p>
        </w:tc>
        <w:tc>
          <w:tcPr>
            <w:tcW w:w="1370" w:type="dxa"/>
            <w:shd w:val="clear" w:color="auto" w:fill="C0C0C0"/>
            <w:noWrap/>
            <w:vAlign w:val="center"/>
          </w:tcPr>
          <w:p w:rsidR="00BA1532" w:rsidRPr="007B7470" w:rsidRDefault="00BA1532" w:rsidP="005277C1">
            <w:pPr>
              <w:jc w:val="right"/>
              <w:rPr>
                <w:b/>
                <w:bCs/>
              </w:rPr>
            </w:pPr>
            <w:r w:rsidRPr="007B7470">
              <w:rPr>
                <w:b/>
                <w:bCs/>
              </w:rPr>
              <w:t>0</w:t>
            </w:r>
          </w:p>
        </w:tc>
      </w:tr>
      <w:tr w:rsidR="00BA1532" w:rsidRPr="007B7470" w:rsidTr="005277C1">
        <w:trPr>
          <w:trHeight w:val="70"/>
          <w:jc w:val="center"/>
        </w:trPr>
        <w:tc>
          <w:tcPr>
            <w:tcW w:w="4661" w:type="dxa"/>
            <w:noWrap/>
            <w:vAlign w:val="center"/>
          </w:tcPr>
          <w:p w:rsidR="00BA1532" w:rsidRPr="007B7470" w:rsidRDefault="00BA1532" w:rsidP="005277C1">
            <w:r w:rsidRPr="007B7470">
              <w:t xml:space="preserve">v tom: </w:t>
            </w:r>
            <w:r>
              <w:t xml:space="preserve">kapitola </w:t>
            </w:r>
            <w:r w:rsidRPr="003B4714">
              <w:t>MF SR</w:t>
            </w:r>
            <w:r>
              <w:t>/0EK 0D IT financované zo ŠR – MF SR (FR SR)</w:t>
            </w:r>
          </w:p>
        </w:tc>
        <w:tc>
          <w:tcPr>
            <w:tcW w:w="1004" w:type="dxa"/>
            <w:noWrap/>
            <w:vAlign w:val="center"/>
          </w:tcPr>
          <w:p w:rsidR="00BA1532" w:rsidRPr="00AF01A2" w:rsidRDefault="00BA1532" w:rsidP="005277C1">
            <w:pPr>
              <w:jc w:val="right"/>
            </w:pPr>
            <w:r>
              <w:rPr>
                <w:bCs/>
              </w:rPr>
              <w:t>301 632</w:t>
            </w:r>
          </w:p>
        </w:tc>
        <w:tc>
          <w:tcPr>
            <w:tcW w:w="1276" w:type="dxa"/>
            <w:noWrap/>
            <w:vAlign w:val="center"/>
          </w:tcPr>
          <w:p w:rsidR="00BA1532" w:rsidRPr="007B7470" w:rsidRDefault="00BA1532" w:rsidP="005277C1">
            <w:pPr>
              <w:jc w:val="right"/>
            </w:pPr>
            <w:r>
              <w:t>0</w:t>
            </w:r>
          </w:p>
        </w:tc>
        <w:tc>
          <w:tcPr>
            <w:tcW w:w="1418" w:type="dxa"/>
            <w:noWrap/>
            <w:vAlign w:val="center"/>
          </w:tcPr>
          <w:p w:rsidR="00BA1532" w:rsidRPr="007B7470" w:rsidRDefault="00BA1532" w:rsidP="005277C1">
            <w:pPr>
              <w:jc w:val="right"/>
            </w:pPr>
            <w:r w:rsidRPr="007B7470">
              <w:t>0</w:t>
            </w:r>
          </w:p>
        </w:tc>
        <w:tc>
          <w:tcPr>
            <w:tcW w:w="1370" w:type="dxa"/>
            <w:noWrap/>
            <w:vAlign w:val="center"/>
          </w:tcPr>
          <w:p w:rsidR="00BA1532" w:rsidRPr="007B7470" w:rsidRDefault="00BA1532" w:rsidP="005277C1">
            <w:pPr>
              <w:jc w:val="right"/>
            </w:pPr>
            <w:r w:rsidRPr="007B7470">
              <w:t>0</w:t>
            </w:r>
          </w:p>
        </w:tc>
      </w:tr>
      <w:tr w:rsidR="00BA1532" w:rsidRPr="007B7470" w:rsidTr="005277C1">
        <w:trPr>
          <w:trHeight w:val="70"/>
          <w:jc w:val="center"/>
        </w:trPr>
        <w:tc>
          <w:tcPr>
            <w:tcW w:w="4661" w:type="dxa"/>
            <w:shd w:val="clear" w:color="auto" w:fill="BFBFBF" w:themeFill="background1" w:themeFillShade="BF"/>
            <w:noWrap/>
            <w:vAlign w:val="center"/>
          </w:tcPr>
          <w:p w:rsidR="00BA1532" w:rsidRPr="007B7470" w:rsidRDefault="00BA1532" w:rsidP="005277C1">
            <w:pPr>
              <w:rPr>
                <w:b/>
              </w:rPr>
            </w:pPr>
            <w:r w:rsidRPr="007B7470">
              <w:rPr>
                <w:b/>
              </w:rPr>
              <w:t>Iné ako rozpočtové zdroje</w:t>
            </w:r>
          </w:p>
        </w:tc>
        <w:tc>
          <w:tcPr>
            <w:tcW w:w="1004" w:type="dxa"/>
            <w:shd w:val="clear" w:color="auto" w:fill="BFBFBF" w:themeFill="background1" w:themeFillShade="BF"/>
            <w:noWrap/>
            <w:vAlign w:val="center"/>
          </w:tcPr>
          <w:p w:rsidR="00BA1532" w:rsidRPr="007B7470" w:rsidRDefault="00BA1532" w:rsidP="005277C1">
            <w:pPr>
              <w:jc w:val="right"/>
              <w:rPr>
                <w:b/>
                <w:bCs/>
              </w:rPr>
            </w:pPr>
            <w:r w:rsidRPr="007B7470">
              <w:rPr>
                <w:b/>
                <w:bCs/>
              </w:rPr>
              <w:t>0</w:t>
            </w:r>
          </w:p>
        </w:tc>
        <w:tc>
          <w:tcPr>
            <w:tcW w:w="1276" w:type="dxa"/>
            <w:shd w:val="clear" w:color="auto" w:fill="BFBFBF" w:themeFill="background1" w:themeFillShade="BF"/>
            <w:noWrap/>
            <w:vAlign w:val="center"/>
          </w:tcPr>
          <w:p w:rsidR="00BA1532" w:rsidRPr="007B7470" w:rsidRDefault="00BA1532" w:rsidP="005277C1">
            <w:pPr>
              <w:jc w:val="right"/>
              <w:rPr>
                <w:b/>
                <w:bCs/>
              </w:rPr>
            </w:pPr>
            <w:r w:rsidRPr="007B7470">
              <w:rPr>
                <w:b/>
                <w:bCs/>
              </w:rPr>
              <w:t>0</w:t>
            </w:r>
          </w:p>
        </w:tc>
        <w:tc>
          <w:tcPr>
            <w:tcW w:w="1418" w:type="dxa"/>
            <w:shd w:val="clear" w:color="auto" w:fill="BFBFBF" w:themeFill="background1" w:themeFillShade="BF"/>
            <w:noWrap/>
            <w:vAlign w:val="center"/>
          </w:tcPr>
          <w:p w:rsidR="00BA1532" w:rsidRPr="007B7470" w:rsidRDefault="00BA1532" w:rsidP="005277C1">
            <w:pPr>
              <w:jc w:val="right"/>
              <w:rPr>
                <w:b/>
                <w:bCs/>
              </w:rPr>
            </w:pPr>
            <w:r w:rsidRPr="007B7470">
              <w:rPr>
                <w:b/>
                <w:bCs/>
              </w:rPr>
              <w:t>0</w:t>
            </w:r>
          </w:p>
        </w:tc>
        <w:tc>
          <w:tcPr>
            <w:tcW w:w="1370" w:type="dxa"/>
            <w:shd w:val="clear" w:color="auto" w:fill="BFBFBF" w:themeFill="background1" w:themeFillShade="BF"/>
            <w:noWrap/>
            <w:vAlign w:val="center"/>
          </w:tcPr>
          <w:p w:rsidR="00BA1532" w:rsidRPr="007B7470" w:rsidRDefault="00BA1532" w:rsidP="005277C1">
            <w:pPr>
              <w:jc w:val="right"/>
              <w:rPr>
                <w:b/>
                <w:bCs/>
              </w:rPr>
            </w:pPr>
            <w:r w:rsidRPr="007B7470">
              <w:rPr>
                <w:b/>
                <w:bCs/>
              </w:rPr>
              <w:t>0</w:t>
            </w:r>
          </w:p>
        </w:tc>
      </w:tr>
      <w:tr w:rsidR="00BA1532" w:rsidRPr="007B7470" w:rsidTr="005277C1">
        <w:trPr>
          <w:trHeight w:val="70"/>
          <w:jc w:val="center"/>
        </w:trPr>
        <w:tc>
          <w:tcPr>
            <w:tcW w:w="4661" w:type="dxa"/>
            <w:shd w:val="clear" w:color="auto" w:fill="A6A6A6" w:themeFill="background1" w:themeFillShade="A6"/>
            <w:noWrap/>
            <w:vAlign w:val="center"/>
          </w:tcPr>
          <w:p w:rsidR="00BA1532" w:rsidRPr="007B7470" w:rsidRDefault="00BA1532" w:rsidP="005277C1">
            <w:pPr>
              <w:rPr>
                <w:b/>
                <w:bCs/>
              </w:rPr>
            </w:pPr>
            <w:r w:rsidRPr="007B7470">
              <w:rPr>
                <w:b/>
                <w:bCs/>
              </w:rPr>
              <w:lastRenderedPageBreak/>
              <w:t>Rozpočtovo nekrytý vplyv / úspora</w:t>
            </w:r>
          </w:p>
        </w:tc>
        <w:tc>
          <w:tcPr>
            <w:tcW w:w="1004" w:type="dxa"/>
            <w:shd w:val="clear" w:color="auto" w:fill="A6A6A6" w:themeFill="background1" w:themeFillShade="A6"/>
            <w:noWrap/>
            <w:vAlign w:val="center"/>
          </w:tcPr>
          <w:p w:rsidR="00BA1532" w:rsidRPr="007B7470" w:rsidRDefault="00BA1532" w:rsidP="005277C1">
            <w:pPr>
              <w:jc w:val="right"/>
              <w:rPr>
                <w:b/>
                <w:bCs/>
              </w:rPr>
            </w:pPr>
            <w:r w:rsidRPr="007B7470">
              <w:rPr>
                <w:b/>
                <w:bCs/>
              </w:rPr>
              <w:t>0</w:t>
            </w:r>
          </w:p>
        </w:tc>
        <w:tc>
          <w:tcPr>
            <w:tcW w:w="1276" w:type="dxa"/>
            <w:shd w:val="clear" w:color="auto" w:fill="A6A6A6" w:themeFill="background1" w:themeFillShade="A6"/>
            <w:noWrap/>
            <w:vAlign w:val="center"/>
          </w:tcPr>
          <w:p w:rsidR="00BA1532" w:rsidRPr="007B7470" w:rsidRDefault="00BA1532" w:rsidP="005277C1">
            <w:pPr>
              <w:jc w:val="right"/>
              <w:rPr>
                <w:b/>
                <w:bCs/>
              </w:rPr>
            </w:pPr>
            <w:r w:rsidRPr="007B7470">
              <w:rPr>
                <w:b/>
                <w:bCs/>
              </w:rPr>
              <w:t>0</w:t>
            </w:r>
          </w:p>
        </w:tc>
        <w:tc>
          <w:tcPr>
            <w:tcW w:w="1418" w:type="dxa"/>
            <w:shd w:val="clear" w:color="auto" w:fill="A6A6A6" w:themeFill="background1" w:themeFillShade="A6"/>
            <w:noWrap/>
            <w:vAlign w:val="center"/>
          </w:tcPr>
          <w:p w:rsidR="00BA1532" w:rsidRPr="007B7470" w:rsidRDefault="00BA1532" w:rsidP="005277C1">
            <w:pPr>
              <w:jc w:val="right"/>
              <w:rPr>
                <w:b/>
                <w:bCs/>
              </w:rPr>
            </w:pPr>
            <w:r w:rsidRPr="007B7470">
              <w:rPr>
                <w:b/>
                <w:bCs/>
              </w:rPr>
              <w:t>0</w:t>
            </w:r>
          </w:p>
        </w:tc>
        <w:tc>
          <w:tcPr>
            <w:tcW w:w="1370" w:type="dxa"/>
            <w:shd w:val="clear" w:color="auto" w:fill="A6A6A6" w:themeFill="background1" w:themeFillShade="A6"/>
            <w:noWrap/>
            <w:vAlign w:val="center"/>
          </w:tcPr>
          <w:p w:rsidR="00BA1532" w:rsidRPr="007B7470" w:rsidRDefault="00BA1532" w:rsidP="005277C1">
            <w:pPr>
              <w:jc w:val="right"/>
              <w:rPr>
                <w:b/>
                <w:bCs/>
              </w:rPr>
            </w:pPr>
            <w:r w:rsidRPr="007B7470">
              <w:rPr>
                <w:b/>
                <w:bCs/>
              </w:rPr>
              <w:t>0</w:t>
            </w:r>
          </w:p>
        </w:tc>
      </w:tr>
    </w:tbl>
    <w:bookmarkEnd w:id="0"/>
    <w:p w:rsidR="00BA1532" w:rsidRPr="007B7470" w:rsidRDefault="00BA1532" w:rsidP="00BA1532">
      <w:pPr>
        <w:rPr>
          <w:bCs/>
          <w:sz w:val="20"/>
          <w:szCs w:val="20"/>
        </w:rPr>
      </w:pPr>
      <w:r w:rsidRPr="007B7470">
        <w:rPr>
          <w:bCs/>
          <w:sz w:val="20"/>
          <w:szCs w:val="20"/>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BA1532" w:rsidRPr="007B7470" w:rsidTr="005277C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A1532" w:rsidRPr="007B7470" w:rsidRDefault="00BA1532" w:rsidP="005277C1">
            <w:pPr>
              <w:rPr>
                <w:color w:val="000000"/>
              </w:rPr>
            </w:pPr>
            <w:r w:rsidRPr="007B7470">
              <w:rPr>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A1532" w:rsidRPr="007B7470" w:rsidRDefault="00BA1532" w:rsidP="005277C1">
            <w:pPr>
              <w:jc w:val="center"/>
              <w:rPr>
                <w:b/>
                <w:bCs/>
                <w:color w:val="000000"/>
              </w:rPr>
            </w:pPr>
            <w:r>
              <w:rPr>
                <w:b/>
                <w:bCs/>
                <w:color w:val="000000"/>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A1532" w:rsidRPr="007B7470" w:rsidRDefault="00BA1532" w:rsidP="005277C1">
            <w:pPr>
              <w:jc w:val="center"/>
              <w:rPr>
                <w:b/>
                <w:bCs/>
                <w:color w:val="000000"/>
              </w:rPr>
            </w:pPr>
            <w:r>
              <w:rPr>
                <w:b/>
                <w:bCs/>
                <w:color w:val="000000"/>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A1532" w:rsidRPr="007B7470" w:rsidRDefault="00BA1532" w:rsidP="005277C1">
            <w:pPr>
              <w:jc w:val="center"/>
              <w:rPr>
                <w:b/>
                <w:bCs/>
                <w:color w:val="000000"/>
              </w:rPr>
            </w:pPr>
            <w:r w:rsidRPr="007B7470">
              <w:rPr>
                <w:b/>
                <w:bCs/>
                <w:color w:val="000000"/>
              </w:rPr>
              <w:t>2</w:t>
            </w:r>
            <w:r>
              <w:rPr>
                <w:b/>
                <w:bCs/>
                <w:color w:val="000000"/>
              </w:rPr>
              <w:t>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A1532" w:rsidRPr="007B7470" w:rsidRDefault="00BA1532" w:rsidP="005277C1">
            <w:pPr>
              <w:jc w:val="center"/>
              <w:rPr>
                <w:b/>
                <w:bCs/>
                <w:color w:val="000000"/>
              </w:rPr>
            </w:pPr>
            <w:r>
              <w:rPr>
                <w:b/>
                <w:bCs/>
                <w:color w:val="000000"/>
              </w:rPr>
              <w:t>2027</w:t>
            </w:r>
          </w:p>
        </w:tc>
      </w:tr>
      <w:tr w:rsidR="00BA1532" w:rsidRPr="007B7470" w:rsidTr="005277C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A1532" w:rsidRPr="007B7470" w:rsidRDefault="00BA1532" w:rsidP="005277C1">
            <w:pPr>
              <w:rPr>
                <w:b/>
                <w:bCs/>
                <w:color w:val="000000" w:themeColor="text1"/>
              </w:rPr>
            </w:pPr>
            <w:r w:rsidRPr="007B7470">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r>
      <w:tr w:rsidR="00BA1532" w:rsidRPr="007B7470" w:rsidTr="005277C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A1532" w:rsidRPr="007B7470" w:rsidRDefault="00BA1532" w:rsidP="005277C1">
            <w:pPr>
              <w:rPr>
                <w:color w:val="000000" w:themeColor="text1"/>
              </w:rPr>
            </w:pPr>
            <w:r w:rsidRPr="007B7470">
              <w:rPr>
                <w:color w:val="000000" w:themeColor="text1"/>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color w:val="000000"/>
              </w:rPr>
            </w:pPr>
          </w:p>
        </w:tc>
      </w:tr>
      <w:tr w:rsidR="00BA1532" w:rsidRPr="007B7470" w:rsidTr="005277C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A1532" w:rsidRPr="007B7470" w:rsidRDefault="00BA1532" w:rsidP="005277C1">
            <w:pPr>
              <w:rPr>
                <w:b/>
                <w:color w:val="000000" w:themeColor="text1"/>
              </w:rPr>
            </w:pPr>
            <w:r w:rsidRPr="007B7470">
              <w:rPr>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rPr>
                <w:color w:val="000000"/>
              </w:rPr>
            </w:pPr>
            <w:r w:rsidRPr="007B7470">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rPr>
                <w:color w:val="000000"/>
              </w:rPr>
            </w:pPr>
            <w:r w:rsidRPr="007B7470">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rPr>
                <w:color w:val="000000"/>
              </w:rPr>
            </w:pPr>
            <w:r w:rsidRPr="007B747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rPr>
                <w:color w:val="000000"/>
              </w:rPr>
            </w:pPr>
            <w:r w:rsidRPr="007B7470">
              <w:rPr>
                <w:color w:val="000000"/>
              </w:rPr>
              <w:t> </w:t>
            </w:r>
          </w:p>
        </w:tc>
      </w:tr>
      <w:tr w:rsidR="00BA1532" w:rsidRPr="007B7470" w:rsidTr="005277C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A1532" w:rsidRPr="007B7470" w:rsidRDefault="00BA1532" w:rsidP="005277C1">
            <w:pPr>
              <w:rPr>
                <w:b/>
                <w:bCs/>
                <w:color w:val="000000" w:themeColor="text1"/>
              </w:rPr>
            </w:pPr>
            <w:r w:rsidRPr="007B7470">
              <w:rPr>
                <w:b/>
                <w:bCs/>
                <w:color w:val="000000" w:themeColor="text1"/>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r>
      <w:tr w:rsidR="00BA1532" w:rsidRPr="007B7470" w:rsidTr="005277C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A1532" w:rsidRPr="007B7470" w:rsidRDefault="00BA1532" w:rsidP="005277C1">
            <w:pPr>
              <w:rPr>
                <w:b/>
                <w:bCs/>
                <w:color w:val="000000" w:themeColor="text1"/>
              </w:rPr>
            </w:pPr>
            <w:r w:rsidRPr="007B7470">
              <w:rPr>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BA1532" w:rsidRPr="007B7470" w:rsidRDefault="00BA1532" w:rsidP="005277C1">
            <w:pPr>
              <w:jc w:val="center"/>
              <w:rPr>
                <w:b/>
                <w:color w:val="000000"/>
              </w:rPr>
            </w:pPr>
          </w:p>
        </w:tc>
      </w:tr>
      <w:tr w:rsidR="00BA1532" w:rsidRPr="007B7470" w:rsidTr="005277C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BA1532" w:rsidRPr="007B7470" w:rsidRDefault="00BA1532" w:rsidP="005277C1">
            <w:pPr>
              <w:rPr>
                <w:b/>
                <w:bCs/>
                <w:color w:val="000000" w:themeColor="text1"/>
              </w:rPr>
            </w:pPr>
            <w:r w:rsidRPr="007B7470">
              <w:rPr>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1532" w:rsidRPr="007B7470" w:rsidRDefault="00BA1532" w:rsidP="005277C1">
            <w:pPr>
              <w:jc w:val="center"/>
              <w:rPr>
                <w:b/>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A1532" w:rsidRPr="007B7470" w:rsidRDefault="00BA1532" w:rsidP="005277C1">
            <w:pPr>
              <w:jc w:val="center"/>
              <w:rPr>
                <w:b/>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1532" w:rsidRPr="007B7470" w:rsidRDefault="00BA1532" w:rsidP="005277C1">
            <w:pPr>
              <w:jc w:val="center"/>
              <w:rPr>
                <w:b/>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A1532" w:rsidRPr="007B7470" w:rsidRDefault="00BA1532" w:rsidP="005277C1">
            <w:pPr>
              <w:jc w:val="center"/>
              <w:rPr>
                <w:b/>
                <w:color w:val="000000"/>
              </w:rPr>
            </w:pPr>
          </w:p>
        </w:tc>
      </w:tr>
    </w:tbl>
    <w:p w:rsidR="00BA1532" w:rsidRPr="007B7470" w:rsidRDefault="00BA1532" w:rsidP="00BA1532">
      <w:pPr>
        <w:rPr>
          <w:b/>
          <w:bCs/>
        </w:rPr>
      </w:pPr>
    </w:p>
    <w:p w:rsidR="00BA1532" w:rsidRPr="007B7470" w:rsidRDefault="00BA1532" w:rsidP="00BA1532">
      <w:pPr>
        <w:rPr>
          <w:b/>
          <w:bCs/>
        </w:rPr>
      </w:pPr>
      <w:r w:rsidRPr="007B7470">
        <w:rPr>
          <w:b/>
          <w:bCs/>
        </w:rPr>
        <w:t>2.1.1. Financovanie návrhu - Návrh na riešenie úbytku príjmov alebo zvýšených výdavkov podľa § 33 ods. 1 zákona č. 523/2004 Z. z. o rozpočtových pravidlách verejnej správy:</w:t>
      </w:r>
    </w:p>
    <w:p w:rsidR="00BA1532" w:rsidRPr="007B7470" w:rsidRDefault="00BA1532" w:rsidP="00BA1532">
      <w:pPr>
        <w:jc w:val="both"/>
        <w:rPr>
          <w:b/>
          <w:bCs/>
          <w:sz w:val="12"/>
        </w:rPr>
      </w:pPr>
    </w:p>
    <w:p w:rsidR="00BA1532" w:rsidRDefault="00BA1532" w:rsidP="00BA1532">
      <w:pPr>
        <w:pBdr>
          <w:top w:val="single" w:sz="4" w:space="1" w:color="auto"/>
          <w:left w:val="single" w:sz="4" w:space="4" w:color="auto"/>
          <w:bottom w:val="single" w:sz="4" w:space="0" w:color="auto"/>
          <w:right w:val="single" w:sz="4" w:space="4" w:color="auto"/>
        </w:pBdr>
        <w:spacing w:after="120"/>
        <w:jc w:val="both"/>
        <w:rPr>
          <w:bCs/>
        </w:rPr>
      </w:pPr>
      <w:r w:rsidRPr="00577997">
        <w:rPr>
          <w:bCs/>
        </w:rPr>
        <w:t xml:space="preserve">Plnenie návrhu zákona je podmienené úpravami informačných systémov Finančného riaditeľstva Slovenskej republiky (ďalej len „FRSR“) v celkovej </w:t>
      </w:r>
      <w:r w:rsidRPr="003D467E">
        <w:rPr>
          <w:bCs/>
        </w:rPr>
        <w:t xml:space="preserve">výške </w:t>
      </w:r>
      <w:r>
        <w:rPr>
          <w:bCs/>
        </w:rPr>
        <w:t>301 632</w:t>
      </w:r>
      <w:r w:rsidRPr="003D467E">
        <w:rPr>
          <w:bCs/>
        </w:rPr>
        <w:t xml:space="preserve"> eur (kapitálové výdavky, rozpočtová položka 718, podprogram 0EK0D – Informačné technológie financované zo štátneho rozpočtu – Ministerstvo financií Slovenskej republiky), a to:</w:t>
      </w:r>
    </w:p>
    <w:p w:rsidR="00BA1532" w:rsidRDefault="00BA1532" w:rsidP="00BA1532">
      <w:pPr>
        <w:pBdr>
          <w:top w:val="single" w:sz="4" w:space="1" w:color="auto"/>
          <w:left w:val="single" w:sz="4" w:space="4" w:color="auto"/>
          <w:bottom w:val="single" w:sz="4" w:space="0" w:color="auto"/>
          <w:right w:val="single" w:sz="4" w:space="4" w:color="auto"/>
        </w:pBdr>
        <w:jc w:val="both"/>
      </w:pPr>
      <w:r w:rsidRPr="003D467E">
        <w:t xml:space="preserve">- Portál finančnej správy (PFS) </w:t>
      </w:r>
      <w:r>
        <w:t>v sume 34 287 eur na rok 2024</w:t>
      </w:r>
    </w:p>
    <w:p w:rsidR="00BA1532" w:rsidRDefault="00BA1532" w:rsidP="00BA1532">
      <w:pPr>
        <w:pBdr>
          <w:top w:val="single" w:sz="4" w:space="1" w:color="auto"/>
          <w:left w:val="single" w:sz="4" w:space="4" w:color="auto"/>
          <w:bottom w:val="single" w:sz="4" w:space="0" w:color="auto"/>
          <w:right w:val="single" w:sz="4" w:space="4" w:color="auto"/>
        </w:pBdr>
        <w:jc w:val="both"/>
      </w:pPr>
      <w:r>
        <w:t>- Systém správy nepriamych daní (</w:t>
      </w:r>
      <w:proofErr w:type="spellStart"/>
      <w:r>
        <w:t>SySNeD</w:t>
      </w:r>
      <w:proofErr w:type="spellEnd"/>
      <w:r>
        <w:t>) v sume 131 670 eur na rok 2024</w:t>
      </w:r>
    </w:p>
    <w:p w:rsidR="00BA1532" w:rsidRPr="003D467E" w:rsidRDefault="00BA1532" w:rsidP="00BA1532">
      <w:pPr>
        <w:pBdr>
          <w:top w:val="single" w:sz="4" w:space="1" w:color="auto"/>
          <w:left w:val="single" w:sz="4" w:space="4" w:color="auto"/>
          <w:bottom w:val="single" w:sz="4" w:space="0" w:color="auto"/>
          <w:right w:val="single" w:sz="4" w:space="4" w:color="auto"/>
        </w:pBdr>
        <w:jc w:val="both"/>
      </w:pPr>
      <w:r>
        <w:t>- Informačný systém kontrolných známok v sume 135 675 eur na rok 2024</w:t>
      </w:r>
    </w:p>
    <w:p w:rsidR="00BA1532" w:rsidRPr="003D467E" w:rsidRDefault="00BA1532" w:rsidP="00BA1532">
      <w:pPr>
        <w:pBdr>
          <w:top w:val="single" w:sz="4" w:space="1" w:color="auto"/>
          <w:left w:val="single" w:sz="4" w:space="4" w:color="auto"/>
          <w:bottom w:val="single" w:sz="4" w:space="0" w:color="auto"/>
          <w:right w:val="single" w:sz="4" w:space="4" w:color="auto"/>
        </w:pBdr>
        <w:jc w:val="both"/>
        <w:rPr>
          <w:b/>
          <w:bCs/>
        </w:rPr>
      </w:pPr>
    </w:p>
    <w:p w:rsidR="00BA1532" w:rsidRPr="007B7470" w:rsidRDefault="00BA1532" w:rsidP="00BA1532">
      <w:pPr>
        <w:pBdr>
          <w:top w:val="single" w:sz="4" w:space="1" w:color="auto"/>
          <w:left w:val="single" w:sz="4" w:space="4" w:color="auto"/>
          <w:bottom w:val="single" w:sz="4" w:space="0" w:color="auto"/>
          <w:right w:val="single" w:sz="4" w:space="4" w:color="auto"/>
        </w:pBdr>
        <w:jc w:val="both"/>
        <w:rPr>
          <w:b/>
          <w:bCs/>
        </w:rPr>
      </w:pPr>
      <w:r w:rsidRPr="00060E1B">
        <w:rPr>
          <w:bCs/>
        </w:rPr>
        <w:t>Financovanie predmetných výdavkov bude zabezpečené v rámci limitov výdavkov kapitoly Ministerstva financií Slovenskej republiky (ďalej len „MF</w:t>
      </w:r>
      <w:r>
        <w:rPr>
          <w:bCs/>
        </w:rPr>
        <w:t xml:space="preserve"> </w:t>
      </w:r>
      <w:r w:rsidRPr="00060E1B">
        <w:rPr>
          <w:bCs/>
        </w:rPr>
        <w:t>SR“) na rozpočtový</w:t>
      </w:r>
      <w:r>
        <w:rPr>
          <w:bCs/>
        </w:rPr>
        <w:t xml:space="preserve"> rok 2024..</w:t>
      </w:r>
    </w:p>
    <w:p w:rsidR="00BA1532" w:rsidRPr="007B7470" w:rsidRDefault="00BA1532" w:rsidP="00BA1532">
      <w:pPr>
        <w:pBdr>
          <w:top w:val="single" w:sz="4" w:space="1" w:color="auto"/>
          <w:left w:val="single" w:sz="4" w:space="4" w:color="auto"/>
          <w:bottom w:val="single" w:sz="4" w:space="0" w:color="auto"/>
          <w:right w:val="single" w:sz="4" w:space="4" w:color="auto"/>
        </w:pBdr>
        <w:rPr>
          <w:b/>
          <w:bCs/>
        </w:rPr>
      </w:pPr>
    </w:p>
    <w:p w:rsidR="00F33D01" w:rsidRDefault="00F33D01" w:rsidP="00BA1532">
      <w:pPr>
        <w:rPr>
          <w:b/>
          <w:bCs/>
        </w:rPr>
      </w:pPr>
    </w:p>
    <w:p w:rsidR="00BA1532" w:rsidRPr="007B7470" w:rsidRDefault="00BA1532" w:rsidP="00BA1532">
      <w:pPr>
        <w:rPr>
          <w:b/>
          <w:bCs/>
        </w:rPr>
      </w:pPr>
      <w:r w:rsidRPr="007B7470">
        <w:rPr>
          <w:b/>
          <w:bCs/>
        </w:rPr>
        <w:t>2.2. Popis a charakteristika návrhu</w:t>
      </w:r>
    </w:p>
    <w:p w:rsidR="00BA1532" w:rsidRPr="007B7470" w:rsidRDefault="00BA1532" w:rsidP="00BA1532"/>
    <w:p w:rsidR="00BA1532" w:rsidRPr="007B7470" w:rsidRDefault="00BA1532" w:rsidP="00BA1532">
      <w:pPr>
        <w:jc w:val="both"/>
        <w:rPr>
          <w:b/>
          <w:bCs/>
        </w:rPr>
      </w:pPr>
      <w:r w:rsidRPr="007B7470">
        <w:rPr>
          <w:b/>
          <w:bCs/>
        </w:rPr>
        <w:t>2.2.1. Popis návrhu:</w:t>
      </w:r>
    </w:p>
    <w:p w:rsidR="00BA1532" w:rsidRPr="007B7470" w:rsidRDefault="00BA1532" w:rsidP="00BA1532">
      <w:pPr>
        <w:jc w:val="both"/>
        <w:rPr>
          <w:b/>
          <w:bCs/>
        </w:rPr>
      </w:pPr>
    </w:p>
    <w:p w:rsidR="00BA1532" w:rsidRDefault="00BA1532" w:rsidP="00BA1532">
      <w:pPr>
        <w:ind w:firstLine="708"/>
        <w:jc w:val="both"/>
      </w:pPr>
      <w:r w:rsidRPr="007B7470">
        <w:t>Akú problematiku návrh rieši? Kto bude návrh implementovať? Kde sa budú služby poskytovať?</w:t>
      </w:r>
    </w:p>
    <w:p w:rsidR="00BA1532" w:rsidRPr="00A26348" w:rsidRDefault="00BA1532" w:rsidP="00BA1532">
      <w:pPr>
        <w:jc w:val="both"/>
      </w:pPr>
    </w:p>
    <w:p w:rsidR="00BA1532" w:rsidRDefault="00BA1532" w:rsidP="00BA1532">
      <w:pPr>
        <w:jc w:val="both"/>
      </w:pPr>
      <w:r w:rsidRPr="00C552D4">
        <w:rPr>
          <w:bCs/>
        </w:rPr>
        <w:t>Navrhovanou úpravou sa rozširuje predmet úpravy zákona</w:t>
      </w:r>
      <w:r>
        <w:rPr>
          <w:bCs/>
        </w:rPr>
        <w:t xml:space="preserve"> č. 106/2004 Z. z. o spotrebnej dani z tabakových výrobkov v znení neskorších predpisov (ďalej len „zákon“).</w:t>
      </w:r>
      <w:r w:rsidRPr="00C552D4">
        <w:rPr>
          <w:bCs/>
        </w:rPr>
        <w:t xml:space="preserve"> </w:t>
      </w:r>
      <w:r>
        <w:rPr>
          <w:bCs/>
        </w:rPr>
        <w:t xml:space="preserve">Bezdymovým tabakovým výrobkom (ďalej len „BTV“) bude na účely zákona aj žuvací tabak a šnupavý tabak. Taktiež sa definuje výrobok súvisiaci s tabakovými výrobkami (ďalej len „ITV“). Za ITV sa bude považovať náplň do elektronickej cigarety, nikotínové vrecúško a </w:t>
      </w:r>
      <w:r>
        <w:t xml:space="preserve">iný nikotínový </w:t>
      </w:r>
      <w:r w:rsidRPr="00F51F3B">
        <w:t>výrobok</w:t>
      </w:r>
      <w:r w:rsidRPr="00C552D4">
        <w:t>, ktorý nie je bezdymovým tabakovým výrobkom</w:t>
      </w:r>
      <w:r>
        <w:t>. Návrhom zákona sa zároveň stanovuje a upravuje výška sadzieb spotrebnej dane  jednotlivých predmetov dane.</w:t>
      </w:r>
    </w:p>
    <w:p w:rsidR="00BA1532" w:rsidRPr="007B7470" w:rsidRDefault="00BA1532" w:rsidP="00BA1532">
      <w:r w:rsidRPr="007B7470">
        <w:t>.......................................................................................................................................................</w:t>
      </w:r>
    </w:p>
    <w:p w:rsidR="00BA1532" w:rsidRDefault="00BA1532" w:rsidP="00BA1532">
      <w:pPr>
        <w:rPr>
          <w:b/>
          <w:bCs/>
        </w:rPr>
      </w:pPr>
    </w:p>
    <w:p w:rsidR="00BA1532" w:rsidRPr="007B7470" w:rsidRDefault="00BA1532" w:rsidP="00BA1532">
      <w:pPr>
        <w:rPr>
          <w:b/>
          <w:bCs/>
        </w:rPr>
      </w:pPr>
      <w:r w:rsidRPr="007B7470">
        <w:rPr>
          <w:b/>
          <w:bCs/>
        </w:rPr>
        <w:t>2.2.2. Charakteristika návrhu:</w:t>
      </w:r>
    </w:p>
    <w:p w:rsidR="00BA1532" w:rsidRPr="007B7470" w:rsidRDefault="00BA1532" w:rsidP="00BA1532"/>
    <w:p w:rsidR="00BA1532" w:rsidRPr="007B7470" w:rsidRDefault="00BA1532" w:rsidP="00BA1532">
      <w:r w:rsidRPr="007B7470">
        <w:rPr>
          <w:b/>
          <w:bdr w:val="single" w:sz="4" w:space="0" w:color="auto"/>
        </w:rPr>
        <w:t xml:space="preserve"> </w:t>
      </w:r>
      <w:r w:rsidRPr="00C552D4">
        <w:rPr>
          <w:bdr w:val="single" w:sz="4" w:space="0" w:color="auto"/>
        </w:rPr>
        <w:t>x</w:t>
      </w:r>
      <w:r>
        <w:rPr>
          <w:bdr w:val="single" w:sz="4" w:space="0" w:color="auto"/>
        </w:rPr>
        <w:t xml:space="preserve"> </w:t>
      </w:r>
      <w:r w:rsidRPr="007B7470">
        <w:rPr>
          <w:b/>
          <w:bdr w:val="single" w:sz="4" w:space="0" w:color="auto"/>
        </w:rPr>
        <w:t xml:space="preserve"> </w:t>
      </w:r>
      <w:r w:rsidRPr="007B7470">
        <w:rPr>
          <w:b/>
        </w:rPr>
        <w:t xml:space="preserve">  </w:t>
      </w:r>
      <w:r w:rsidRPr="007B7470">
        <w:t>zmena sadzby</w:t>
      </w:r>
    </w:p>
    <w:p w:rsidR="00BA1532" w:rsidRPr="007B7470" w:rsidRDefault="00BA1532" w:rsidP="00BA1532">
      <w:r w:rsidRPr="007B7470">
        <w:rPr>
          <w:bdr w:val="single" w:sz="4" w:space="0" w:color="auto"/>
        </w:rPr>
        <w:t xml:space="preserve">     </w:t>
      </w:r>
      <w:r w:rsidRPr="007B7470">
        <w:t xml:space="preserve">  zmena v nároku</w:t>
      </w:r>
    </w:p>
    <w:p w:rsidR="00BA1532" w:rsidRPr="007B7470" w:rsidRDefault="00BA1532" w:rsidP="00BA1532">
      <w:r w:rsidRPr="007B7470">
        <w:rPr>
          <w:bdr w:val="single" w:sz="4" w:space="0" w:color="auto"/>
        </w:rPr>
        <w:t xml:space="preserve">     </w:t>
      </w:r>
      <w:r w:rsidRPr="007B7470">
        <w:t xml:space="preserve">  nová služba alebo nariadenie (alebo ich zrušenie)</w:t>
      </w:r>
    </w:p>
    <w:p w:rsidR="00BA1532" w:rsidRPr="007B7470" w:rsidRDefault="00BA1532" w:rsidP="00BA1532">
      <w:r w:rsidRPr="007B7470">
        <w:rPr>
          <w:bdr w:val="single" w:sz="4" w:space="0" w:color="auto"/>
        </w:rPr>
        <w:t xml:space="preserve"> </w:t>
      </w:r>
      <w:r>
        <w:rPr>
          <w:bdr w:val="single" w:sz="4" w:space="0" w:color="auto"/>
        </w:rPr>
        <w:t xml:space="preserve">x </w:t>
      </w:r>
      <w:r w:rsidRPr="007B7470">
        <w:rPr>
          <w:bdr w:val="single" w:sz="4" w:space="0" w:color="auto"/>
        </w:rPr>
        <w:t xml:space="preserve"> </w:t>
      </w:r>
      <w:r w:rsidRPr="007B7470">
        <w:t xml:space="preserve">  kombinovaný návrh</w:t>
      </w:r>
    </w:p>
    <w:p w:rsidR="00BA1532" w:rsidRPr="007B7470" w:rsidRDefault="00BA1532" w:rsidP="00BA1532">
      <w:r w:rsidRPr="007B7470">
        <w:rPr>
          <w:bdr w:val="single" w:sz="4" w:space="0" w:color="auto"/>
        </w:rPr>
        <w:lastRenderedPageBreak/>
        <w:t xml:space="preserve">     </w:t>
      </w:r>
      <w:r w:rsidRPr="007B7470">
        <w:t xml:space="preserve">  iné </w:t>
      </w:r>
    </w:p>
    <w:p w:rsidR="00BA1532" w:rsidRPr="00B95C70" w:rsidRDefault="00BA1532" w:rsidP="00BA1532"/>
    <w:p w:rsidR="00BA1532" w:rsidRDefault="00BA1532" w:rsidP="00BA1532">
      <w:pPr>
        <w:pStyle w:val="Textpoznmkypodiarou"/>
        <w:jc w:val="both"/>
        <w:rPr>
          <w:b/>
          <w:sz w:val="24"/>
          <w:szCs w:val="24"/>
        </w:rPr>
      </w:pPr>
      <w:r w:rsidRPr="00C552D4">
        <w:rPr>
          <w:b/>
          <w:sz w:val="24"/>
          <w:szCs w:val="24"/>
        </w:rPr>
        <w:t>Výrobok súvisiaci s inými ako tabakovými výrobkami (ITV)</w:t>
      </w:r>
    </w:p>
    <w:p w:rsidR="00BA1532" w:rsidRPr="00C552D4" w:rsidRDefault="00BA1532" w:rsidP="00BA1532">
      <w:pPr>
        <w:pStyle w:val="Textpoznmkypodiarou"/>
        <w:jc w:val="both"/>
        <w:rPr>
          <w:b/>
          <w:sz w:val="24"/>
          <w:szCs w:val="24"/>
        </w:rPr>
      </w:pPr>
    </w:p>
    <w:p w:rsidR="00BA1532" w:rsidRPr="00C552D4" w:rsidRDefault="00BA1532" w:rsidP="00BA1532">
      <w:pPr>
        <w:pStyle w:val="Textpoznmkypodiarou"/>
        <w:jc w:val="both"/>
        <w:rPr>
          <w:sz w:val="24"/>
          <w:szCs w:val="24"/>
        </w:rPr>
      </w:pPr>
      <w:r w:rsidRPr="00C552D4">
        <w:rPr>
          <w:sz w:val="24"/>
          <w:szCs w:val="24"/>
        </w:rPr>
        <w:t>Z dôvodu rastúcej popularity užívania inovatívnych produktov (elektronické cigarety, nikotínové vrecúška a</w:t>
      </w:r>
      <w:r>
        <w:rPr>
          <w:sz w:val="24"/>
          <w:szCs w:val="24"/>
        </w:rPr>
        <w:t> </w:t>
      </w:r>
      <w:r w:rsidRPr="00C552D4">
        <w:rPr>
          <w:sz w:val="24"/>
          <w:szCs w:val="24"/>
        </w:rPr>
        <w:t>iné</w:t>
      </w:r>
      <w:r>
        <w:rPr>
          <w:sz w:val="24"/>
          <w:szCs w:val="24"/>
        </w:rPr>
        <w:t xml:space="preserve"> nikotínové výrobky</w:t>
      </w:r>
      <w:r w:rsidRPr="00C552D4">
        <w:rPr>
          <w:sz w:val="24"/>
          <w:szCs w:val="24"/>
        </w:rPr>
        <w:t xml:space="preserve">) medzi mladými ľuďmi (často už u detí na základných školách) sa navrhuje zaviesť zdanenie </w:t>
      </w:r>
      <w:r w:rsidRPr="00AA3A49">
        <w:rPr>
          <w:sz w:val="24"/>
          <w:szCs w:val="24"/>
        </w:rPr>
        <w:t>ITV</w:t>
      </w:r>
      <w:r w:rsidRPr="00C552D4">
        <w:rPr>
          <w:sz w:val="24"/>
          <w:szCs w:val="24"/>
        </w:rPr>
        <w:t xml:space="preserve"> spotrebnou daňou.</w:t>
      </w:r>
      <w:r w:rsidRPr="00AA3A49">
        <w:rPr>
          <w:sz w:val="24"/>
          <w:szCs w:val="24"/>
        </w:rPr>
        <w:t xml:space="preserve"> </w:t>
      </w:r>
      <w:r w:rsidRPr="00C552D4">
        <w:rPr>
          <w:sz w:val="24"/>
          <w:szCs w:val="24"/>
        </w:rPr>
        <w:t>Tieto výrobky väčšinou obsahujú vysoko návykový a zdraviu škodlivý nikotín.</w:t>
      </w:r>
      <w:r w:rsidRPr="00AA3A49">
        <w:rPr>
          <w:sz w:val="24"/>
          <w:szCs w:val="24"/>
        </w:rPr>
        <w:t xml:space="preserve"> </w:t>
      </w:r>
      <w:r w:rsidRPr="00C552D4">
        <w:rPr>
          <w:sz w:val="24"/>
          <w:szCs w:val="24"/>
        </w:rPr>
        <w:t>Zdanenie zabezpečí rovnaké podmienky na trhu, prinesie dodatočné daňové príjmy do</w:t>
      </w:r>
      <w:r w:rsidRPr="00AA3A49">
        <w:rPr>
          <w:sz w:val="24"/>
          <w:szCs w:val="24"/>
        </w:rPr>
        <w:t xml:space="preserve"> štátneho</w:t>
      </w:r>
      <w:r w:rsidRPr="00C552D4">
        <w:rPr>
          <w:sz w:val="24"/>
          <w:szCs w:val="24"/>
        </w:rPr>
        <w:t xml:space="preserve"> rozpočtu a vyššou cenou týchto výrobkov </w:t>
      </w:r>
      <w:r>
        <w:rPr>
          <w:sz w:val="24"/>
          <w:szCs w:val="24"/>
        </w:rPr>
        <w:t xml:space="preserve">sa </w:t>
      </w:r>
      <w:r w:rsidRPr="00C552D4">
        <w:rPr>
          <w:sz w:val="24"/>
          <w:szCs w:val="24"/>
        </w:rPr>
        <w:t xml:space="preserve">sťaží ich dostupnosť, </w:t>
      </w:r>
      <w:r w:rsidRPr="00AA3A49">
        <w:rPr>
          <w:sz w:val="24"/>
          <w:szCs w:val="24"/>
        </w:rPr>
        <w:t xml:space="preserve">a to </w:t>
      </w:r>
      <w:r w:rsidRPr="00C552D4">
        <w:rPr>
          <w:sz w:val="24"/>
          <w:szCs w:val="24"/>
        </w:rPr>
        <w:t>najmä medzi mladými ľuďmi.</w:t>
      </w:r>
      <w:r w:rsidRPr="00AA3A49">
        <w:rPr>
          <w:sz w:val="24"/>
          <w:szCs w:val="24"/>
        </w:rPr>
        <w:t xml:space="preserve"> Naviac tieto i</w:t>
      </w:r>
      <w:r w:rsidRPr="00C552D4">
        <w:rPr>
          <w:sz w:val="24"/>
          <w:szCs w:val="24"/>
        </w:rPr>
        <w:t>novatívne produkty sú l</w:t>
      </w:r>
      <w:r>
        <w:rPr>
          <w:sz w:val="24"/>
          <w:szCs w:val="24"/>
        </w:rPr>
        <w:t>ákavejšie ako klasické tabakové výrobky</w:t>
      </w:r>
      <w:r w:rsidRPr="005F08F1">
        <w:rPr>
          <w:sz w:val="24"/>
          <w:szCs w:val="24"/>
        </w:rPr>
        <w:t>.</w:t>
      </w:r>
    </w:p>
    <w:p w:rsidR="00BA1532" w:rsidRDefault="00BA1532" w:rsidP="00BA1532">
      <w:pPr>
        <w:jc w:val="both"/>
      </w:pPr>
    </w:p>
    <w:p w:rsidR="00BA1532" w:rsidRPr="00C552D4" w:rsidRDefault="00BA1532" w:rsidP="00BA1532">
      <w:pPr>
        <w:jc w:val="both"/>
      </w:pPr>
      <w:r w:rsidRPr="00C552D4">
        <w:t xml:space="preserve">Uvedené vyplýva aj z národného výskumu používania tabakových a nikotínových výrobkov v populácii detí a adolescentov v SR 2022 (prieskum október – november 2022, </w:t>
      </w:r>
      <w:proofErr w:type="spellStart"/>
      <w:r w:rsidRPr="00C552D4">
        <w:t>Focus</w:t>
      </w:r>
      <w:proofErr w:type="spellEnd"/>
      <w:r>
        <w:t xml:space="preserve">, dostupný na </w:t>
      </w:r>
      <w:r w:rsidRPr="005C5F79">
        <w:t>https://www.minedu.sk/narodny-vyskum-pouzivania-tabakovych-a-nikotinovych-vyrobkov-v-populacii-deti-a-adolescentov-v-sr-2022/</w:t>
      </w:r>
      <w:r w:rsidRPr="00C552D4">
        <w:t>):</w:t>
      </w:r>
    </w:p>
    <w:p w:rsidR="00BA1532" w:rsidRPr="00C552D4" w:rsidRDefault="00BA1532" w:rsidP="00BA1532">
      <w:pPr>
        <w:pStyle w:val="Odsekzoznamu"/>
        <w:numPr>
          <w:ilvl w:val="0"/>
          <w:numId w:val="17"/>
        </w:numPr>
        <w:spacing w:after="0" w:line="276" w:lineRule="auto"/>
        <w:contextualSpacing w:val="0"/>
        <w:jc w:val="both"/>
        <w:rPr>
          <w:rFonts w:ascii="Times New Roman" w:hAnsi="Times New Roman"/>
          <w:sz w:val="24"/>
          <w:szCs w:val="24"/>
        </w:rPr>
      </w:pPr>
      <w:r w:rsidRPr="00C552D4">
        <w:rPr>
          <w:rFonts w:ascii="Times New Roman" w:hAnsi="Times New Roman"/>
          <w:sz w:val="24"/>
          <w:szCs w:val="24"/>
        </w:rPr>
        <w:t>nikotínové vrecúška vyskúšalo až 8 % detí do 11 rokov, čo je viac ako u e-cigariet (6 %) a BTV (4 %) a 30 % detí vo veku 14 alebo 15 rokov</w:t>
      </w:r>
      <w:r>
        <w:rPr>
          <w:rFonts w:ascii="Times New Roman" w:hAnsi="Times New Roman"/>
          <w:sz w:val="24"/>
          <w:szCs w:val="24"/>
        </w:rPr>
        <w:t>,</w:t>
      </w:r>
    </w:p>
    <w:p w:rsidR="00BA1532" w:rsidRPr="00C552D4" w:rsidRDefault="00BA1532" w:rsidP="00BA1532">
      <w:pPr>
        <w:pStyle w:val="Odsekzoznamu"/>
        <w:numPr>
          <w:ilvl w:val="0"/>
          <w:numId w:val="17"/>
        </w:numPr>
        <w:spacing w:after="0" w:line="276" w:lineRule="auto"/>
        <w:contextualSpacing w:val="0"/>
        <w:jc w:val="both"/>
        <w:rPr>
          <w:rFonts w:ascii="Times New Roman" w:hAnsi="Times New Roman"/>
          <w:sz w:val="24"/>
          <w:szCs w:val="24"/>
        </w:rPr>
      </w:pPr>
      <w:r w:rsidRPr="00C552D4">
        <w:rPr>
          <w:rFonts w:ascii="Times New Roman" w:hAnsi="Times New Roman"/>
          <w:sz w:val="24"/>
          <w:szCs w:val="24"/>
        </w:rPr>
        <w:t>sú „</w:t>
      </w:r>
      <w:proofErr w:type="spellStart"/>
      <w:r w:rsidRPr="00C552D4">
        <w:rPr>
          <w:rFonts w:ascii="Times New Roman" w:hAnsi="Times New Roman"/>
          <w:sz w:val="24"/>
          <w:szCs w:val="24"/>
        </w:rPr>
        <w:t>cool</w:t>
      </w:r>
      <w:proofErr w:type="spellEnd"/>
      <w:r w:rsidRPr="00C552D4">
        <w:rPr>
          <w:rFonts w:ascii="Times New Roman" w:hAnsi="Times New Roman"/>
          <w:sz w:val="24"/>
          <w:szCs w:val="24"/>
        </w:rPr>
        <w:t>“ medzi deťmi a adolescentmi (dôvod vyskúšania u 30 % opýtaných pri nikotínových vrecúškach, u 21 % opýtaných pri e-ci</w:t>
      </w:r>
      <w:r>
        <w:rPr>
          <w:rFonts w:ascii="Times New Roman" w:hAnsi="Times New Roman"/>
          <w:sz w:val="24"/>
          <w:szCs w:val="24"/>
        </w:rPr>
        <w:t>ga</w:t>
      </w:r>
      <w:r w:rsidRPr="00C552D4">
        <w:rPr>
          <w:rFonts w:ascii="Times New Roman" w:hAnsi="Times New Roman"/>
          <w:sz w:val="24"/>
          <w:szCs w:val="24"/>
        </w:rPr>
        <w:t>retách)</w:t>
      </w:r>
      <w:r>
        <w:rPr>
          <w:rFonts w:ascii="Times New Roman" w:hAnsi="Times New Roman"/>
          <w:sz w:val="24"/>
          <w:szCs w:val="24"/>
        </w:rPr>
        <w:t>,</w:t>
      </w:r>
    </w:p>
    <w:p w:rsidR="00BA1532" w:rsidRPr="00C552D4" w:rsidRDefault="00BA1532" w:rsidP="00BA1532">
      <w:pPr>
        <w:pStyle w:val="Odsekzoznamu"/>
        <w:numPr>
          <w:ilvl w:val="0"/>
          <w:numId w:val="17"/>
        </w:numPr>
        <w:spacing w:after="0" w:line="276" w:lineRule="auto"/>
        <w:contextualSpacing w:val="0"/>
        <w:jc w:val="both"/>
        <w:rPr>
          <w:rFonts w:ascii="Times New Roman" w:hAnsi="Times New Roman"/>
          <w:sz w:val="24"/>
          <w:szCs w:val="24"/>
        </w:rPr>
      </w:pPr>
      <w:r w:rsidRPr="00C552D4">
        <w:rPr>
          <w:rFonts w:ascii="Times New Roman" w:hAnsi="Times New Roman"/>
          <w:sz w:val="24"/>
          <w:szCs w:val="24"/>
        </w:rPr>
        <w:t>opýtané deti a adolescenti si myslia, že tieto výrobky škodia menej ako iné produkty</w:t>
      </w:r>
    </w:p>
    <w:p w:rsidR="00BA1532" w:rsidRPr="00C552D4" w:rsidRDefault="00BA1532" w:rsidP="00BA1532">
      <w:pPr>
        <w:pStyle w:val="Odsekzoznamu"/>
        <w:numPr>
          <w:ilvl w:val="0"/>
          <w:numId w:val="17"/>
        </w:numPr>
        <w:spacing w:after="0" w:line="276" w:lineRule="auto"/>
        <w:contextualSpacing w:val="0"/>
        <w:jc w:val="both"/>
        <w:rPr>
          <w:rFonts w:ascii="Times New Roman" w:hAnsi="Times New Roman"/>
          <w:sz w:val="24"/>
          <w:szCs w:val="24"/>
        </w:rPr>
      </w:pPr>
      <w:r w:rsidRPr="00C552D4">
        <w:rPr>
          <w:rFonts w:ascii="Times New Roman" w:hAnsi="Times New Roman"/>
          <w:sz w:val="24"/>
          <w:szCs w:val="24"/>
        </w:rPr>
        <w:t>sú pre nich dostupnejšie ako iné produkty</w:t>
      </w:r>
      <w:r>
        <w:rPr>
          <w:rFonts w:ascii="Times New Roman" w:hAnsi="Times New Roman"/>
          <w:sz w:val="24"/>
          <w:szCs w:val="24"/>
        </w:rPr>
        <w:t>,</w:t>
      </w:r>
    </w:p>
    <w:p w:rsidR="00BA1532" w:rsidRPr="00C552D4" w:rsidRDefault="00BA1532" w:rsidP="00BA1532">
      <w:pPr>
        <w:pStyle w:val="Odsekzoznamu"/>
        <w:numPr>
          <w:ilvl w:val="0"/>
          <w:numId w:val="17"/>
        </w:numPr>
        <w:spacing w:after="0" w:line="276" w:lineRule="auto"/>
        <w:contextualSpacing w:val="0"/>
        <w:jc w:val="both"/>
        <w:rPr>
          <w:rFonts w:ascii="Times New Roman" w:hAnsi="Times New Roman"/>
          <w:sz w:val="24"/>
          <w:szCs w:val="24"/>
        </w:rPr>
      </w:pPr>
      <w:r w:rsidRPr="00C552D4">
        <w:rPr>
          <w:rFonts w:ascii="Times New Roman" w:hAnsi="Times New Roman"/>
          <w:sz w:val="24"/>
          <w:szCs w:val="24"/>
        </w:rPr>
        <w:t>pre 28 % opýtaných bol dôvod na vyskúšanie nikotínových vrecúšok ten, že sa dajú používať bez toho, aby si to všimli doma alebo v škole, rovnaký dôvod na vyskúšanie e-cigarety uviedlo 15 % opýtaných</w:t>
      </w:r>
      <w:r>
        <w:rPr>
          <w:rFonts w:ascii="Times New Roman" w:hAnsi="Times New Roman"/>
          <w:sz w:val="24"/>
          <w:szCs w:val="24"/>
        </w:rPr>
        <w:t>,</w:t>
      </w:r>
    </w:p>
    <w:p w:rsidR="00BA1532" w:rsidRPr="00C552D4" w:rsidRDefault="00BA1532" w:rsidP="00BA1532">
      <w:pPr>
        <w:pStyle w:val="Odsekzoznamu"/>
        <w:numPr>
          <w:ilvl w:val="0"/>
          <w:numId w:val="17"/>
        </w:numPr>
        <w:spacing w:after="0" w:line="276" w:lineRule="auto"/>
        <w:contextualSpacing w:val="0"/>
        <w:jc w:val="both"/>
        <w:rPr>
          <w:rFonts w:ascii="Times New Roman" w:hAnsi="Times New Roman"/>
          <w:sz w:val="24"/>
          <w:szCs w:val="24"/>
        </w:rPr>
      </w:pPr>
      <w:r w:rsidRPr="00C552D4">
        <w:rPr>
          <w:rFonts w:ascii="Times New Roman" w:hAnsi="Times New Roman"/>
          <w:sz w:val="24"/>
          <w:szCs w:val="24"/>
        </w:rPr>
        <w:t>v prípade ponuky výrobku od priateľa by 6 % opýtaných vyskúšalo klasickú cigaretu, 10 % BTV, 13 % by vyskúšalo e-cigaretu a 7 % nikotínové vrecúško.</w:t>
      </w:r>
    </w:p>
    <w:p w:rsidR="00BA1532" w:rsidRPr="00AA3A49" w:rsidRDefault="00BA1532" w:rsidP="00BA1532">
      <w:pPr>
        <w:pStyle w:val="Textpoznmkypodiarou"/>
        <w:jc w:val="both"/>
        <w:rPr>
          <w:sz w:val="24"/>
          <w:szCs w:val="24"/>
        </w:rPr>
      </w:pPr>
    </w:p>
    <w:p w:rsidR="00BA1532" w:rsidRDefault="00BA1532" w:rsidP="00BA1532">
      <w:pPr>
        <w:jc w:val="both"/>
        <w:rPr>
          <w:color w:val="000000" w:themeColor="text1"/>
        </w:rPr>
      </w:pPr>
      <w:r w:rsidRPr="00C552D4">
        <w:rPr>
          <w:color w:val="000000" w:themeColor="text1"/>
        </w:rPr>
        <w:t>Na základe údajov z </w:t>
      </w:r>
      <w:proofErr w:type="spellStart"/>
      <w:r w:rsidRPr="00C552D4">
        <w:rPr>
          <w:color w:val="000000" w:themeColor="text1"/>
        </w:rPr>
        <w:t>eKasy</w:t>
      </w:r>
      <w:proofErr w:type="spellEnd"/>
      <w:r w:rsidRPr="00C552D4">
        <w:rPr>
          <w:color w:val="000000" w:themeColor="text1"/>
        </w:rPr>
        <w:t xml:space="preserve"> za obdobie mesiacov január 2022 až december 2023 spotreba týchto výrobkov v roku 2023 výrazne vzrástla (Graf 1). Predaj e-cigariet medziročne vzrástol o 200 %</w:t>
      </w:r>
      <w:r>
        <w:rPr>
          <w:color w:val="000000" w:themeColor="text1"/>
        </w:rPr>
        <w:t xml:space="preserve"> a </w:t>
      </w:r>
      <w:r w:rsidRPr="00C552D4">
        <w:rPr>
          <w:color w:val="000000" w:themeColor="text1"/>
        </w:rPr>
        <w:t xml:space="preserve">nárast predaja nikotínových vrecúšok </w:t>
      </w:r>
      <w:r>
        <w:rPr>
          <w:color w:val="000000" w:themeColor="text1"/>
        </w:rPr>
        <w:t>zodpovedá navýšeniu</w:t>
      </w:r>
      <w:r w:rsidRPr="00C552D4">
        <w:rPr>
          <w:color w:val="000000" w:themeColor="text1"/>
        </w:rPr>
        <w:t xml:space="preserve"> o 57 %.</w:t>
      </w:r>
    </w:p>
    <w:p w:rsidR="00BA1532" w:rsidRDefault="00BA1532" w:rsidP="00BA1532">
      <w:pPr>
        <w:jc w:val="both"/>
        <w:rPr>
          <w:color w:val="000000" w:themeColor="text1"/>
        </w:rPr>
      </w:pPr>
    </w:p>
    <w:p w:rsidR="00BA1532" w:rsidRDefault="00BA1532" w:rsidP="00BA1532">
      <w:pPr>
        <w:jc w:val="both"/>
        <w:rPr>
          <w:color w:val="000000" w:themeColor="text1"/>
        </w:rPr>
      </w:pPr>
    </w:p>
    <w:p w:rsidR="00BA1532" w:rsidRDefault="00BA1532" w:rsidP="00BA1532">
      <w:pPr>
        <w:jc w:val="both"/>
        <w:rPr>
          <w:color w:val="000000" w:themeColor="text1"/>
        </w:rPr>
      </w:pPr>
    </w:p>
    <w:p w:rsidR="00BA1532" w:rsidRDefault="00BA1532" w:rsidP="00BA1532">
      <w:pPr>
        <w:jc w:val="both"/>
        <w:rPr>
          <w:color w:val="000000" w:themeColor="text1"/>
        </w:rPr>
      </w:pPr>
    </w:p>
    <w:p w:rsidR="00BA1532" w:rsidRDefault="00BA1532" w:rsidP="00BA1532">
      <w:pPr>
        <w:jc w:val="both"/>
        <w:rPr>
          <w:color w:val="000000" w:themeColor="text1"/>
        </w:rPr>
      </w:pPr>
    </w:p>
    <w:p w:rsidR="00BA1532" w:rsidRDefault="00BA1532" w:rsidP="00BA1532">
      <w:pPr>
        <w:jc w:val="both"/>
        <w:rPr>
          <w:color w:val="000000" w:themeColor="text1"/>
        </w:rPr>
      </w:pPr>
    </w:p>
    <w:p w:rsidR="00BA1532" w:rsidRDefault="00BA1532"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p w:rsidR="00B3448D" w:rsidRDefault="00B3448D" w:rsidP="00BA1532">
      <w:pPr>
        <w:jc w:val="both"/>
        <w:rPr>
          <w:color w:val="000000" w:themeColor="text1"/>
        </w:rPr>
      </w:pPr>
    </w:p>
    <w:tbl>
      <w:tblPr>
        <w:tblW w:w="3985" w:type="pct"/>
        <w:jc w:val="center"/>
        <w:tblLayout w:type="fixed"/>
        <w:tblLook w:val="04A0" w:firstRow="1" w:lastRow="0" w:firstColumn="1" w:lastColumn="0" w:noHBand="0" w:noVBand="1"/>
      </w:tblPr>
      <w:tblGrid>
        <w:gridCol w:w="7455"/>
      </w:tblGrid>
      <w:tr w:rsidR="00BA1532" w:rsidRPr="00F12199" w:rsidTr="00F33D01">
        <w:trPr>
          <w:trHeight w:val="505"/>
          <w:jc w:val="center"/>
        </w:trPr>
        <w:tc>
          <w:tcPr>
            <w:tcW w:w="7455" w:type="dxa"/>
            <w:tcBorders>
              <w:top w:val="nil"/>
              <w:left w:val="nil"/>
              <w:bottom w:val="single" w:sz="4" w:space="0" w:color="auto"/>
              <w:right w:val="nil"/>
            </w:tcBorders>
            <w:hideMark/>
          </w:tcPr>
          <w:p w:rsidR="00BA1532" w:rsidRPr="00DA217B" w:rsidRDefault="00BA1532" w:rsidP="005277C1">
            <w:pPr>
              <w:rPr>
                <w:rFonts w:ascii="Arial Narrow" w:hAnsi="Arial Narrow"/>
                <w:b/>
                <w:color w:val="2C9ADC"/>
                <w:szCs w:val="18"/>
              </w:rPr>
            </w:pPr>
            <w:r w:rsidRPr="002F7311">
              <w:rPr>
                <w:rFonts w:ascii="Arial Narrow" w:hAnsi="Arial Narrow"/>
                <w:b/>
                <w:color w:val="2E74B5"/>
                <w:szCs w:val="18"/>
              </w:rPr>
              <w:lastRenderedPageBreak/>
              <w:t xml:space="preserve">Graf 1: </w:t>
            </w:r>
            <w:r>
              <w:rPr>
                <w:rFonts w:ascii="Arial Narrow" w:hAnsi="Arial Narrow"/>
                <w:b/>
                <w:color w:val="2E74B5"/>
                <w:szCs w:val="18"/>
              </w:rPr>
              <w:t>Spotreba iných ako tabakových výrobkov (2022-2023, ks)</w:t>
            </w:r>
          </w:p>
        </w:tc>
      </w:tr>
      <w:tr w:rsidR="00BA1532" w:rsidRPr="00F12199" w:rsidTr="00F33D01">
        <w:trPr>
          <w:trHeight w:val="3133"/>
          <w:jc w:val="center"/>
        </w:trPr>
        <w:tc>
          <w:tcPr>
            <w:tcW w:w="7455" w:type="dxa"/>
            <w:tcBorders>
              <w:top w:val="single" w:sz="4" w:space="0" w:color="auto"/>
              <w:left w:val="nil"/>
              <w:bottom w:val="single" w:sz="4" w:space="0" w:color="auto"/>
              <w:right w:val="nil"/>
            </w:tcBorders>
            <w:tcMar>
              <w:top w:w="0" w:type="dxa"/>
              <w:left w:w="70" w:type="dxa"/>
              <w:bottom w:w="0" w:type="dxa"/>
              <w:right w:w="70" w:type="dxa"/>
            </w:tcMar>
            <w:vAlign w:val="center"/>
            <w:hideMark/>
          </w:tcPr>
          <w:p w:rsidR="00BA1532" w:rsidRPr="00F12199" w:rsidRDefault="00BA1532" w:rsidP="005277C1">
            <w:pPr>
              <w:pStyle w:val="Text"/>
              <w:spacing w:after="0" w:line="240" w:lineRule="auto"/>
              <w:jc w:val="center"/>
              <w:rPr>
                <w:rFonts w:ascii="NeueHaasGroteskDisp W02" w:hAnsi="NeueHaasGroteskDisp W02"/>
                <w:color w:val="FF0000"/>
              </w:rPr>
            </w:pPr>
            <w:r>
              <w:rPr>
                <w:rFonts w:ascii="NeueHaasGroteskDisp W02" w:hAnsi="NeueHaasGroteskDisp W02"/>
                <w:noProof/>
                <w:color w:val="FF0000"/>
                <w:lang w:eastAsia="sk-SK"/>
              </w:rPr>
              <w:drawing>
                <wp:inline distT="0" distB="0" distL="0" distR="0" wp14:anchorId="61C09D7D" wp14:editId="3566A0F3">
                  <wp:extent cx="4356735" cy="2289975"/>
                  <wp:effectExtent l="0" t="0" r="5715"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3009" cy="2309041"/>
                          </a:xfrm>
                          <a:prstGeom prst="rect">
                            <a:avLst/>
                          </a:prstGeom>
                          <a:noFill/>
                        </pic:spPr>
                      </pic:pic>
                    </a:graphicData>
                  </a:graphic>
                </wp:inline>
              </w:drawing>
            </w:r>
          </w:p>
        </w:tc>
      </w:tr>
      <w:tr w:rsidR="00BA1532" w:rsidRPr="002F7311" w:rsidTr="00F33D01">
        <w:trPr>
          <w:trHeight w:val="163"/>
          <w:jc w:val="center"/>
        </w:trPr>
        <w:tc>
          <w:tcPr>
            <w:tcW w:w="7455" w:type="dxa"/>
            <w:tcBorders>
              <w:top w:val="single" w:sz="4" w:space="0" w:color="auto"/>
              <w:left w:val="nil"/>
              <w:bottom w:val="nil"/>
              <w:right w:val="nil"/>
            </w:tcBorders>
          </w:tcPr>
          <w:p w:rsidR="00BA1532" w:rsidRPr="002F7311" w:rsidRDefault="00BA1532" w:rsidP="005277C1">
            <w:pPr>
              <w:pStyle w:val="Text"/>
              <w:spacing w:after="0" w:line="240" w:lineRule="auto"/>
              <w:jc w:val="right"/>
              <w:rPr>
                <w:rFonts w:ascii="Arial Narrow" w:hAnsi="Arial Narrow"/>
                <w:i/>
                <w:iCs/>
                <w:sz w:val="18"/>
                <w:szCs w:val="18"/>
              </w:rPr>
            </w:pPr>
            <w:r w:rsidRPr="002F7311">
              <w:rPr>
                <w:rFonts w:ascii="Arial Narrow" w:hAnsi="Arial Narrow"/>
                <w:i/>
                <w:iCs/>
                <w:sz w:val="18"/>
                <w:szCs w:val="18"/>
              </w:rPr>
              <w:t xml:space="preserve">Zdroj: </w:t>
            </w:r>
            <w:proofErr w:type="spellStart"/>
            <w:r w:rsidRPr="002F7311">
              <w:rPr>
                <w:rFonts w:ascii="Arial Narrow" w:hAnsi="Arial Narrow"/>
                <w:i/>
                <w:iCs/>
                <w:sz w:val="18"/>
                <w:szCs w:val="18"/>
              </w:rPr>
              <w:t>eKasa</w:t>
            </w:r>
            <w:proofErr w:type="spellEnd"/>
          </w:p>
        </w:tc>
      </w:tr>
      <w:tr w:rsidR="00BA1532" w:rsidRPr="00F12199" w:rsidTr="00F33D01">
        <w:trPr>
          <w:trHeight w:val="163"/>
          <w:jc w:val="center"/>
        </w:trPr>
        <w:tc>
          <w:tcPr>
            <w:tcW w:w="7455" w:type="dxa"/>
          </w:tcPr>
          <w:p w:rsidR="00BA1532" w:rsidRPr="00F12199" w:rsidRDefault="00BA1532" w:rsidP="005277C1">
            <w:pPr>
              <w:pStyle w:val="Text"/>
              <w:spacing w:after="0" w:line="240" w:lineRule="auto"/>
              <w:jc w:val="right"/>
              <w:rPr>
                <w:rFonts w:ascii="NeueHaasGroteskDisp W02" w:hAnsi="NeueHaasGroteskDisp W02"/>
                <w:i/>
                <w:iCs/>
                <w:sz w:val="14"/>
              </w:rPr>
            </w:pPr>
          </w:p>
        </w:tc>
      </w:tr>
    </w:tbl>
    <w:p w:rsidR="00BA1532" w:rsidRPr="00800046" w:rsidRDefault="00BA1532" w:rsidP="00BA1532">
      <w:pPr>
        <w:jc w:val="both"/>
      </w:pPr>
      <w:r w:rsidRPr="00800046">
        <w:t xml:space="preserve">Nastavenie výšky sadzby pre rok 2025 zodpovedá priemeru krajín Európskej únie. </w:t>
      </w:r>
      <w:r w:rsidRPr="00C552D4">
        <w:rPr>
          <w:color w:val="000000" w:themeColor="text1"/>
        </w:rPr>
        <w:t xml:space="preserve">Začiatok zdaňovania týchto výrobkov sa </w:t>
      </w:r>
      <w:r>
        <w:rPr>
          <w:color w:val="000000" w:themeColor="text1"/>
        </w:rPr>
        <w:t>navrhuje k 1.2</w:t>
      </w:r>
      <w:r w:rsidRPr="00C552D4">
        <w:rPr>
          <w:color w:val="000000" w:themeColor="text1"/>
        </w:rPr>
        <w:t xml:space="preserve">.2025 a zároveň sa predpokladá </w:t>
      </w:r>
      <w:r>
        <w:rPr>
          <w:color w:val="000000" w:themeColor="text1"/>
        </w:rPr>
        <w:t>5</w:t>
      </w:r>
      <w:r w:rsidRPr="00C552D4">
        <w:rPr>
          <w:color w:val="000000" w:themeColor="text1"/>
        </w:rPr>
        <w:t>-mesačný dopredaj výrobkov.</w:t>
      </w:r>
    </w:p>
    <w:p w:rsidR="00BA1532" w:rsidRDefault="00BA1532" w:rsidP="00BA1532"/>
    <w:p w:rsidR="00BA1532" w:rsidRPr="004760C2" w:rsidRDefault="00BA1532" w:rsidP="00BA1532">
      <w:r>
        <w:t>Návrh zákona zavádza sadzby spotrebnej dane z ITV k 1. februáru</w:t>
      </w:r>
      <w:r w:rsidRPr="004760C2">
        <w:t xml:space="preserve"> 2025 nasledovne:</w:t>
      </w:r>
    </w:p>
    <w:p w:rsidR="00BA1532" w:rsidRPr="004760C2" w:rsidRDefault="00BA1532" w:rsidP="00BA1532">
      <w:pPr>
        <w:tabs>
          <w:tab w:val="left" w:pos="4253"/>
        </w:tabs>
        <w:jc w:val="both"/>
      </w:pPr>
      <w:r w:rsidRPr="004760C2">
        <w:t xml:space="preserve">- náplň do elektronických cigariet           </w:t>
      </w:r>
      <w:r w:rsidRPr="004760C2">
        <w:tab/>
      </w:r>
      <w:r>
        <w:t xml:space="preserve">   </w:t>
      </w:r>
      <w:r w:rsidRPr="004760C2">
        <w:t>0,20 eura/ml</w:t>
      </w:r>
    </w:p>
    <w:p w:rsidR="00BA1532" w:rsidRPr="004760C2" w:rsidRDefault="00BA1532" w:rsidP="00BA1532">
      <w:pPr>
        <w:jc w:val="both"/>
      </w:pPr>
      <w:r w:rsidRPr="004760C2">
        <w:t xml:space="preserve">- nikotínové vrecúška               </w:t>
      </w:r>
      <w:r w:rsidRPr="004760C2">
        <w:tab/>
        <w:t xml:space="preserve">    </w:t>
      </w:r>
      <w:r w:rsidRPr="004760C2">
        <w:tab/>
      </w:r>
      <w:r>
        <w:t xml:space="preserve">  </w:t>
      </w:r>
      <w:r w:rsidRPr="004760C2">
        <w:t xml:space="preserve"> 0,10 eura/g</w:t>
      </w:r>
    </w:p>
    <w:p w:rsidR="00BA1532" w:rsidRPr="004760C2" w:rsidRDefault="00BA1532" w:rsidP="00BA1532">
      <w:pPr>
        <w:tabs>
          <w:tab w:val="left" w:pos="4253"/>
        </w:tabs>
        <w:jc w:val="both"/>
      </w:pPr>
      <w:r w:rsidRPr="004760C2">
        <w:t>- iné nikotínové výrobky</w:t>
      </w:r>
      <w:r w:rsidRPr="004760C2">
        <w:tab/>
      </w:r>
      <w:r>
        <w:t xml:space="preserve">   </w:t>
      </w:r>
      <w:r w:rsidRPr="004760C2">
        <w:t>0,10 eura/g</w:t>
      </w:r>
    </w:p>
    <w:p w:rsidR="00BA1532" w:rsidRPr="004760C2" w:rsidRDefault="00BA1532" w:rsidP="00BA1532"/>
    <w:p w:rsidR="00BA1532" w:rsidRDefault="00BA1532" w:rsidP="00BA1532">
      <w:r w:rsidRPr="004760C2">
        <w:t>Návrh zákona zavádza sadzby spotrebnej dane z ITV k 1. februáru 2027 nasledovne</w:t>
      </w:r>
      <w:r>
        <w:t>:</w:t>
      </w:r>
    </w:p>
    <w:p w:rsidR="00BA1532" w:rsidRPr="006E1A3B" w:rsidRDefault="00BA1532" w:rsidP="00BA1532">
      <w:pPr>
        <w:tabs>
          <w:tab w:val="left" w:pos="4253"/>
        </w:tabs>
        <w:jc w:val="both"/>
      </w:pPr>
      <w:r>
        <w:t xml:space="preserve">- </w:t>
      </w:r>
      <w:r w:rsidRPr="006E1A3B">
        <w:t xml:space="preserve">náplň do </w:t>
      </w:r>
      <w:r w:rsidRPr="005B394D">
        <w:t xml:space="preserve">elektronických cigariet           </w:t>
      </w:r>
      <w:r>
        <w:tab/>
        <w:t xml:space="preserve">  </w:t>
      </w:r>
      <w:r w:rsidRPr="006E1A3B">
        <w:t>0,</w:t>
      </w:r>
      <w:r>
        <w:t>3</w:t>
      </w:r>
      <w:r w:rsidRPr="006E1A3B">
        <w:t>0 eura/ml</w:t>
      </w:r>
    </w:p>
    <w:p w:rsidR="00BA1532" w:rsidRPr="005B394D" w:rsidRDefault="00BA1532" w:rsidP="00BA1532">
      <w:pPr>
        <w:tabs>
          <w:tab w:val="left" w:pos="4395"/>
          <w:tab w:val="left" w:pos="4536"/>
        </w:tabs>
        <w:jc w:val="both"/>
      </w:pPr>
      <w:r>
        <w:t xml:space="preserve">- </w:t>
      </w:r>
      <w:r w:rsidRPr="005B394D">
        <w:t xml:space="preserve">nikotínové </w:t>
      </w:r>
      <w:r>
        <w:t xml:space="preserve">vrecúška               </w:t>
      </w:r>
      <w:r>
        <w:tab/>
      </w:r>
      <w:r w:rsidRPr="005B394D">
        <w:t>0,</w:t>
      </w:r>
      <w:r>
        <w:t>2</w:t>
      </w:r>
      <w:r w:rsidRPr="005B394D">
        <w:t>0 eura /g</w:t>
      </w:r>
    </w:p>
    <w:p w:rsidR="00BA1532" w:rsidRPr="005B394D" w:rsidRDefault="00BA1532" w:rsidP="00BA1532">
      <w:pPr>
        <w:tabs>
          <w:tab w:val="left" w:pos="3544"/>
        </w:tabs>
        <w:jc w:val="both"/>
      </w:pPr>
      <w:r>
        <w:t xml:space="preserve">- </w:t>
      </w:r>
      <w:r w:rsidRPr="005B394D">
        <w:t>iné nikotínové výrobky</w:t>
      </w:r>
      <w:r w:rsidRPr="005B394D">
        <w:tab/>
        <w:t xml:space="preserve">            </w:t>
      </w:r>
      <w:r>
        <w:t xml:space="preserve">  </w:t>
      </w:r>
      <w:r w:rsidRPr="005B394D">
        <w:t>0,</w:t>
      </w:r>
      <w:r>
        <w:t>2</w:t>
      </w:r>
      <w:r w:rsidRPr="005B394D">
        <w:t>0 eura/g</w:t>
      </w:r>
    </w:p>
    <w:p w:rsidR="00BA1532" w:rsidRDefault="00BA1532" w:rsidP="00BA1532"/>
    <w:p w:rsidR="00BA1532" w:rsidRDefault="00BA1532" w:rsidP="00BA1532">
      <w:pPr>
        <w:jc w:val="both"/>
        <w:rPr>
          <w:color w:val="000000"/>
        </w:rPr>
      </w:pPr>
      <w:r w:rsidRPr="008F5270">
        <w:rPr>
          <w:color w:val="000000"/>
        </w:rPr>
        <w:t xml:space="preserve">Základom dane pri </w:t>
      </w:r>
      <w:r w:rsidRPr="008F5270">
        <w:t>náplni do elektronickej cigarety je množstvo náplne v spotre</w:t>
      </w:r>
      <w:r>
        <w:t>biteľskom balení vyjadrené v mililitroch.</w:t>
      </w:r>
    </w:p>
    <w:p w:rsidR="00BA1532" w:rsidRDefault="00BA1532" w:rsidP="00BA1532">
      <w:pPr>
        <w:jc w:val="both"/>
      </w:pPr>
      <w:r w:rsidRPr="008F5270">
        <w:t>Základom dane pri nikotínovom vrecúšku a inom nikotínovom výrobku je množstvo výrobku v spotrebiteľ</w:t>
      </w:r>
      <w:r>
        <w:t>skom balení vyjadrené v gramoch</w:t>
      </w:r>
      <w:r w:rsidRPr="008F5270">
        <w:t>.</w:t>
      </w:r>
    </w:p>
    <w:p w:rsidR="00BA1532" w:rsidRDefault="00BA1532" w:rsidP="00BA1532">
      <w:pPr>
        <w:jc w:val="both"/>
        <w:rPr>
          <w:color w:val="000000"/>
        </w:rPr>
      </w:pPr>
      <w:r w:rsidRPr="008F5270">
        <w:rPr>
          <w:color w:val="000000"/>
        </w:rPr>
        <w:t>Daň sa vypočíta ako súčin základu dane a príslušnej sadzby dane</w:t>
      </w:r>
      <w:r>
        <w:rPr>
          <w:color w:val="000000"/>
        </w:rPr>
        <w:t>.</w:t>
      </w:r>
    </w:p>
    <w:p w:rsidR="00BA1532" w:rsidRDefault="00BA1532" w:rsidP="00BA1532">
      <w:pPr>
        <w:jc w:val="both"/>
        <w:rPr>
          <w:color w:val="000000"/>
        </w:rPr>
      </w:pPr>
    </w:p>
    <w:p w:rsidR="00BA1532" w:rsidRPr="00447000" w:rsidRDefault="00BA1532" w:rsidP="00BA1532">
      <w:pPr>
        <w:jc w:val="both"/>
      </w:pPr>
      <w:r>
        <w:t xml:space="preserve">Zavedením zdanenia ITV sa predpokladá zvýšenie cien e-cigariet v priemere o 50 centov v roku 2025. V prípade nikotínových vrecúšok sa predpokladá nárast v cene o približne 1,70 eura. Zvýšenie ceny týchto </w:t>
      </w:r>
      <w:r w:rsidRPr="00447000">
        <w:t>výrobkov je prepočítané na základe priemernej ceny vyplývajúcej z údajov z </w:t>
      </w:r>
      <w:proofErr w:type="spellStart"/>
      <w:r w:rsidRPr="00447000">
        <w:t>eKasy</w:t>
      </w:r>
      <w:proofErr w:type="spellEnd"/>
      <w:r w:rsidRPr="00447000">
        <w:t xml:space="preserve"> za rok 2023. </w:t>
      </w:r>
      <w:r w:rsidRPr="00704E83">
        <w:t>Existuje pozitívne riziko z internetového predaja, ktorý nie je dostatočne podchytený v kvantifikácii z dôvodu chýbajúcich údajov o tomto segmente trhu.</w:t>
      </w:r>
    </w:p>
    <w:p w:rsidR="00BA1532" w:rsidRPr="00C552D4" w:rsidRDefault="00BA1532" w:rsidP="00BA1532">
      <w:pPr>
        <w:rPr>
          <w:b/>
        </w:rPr>
      </w:pPr>
      <w:r>
        <w:rPr>
          <w:b/>
        </w:rPr>
        <w:t>Tabakové výrobky a BTV</w:t>
      </w:r>
    </w:p>
    <w:p w:rsidR="00BA1532" w:rsidRDefault="00BA1532" w:rsidP="00BA1532"/>
    <w:p w:rsidR="00BA1532" w:rsidRDefault="00BA1532" w:rsidP="00BA1532">
      <w:r>
        <w:t>Návrh zákona upravuje sadzby spotrebnej dane z tabakových výrobkov k 1. februáru 2026 nasledovne:</w:t>
      </w:r>
    </w:p>
    <w:p w:rsidR="00BA1532" w:rsidRDefault="00BA1532" w:rsidP="00BA1532">
      <w:r>
        <w:t xml:space="preserve">- tabak      </w:t>
      </w:r>
      <w:r>
        <w:tab/>
      </w:r>
      <w:r>
        <w:tab/>
      </w:r>
      <w:r>
        <w:tab/>
      </w:r>
      <w:r>
        <w:tab/>
      </w:r>
      <w:r>
        <w:tab/>
        <w:t>177 eur/kg</w:t>
      </w:r>
    </w:p>
    <w:p w:rsidR="00BA1532" w:rsidRDefault="00BA1532" w:rsidP="00BA1532">
      <w:r>
        <w:t xml:space="preserve">- cigary, </w:t>
      </w:r>
      <w:proofErr w:type="spellStart"/>
      <w:r>
        <w:t>cigarky</w:t>
      </w:r>
      <w:proofErr w:type="spellEnd"/>
      <w:r>
        <w:t xml:space="preserve"> </w:t>
      </w:r>
      <w:r>
        <w:tab/>
      </w:r>
      <w:r>
        <w:tab/>
      </w:r>
      <w:r>
        <w:tab/>
      </w:r>
      <w:r>
        <w:tab/>
        <w:t>139 eur/kg</w:t>
      </w:r>
    </w:p>
    <w:p w:rsidR="00BA1532" w:rsidRDefault="00BA1532" w:rsidP="00BA1532">
      <w:r>
        <w:t xml:space="preserve">- cigarety: špecifická časť sadzby dane </w:t>
      </w:r>
      <w:r>
        <w:tab/>
        <w:t xml:space="preserve">  102,5 eura/1000 ks</w:t>
      </w:r>
    </w:p>
    <w:p w:rsidR="00BA1532" w:rsidRDefault="00BA1532" w:rsidP="00BA1532">
      <w:r>
        <w:tab/>
        <w:t xml:space="preserve">      percentuálna časť sadzby dane </w:t>
      </w:r>
      <w:r>
        <w:tab/>
        <w:t xml:space="preserve">  25 % z konečnej ceny</w:t>
      </w:r>
    </w:p>
    <w:p w:rsidR="00BA1532" w:rsidRDefault="00BA1532" w:rsidP="00BA1532">
      <w:r>
        <w:tab/>
        <w:t xml:space="preserve">      minimálna sadzba dane </w:t>
      </w:r>
      <w:r>
        <w:tab/>
      </w:r>
      <w:r>
        <w:tab/>
        <w:t xml:space="preserve">  166,2 eura/1000 ks</w:t>
      </w:r>
    </w:p>
    <w:p w:rsidR="00BA1532" w:rsidRDefault="00BA1532" w:rsidP="00BA1532">
      <w:r>
        <w:t xml:space="preserve">- BTV </w:t>
      </w:r>
      <w:r>
        <w:tab/>
      </w:r>
      <w:r>
        <w:tab/>
      </w:r>
      <w:r>
        <w:tab/>
      </w:r>
      <w:r>
        <w:tab/>
      </w:r>
      <w:r>
        <w:tab/>
      </w:r>
      <w:r>
        <w:tab/>
        <w:t xml:space="preserve">  238,1 eura/kg</w:t>
      </w:r>
    </w:p>
    <w:p w:rsidR="00BA1532" w:rsidRDefault="00BA1532" w:rsidP="00BA1532">
      <w:r>
        <w:lastRenderedPageBreak/>
        <w:t>Návrh zákona ďalej upravuje sadzby spotrebnej dane z tabakových výrobkov k 1. februáru 2028 nasledovne:</w:t>
      </w:r>
    </w:p>
    <w:p w:rsidR="00BA1532" w:rsidRDefault="00BA1532" w:rsidP="00BA1532">
      <w:r>
        <w:t xml:space="preserve">- sadzba dane z tabaku </w:t>
      </w:r>
      <w:r>
        <w:tab/>
      </w:r>
      <w:r>
        <w:tab/>
      </w:r>
      <w:r>
        <w:tab/>
        <w:t xml:space="preserve">  209,5 eura/kg</w:t>
      </w:r>
    </w:p>
    <w:p w:rsidR="00BA1532" w:rsidRDefault="00BA1532" w:rsidP="00BA1532">
      <w:r>
        <w:t>- cigarety: špecifická časť sadzby dane           113,5 eura/1000 ks</w:t>
      </w:r>
    </w:p>
    <w:p w:rsidR="00BA1532" w:rsidRDefault="00BA1532" w:rsidP="00BA1532">
      <w:r>
        <w:tab/>
        <w:t xml:space="preserve">      percentuálna časť sadzby dane </w:t>
      </w:r>
      <w:r>
        <w:tab/>
        <w:t xml:space="preserve">  25 % z konečnej ceny</w:t>
      </w:r>
    </w:p>
    <w:p w:rsidR="00BA1532" w:rsidRDefault="00BA1532" w:rsidP="00BA1532">
      <w:r>
        <w:tab/>
        <w:t xml:space="preserve">      minimálna sadzba dane </w:t>
      </w:r>
      <w:r>
        <w:tab/>
      </w:r>
      <w:r>
        <w:tab/>
        <w:t xml:space="preserve">  184 eur/1000 ks</w:t>
      </w:r>
    </w:p>
    <w:p w:rsidR="00BA1532" w:rsidRDefault="00BA1532" w:rsidP="00BA1532">
      <w:r>
        <w:t xml:space="preserve">- BTV </w:t>
      </w:r>
      <w:r>
        <w:tab/>
      </w:r>
      <w:r>
        <w:tab/>
      </w:r>
      <w:r>
        <w:tab/>
      </w:r>
      <w:r>
        <w:tab/>
      </w:r>
      <w:r>
        <w:tab/>
      </w:r>
      <w:r>
        <w:tab/>
        <w:t xml:space="preserve">  264,8 eura/kg</w:t>
      </w:r>
    </w:p>
    <w:p w:rsidR="00BA1532" w:rsidRPr="00C552D4" w:rsidRDefault="00BA1532" w:rsidP="00BA1532"/>
    <w:p w:rsidR="00BA1532" w:rsidRDefault="00BA1532" w:rsidP="00BA1532">
      <w:pPr>
        <w:jc w:val="both"/>
        <w:rPr>
          <w:color w:val="000000" w:themeColor="text1"/>
        </w:rPr>
      </w:pPr>
      <w:r w:rsidRPr="00593F01">
        <w:t xml:space="preserve">Základom dane pri </w:t>
      </w:r>
      <w:r>
        <w:t>BTV, ktorým je výrobok s obsahom tabaku, ktorý sa nespotrebúva počas procesu horenia a ktorý je možné použiť na inhaláciu bez horenia prostredníctvom zahrievacieho zariadenia</w:t>
      </w:r>
      <w:r w:rsidRPr="00593F01">
        <w:t xml:space="preserve"> je hmotnosť tabaku v kilogramoch. </w:t>
      </w:r>
      <w:r>
        <w:t xml:space="preserve">Základom dane pri BTV, ktorým je žuvací a šnupavý tabak je hmotnosť tabaku vyjadrená v gramoch. </w:t>
      </w:r>
      <w:r w:rsidRPr="00593F01">
        <w:t xml:space="preserve">Daň sa vypočíta ako súčin základu dane a príslušnej </w:t>
      </w:r>
      <w:r>
        <w:t>sadzby dane.</w:t>
      </w:r>
    </w:p>
    <w:p w:rsidR="00BA1532" w:rsidRDefault="00BA1532" w:rsidP="00BA1532">
      <w:pPr>
        <w:jc w:val="both"/>
      </w:pPr>
      <w:r w:rsidRPr="00C552D4">
        <w:rPr>
          <w:color w:val="000000" w:themeColor="text1"/>
        </w:rPr>
        <w:t xml:space="preserve">Návrh viacročného daňového kalendára </w:t>
      </w:r>
      <w:r>
        <w:rPr>
          <w:color w:val="000000" w:themeColor="text1"/>
        </w:rPr>
        <w:t>pre tabakové výrobky (Tab. 1</w:t>
      </w:r>
      <w:r w:rsidRPr="00C552D4">
        <w:rPr>
          <w:color w:val="000000" w:themeColor="text1"/>
        </w:rPr>
        <w:t xml:space="preserve">) je už tretím kalendárom (po 2017-19 a 2021-23), ktorý </w:t>
      </w:r>
      <w:r w:rsidRPr="00C552D4">
        <w:t>zabezpečí predvídateľnosť daňovej legislatívy</w:t>
      </w:r>
      <w:r>
        <w:t>, najmä v oblasti spotrebných daní,</w:t>
      </w:r>
      <w:r w:rsidRPr="00C552D4">
        <w:t xml:space="preserve"> pre dotknuté podnikateľské prostredie. To znižuje dodatočnú administratívnu záťaž pre dotknuté</w:t>
      </w:r>
      <w:r>
        <w:t xml:space="preserve"> podnikateľské</w:t>
      </w:r>
      <w:r w:rsidRPr="00C552D4">
        <w:t xml:space="preserve"> </w:t>
      </w:r>
      <w:r>
        <w:t>subjekty</w:t>
      </w:r>
      <w:r w:rsidRPr="00C552D4">
        <w:t xml:space="preserve"> a prispieva k lepšiemu prijatiu zo strany podnikateľského sektora.</w:t>
      </w:r>
      <w:r>
        <w:t xml:space="preserve"> Navrhujú sa</w:t>
      </w:r>
      <w:r w:rsidRPr="00C552D4">
        <w:t xml:space="preserve"> </w:t>
      </w:r>
      <w:r w:rsidRPr="004760C2">
        <w:t>nasledovné doby dopredaja tabakových výrobkov: cigarety 2 mesiace, BTV 3 mesiace, tabak 6 mesiacov, cigary a </w:t>
      </w:r>
      <w:proofErr w:type="spellStart"/>
      <w:r w:rsidRPr="004760C2">
        <w:t>cigarky</w:t>
      </w:r>
      <w:proofErr w:type="spellEnd"/>
      <w:r w:rsidRPr="004760C2">
        <w:t xml:space="preserve"> 22 mesiacov.</w:t>
      </w:r>
    </w:p>
    <w:p w:rsidR="00BA1532" w:rsidRDefault="00BA1532" w:rsidP="00BA1532">
      <w:pPr>
        <w:jc w:val="center"/>
      </w:pPr>
      <w:r>
        <w:rPr>
          <w:rFonts w:ascii="Arial Narrow" w:hAnsi="Arial Narrow" w:cs="Calibri"/>
          <w:b/>
          <w:bCs/>
          <w:color w:val="2E74B5"/>
        </w:rPr>
        <w:t>Tab. 1</w:t>
      </w:r>
      <w:r w:rsidRPr="00886C83">
        <w:rPr>
          <w:rFonts w:ascii="Arial Narrow" w:hAnsi="Arial Narrow" w:cs="Calibri"/>
          <w:b/>
          <w:bCs/>
          <w:color w:val="2E74B5"/>
        </w:rPr>
        <w:t xml:space="preserve">: </w:t>
      </w:r>
      <w:r>
        <w:rPr>
          <w:rFonts w:ascii="Arial Narrow" w:hAnsi="Arial Narrow" w:cs="Calibri"/>
          <w:b/>
          <w:bCs/>
          <w:color w:val="2E74B5"/>
        </w:rPr>
        <w:t>Návrh sadzieb spotrebnej dane</w:t>
      </w:r>
      <w:r w:rsidRPr="00886C83">
        <w:rPr>
          <w:rFonts w:ascii="Arial Narrow" w:hAnsi="Arial Narrow" w:cs="Calibri"/>
          <w:b/>
          <w:bCs/>
          <w:color w:val="2E74B5"/>
        </w:rPr>
        <w:t xml:space="preserve"> z tabakových výrobkov</w:t>
      </w:r>
    </w:p>
    <w:tbl>
      <w:tblPr>
        <w:tblW w:w="8224" w:type="dxa"/>
        <w:jc w:val="center"/>
        <w:tblLayout w:type="fixed"/>
        <w:tblCellMar>
          <w:left w:w="70" w:type="dxa"/>
          <w:right w:w="70" w:type="dxa"/>
        </w:tblCellMar>
        <w:tblLook w:val="04A0" w:firstRow="1" w:lastRow="0" w:firstColumn="1" w:lastColumn="0" w:noHBand="0" w:noVBand="1"/>
      </w:tblPr>
      <w:tblGrid>
        <w:gridCol w:w="2504"/>
        <w:gridCol w:w="1470"/>
        <w:gridCol w:w="728"/>
        <w:gridCol w:w="122"/>
        <w:gridCol w:w="728"/>
        <w:gridCol w:w="122"/>
        <w:gridCol w:w="728"/>
        <w:gridCol w:w="122"/>
        <w:gridCol w:w="728"/>
        <w:gridCol w:w="122"/>
        <w:gridCol w:w="728"/>
        <w:gridCol w:w="122"/>
      </w:tblGrid>
      <w:tr w:rsidR="00BA1532" w:rsidRPr="004653E5" w:rsidTr="005277C1">
        <w:trPr>
          <w:trHeight w:hRule="exact" w:val="567"/>
          <w:jc w:val="center"/>
        </w:trPr>
        <w:tc>
          <w:tcPr>
            <w:tcW w:w="2504" w:type="dxa"/>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rPr>
                <w:rFonts w:ascii="Arial Narrow" w:hAnsi="Arial Narrow" w:cs="Calibri"/>
                <w:b/>
                <w:bCs/>
                <w:color w:val="000000"/>
                <w:sz w:val="20"/>
                <w:szCs w:val="20"/>
              </w:rPr>
            </w:pPr>
            <w:r w:rsidRPr="004653E5">
              <w:rPr>
                <w:rFonts w:ascii="Arial Narrow" w:hAnsi="Arial Narrow" w:cs="Calibri"/>
                <w:b/>
                <w:bCs/>
                <w:color w:val="000000"/>
                <w:sz w:val="20"/>
                <w:szCs w:val="20"/>
              </w:rPr>
              <w:t>Sadzby SD</w:t>
            </w:r>
          </w:p>
        </w:tc>
        <w:tc>
          <w:tcPr>
            <w:tcW w:w="1470" w:type="dxa"/>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Pr>
                <w:rFonts w:ascii="Arial Narrow" w:hAnsi="Arial Narrow" w:cs="Calibri"/>
                <w:b/>
                <w:bCs/>
                <w:color w:val="000000"/>
                <w:sz w:val="20"/>
                <w:szCs w:val="20"/>
              </w:rPr>
              <w:t>2024</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sidRPr="00F06D2A">
              <w:rPr>
                <w:rFonts w:ascii="Arial Narrow" w:hAnsi="Arial Narrow" w:cs="Calibri"/>
                <w:b/>
                <w:bCs/>
                <w:sz w:val="20"/>
                <w:szCs w:val="20"/>
              </w:rPr>
              <w:t>2025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sidRPr="00886C83">
              <w:rPr>
                <w:rFonts w:ascii="Arial Narrow" w:hAnsi="Arial Narrow" w:cs="Calibri"/>
                <w:b/>
                <w:bCs/>
                <w:color w:val="2E74B5"/>
                <w:sz w:val="20"/>
                <w:szCs w:val="20"/>
              </w:rPr>
              <w:t>2026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sidRPr="00F06D2A">
              <w:rPr>
                <w:rFonts w:ascii="Arial Narrow" w:hAnsi="Arial Narrow" w:cs="Calibri"/>
                <w:b/>
                <w:bCs/>
                <w:sz w:val="20"/>
                <w:szCs w:val="20"/>
              </w:rPr>
              <w:t>2027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sidRPr="00886C83">
              <w:rPr>
                <w:rFonts w:ascii="Arial Narrow" w:hAnsi="Arial Narrow" w:cs="Calibri"/>
                <w:b/>
                <w:bCs/>
                <w:color w:val="2E74B5"/>
                <w:sz w:val="20"/>
                <w:szCs w:val="20"/>
              </w:rPr>
              <w:t>2028 návrh</w:t>
            </w:r>
          </w:p>
        </w:tc>
      </w:tr>
      <w:tr w:rsidR="00BA1532" w:rsidRPr="004653E5" w:rsidTr="005277C1">
        <w:trPr>
          <w:trHeight w:hRule="exact" w:val="284"/>
          <w:jc w:val="center"/>
        </w:trPr>
        <w:tc>
          <w:tcPr>
            <w:tcW w:w="2504" w:type="dxa"/>
            <w:tcBorders>
              <w:top w:val="single" w:sz="4" w:space="0" w:color="auto"/>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Cigarety - minimálna sadzba</w:t>
            </w:r>
          </w:p>
        </w:tc>
        <w:tc>
          <w:tcPr>
            <w:tcW w:w="1470" w:type="dxa"/>
            <w:tcBorders>
              <w:top w:val="single" w:sz="4" w:space="0" w:color="auto"/>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eur/1000 ks</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148,0</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14</w:t>
            </w:r>
            <w:r>
              <w:rPr>
                <w:rFonts w:ascii="Arial Narrow" w:hAnsi="Arial Narrow" w:cs="Calibri"/>
                <w:color w:val="000000"/>
                <w:sz w:val="20"/>
                <w:szCs w:val="20"/>
              </w:rPr>
              <w:t>8,0</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w:t>
            </w:r>
            <w:r>
              <w:rPr>
                <w:rFonts w:ascii="Arial Narrow" w:hAnsi="Arial Narrow" w:cs="Calibri"/>
                <w:color w:val="000000"/>
                <w:sz w:val="20"/>
                <w:szCs w:val="20"/>
              </w:rPr>
              <w:t>66,2</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w:t>
            </w:r>
            <w:r>
              <w:rPr>
                <w:rFonts w:ascii="Arial Narrow" w:hAnsi="Arial Narrow" w:cs="Calibri"/>
                <w:color w:val="000000"/>
                <w:sz w:val="20"/>
                <w:szCs w:val="20"/>
              </w:rPr>
              <w:t>66,2</w:t>
            </w:r>
          </w:p>
        </w:tc>
        <w:tc>
          <w:tcPr>
            <w:tcW w:w="850" w:type="dxa"/>
            <w:gridSpan w:val="2"/>
            <w:tcBorders>
              <w:top w:val="single" w:sz="4" w:space="0" w:color="auto"/>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184,0</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Cigarety - k. s. špecifická časť</w:t>
            </w:r>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eur/1000 ks</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91,3</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91,</w:t>
            </w:r>
            <w:r>
              <w:rPr>
                <w:rFonts w:ascii="Arial Narrow" w:hAnsi="Arial Narrow" w:cs="Calibri"/>
                <w:color w:val="000000"/>
                <w:sz w:val="20"/>
                <w:szCs w:val="20"/>
              </w:rPr>
              <w:t>3</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102,5</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102,</w:t>
            </w:r>
            <w:r>
              <w:rPr>
                <w:rFonts w:ascii="Arial Narrow" w:hAnsi="Arial Narrow" w:cs="Calibri"/>
                <w:color w:val="000000"/>
                <w:sz w:val="20"/>
                <w:szCs w:val="20"/>
              </w:rPr>
              <w:t>5</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113,5</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xml:space="preserve">Cigarety - k. s. ad </w:t>
            </w:r>
            <w:proofErr w:type="spellStart"/>
            <w:r w:rsidRPr="004653E5">
              <w:rPr>
                <w:rFonts w:ascii="Arial Narrow" w:hAnsi="Arial Narrow" w:cs="Calibri"/>
                <w:color w:val="000000"/>
                <w:sz w:val="20"/>
                <w:szCs w:val="20"/>
              </w:rPr>
              <w:t>valorem</w:t>
            </w:r>
            <w:proofErr w:type="spellEnd"/>
          </w:p>
        </w:tc>
        <w:tc>
          <w:tcPr>
            <w:tcW w:w="1470" w:type="dxa"/>
            <w:tcBorders>
              <w:top w:val="nil"/>
              <w:left w:val="nil"/>
              <w:bottom w:val="nil"/>
              <w:right w:val="nil"/>
            </w:tcBorders>
            <w:shd w:val="clear" w:color="auto" w:fill="auto"/>
            <w:noWrap/>
            <w:vAlign w:val="bottom"/>
            <w:hideMark/>
          </w:tcPr>
          <w:p w:rsidR="00BA1532" w:rsidRPr="001F3BC4" w:rsidRDefault="00BA1532" w:rsidP="005277C1">
            <w:pPr>
              <w:rPr>
                <w:rFonts w:ascii="Arial Narrow" w:hAnsi="Arial Narrow" w:cs="Calibri"/>
                <w:color w:val="000000"/>
                <w:sz w:val="18"/>
                <w:szCs w:val="18"/>
              </w:rPr>
            </w:pPr>
            <w:r w:rsidRPr="001F3BC4">
              <w:rPr>
                <w:rFonts w:ascii="Arial Narrow" w:hAnsi="Arial Narrow" w:cs="Calibri"/>
                <w:color w:val="000000"/>
                <w:sz w:val="18"/>
                <w:szCs w:val="18"/>
              </w:rPr>
              <w:t>% z konečnej ceny</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2</w:t>
            </w:r>
            <w:r>
              <w:rPr>
                <w:rFonts w:ascii="Arial Narrow" w:hAnsi="Arial Narrow" w:cs="Calibri"/>
                <w:color w:val="000000"/>
                <w:sz w:val="20"/>
                <w:szCs w:val="20"/>
              </w:rPr>
              <w:t>5</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25</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25</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25</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25</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xml:space="preserve">Cigary, </w:t>
            </w:r>
            <w:proofErr w:type="spellStart"/>
            <w:r w:rsidRPr="004653E5">
              <w:rPr>
                <w:rFonts w:ascii="Arial Narrow" w:hAnsi="Arial Narrow" w:cs="Calibri"/>
                <w:color w:val="000000"/>
                <w:sz w:val="20"/>
                <w:szCs w:val="20"/>
              </w:rPr>
              <w:t>cigarky</w:t>
            </w:r>
            <w:proofErr w:type="spellEnd"/>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eur/kg</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89,3</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89,3</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139,0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w:t>
            </w:r>
            <w:r>
              <w:rPr>
                <w:rFonts w:ascii="Arial Narrow" w:hAnsi="Arial Narrow" w:cs="Calibri"/>
                <w:color w:val="000000"/>
                <w:sz w:val="20"/>
                <w:szCs w:val="20"/>
              </w:rPr>
              <w:t>39,0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139,0</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Tabak</w:t>
            </w:r>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eur/kg</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w:t>
            </w:r>
            <w:r>
              <w:rPr>
                <w:rFonts w:ascii="Arial Narrow" w:hAnsi="Arial Narrow" w:cs="Calibri"/>
                <w:color w:val="000000"/>
                <w:sz w:val="20"/>
                <w:szCs w:val="20"/>
              </w:rPr>
              <w:t>39,0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w:t>
            </w:r>
            <w:r>
              <w:rPr>
                <w:rFonts w:ascii="Arial Narrow" w:hAnsi="Arial Narrow" w:cs="Calibri"/>
                <w:color w:val="000000"/>
                <w:sz w:val="20"/>
                <w:szCs w:val="20"/>
              </w:rPr>
              <w:t>39,0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w:t>
            </w:r>
            <w:r>
              <w:rPr>
                <w:rFonts w:ascii="Arial Narrow" w:hAnsi="Arial Narrow" w:cs="Calibri"/>
                <w:color w:val="000000"/>
                <w:sz w:val="20"/>
                <w:szCs w:val="20"/>
              </w:rPr>
              <w:t>77,0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1</w:t>
            </w:r>
            <w:r>
              <w:rPr>
                <w:rFonts w:ascii="Arial Narrow" w:hAnsi="Arial Narrow" w:cs="Calibri"/>
                <w:color w:val="000000"/>
                <w:sz w:val="20"/>
                <w:szCs w:val="20"/>
              </w:rPr>
              <w:t>77,0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209,5</w:t>
            </w:r>
          </w:p>
        </w:tc>
      </w:tr>
      <w:tr w:rsidR="00BA1532" w:rsidRPr="004653E5" w:rsidTr="005277C1">
        <w:trPr>
          <w:trHeight w:hRule="exact" w:val="284"/>
          <w:jc w:val="center"/>
        </w:trPr>
        <w:tc>
          <w:tcPr>
            <w:tcW w:w="2504" w:type="dxa"/>
            <w:tcBorders>
              <w:top w:val="nil"/>
              <w:left w:val="nil"/>
              <w:bottom w:val="single" w:sz="4" w:space="0" w:color="auto"/>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BTV</w:t>
            </w:r>
          </w:p>
        </w:tc>
        <w:tc>
          <w:tcPr>
            <w:tcW w:w="1470" w:type="dxa"/>
            <w:tcBorders>
              <w:top w:val="nil"/>
              <w:left w:val="nil"/>
              <w:bottom w:val="single" w:sz="4" w:space="0" w:color="auto"/>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eur/kg</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211,3</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2</w:t>
            </w:r>
            <w:r>
              <w:rPr>
                <w:rFonts w:ascii="Arial Narrow" w:hAnsi="Arial Narrow" w:cs="Calibri"/>
                <w:color w:val="000000"/>
                <w:sz w:val="20"/>
                <w:szCs w:val="20"/>
              </w:rPr>
              <w:t>11,3</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2</w:t>
            </w:r>
            <w:r>
              <w:rPr>
                <w:rFonts w:ascii="Arial Narrow" w:hAnsi="Arial Narrow" w:cs="Calibri"/>
                <w:color w:val="000000"/>
                <w:sz w:val="20"/>
                <w:szCs w:val="20"/>
              </w:rPr>
              <w:t>38,1</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2</w:t>
            </w:r>
            <w:r>
              <w:rPr>
                <w:rFonts w:ascii="Arial Narrow" w:hAnsi="Arial Narrow" w:cs="Calibri"/>
                <w:color w:val="000000"/>
                <w:sz w:val="20"/>
                <w:szCs w:val="20"/>
              </w:rPr>
              <w:t>38,1</w:t>
            </w:r>
          </w:p>
        </w:tc>
        <w:tc>
          <w:tcPr>
            <w:tcW w:w="850" w:type="dxa"/>
            <w:gridSpan w:val="2"/>
            <w:tcBorders>
              <w:top w:val="nil"/>
              <w:left w:val="nil"/>
              <w:bottom w:val="single" w:sz="4" w:space="0" w:color="auto"/>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264,8</w:t>
            </w:r>
          </w:p>
        </w:tc>
      </w:tr>
      <w:tr w:rsidR="00BA1532" w:rsidRPr="004653E5" w:rsidTr="005277C1">
        <w:trPr>
          <w:trHeight w:hRule="exact" w:val="567"/>
          <w:jc w:val="center"/>
        </w:trPr>
        <w:tc>
          <w:tcPr>
            <w:tcW w:w="2504" w:type="dxa"/>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rPr>
                <w:rFonts w:ascii="Arial Narrow" w:hAnsi="Arial Narrow" w:cs="Calibri"/>
                <w:b/>
                <w:bCs/>
                <w:color w:val="000000"/>
                <w:sz w:val="20"/>
                <w:szCs w:val="20"/>
              </w:rPr>
            </w:pPr>
            <w:r w:rsidRPr="004653E5">
              <w:rPr>
                <w:rFonts w:ascii="Arial Narrow" w:hAnsi="Arial Narrow" w:cs="Calibri"/>
                <w:b/>
                <w:bCs/>
                <w:color w:val="000000"/>
                <w:sz w:val="20"/>
                <w:szCs w:val="20"/>
              </w:rPr>
              <w:t>Rasty sadzieb v %</w:t>
            </w:r>
          </w:p>
        </w:tc>
        <w:tc>
          <w:tcPr>
            <w:tcW w:w="1470" w:type="dxa"/>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Pr>
                <w:rFonts w:ascii="Arial Narrow" w:hAnsi="Arial Narrow" w:cs="Calibri"/>
                <w:b/>
                <w:bCs/>
                <w:color w:val="000000"/>
                <w:sz w:val="20"/>
                <w:szCs w:val="20"/>
              </w:rPr>
              <w:t>2024</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sidRPr="00F06D2A">
              <w:rPr>
                <w:rFonts w:ascii="Arial Narrow" w:hAnsi="Arial Narrow" w:cs="Calibri"/>
                <w:b/>
                <w:bCs/>
                <w:sz w:val="20"/>
                <w:szCs w:val="20"/>
              </w:rPr>
              <w:t>2025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8E6A16" w:rsidRDefault="00BA1532" w:rsidP="005277C1">
            <w:pPr>
              <w:jc w:val="center"/>
              <w:rPr>
                <w:rFonts w:ascii="Arial Narrow" w:hAnsi="Arial Narrow" w:cs="Calibri"/>
                <w:b/>
                <w:bCs/>
                <w:sz w:val="20"/>
                <w:szCs w:val="20"/>
              </w:rPr>
            </w:pPr>
            <w:r w:rsidRPr="008E6A16">
              <w:rPr>
                <w:rFonts w:ascii="Arial Narrow" w:hAnsi="Arial Narrow" w:cs="Calibri"/>
                <w:b/>
                <w:bCs/>
                <w:sz w:val="20"/>
                <w:szCs w:val="20"/>
              </w:rPr>
              <w:t>2026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sidRPr="00F06D2A">
              <w:rPr>
                <w:rFonts w:ascii="Arial Narrow" w:hAnsi="Arial Narrow" w:cs="Calibri"/>
                <w:b/>
                <w:bCs/>
                <w:sz w:val="20"/>
                <w:szCs w:val="20"/>
              </w:rPr>
              <w:t>2027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8E6A16" w:rsidRDefault="00BA1532" w:rsidP="005277C1">
            <w:pPr>
              <w:jc w:val="center"/>
              <w:rPr>
                <w:rFonts w:ascii="Arial Narrow" w:hAnsi="Arial Narrow" w:cs="Calibri"/>
                <w:b/>
                <w:bCs/>
                <w:sz w:val="20"/>
                <w:szCs w:val="20"/>
              </w:rPr>
            </w:pPr>
            <w:r w:rsidRPr="008E6A16">
              <w:rPr>
                <w:rFonts w:ascii="Arial Narrow" w:hAnsi="Arial Narrow" w:cs="Calibri"/>
                <w:b/>
                <w:bCs/>
                <w:sz w:val="20"/>
                <w:szCs w:val="20"/>
              </w:rPr>
              <w:t>2028 návrh</w:t>
            </w:r>
          </w:p>
        </w:tc>
      </w:tr>
      <w:tr w:rsidR="00BA1532" w:rsidRPr="004653E5" w:rsidTr="005277C1">
        <w:trPr>
          <w:trHeight w:hRule="exact" w:val="284"/>
          <w:jc w:val="center"/>
        </w:trPr>
        <w:tc>
          <w:tcPr>
            <w:tcW w:w="2504" w:type="dxa"/>
            <w:tcBorders>
              <w:top w:val="single" w:sz="4" w:space="0" w:color="auto"/>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Cigarety - minimálna sadzba</w:t>
            </w:r>
          </w:p>
        </w:tc>
        <w:tc>
          <w:tcPr>
            <w:tcW w:w="1470" w:type="dxa"/>
            <w:tcBorders>
              <w:top w:val="single" w:sz="4" w:space="0" w:color="auto"/>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12,0</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12,3</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single" w:sz="4" w:space="0" w:color="auto"/>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10,7</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Cigarety - k. s. špecifická časť</w:t>
            </w:r>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7,9</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12,3</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10,7</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xml:space="preserve">Cigarety - k. s. ad </w:t>
            </w:r>
            <w:proofErr w:type="spellStart"/>
            <w:r w:rsidRPr="004653E5">
              <w:rPr>
                <w:rFonts w:ascii="Arial Narrow" w:hAnsi="Arial Narrow" w:cs="Calibri"/>
                <w:color w:val="000000"/>
                <w:sz w:val="20"/>
                <w:szCs w:val="20"/>
              </w:rPr>
              <w:t>valorem</w:t>
            </w:r>
            <w:proofErr w:type="spellEnd"/>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8,7</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xml:space="preserve">Cigary, </w:t>
            </w:r>
            <w:proofErr w:type="spellStart"/>
            <w:r w:rsidRPr="004653E5">
              <w:rPr>
                <w:rFonts w:ascii="Arial Narrow" w:hAnsi="Arial Narrow" w:cs="Calibri"/>
                <w:color w:val="000000"/>
                <w:sz w:val="20"/>
                <w:szCs w:val="20"/>
              </w:rPr>
              <w:t>cigarky</w:t>
            </w:r>
            <w:proofErr w:type="spellEnd"/>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55,7</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Tabak</w:t>
            </w:r>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37,2</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27,3</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18,4</w:t>
            </w:r>
          </w:p>
        </w:tc>
      </w:tr>
      <w:tr w:rsidR="00BA1532" w:rsidRPr="004653E5" w:rsidTr="005277C1">
        <w:trPr>
          <w:trHeight w:hRule="exact" w:val="284"/>
          <w:jc w:val="center"/>
        </w:trPr>
        <w:tc>
          <w:tcPr>
            <w:tcW w:w="2504" w:type="dxa"/>
            <w:tcBorders>
              <w:top w:val="nil"/>
              <w:left w:val="nil"/>
              <w:bottom w:val="single" w:sz="4" w:space="0" w:color="auto"/>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BTV</w:t>
            </w:r>
          </w:p>
        </w:tc>
        <w:tc>
          <w:tcPr>
            <w:tcW w:w="1470" w:type="dxa"/>
            <w:tcBorders>
              <w:top w:val="nil"/>
              <w:left w:val="nil"/>
              <w:bottom w:val="single" w:sz="4" w:space="0" w:color="auto"/>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12,5</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12,7</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single" w:sz="4" w:space="0" w:color="auto"/>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11,2</w:t>
            </w:r>
          </w:p>
        </w:tc>
      </w:tr>
      <w:tr w:rsidR="00BA1532" w:rsidRPr="004653E5" w:rsidTr="005277C1">
        <w:trPr>
          <w:trHeight w:hRule="exact" w:val="567"/>
          <w:jc w:val="center"/>
        </w:trPr>
        <w:tc>
          <w:tcPr>
            <w:tcW w:w="2504" w:type="dxa"/>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rPr>
                <w:rFonts w:ascii="Arial Narrow" w:hAnsi="Arial Narrow" w:cs="Calibri"/>
                <w:b/>
                <w:bCs/>
                <w:color w:val="000000"/>
                <w:sz w:val="20"/>
                <w:szCs w:val="20"/>
              </w:rPr>
            </w:pPr>
            <w:r w:rsidRPr="004653E5">
              <w:rPr>
                <w:rFonts w:ascii="Arial Narrow" w:hAnsi="Arial Narrow" w:cs="Calibri"/>
                <w:b/>
                <w:bCs/>
                <w:color w:val="000000"/>
                <w:sz w:val="20"/>
                <w:szCs w:val="20"/>
              </w:rPr>
              <w:t>Zmeny sadzieb v eur</w:t>
            </w:r>
          </w:p>
        </w:tc>
        <w:tc>
          <w:tcPr>
            <w:tcW w:w="1470" w:type="dxa"/>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Pr>
                <w:rFonts w:ascii="Arial Narrow" w:hAnsi="Arial Narrow" w:cs="Calibri"/>
                <w:b/>
                <w:bCs/>
                <w:color w:val="000000"/>
                <w:sz w:val="20"/>
                <w:szCs w:val="20"/>
              </w:rPr>
              <w:t>2024</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sidRPr="00F06D2A">
              <w:rPr>
                <w:rFonts w:ascii="Arial Narrow" w:hAnsi="Arial Narrow" w:cs="Calibri"/>
                <w:b/>
                <w:bCs/>
                <w:sz w:val="20"/>
                <w:szCs w:val="20"/>
              </w:rPr>
              <w:t>2025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8E6A16" w:rsidRDefault="00BA1532" w:rsidP="005277C1">
            <w:pPr>
              <w:jc w:val="center"/>
              <w:rPr>
                <w:rFonts w:ascii="Arial Narrow" w:hAnsi="Arial Narrow" w:cs="Calibri"/>
                <w:b/>
                <w:bCs/>
                <w:sz w:val="20"/>
                <w:szCs w:val="20"/>
              </w:rPr>
            </w:pPr>
            <w:r w:rsidRPr="008E6A16">
              <w:rPr>
                <w:rFonts w:ascii="Arial Narrow" w:hAnsi="Arial Narrow" w:cs="Calibri"/>
                <w:b/>
                <w:bCs/>
                <w:sz w:val="20"/>
                <w:szCs w:val="20"/>
              </w:rPr>
              <w:t>2026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4653E5" w:rsidRDefault="00BA1532" w:rsidP="005277C1">
            <w:pPr>
              <w:jc w:val="center"/>
              <w:rPr>
                <w:rFonts w:ascii="Arial Narrow" w:hAnsi="Arial Narrow" w:cs="Calibri"/>
                <w:b/>
                <w:bCs/>
                <w:color w:val="000000"/>
                <w:sz w:val="20"/>
                <w:szCs w:val="20"/>
              </w:rPr>
            </w:pPr>
            <w:r w:rsidRPr="00F06D2A">
              <w:rPr>
                <w:rFonts w:ascii="Arial Narrow" w:hAnsi="Arial Narrow" w:cs="Calibri"/>
                <w:b/>
                <w:bCs/>
                <w:sz w:val="20"/>
                <w:szCs w:val="20"/>
              </w:rPr>
              <w:t>2027 návrh</w:t>
            </w:r>
          </w:p>
        </w:tc>
        <w:tc>
          <w:tcPr>
            <w:tcW w:w="850" w:type="dxa"/>
            <w:gridSpan w:val="2"/>
            <w:tcBorders>
              <w:top w:val="single" w:sz="4" w:space="0" w:color="auto"/>
              <w:left w:val="nil"/>
              <w:bottom w:val="single" w:sz="4" w:space="0" w:color="auto"/>
              <w:right w:val="nil"/>
            </w:tcBorders>
            <w:shd w:val="clear" w:color="000000" w:fill="D9D9D9"/>
            <w:noWrap/>
            <w:vAlign w:val="bottom"/>
            <w:hideMark/>
          </w:tcPr>
          <w:p w:rsidR="00BA1532" w:rsidRPr="008E6A16" w:rsidRDefault="00BA1532" w:rsidP="005277C1">
            <w:pPr>
              <w:jc w:val="center"/>
              <w:rPr>
                <w:rFonts w:ascii="Arial Narrow" w:hAnsi="Arial Narrow" w:cs="Calibri"/>
                <w:b/>
                <w:bCs/>
                <w:sz w:val="20"/>
                <w:szCs w:val="20"/>
              </w:rPr>
            </w:pPr>
            <w:r w:rsidRPr="008E6A16">
              <w:rPr>
                <w:rFonts w:ascii="Arial Narrow" w:hAnsi="Arial Narrow" w:cs="Calibri"/>
                <w:b/>
                <w:bCs/>
                <w:sz w:val="20"/>
                <w:szCs w:val="20"/>
              </w:rPr>
              <w:t>2028 návrh</w:t>
            </w:r>
          </w:p>
        </w:tc>
      </w:tr>
      <w:tr w:rsidR="00BA1532" w:rsidRPr="004653E5" w:rsidTr="005277C1">
        <w:trPr>
          <w:trHeight w:hRule="exact" w:val="284"/>
          <w:jc w:val="center"/>
        </w:trPr>
        <w:tc>
          <w:tcPr>
            <w:tcW w:w="2504" w:type="dxa"/>
            <w:tcBorders>
              <w:top w:val="single" w:sz="4" w:space="0" w:color="auto"/>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Cigarety - minimálna sadzba</w:t>
            </w:r>
          </w:p>
        </w:tc>
        <w:tc>
          <w:tcPr>
            <w:tcW w:w="1470" w:type="dxa"/>
            <w:tcBorders>
              <w:top w:val="single" w:sz="4" w:space="0" w:color="auto"/>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15,9</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18,2</w:t>
            </w:r>
          </w:p>
        </w:tc>
        <w:tc>
          <w:tcPr>
            <w:tcW w:w="850" w:type="dxa"/>
            <w:gridSpan w:val="2"/>
            <w:tcBorders>
              <w:top w:val="single" w:sz="4" w:space="0" w:color="auto"/>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single" w:sz="4" w:space="0" w:color="auto"/>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17,8</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Cigarety - k. s. špecifická časť</w:t>
            </w:r>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6,7</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11,2</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11,0</w:t>
            </w:r>
          </w:p>
        </w:tc>
      </w:tr>
      <w:tr w:rsidR="00BA1532" w:rsidRPr="004653E5" w:rsidTr="005277C1">
        <w:trPr>
          <w:gridAfter w:val="1"/>
          <w:wAfter w:w="122" w:type="dxa"/>
          <w:trHeight w:hRule="exact" w:val="284"/>
          <w:jc w:val="center"/>
        </w:trPr>
        <w:tc>
          <w:tcPr>
            <w:tcW w:w="3974" w:type="dxa"/>
            <w:gridSpan w:val="2"/>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xml:space="preserve">Cigarety - k. s. ad </w:t>
            </w:r>
            <w:proofErr w:type="spellStart"/>
            <w:r w:rsidRPr="004653E5">
              <w:rPr>
                <w:rFonts w:ascii="Arial Narrow" w:hAnsi="Arial Narrow" w:cs="Calibri"/>
                <w:color w:val="000000"/>
                <w:sz w:val="20"/>
                <w:szCs w:val="20"/>
              </w:rPr>
              <w:t>valorem</w:t>
            </w:r>
            <w:proofErr w:type="spellEnd"/>
            <w:r w:rsidRPr="004653E5">
              <w:rPr>
                <w:rFonts w:ascii="Arial Narrow" w:hAnsi="Arial Narrow" w:cs="Calibri"/>
                <w:color w:val="000000"/>
                <w:sz w:val="20"/>
                <w:szCs w:val="20"/>
              </w:rPr>
              <w:t xml:space="preserve"> (v </w:t>
            </w:r>
            <w:proofErr w:type="spellStart"/>
            <w:r w:rsidRPr="004653E5">
              <w:rPr>
                <w:rFonts w:ascii="Arial Narrow" w:hAnsi="Arial Narrow" w:cs="Calibri"/>
                <w:color w:val="000000"/>
                <w:sz w:val="20"/>
                <w:szCs w:val="20"/>
              </w:rPr>
              <w:t>p.b</w:t>
            </w:r>
            <w:proofErr w:type="spellEnd"/>
            <w:r w:rsidRPr="004653E5">
              <w:rPr>
                <w:rFonts w:ascii="Arial Narrow" w:hAnsi="Arial Narrow" w:cs="Calibri"/>
                <w:color w:val="000000"/>
                <w:sz w:val="20"/>
                <w:szCs w:val="20"/>
              </w:rPr>
              <w:t>.)</w:t>
            </w:r>
          </w:p>
        </w:tc>
        <w:tc>
          <w:tcPr>
            <w:tcW w:w="728" w:type="dxa"/>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 xml:space="preserve">   2</w:t>
            </w:r>
            <w:r w:rsidRPr="004653E5">
              <w:rPr>
                <w:rFonts w:ascii="Arial Narrow" w:hAnsi="Arial Narrow" w:cs="Calibri"/>
                <w:color w:val="000000"/>
                <w:sz w:val="20"/>
                <w:szCs w:val="20"/>
              </w:rPr>
              <w:t>,0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 xml:space="preserve">     0</w:t>
            </w:r>
            <w:r w:rsidRPr="004653E5">
              <w:rPr>
                <w:rFonts w:ascii="Arial Narrow" w:hAnsi="Arial Narrow" w:cs="Calibri"/>
                <w:color w:val="000000"/>
                <w:sz w:val="20"/>
                <w:szCs w:val="20"/>
              </w:rPr>
              <w:t>,0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 xml:space="preserve">      0</w:t>
            </w:r>
            <w:r w:rsidRPr="004653E5">
              <w:rPr>
                <w:rFonts w:ascii="Arial Narrow" w:hAnsi="Arial Narrow" w:cs="Calibri"/>
                <w:color w:val="000000"/>
                <w:sz w:val="20"/>
                <w:szCs w:val="20"/>
              </w:rPr>
              <w:t>,0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 xml:space="preserve">     </w:t>
            </w:r>
            <w:r w:rsidRPr="004653E5">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 xml:space="preserve">     0,0</w:t>
            </w:r>
          </w:p>
        </w:tc>
      </w:tr>
      <w:tr w:rsidR="00BA1532" w:rsidRPr="004653E5" w:rsidTr="005277C1">
        <w:trPr>
          <w:trHeight w:hRule="exact" w:val="284"/>
          <w:jc w:val="center"/>
        </w:trPr>
        <w:tc>
          <w:tcPr>
            <w:tcW w:w="2504"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 xml:space="preserve">Cigary, </w:t>
            </w:r>
            <w:proofErr w:type="spellStart"/>
            <w:r w:rsidRPr="004653E5">
              <w:rPr>
                <w:rFonts w:ascii="Arial Narrow" w:hAnsi="Arial Narrow" w:cs="Calibri"/>
                <w:color w:val="000000"/>
                <w:sz w:val="20"/>
                <w:szCs w:val="20"/>
              </w:rPr>
              <w:t>cigarky</w:t>
            </w:r>
            <w:proofErr w:type="spellEnd"/>
          </w:p>
        </w:tc>
        <w:tc>
          <w:tcPr>
            <w:tcW w:w="1470" w:type="dxa"/>
            <w:tcBorders>
              <w:top w:val="nil"/>
              <w:left w:val="nil"/>
              <w:bottom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sidRPr="004653E5">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49,7</w:t>
            </w:r>
          </w:p>
        </w:tc>
        <w:tc>
          <w:tcPr>
            <w:tcW w:w="850" w:type="dxa"/>
            <w:gridSpan w:val="2"/>
            <w:tcBorders>
              <w:top w:val="nil"/>
              <w:left w:val="nil"/>
              <w:bottom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r>
      <w:tr w:rsidR="00BA1532" w:rsidRPr="004653E5" w:rsidTr="005277C1">
        <w:trPr>
          <w:trHeight w:hRule="exact" w:val="284"/>
          <w:jc w:val="center"/>
        </w:trPr>
        <w:tc>
          <w:tcPr>
            <w:tcW w:w="2504" w:type="dxa"/>
            <w:tcBorders>
              <w:top w:val="nil"/>
              <w:left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Tabak</w:t>
            </w:r>
          </w:p>
        </w:tc>
        <w:tc>
          <w:tcPr>
            <w:tcW w:w="1470" w:type="dxa"/>
            <w:tcBorders>
              <w:top w:val="nil"/>
              <w:left w:val="nil"/>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37,7</w:t>
            </w:r>
          </w:p>
        </w:tc>
        <w:tc>
          <w:tcPr>
            <w:tcW w:w="850" w:type="dxa"/>
            <w:gridSpan w:val="2"/>
            <w:tcBorders>
              <w:top w:val="nil"/>
              <w:left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38,0</w:t>
            </w:r>
          </w:p>
        </w:tc>
        <w:tc>
          <w:tcPr>
            <w:tcW w:w="850" w:type="dxa"/>
            <w:gridSpan w:val="2"/>
            <w:tcBorders>
              <w:top w:val="nil"/>
              <w:left w:val="nil"/>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32,5</w:t>
            </w:r>
          </w:p>
        </w:tc>
      </w:tr>
      <w:tr w:rsidR="00BA1532" w:rsidRPr="004653E5" w:rsidTr="005277C1">
        <w:trPr>
          <w:trHeight w:hRule="exact" w:val="284"/>
          <w:jc w:val="center"/>
        </w:trPr>
        <w:tc>
          <w:tcPr>
            <w:tcW w:w="2504" w:type="dxa"/>
            <w:tcBorders>
              <w:top w:val="nil"/>
              <w:left w:val="nil"/>
              <w:bottom w:val="single" w:sz="4" w:space="0" w:color="auto"/>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r w:rsidRPr="004653E5">
              <w:rPr>
                <w:rFonts w:ascii="Arial Narrow" w:hAnsi="Arial Narrow" w:cs="Calibri"/>
                <w:color w:val="000000"/>
                <w:sz w:val="20"/>
                <w:szCs w:val="20"/>
              </w:rPr>
              <w:t>BTV</w:t>
            </w:r>
          </w:p>
        </w:tc>
        <w:tc>
          <w:tcPr>
            <w:tcW w:w="1470" w:type="dxa"/>
            <w:tcBorders>
              <w:top w:val="nil"/>
              <w:left w:val="nil"/>
              <w:bottom w:val="single" w:sz="4" w:space="0" w:color="auto"/>
              <w:right w:val="nil"/>
            </w:tcBorders>
            <w:shd w:val="clear" w:color="auto" w:fill="auto"/>
            <w:noWrap/>
            <w:vAlign w:val="bottom"/>
            <w:hideMark/>
          </w:tcPr>
          <w:p w:rsidR="00BA1532" w:rsidRPr="004653E5" w:rsidRDefault="00BA1532" w:rsidP="005277C1">
            <w:pPr>
              <w:rPr>
                <w:rFonts w:ascii="Arial Narrow" w:hAnsi="Arial Narrow" w:cs="Calibri"/>
                <w:color w:val="000000"/>
                <w:sz w:val="20"/>
                <w:szCs w:val="20"/>
              </w:rPr>
            </w:pP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23,5</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26,8</w:t>
            </w:r>
          </w:p>
        </w:tc>
        <w:tc>
          <w:tcPr>
            <w:tcW w:w="850" w:type="dxa"/>
            <w:gridSpan w:val="2"/>
            <w:tcBorders>
              <w:top w:val="nil"/>
              <w:left w:val="nil"/>
              <w:bottom w:val="single" w:sz="4" w:space="0" w:color="auto"/>
              <w:right w:val="nil"/>
            </w:tcBorders>
            <w:shd w:val="clear" w:color="auto" w:fill="auto"/>
            <w:noWrap/>
            <w:vAlign w:val="bottom"/>
            <w:hideMark/>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850" w:type="dxa"/>
            <w:gridSpan w:val="2"/>
            <w:tcBorders>
              <w:top w:val="nil"/>
              <w:left w:val="nil"/>
              <w:bottom w:val="single" w:sz="4" w:space="0" w:color="auto"/>
              <w:right w:val="nil"/>
            </w:tcBorders>
            <w:shd w:val="clear" w:color="auto" w:fill="auto"/>
            <w:noWrap/>
            <w:vAlign w:val="bottom"/>
          </w:tcPr>
          <w:p w:rsidR="00BA1532" w:rsidRPr="004653E5" w:rsidRDefault="00BA1532" w:rsidP="005277C1">
            <w:pPr>
              <w:jc w:val="center"/>
              <w:rPr>
                <w:rFonts w:ascii="Arial Narrow" w:hAnsi="Arial Narrow" w:cs="Calibri"/>
                <w:color w:val="000000"/>
                <w:sz w:val="20"/>
                <w:szCs w:val="20"/>
              </w:rPr>
            </w:pPr>
            <w:r>
              <w:rPr>
                <w:rFonts w:ascii="Arial Narrow" w:hAnsi="Arial Narrow" w:cs="Calibri"/>
                <w:color w:val="000000"/>
                <w:sz w:val="20"/>
                <w:szCs w:val="20"/>
              </w:rPr>
              <w:t>26,7</w:t>
            </w:r>
          </w:p>
        </w:tc>
      </w:tr>
    </w:tbl>
    <w:p w:rsidR="00BA1532" w:rsidRDefault="00BA1532" w:rsidP="00BA1532">
      <w:pPr>
        <w:jc w:val="both"/>
        <w:rPr>
          <w:color w:val="000000" w:themeColor="text1"/>
        </w:rPr>
      </w:pPr>
    </w:p>
    <w:p w:rsidR="00BA1532" w:rsidRDefault="00BA1532" w:rsidP="00BA1532">
      <w:pPr>
        <w:jc w:val="both"/>
      </w:pPr>
      <w:r>
        <w:t>Predpokladá sa zvýšenie cien cigariet v priemere o 40 centov v rokoch 2026 a 2028.</w:t>
      </w:r>
    </w:p>
    <w:p w:rsidR="00BA1532" w:rsidRPr="002C5A39" w:rsidRDefault="00BA1532" w:rsidP="00BA1532">
      <w:pPr>
        <w:jc w:val="both"/>
      </w:pPr>
      <w:r>
        <w:t xml:space="preserve">Zmena sadzby v prípade BTV zodpovedá nárastu o necelých 13 % v roku 2026 a približne 11 % v roku 2028. </w:t>
      </w:r>
      <w:r w:rsidRPr="005810B0">
        <w:t>Sadzba dane z tabaku v BTV, ktorým je žuvací tabak a šnupavý tabak, sa ustanovuje vo výške 0,10 eura/g pre rok 2025 a vo výške 0,20 eura/g pre rok 2027.</w:t>
      </w:r>
    </w:p>
    <w:p w:rsidR="00BA1532" w:rsidRDefault="00BA1532" w:rsidP="00BA1532">
      <w:pPr>
        <w:jc w:val="both"/>
      </w:pPr>
      <w:r w:rsidRPr="00C552D4">
        <w:t>Vo všeobecnosti z</w:t>
      </w:r>
      <w:r w:rsidRPr="00735039">
        <w:t>výšením sadzieb spotrebnej dane z tabakových výrobkov je možné dosiahnuť vyššiu rovnováhu s cieľmi v oblasti verejného zdravia.</w:t>
      </w:r>
    </w:p>
    <w:p w:rsidR="00BA1532" w:rsidRPr="007B7470" w:rsidRDefault="00BA1532" w:rsidP="00BA1532">
      <w:r w:rsidRPr="007B7470">
        <w:rPr>
          <w:b/>
          <w:bCs/>
        </w:rPr>
        <w:lastRenderedPageBreak/>
        <w:t>2.2.3. Predpoklady vývoja objemu aktivít:</w:t>
      </w:r>
    </w:p>
    <w:p w:rsidR="00BA1532" w:rsidRPr="007B7470" w:rsidRDefault="00BA1532" w:rsidP="00BA1532"/>
    <w:p w:rsidR="00BA1532" w:rsidRPr="007B7470" w:rsidRDefault="00BA1532" w:rsidP="00BA1532">
      <w:pPr>
        <w:ind w:firstLine="708"/>
        <w:jc w:val="both"/>
      </w:pPr>
      <w:r w:rsidRPr="007B7470">
        <w:t>Jasne popíšte, v prípade potreby použite nižšie uvedenú tabuľku. Uveďte aj odhady základov daní a/alebo poplatkov, ak sa ich táto zmena týka.</w:t>
      </w:r>
    </w:p>
    <w:p w:rsidR="00BA1532" w:rsidRPr="007B7470" w:rsidRDefault="00BA1532" w:rsidP="00BA1532">
      <w:pPr>
        <w:jc w:val="right"/>
        <w:rPr>
          <w:sz w:val="20"/>
          <w:szCs w:val="20"/>
        </w:rPr>
      </w:pPr>
      <w:r w:rsidRPr="007B7470">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A1532" w:rsidRPr="007B7470" w:rsidTr="005277C1">
        <w:trPr>
          <w:cantSplit/>
          <w:trHeight w:val="70"/>
        </w:trPr>
        <w:tc>
          <w:tcPr>
            <w:tcW w:w="4530" w:type="dxa"/>
            <w:vMerge w:val="restart"/>
            <w:shd w:val="clear" w:color="auto" w:fill="BFBFBF" w:themeFill="background1" w:themeFillShade="BF"/>
            <w:vAlign w:val="center"/>
          </w:tcPr>
          <w:p w:rsidR="00BA1532" w:rsidRPr="007B7470" w:rsidRDefault="00BA1532" w:rsidP="005277C1">
            <w:pPr>
              <w:autoSpaceDE w:val="0"/>
              <w:autoSpaceDN w:val="0"/>
              <w:adjustRightInd w:val="0"/>
              <w:jc w:val="center"/>
              <w:rPr>
                <w:b/>
                <w:bCs/>
              </w:rPr>
            </w:pPr>
            <w:r w:rsidRPr="007B7470">
              <w:rPr>
                <w:b/>
                <w:bCs/>
              </w:rPr>
              <w:t>Objem aktivít</w:t>
            </w:r>
          </w:p>
        </w:tc>
        <w:tc>
          <w:tcPr>
            <w:tcW w:w="1134" w:type="dxa"/>
            <w:gridSpan w:val="4"/>
            <w:shd w:val="clear" w:color="auto" w:fill="BFBFBF" w:themeFill="background1" w:themeFillShade="BF"/>
            <w:vAlign w:val="center"/>
          </w:tcPr>
          <w:p w:rsidR="00BA1532" w:rsidRPr="007B7470" w:rsidRDefault="00BA1532" w:rsidP="005277C1">
            <w:pPr>
              <w:autoSpaceDE w:val="0"/>
              <w:autoSpaceDN w:val="0"/>
              <w:adjustRightInd w:val="0"/>
              <w:jc w:val="center"/>
              <w:rPr>
                <w:b/>
                <w:bCs/>
              </w:rPr>
            </w:pPr>
            <w:r w:rsidRPr="007B7470">
              <w:rPr>
                <w:b/>
                <w:bCs/>
              </w:rPr>
              <w:t>Odhadované objemy</w:t>
            </w:r>
          </w:p>
        </w:tc>
      </w:tr>
      <w:tr w:rsidR="00BA1532" w:rsidRPr="007B7470" w:rsidTr="005277C1">
        <w:trPr>
          <w:cantSplit/>
          <w:trHeight w:val="70"/>
        </w:trPr>
        <w:tc>
          <w:tcPr>
            <w:tcW w:w="4530" w:type="dxa"/>
            <w:vMerge/>
            <w:shd w:val="clear" w:color="auto" w:fill="BFBFBF" w:themeFill="background1" w:themeFillShade="BF"/>
          </w:tcPr>
          <w:p w:rsidR="00BA1532" w:rsidRPr="007B7470" w:rsidRDefault="00BA1532" w:rsidP="005277C1">
            <w:pPr>
              <w:autoSpaceDE w:val="0"/>
              <w:autoSpaceDN w:val="0"/>
              <w:adjustRightInd w:val="0"/>
              <w:jc w:val="center"/>
              <w:rPr>
                <w:b/>
                <w:bCs/>
              </w:rPr>
            </w:pPr>
          </w:p>
        </w:tc>
        <w:tc>
          <w:tcPr>
            <w:tcW w:w="1134" w:type="dxa"/>
            <w:shd w:val="clear" w:color="auto" w:fill="BFBFBF" w:themeFill="background1" w:themeFillShade="BF"/>
            <w:vAlign w:val="center"/>
          </w:tcPr>
          <w:p w:rsidR="00BA1532" w:rsidRPr="007B7470" w:rsidRDefault="00BA1532" w:rsidP="005277C1">
            <w:pPr>
              <w:autoSpaceDE w:val="0"/>
              <w:autoSpaceDN w:val="0"/>
              <w:adjustRightInd w:val="0"/>
              <w:jc w:val="center"/>
              <w:rPr>
                <w:b/>
                <w:bCs/>
              </w:rPr>
            </w:pPr>
            <w:r w:rsidRPr="007B7470">
              <w:rPr>
                <w:b/>
                <w:bCs/>
              </w:rPr>
              <w:t>r</w:t>
            </w:r>
          </w:p>
        </w:tc>
        <w:tc>
          <w:tcPr>
            <w:tcW w:w="1134" w:type="dxa"/>
            <w:shd w:val="clear" w:color="auto" w:fill="BFBFBF" w:themeFill="background1" w:themeFillShade="BF"/>
            <w:vAlign w:val="center"/>
          </w:tcPr>
          <w:p w:rsidR="00BA1532" w:rsidRPr="007B7470" w:rsidRDefault="00BA1532" w:rsidP="005277C1">
            <w:pPr>
              <w:autoSpaceDE w:val="0"/>
              <w:autoSpaceDN w:val="0"/>
              <w:adjustRightInd w:val="0"/>
              <w:jc w:val="center"/>
              <w:rPr>
                <w:b/>
                <w:bCs/>
              </w:rPr>
            </w:pPr>
            <w:r w:rsidRPr="007B7470">
              <w:rPr>
                <w:b/>
                <w:bCs/>
              </w:rPr>
              <w:t>r + 1</w:t>
            </w:r>
          </w:p>
        </w:tc>
        <w:tc>
          <w:tcPr>
            <w:tcW w:w="1134" w:type="dxa"/>
            <w:shd w:val="clear" w:color="auto" w:fill="BFBFBF" w:themeFill="background1" w:themeFillShade="BF"/>
            <w:vAlign w:val="center"/>
          </w:tcPr>
          <w:p w:rsidR="00BA1532" w:rsidRPr="007B7470" w:rsidRDefault="00BA1532" w:rsidP="005277C1">
            <w:pPr>
              <w:autoSpaceDE w:val="0"/>
              <w:autoSpaceDN w:val="0"/>
              <w:adjustRightInd w:val="0"/>
              <w:jc w:val="center"/>
              <w:rPr>
                <w:b/>
                <w:bCs/>
              </w:rPr>
            </w:pPr>
            <w:r w:rsidRPr="007B7470">
              <w:rPr>
                <w:b/>
                <w:bCs/>
              </w:rPr>
              <w:t>r + 2</w:t>
            </w:r>
          </w:p>
        </w:tc>
        <w:tc>
          <w:tcPr>
            <w:tcW w:w="1134" w:type="dxa"/>
            <w:shd w:val="clear" w:color="auto" w:fill="BFBFBF" w:themeFill="background1" w:themeFillShade="BF"/>
            <w:vAlign w:val="center"/>
          </w:tcPr>
          <w:p w:rsidR="00BA1532" w:rsidRPr="007B7470" w:rsidRDefault="00BA1532" w:rsidP="005277C1">
            <w:pPr>
              <w:autoSpaceDE w:val="0"/>
              <w:autoSpaceDN w:val="0"/>
              <w:adjustRightInd w:val="0"/>
              <w:jc w:val="center"/>
              <w:rPr>
                <w:b/>
                <w:bCs/>
              </w:rPr>
            </w:pPr>
            <w:r w:rsidRPr="007B7470">
              <w:rPr>
                <w:b/>
                <w:bCs/>
              </w:rPr>
              <w:t>r + 3</w:t>
            </w:r>
          </w:p>
        </w:tc>
      </w:tr>
      <w:tr w:rsidR="00BA1532" w:rsidRPr="007B7470" w:rsidTr="005277C1">
        <w:trPr>
          <w:trHeight w:val="70"/>
        </w:trPr>
        <w:tc>
          <w:tcPr>
            <w:tcW w:w="4530" w:type="dxa"/>
          </w:tcPr>
          <w:p w:rsidR="00BA1532" w:rsidRPr="007B7470" w:rsidRDefault="00BA1532" w:rsidP="005277C1">
            <w:pPr>
              <w:autoSpaceDE w:val="0"/>
              <w:autoSpaceDN w:val="0"/>
              <w:adjustRightInd w:val="0"/>
              <w:rPr>
                <w:color w:val="000000"/>
              </w:rPr>
            </w:pPr>
            <w:r w:rsidRPr="007B7470">
              <w:rPr>
                <w:color w:val="000000"/>
              </w:rPr>
              <w:t>Indikátor ABC</w:t>
            </w: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r>
      <w:tr w:rsidR="00BA1532" w:rsidRPr="007B7470" w:rsidTr="005277C1">
        <w:trPr>
          <w:trHeight w:val="70"/>
        </w:trPr>
        <w:tc>
          <w:tcPr>
            <w:tcW w:w="4530" w:type="dxa"/>
          </w:tcPr>
          <w:p w:rsidR="00BA1532" w:rsidRPr="007B7470" w:rsidRDefault="00BA1532" w:rsidP="005277C1">
            <w:pPr>
              <w:autoSpaceDE w:val="0"/>
              <w:autoSpaceDN w:val="0"/>
              <w:adjustRightInd w:val="0"/>
              <w:rPr>
                <w:color w:val="000000"/>
              </w:rPr>
            </w:pPr>
            <w:r w:rsidRPr="007B7470">
              <w:rPr>
                <w:color w:val="000000"/>
              </w:rPr>
              <w:t>Indikátor KLM</w:t>
            </w: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r>
      <w:tr w:rsidR="00BA1532" w:rsidRPr="007B7470" w:rsidTr="005277C1">
        <w:trPr>
          <w:trHeight w:val="70"/>
        </w:trPr>
        <w:tc>
          <w:tcPr>
            <w:tcW w:w="4530" w:type="dxa"/>
          </w:tcPr>
          <w:p w:rsidR="00BA1532" w:rsidRPr="007B7470" w:rsidRDefault="00BA1532" w:rsidP="005277C1">
            <w:pPr>
              <w:autoSpaceDE w:val="0"/>
              <w:autoSpaceDN w:val="0"/>
              <w:adjustRightInd w:val="0"/>
              <w:rPr>
                <w:color w:val="000000"/>
              </w:rPr>
            </w:pPr>
            <w:r w:rsidRPr="007B7470">
              <w:rPr>
                <w:color w:val="000000"/>
              </w:rPr>
              <w:t>Indikátor XYZ</w:t>
            </w: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c>
          <w:tcPr>
            <w:tcW w:w="1134" w:type="dxa"/>
          </w:tcPr>
          <w:p w:rsidR="00BA1532" w:rsidRPr="007B7470" w:rsidRDefault="00BA1532" w:rsidP="005277C1">
            <w:pPr>
              <w:autoSpaceDE w:val="0"/>
              <w:autoSpaceDN w:val="0"/>
              <w:adjustRightInd w:val="0"/>
              <w:jc w:val="right"/>
              <w:rPr>
                <w:color w:val="000000"/>
              </w:rPr>
            </w:pPr>
          </w:p>
        </w:tc>
      </w:tr>
    </w:tbl>
    <w:p w:rsidR="00BA1532" w:rsidRPr="007B7470" w:rsidRDefault="00BA1532" w:rsidP="00BA1532"/>
    <w:p w:rsidR="00BA1532" w:rsidRPr="007B7470" w:rsidRDefault="00BA1532" w:rsidP="00BA1532">
      <w:pPr>
        <w:rPr>
          <w:b/>
          <w:bCs/>
        </w:rPr>
      </w:pPr>
      <w:r w:rsidRPr="007B7470">
        <w:rPr>
          <w:b/>
          <w:bCs/>
        </w:rPr>
        <w:t>2.2.4. Výpočty vplyvov na verejné financie</w:t>
      </w:r>
    </w:p>
    <w:p w:rsidR="00BA1532" w:rsidRPr="007B7470" w:rsidRDefault="00BA1532" w:rsidP="00BA1532"/>
    <w:p w:rsidR="00BA1532" w:rsidRPr="007B7470" w:rsidRDefault="00BA1532" w:rsidP="00BA1532">
      <w:pPr>
        <w:ind w:firstLine="708"/>
        <w:jc w:val="both"/>
      </w:pPr>
      <w:r w:rsidRPr="007B7470">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A1532" w:rsidRPr="007B7470" w:rsidRDefault="00BA1532" w:rsidP="00BA1532">
      <w:pPr>
        <w:jc w:val="both"/>
      </w:pPr>
    </w:p>
    <w:p w:rsidR="00BA1532" w:rsidRPr="006C5FB7" w:rsidRDefault="00BA1532" w:rsidP="00BA1532">
      <w:pPr>
        <w:pStyle w:val="Bezriadkovania"/>
        <w:jc w:val="both"/>
        <w:rPr>
          <w:rFonts w:ascii="Times New Roman" w:hAnsi="Times New Roman"/>
          <w:sz w:val="24"/>
          <w:szCs w:val="24"/>
        </w:rPr>
      </w:pPr>
      <w:r>
        <w:rPr>
          <w:rFonts w:ascii="Times New Roman" w:hAnsi="Times New Roman"/>
          <w:sz w:val="24"/>
          <w:szCs w:val="24"/>
        </w:rPr>
        <w:t>MFSR požiadalo FR</w:t>
      </w:r>
      <w:r w:rsidRPr="006C5FB7">
        <w:rPr>
          <w:rFonts w:ascii="Times New Roman" w:hAnsi="Times New Roman"/>
          <w:sz w:val="24"/>
          <w:szCs w:val="24"/>
        </w:rPr>
        <w:t xml:space="preserve">SR o kvantifikáciu dopadov na informačné systémy finančnej správy, ktoré vyplývajú z jednotlivých ustanovení návrhu zákona. </w:t>
      </w:r>
    </w:p>
    <w:p w:rsidR="00BA1532" w:rsidRDefault="00BA1532" w:rsidP="00BA1532">
      <w:pPr>
        <w:tabs>
          <w:tab w:val="num" w:pos="1080"/>
        </w:tabs>
        <w:jc w:val="both"/>
        <w:rPr>
          <w:bCs/>
        </w:rPr>
      </w:pPr>
    </w:p>
    <w:p w:rsidR="00BA1532" w:rsidRPr="004676A6" w:rsidRDefault="00BA1532" w:rsidP="00BA1532">
      <w:pPr>
        <w:pStyle w:val="Bezriadkovania"/>
        <w:jc w:val="both"/>
        <w:rPr>
          <w:rFonts w:ascii="Times New Roman" w:hAnsi="Times New Roman"/>
          <w:sz w:val="24"/>
          <w:szCs w:val="24"/>
        </w:rPr>
      </w:pPr>
      <w:r w:rsidRPr="00DA2D4F">
        <w:rPr>
          <w:rFonts w:ascii="Times New Roman" w:hAnsi="Times New Roman"/>
          <w:sz w:val="24"/>
          <w:szCs w:val="24"/>
        </w:rPr>
        <w:t xml:space="preserve">Negatívny </w:t>
      </w:r>
      <w:r w:rsidRPr="004676A6">
        <w:rPr>
          <w:rFonts w:ascii="Times New Roman" w:hAnsi="Times New Roman"/>
          <w:sz w:val="24"/>
          <w:szCs w:val="24"/>
        </w:rPr>
        <w:t xml:space="preserve">vplyv na rozpočet verejnej správy </w:t>
      </w:r>
      <w:r>
        <w:rPr>
          <w:rFonts w:ascii="Times New Roman" w:hAnsi="Times New Roman"/>
          <w:sz w:val="24"/>
          <w:szCs w:val="24"/>
        </w:rPr>
        <w:t>súvisí s požiadavkami n</w:t>
      </w:r>
      <w:r w:rsidRPr="004676A6">
        <w:rPr>
          <w:rFonts w:ascii="Times New Roman" w:hAnsi="Times New Roman"/>
          <w:sz w:val="24"/>
          <w:szCs w:val="24"/>
        </w:rPr>
        <w:t>a</w:t>
      </w:r>
      <w:r>
        <w:rPr>
          <w:rFonts w:ascii="Times New Roman" w:hAnsi="Times New Roman"/>
          <w:sz w:val="24"/>
          <w:szCs w:val="24"/>
        </w:rPr>
        <w:t xml:space="preserve"> nevyhnutné zmeny </w:t>
      </w:r>
      <w:r w:rsidRPr="004676A6">
        <w:rPr>
          <w:rFonts w:ascii="Times New Roman" w:hAnsi="Times New Roman"/>
          <w:sz w:val="24"/>
          <w:szCs w:val="24"/>
        </w:rPr>
        <w:t xml:space="preserve"> systém</w:t>
      </w:r>
      <w:r>
        <w:rPr>
          <w:rFonts w:ascii="Times New Roman" w:hAnsi="Times New Roman"/>
          <w:sz w:val="24"/>
          <w:szCs w:val="24"/>
        </w:rPr>
        <w:t>ov</w:t>
      </w:r>
      <w:r w:rsidRPr="004676A6">
        <w:rPr>
          <w:rFonts w:ascii="Times New Roman" w:hAnsi="Times New Roman"/>
          <w:sz w:val="24"/>
          <w:szCs w:val="24"/>
        </w:rPr>
        <w:t xml:space="preserve"> finančnej správy.</w:t>
      </w:r>
    </w:p>
    <w:p w:rsidR="00BA1532" w:rsidRPr="004676A6" w:rsidRDefault="00BA1532" w:rsidP="00BA1532">
      <w:pPr>
        <w:ind w:left="67"/>
        <w:jc w:val="both"/>
      </w:pPr>
    </w:p>
    <w:p w:rsidR="00BA1532" w:rsidRPr="004676A6" w:rsidRDefault="00BA1532" w:rsidP="00BA1532">
      <w:pPr>
        <w:jc w:val="both"/>
      </w:pPr>
      <w:r w:rsidRPr="004676A6">
        <w:t xml:space="preserve">Odhadovaný hrubý finančný dopad na systémy finančnej správy v nadväznosti na tieto zmeny je vo výške </w:t>
      </w:r>
      <w:r>
        <w:rPr>
          <w:bCs/>
        </w:rPr>
        <w:t>301 632</w:t>
      </w:r>
      <w:r w:rsidRPr="004676A6">
        <w:rPr>
          <w:bCs/>
        </w:rPr>
        <w:t xml:space="preserve"> eur s DPH</w:t>
      </w:r>
      <w:r w:rsidRPr="004676A6">
        <w:t>, z toho:</w:t>
      </w:r>
    </w:p>
    <w:p w:rsidR="00BA1532" w:rsidRPr="004676A6" w:rsidRDefault="00BA1532" w:rsidP="00BA1532">
      <w:pPr>
        <w:jc w:val="both"/>
      </w:pPr>
    </w:p>
    <w:p w:rsidR="00BA1532" w:rsidRDefault="00BA1532" w:rsidP="00BA1532">
      <w:pPr>
        <w:jc w:val="both"/>
      </w:pPr>
      <w:r w:rsidRPr="004676A6">
        <w:t xml:space="preserve">- Portál </w:t>
      </w:r>
      <w:r w:rsidRPr="00A33F38">
        <w:t>finančnej správy (PFS)</w:t>
      </w:r>
      <w:r w:rsidRPr="00A33F38">
        <w:tab/>
      </w:r>
      <w:r w:rsidRPr="00A33F38">
        <w:tab/>
      </w:r>
      <w:r w:rsidRPr="00A33F38">
        <w:tab/>
      </w:r>
      <w:r w:rsidRPr="00A33F38">
        <w:tab/>
      </w:r>
      <w:r w:rsidRPr="00A33F38">
        <w:tab/>
      </w:r>
      <w:r>
        <w:tab/>
        <w:t xml:space="preserve">  34 287</w:t>
      </w:r>
      <w:r w:rsidRPr="00A33F38">
        <w:t xml:space="preserve"> eur s</w:t>
      </w:r>
      <w:r>
        <w:t> </w:t>
      </w:r>
      <w:r w:rsidRPr="00A33F38">
        <w:t>DPH</w:t>
      </w:r>
    </w:p>
    <w:p w:rsidR="00BA1532" w:rsidRDefault="00BA1532" w:rsidP="00BA1532">
      <w:pPr>
        <w:jc w:val="both"/>
      </w:pPr>
      <w:r>
        <w:t>- Systém správy nepriamych daní (</w:t>
      </w:r>
      <w:proofErr w:type="spellStart"/>
      <w:r>
        <w:t>SySNeD</w:t>
      </w:r>
      <w:proofErr w:type="spellEnd"/>
      <w:r>
        <w:t>)</w:t>
      </w:r>
      <w:r>
        <w:tab/>
      </w:r>
      <w:r>
        <w:tab/>
      </w:r>
      <w:r>
        <w:tab/>
      </w:r>
      <w:r>
        <w:tab/>
        <w:t>131 670 eur s DPH</w:t>
      </w:r>
    </w:p>
    <w:p w:rsidR="00BA1532" w:rsidRDefault="00BA1532" w:rsidP="00BA1532">
      <w:pPr>
        <w:jc w:val="both"/>
      </w:pPr>
      <w:r>
        <w:t>- Informačný systém kontrolných známok</w:t>
      </w:r>
      <w:r>
        <w:tab/>
      </w:r>
      <w:r>
        <w:tab/>
      </w:r>
      <w:r>
        <w:tab/>
      </w:r>
      <w:r>
        <w:tab/>
      </w:r>
      <w:r>
        <w:tab/>
        <w:t>135 675 eur s DPH</w:t>
      </w:r>
    </w:p>
    <w:p w:rsidR="00BA1532" w:rsidRDefault="00BA1532" w:rsidP="00BA1532">
      <w:pPr>
        <w:jc w:val="both"/>
      </w:pPr>
    </w:p>
    <w:p w:rsidR="00BA1532" w:rsidRDefault="00BA1532" w:rsidP="00BA1532">
      <w:pPr>
        <w:jc w:val="both"/>
        <w:rPr>
          <w:bCs/>
        </w:rPr>
      </w:pPr>
      <w:r w:rsidRPr="00A33F38">
        <w:rPr>
          <w:bCs/>
        </w:rPr>
        <w:t>N</w:t>
      </w:r>
      <w:r w:rsidRPr="00F86283">
        <w:rPr>
          <w:bCs/>
        </w:rPr>
        <w:t xml:space="preserve">ávrh zákona celkove vyvoláva úpravy informačných systémov </w:t>
      </w:r>
      <w:r>
        <w:rPr>
          <w:bCs/>
        </w:rPr>
        <w:t>finančnej správy</w:t>
      </w:r>
      <w:r w:rsidRPr="00A33F38">
        <w:rPr>
          <w:bCs/>
        </w:rPr>
        <w:t xml:space="preserve"> vo výške </w:t>
      </w:r>
      <w:r w:rsidRPr="00A33F38">
        <w:rPr>
          <w:bCs/>
        </w:rPr>
        <w:br/>
      </w:r>
      <w:r>
        <w:rPr>
          <w:bCs/>
        </w:rPr>
        <w:t>301 632</w:t>
      </w:r>
      <w:r w:rsidRPr="00A33F38">
        <w:rPr>
          <w:bCs/>
        </w:rPr>
        <w:t xml:space="preserve"> eur (kapitálové výdavky, rozpočtová položka 718, podprogram 0EK0D – Informačné technológie financované zo štátneho rozpočtu – Ministerstvo financií Slovenskej republiky), ktoré budú </w:t>
      </w:r>
      <w:r w:rsidRPr="00F86283">
        <w:rPr>
          <w:bCs/>
        </w:rPr>
        <w:t>zabezpečené v rámci limitov kapitoly MFSR na rozpočtový rok 2024</w:t>
      </w:r>
      <w:r>
        <w:rPr>
          <w:bCs/>
        </w:rPr>
        <w:t>.</w:t>
      </w:r>
    </w:p>
    <w:p w:rsidR="00BA1532" w:rsidRDefault="00BA1532" w:rsidP="00BA1532">
      <w:pPr>
        <w:jc w:val="both"/>
      </w:pPr>
      <w:r w:rsidRPr="00C060B1">
        <w:t>Odhad FR</w:t>
      </w:r>
      <w:r>
        <w:t xml:space="preserve"> </w:t>
      </w:r>
      <w:r w:rsidRPr="00C060B1">
        <w:t>SR je urobený pri súčasnej miere poznania. Skutočnú prácnosť bude možné určiť až vo fáze realizácie príslušnej požiadavky.</w:t>
      </w:r>
    </w:p>
    <w:p w:rsidR="00BA1532" w:rsidRDefault="00BA1532" w:rsidP="00BA1532">
      <w:pPr>
        <w:jc w:val="both"/>
      </w:pPr>
    </w:p>
    <w:p w:rsidR="00BA1532" w:rsidRDefault="00BA1532" w:rsidP="00BA1532">
      <w:pPr>
        <w:jc w:val="both"/>
        <w:rPr>
          <w:bCs/>
        </w:rPr>
      </w:pPr>
      <w:r>
        <w:rPr>
          <w:bCs/>
        </w:rPr>
        <w:t>Novela</w:t>
      </w:r>
      <w:r w:rsidRPr="001B39DA">
        <w:rPr>
          <w:bCs/>
        </w:rPr>
        <w:t xml:space="preserve"> </w:t>
      </w:r>
      <w:r>
        <w:rPr>
          <w:bCs/>
        </w:rPr>
        <w:t xml:space="preserve">zákona </w:t>
      </w:r>
      <w:r w:rsidRPr="001B39DA">
        <w:rPr>
          <w:bCs/>
        </w:rPr>
        <w:t xml:space="preserve">ovplyvní rozpočet verejnej správy pozitívne, a to skrze výnos </w:t>
      </w:r>
      <w:r>
        <w:rPr>
          <w:bCs/>
        </w:rPr>
        <w:t xml:space="preserve">spotrebnej </w:t>
      </w:r>
      <w:r w:rsidRPr="001B39DA">
        <w:rPr>
          <w:bCs/>
        </w:rPr>
        <w:t>dane</w:t>
      </w:r>
      <w:r>
        <w:rPr>
          <w:bCs/>
        </w:rPr>
        <w:t xml:space="preserve"> z tabakových výrobkov,</w:t>
      </w:r>
      <w:r w:rsidRPr="001B39DA">
        <w:rPr>
          <w:bCs/>
        </w:rPr>
        <w:t xml:space="preserve"> a na to naviazaný</w:t>
      </w:r>
      <w:r>
        <w:rPr>
          <w:bCs/>
        </w:rPr>
        <w:t>m</w:t>
      </w:r>
      <w:r w:rsidRPr="001B39DA">
        <w:rPr>
          <w:bCs/>
        </w:rPr>
        <w:t xml:space="preserve"> výnos</w:t>
      </w:r>
      <w:r>
        <w:rPr>
          <w:bCs/>
        </w:rPr>
        <w:t>om</w:t>
      </w:r>
      <w:r w:rsidRPr="001B39DA">
        <w:rPr>
          <w:bCs/>
        </w:rPr>
        <w:t xml:space="preserve"> dane z pridanej hodnoty. </w:t>
      </w:r>
    </w:p>
    <w:tbl>
      <w:tblPr>
        <w:tblW w:w="7655" w:type="dxa"/>
        <w:jc w:val="center"/>
        <w:tblCellMar>
          <w:left w:w="0" w:type="dxa"/>
          <w:right w:w="0" w:type="dxa"/>
        </w:tblCellMar>
        <w:tblLook w:val="04A0" w:firstRow="1" w:lastRow="0" w:firstColumn="1" w:lastColumn="0" w:noHBand="0" w:noVBand="1"/>
      </w:tblPr>
      <w:tblGrid>
        <w:gridCol w:w="4836"/>
        <w:gridCol w:w="861"/>
        <w:gridCol w:w="861"/>
        <w:gridCol w:w="1097"/>
      </w:tblGrid>
      <w:tr w:rsidR="00BA1532" w:rsidTr="00B3448D">
        <w:trPr>
          <w:trHeight w:val="345"/>
          <w:jc w:val="center"/>
        </w:trPr>
        <w:tc>
          <w:tcPr>
            <w:tcW w:w="7655" w:type="dxa"/>
            <w:gridSpan w:val="4"/>
            <w:tcBorders>
              <w:top w:val="nil"/>
              <w:left w:val="nil"/>
              <w:right w:val="nil"/>
            </w:tcBorders>
            <w:noWrap/>
            <w:tcMar>
              <w:top w:w="0" w:type="dxa"/>
              <w:left w:w="70" w:type="dxa"/>
              <w:bottom w:w="0" w:type="dxa"/>
              <w:right w:w="70" w:type="dxa"/>
            </w:tcMar>
            <w:vAlign w:val="center"/>
            <w:hideMark/>
          </w:tcPr>
          <w:p w:rsidR="00B3448D" w:rsidRDefault="00B3448D" w:rsidP="005277C1">
            <w:pPr>
              <w:jc w:val="center"/>
              <w:rPr>
                <w:rFonts w:ascii="Arial Narrow" w:hAnsi="Arial Narrow" w:cs="Calibri"/>
                <w:b/>
                <w:bCs/>
                <w:color w:val="2E74B5"/>
              </w:rPr>
            </w:pPr>
          </w:p>
          <w:p w:rsidR="00BA1532" w:rsidRDefault="00BA1532" w:rsidP="005277C1">
            <w:pPr>
              <w:jc w:val="center"/>
              <w:rPr>
                <w:rFonts w:ascii="Calibri" w:hAnsi="Calibri" w:cs="Calibri"/>
              </w:rPr>
            </w:pPr>
            <w:r>
              <w:rPr>
                <w:rFonts w:ascii="Arial Narrow" w:hAnsi="Arial Narrow" w:cs="Calibri"/>
                <w:b/>
                <w:bCs/>
                <w:color w:val="2E74B5"/>
              </w:rPr>
              <w:t>Vplyv zdanenia na verejné financie (mil. eur)</w:t>
            </w:r>
          </w:p>
        </w:tc>
      </w:tr>
      <w:tr w:rsidR="00BA1532" w:rsidTr="00B3448D">
        <w:trPr>
          <w:trHeight w:val="345"/>
          <w:jc w:val="center"/>
        </w:trPr>
        <w:tc>
          <w:tcPr>
            <w:tcW w:w="4836" w:type="dxa"/>
            <w:tcBorders>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rPr>
                <w:rFonts w:ascii="Calibri" w:hAnsi="Calibri" w:cs="Calibri"/>
              </w:rPr>
            </w:pPr>
            <w:r>
              <w:rPr>
                <w:rFonts w:ascii="Arial Narrow" w:hAnsi="Arial Narrow" w:cs="Calibri"/>
                <w:color w:val="000000"/>
              </w:rPr>
              <w:t> ESA 2010</w:t>
            </w:r>
          </w:p>
        </w:tc>
        <w:tc>
          <w:tcPr>
            <w:tcW w:w="861" w:type="dxa"/>
            <w:tcBorders>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b/>
                <w:bCs/>
                <w:color w:val="000000"/>
              </w:rPr>
              <w:t>2025</w:t>
            </w:r>
          </w:p>
        </w:tc>
        <w:tc>
          <w:tcPr>
            <w:tcW w:w="861" w:type="dxa"/>
            <w:tcBorders>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b/>
                <w:bCs/>
                <w:color w:val="000000"/>
              </w:rPr>
              <w:t>2026</w:t>
            </w:r>
          </w:p>
        </w:tc>
        <w:tc>
          <w:tcPr>
            <w:tcW w:w="1097" w:type="dxa"/>
            <w:tcBorders>
              <w:left w:val="nil"/>
              <w:bottom w:val="single" w:sz="8" w:space="0" w:color="auto"/>
              <w:right w:val="nil"/>
            </w:tcBorders>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b/>
                <w:bCs/>
                <w:color w:val="000000"/>
              </w:rPr>
              <w:t>2027</w:t>
            </w:r>
          </w:p>
        </w:tc>
      </w:tr>
      <w:tr w:rsidR="00BA1532" w:rsidTr="005277C1">
        <w:trPr>
          <w:trHeight w:val="330"/>
          <w:jc w:val="center"/>
        </w:trPr>
        <w:tc>
          <w:tcPr>
            <w:tcW w:w="4836" w:type="dxa"/>
            <w:noWrap/>
            <w:tcMar>
              <w:top w:w="0" w:type="dxa"/>
              <w:left w:w="70" w:type="dxa"/>
              <w:bottom w:w="0" w:type="dxa"/>
              <w:right w:w="70" w:type="dxa"/>
            </w:tcMar>
            <w:vAlign w:val="center"/>
            <w:hideMark/>
          </w:tcPr>
          <w:p w:rsidR="00BA1532" w:rsidRDefault="00BA1532" w:rsidP="005277C1">
            <w:pPr>
              <w:rPr>
                <w:rFonts w:ascii="Calibri" w:hAnsi="Calibri" w:cs="Calibri"/>
              </w:rPr>
            </w:pPr>
            <w:r>
              <w:rPr>
                <w:rFonts w:ascii="Arial Narrow" w:hAnsi="Arial Narrow" w:cs="Calibri"/>
                <w:color w:val="000000"/>
              </w:rPr>
              <w:t>Nikotínové výrobky (§ 19ab)</w:t>
            </w:r>
          </w:p>
        </w:tc>
        <w:tc>
          <w:tcPr>
            <w:tcW w:w="861"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12</w:t>
            </w:r>
          </w:p>
        </w:tc>
        <w:tc>
          <w:tcPr>
            <w:tcW w:w="861"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17</w:t>
            </w:r>
          </w:p>
        </w:tc>
        <w:tc>
          <w:tcPr>
            <w:tcW w:w="1097" w:type="dxa"/>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24</w:t>
            </w:r>
          </w:p>
        </w:tc>
      </w:tr>
      <w:tr w:rsidR="00BA1532" w:rsidTr="005277C1">
        <w:trPr>
          <w:trHeight w:val="330"/>
          <w:jc w:val="center"/>
        </w:trPr>
        <w:tc>
          <w:tcPr>
            <w:tcW w:w="4836" w:type="dxa"/>
            <w:noWrap/>
            <w:tcMar>
              <w:top w:w="0" w:type="dxa"/>
              <w:left w:w="70" w:type="dxa"/>
              <w:bottom w:w="0" w:type="dxa"/>
              <w:right w:w="70" w:type="dxa"/>
            </w:tcMar>
            <w:vAlign w:val="center"/>
            <w:hideMark/>
          </w:tcPr>
          <w:p w:rsidR="00BA1532" w:rsidRDefault="00BA1532" w:rsidP="005277C1">
            <w:pPr>
              <w:rPr>
                <w:rFonts w:ascii="Calibri" w:hAnsi="Calibri" w:cs="Calibri"/>
              </w:rPr>
            </w:pPr>
            <w:r>
              <w:rPr>
                <w:rFonts w:ascii="Arial Narrow" w:hAnsi="Arial Narrow" w:cs="Calibri"/>
                <w:color w:val="000000"/>
              </w:rPr>
              <w:t>Cigarety</w:t>
            </w:r>
          </w:p>
        </w:tc>
        <w:tc>
          <w:tcPr>
            <w:tcW w:w="861"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0</w:t>
            </w:r>
          </w:p>
        </w:tc>
        <w:tc>
          <w:tcPr>
            <w:tcW w:w="861"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73</w:t>
            </w:r>
          </w:p>
        </w:tc>
        <w:tc>
          <w:tcPr>
            <w:tcW w:w="1097" w:type="dxa"/>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97</w:t>
            </w:r>
          </w:p>
        </w:tc>
      </w:tr>
      <w:tr w:rsidR="00BA1532" w:rsidTr="005277C1">
        <w:trPr>
          <w:trHeight w:val="330"/>
          <w:jc w:val="center"/>
        </w:trPr>
        <w:tc>
          <w:tcPr>
            <w:tcW w:w="4836" w:type="dxa"/>
            <w:noWrap/>
            <w:tcMar>
              <w:top w:w="0" w:type="dxa"/>
              <w:left w:w="70" w:type="dxa"/>
              <w:bottom w:w="0" w:type="dxa"/>
              <w:right w:w="70" w:type="dxa"/>
            </w:tcMar>
            <w:vAlign w:val="center"/>
            <w:hideMark/>
          </w:tcPr>
          <w:p w:rsidR="00BA1532" w:rsidRDefault="00BA1532" w:rsidP="005277C1">
            <w:pPr>
              <w:rPr>
                <w:rFonts w:ascii="Calibri" w:hAnsi="Calibri" w:cs="Calibri"/>
              </w:rPr>
            </w:pPr>
            <w:r>
              <w:rPr>
                <w:rFonts w:ascii="Arial Narrow" w:hAnsi="Arial Narrow" w:cs="Calibri"/>
                <w:color w:val="000000"/>
              </w:rPr>
              <w:t>Tabak</w:t>
            </w:r>
          </w:p>
        </w:tc>
        <w:tc>
          <w:tcPr>
            <w:tcW w:w="861"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0</w:t>
            </w:r>
          </w:p>
        </w:tc>
        <w:tc>
          <w:tcPr>
            <w:tcW w:w="861"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7</w:t>
            </w:r>
          </w:p>
        </w:tc>
        <w:tc>
          <w:tcPr>
            <w:tcW w:w="1097" w:type="dxa"/>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17</w:t>
            </w:r>
          </w:p>
        </w:tc>
      </w:tr>
      <w:tr w:rsidR="00BA1532" w:rsidTr="005277C1">
        <w:trPr>
          <w:trHeight w:val="345"/>
          <w:jc w:val="center"/>
        </w:trPr>
        <w:tc>
          <w:tcPr>
            <w:tcW w:w="4836" w:type="dxa"/>
            <w:noWrap/>
            <w:tcMar>
              <w:top w:w="0" w:type="dxa"/>
              <w:left w:w="70" w:type="dxa"/>
              <w:bottom w:w="0" w:type="dxa"/>
              <w:right w:w="70" w:type="dxa"/>
            </w:tcMar>
            <w:vAlign w:val="center"/>
            <w:hideMark/>
          </w:tcPr>
          <w:p w:rsidR="00BA1532" w:rsidRDefault="00BA1532" w:rsidP="005277C1">
            <w:pPr>
              <w:rPr>
                <w:rFonts w:ascii="Calibri" w:hAnsi="Calibri" w:cs="Calibri"/>
              </w:rPr>
            </w:pPr>
            <w:r>
              <w:rPr>
                <w:rFonts w:ascii="Arial Narrow" w:hAnsi="Arial Narrow" w:cs="Calibri"/>
                <w:color w:val="000000"/>
              </w:rPr>
              <w:t>Bezdymové tabakové výrobky (§ 19aa)</w:t>
            </w:r>
          </w:p>
        </w:tc>
        <w:tc>
          <w:tcPr>
            <w:tcW w:w="861"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0</w:t>
            </w:r>
          </w:p>
        </w:tc>
        <w:tc>
          <w:tcPr>
            <w:tcW w:w="861"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8</w:t>
            </w:r>
          </w:p>
        </w:tc>
        <w:tc>
          <w:tcPr>
            <w:tcW w:w="1097" w:type="dxa"/>
            <w:tcBorders>
              <w:top w:val="nil"/>
              <w:left w:val="nil"/>
              <w:bottom w:val="single" w:sz="8" w:space="0" w:color="auto"/>
              <w:right w:val="nil"/>
            </w:tcBorders>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12</w:t>
            </w:r>
          </w:p>
        </w:tc>
      </w:tr>
      <w:tr w:rsidR="00BA1532" w:rsidTr="005277C1">
        <w:trPr>
          <w:trHeight w:val="330"/>
          <w:jc w:val="center"/>
        </w:trPr>
        <w:tc>
          <w:tcPr>
            <w:tcW w:w="4836" w:type="dxa"/>
            <w:tcBorders>
              <w:top w:val="single" w:sz="8" w:space="0" w:color="auto"/>
              <w:left w:val="nil"/>
              <w:bottom w:val="nil"/>
              <w:right w:val="nil"/>
            </w:tcBorders>
            <w:noWrap/>
            <w:tcMar>
              <w:top w:w="0" w:type="dxa"/>
              <w:left w:w="70" w:type="dxa"/>
              <w:bottom w:w="0" w:type="dxa"/>
              <w:right w:w="70" w:type="dxa"/>
            </w:tcMar>
            <w:vAlign w:val="center"/>
            <w:hideMark/>
          </w:tcPr>
          <w:p w:rsidR="00BA1532" w:rsidRDefault="00BA1532" w:rsidP="005277C1">
            <w:pPr>
              <w:rPr>
                <w:rFonts w:ascii="Calibri" w:hAnsi="Calibri" w:cs="Calibri"/>
              </w:rPr>
            </w:pPr>
            <w:r>
              <w:rPr>
                <w:rFonts w:ascii="Arial Narrow" w:hAnsi="Arial Narrow" w:cs="Calibri"/>
                <w:color w:val="000000"/>
              </w:rPr>
              <w:t>Spotrebná daň spolu</w:t>
            </w:r>
          </w:p>
        </w:tc>
        <w:tc>
          <w:tcPr>
            <w:tcW w:w="861" w:type="dxa"/>
            <w:tcBorders>
              <w:top w:val="single" w:sz="8" w:space="0" w:color="auto"/>
              <w:left w:val="nil"/>
              <w:bottom w:val="nil"/>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12</w:t>
            </w:r>
          </w:p>
        </w:tc>
        <w:tc>
          <w:tcPr>
            <w:tcW w:w="861" w:type="dxa"/>
            <w:tcBorders>
              <w:top w:val="single" w:sz="8" w:space="0" w:color="auto"/>
              <w:left w:val="nil"/>
              <w:bottom w:val="nil"/>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105</w:t>
            </w:r>
          </w:p>
        </w:tc>
        <w:tc>
          <w:tcPr>
            <w:tcW w:w="1097" w:type="dxa"/>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150</w:t>
            </w:r>
          </w:p>
        </w:tc>
      </w:tr>
      <w:tr w:rsidR="00BA1532" w:rsidTr="005277C1">
        <w:trPr>
          <w:trHeight w:val="345"/>
          <w:jc w:val="center"/>
        </w:trPr>
        <w:tc>
          <w:tcPr>
            <w:tcW w:w="4836" w:type="dxa"/>
            <w:tcBorders>
              <w:top w:val="nil"/>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rPr>
                <w:rFonts w:ascii="Calibri" w:hAnsi="Calibri" w:cs="Calibri"/>
              </w:rPr>
            </w:pPr>
            <w:r>
              <w:rPr>
                <w:rFonts w:ascii="Arial Narrow" w:hAnsi="Arial Narrow" w:cs="Calibri"/>
                <w:color w:val="000000"/>
              </w:rPr>
              <w:t>Dodatočná DPH</w:t>
            </w:r>
          </w:p>
        </w:tc>
        <w:tc>
          <w:tcPr>
            <w:tcW w:w="861" w:type="dxa"/>
            <w:tcBorders>
              <w:top w:val="nil"/>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3</w:t>
            </w:r>
          </w:p>
        </w:tc>
        <w:tc>
          <w:tcPr>
            <w:tcW w:w="861" w:type="dxa"/>
            <w:tcBorders>
              <w:top w:val="nil"/>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21</w:t>
            </w:r>
          </w:p>
        </w:tc>
        <w:tc>
          <w:tcPr>
            <w:tcW w:w="1097" w:type="dxa"/>
            <w:tcBorders>
              <w:top w:val="nil"/>
              <w:left w:val="nil"/>
              <w:bottom w:val="single" w:sz="8" w:space="0" w:color="auto"/>
              <w:right w:val="nil"/>
            </w:tcBorders>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color w:val="000000"/>
              </w:rPr>
              <w:t>30</w:t>
            </w:r>
          </w:p>
        </w:tc>
      </w:tr>
      <w:tr w:rsidR="00BA1532" w:rsidTr="005277C1">
        <w:trPr>
          <w:trHeight w:val="345"/>
          <w:jc w:val="center"/>
        </w:trPr>
        <w:tc>
          <w:tcPr>
            <w:tcW w:w="4836" w:type="dxa"/>
            <w:tcBorders>
              <w:top w:val="nil"/>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rPr>
                <w:rFonts w:ascii="Calibri" w:hAnsi="Calibri" w:cs="Calibri"/>
              </w:rPr>
            </w:pPr>
            <w:r>
              <w:rPr>
                <w:rFonts w:ascii="Arial Narrow" w:hAnsi="Arial Narrow" w:cs="Calibri"/>
                <w:b/>
                <w:bCs/>
                <w:color w:val="000000"/>
              </w:rPr>
              <w:t>Celkový vplyv na príjmy ŠR</w:t>
            </w:r>
          </w:p>
        </w:tc>
        <w:tc>
          <w:tcPr>
            <w:tcW w:w="861" w:type="dxa"/>
            <w:tcBorders>
              <w:top w:val="nil"/>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b/>
                <w:bCs/>
                <w:color w:val="000000"/>
              </w:rPr>
              <w:t>15</w:t>
            </w:r>
          </w:p>
        </w:tc>
        <w:tc>
          <w:tcPr>
            <w:tcW w:w="861" w:type="dxa"/>
            <w:tcBorders>
              <w:top w:val="nil"/>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b/>
                <w:bCs/>
                <w:color w:val="000000"/>
              </w:rPr>
              <w:t>126</w:t>
            </w:r>
          </w:p>
        </w:tc>
        <w:tc>
          <w:tcPr>
            <w:tcW w:w="1097" w:type="dxa"/>
            <w:tcBorders>
              <w:top w:val="nil"/>
              <w:left w:val="nil"/>
              <w:bottom w:val="single" w:sz="8" w:space="0" w:color="auto"/>
              <w:right w:val="nil"/>
            </w:tcBorders>
            <w:noWrap/>
            <w:tcMar>
              <w:top w:w="0" w:type="dxa"/>
              <w:left w:w="70" w:type="dxa"/>
              <w:bottom w:w="0" w:type="dxa"/>
              <w:right w:w="70" w:type="dxa"/>
            </w:tcMar>
            <w:vAlign w:val="center"/>
            <w:hideMark/>
          </w:tcPr>
          <w:p w:rsidR="00BA1532" w:rsidRDefault="00BA1532" w:rsidP="005277C1">
            <w:pPr>
              <w:jc w:val="center"/>
              <w:rPr>
                <w:rFonts w:ascii="Calibri" w:hAnsi="Calibri" w:cs="Calibri"/>
              </w:rPr>
            </w:pPr>
            <w:r>
              <w:rPr>
                <w:rFonts w:ascii="Arial Narrow" w:hAnsi="Arial Narrow" w:cs="Calibri"/>
                <w:b/>
                <w:bCs/>
                <w:color w:val="000000"/>
              </w:rPr>
              <w:t>180</w:t>
            </w:r>
          </w:p>
        </w:tc>
      </w:tr>
    </w:tbl>
    <w:p w:rsidR="00BA1532" w:rsidRPr="007B7470" w:rsidRDefault="00BA1532" w:rsidP="00BA1532">
      <w:pPr>
        <w:tabs>
          <w:tab w:val="num" w:pos="1080"/>
        </w:tabs>
        <w:jc w:val="both"/>
        <w:rPr>
          <w:bCs/>
          <w:szCs w:val="20"/>
        </w:rPr>
        <w:sectPr w:rsidR="00BA1532" w:rsidRPr="007B7470" w:rsidSect="00B3448D">
          <w:headerReference w:type="even" r:id="rId11"/>
          <w:headerReference w:type="default" r:id="rId12"/>
          <w:footerReference w:type="even" r:id="rId13"/>
          <w:footerReference w:type="default" r:id="rId14"/>
          <w:headerReference w:type="first" r:id="rId15"/>
          <w:footerReference w:type="first" r:id="rId16"/>
          <w:pgSz w:w="11906" w:h="16838"/>
          <w:pgMar w:top="1276" w:right="1276" w:bottom="1276" w:left="1276" w:header="709" w:footer="709" w:gutter="0"/>
          <w:pgNumType w:start="1"/>
          <w:cols w:space="708"/>
          <w:docGrid w:linePitch="360"/>
        </w:sectPr>
      </w:pPr>
    </w:p>
    <w:p w:rsidR="00BA1532" w:rsidRPr="007B7470" w:rsidRDefault="00BA1532" w:rsidP="00BA1532">
      <w:pPr>
        <w:tabs>
          <w:tab w:val="num" w:pos="1080"/>
        </w:tabs>
        <w:jc w:val="center"/>
        <w:rPr>
          <w:bCs/>
          <w:sz w:val="20"/>
          <w:szCs w:val="20"/>
        </w:rPr>
      </w:pPr>
      <w:r w:rsidRPr="007B7470">
        <w:rPr>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A1532" w:rsidRPr="007B7470" w:rsidTr="005277C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rPr>
            </w:pPr>
            <w:r w:rsidRPr="007B747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sidRPr="007B747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A1532" w:rsidRPr="007B7470" w:rsidRDefault="00BA1532" w:rsidP="005277C1">
            <w:pPr>
              <w:jc w:val="center"/>
              <w:rPr>
                <w:b/>
                <w:bCs/>
              </w:rPr>
            </w:pPr>
            <w:r w:rsidRPr="007B7470">
              <w:rPr>
                <w:b/>
                <w:bCs/>
              </w:rPr>
              <w:t>poznámka</w:t>
            </w:r>
          </w:p>
        </w:tc>
      </w:tr>
      <w:tr w:rsidR="00BA1532" w:rsidRPr="007B7470" w:rsidTr="005277C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BA1532" w:rsidRPr="007B7470" w:rsidRDefault="00BA1532" w:rsidP="005277C1">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Pr>
                <w:b/>
                <w:bCs/>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sidRPr="007B7470">
              <w:rPr>
                <w:b/>
                <w:bCs/>
              </w:rPr>
              <w:t>2</w:t>
            </w:r>
            <w:r>
              <w:rPr>
                <w:b/>
                <w:bCs/>
              </w:rPr>
              <w:t>026</w:t>
            </w:r>
          </w:p>
        </w:tc>
        <w:tc>
          <w:tcPr>
            <w:tcW w:w="150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Pr>
                <w:b/>
                <w:bCs/>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BA1532" w:rsidRPr="007B7470" w:rsidRDefault="00BA1532" w:rsidP="005277C1">
            <w:pPr>
              <w:rPr>
                <w:b/>
                <w:bCs/>
                <w:color w:val="FFFFFF"/>
              </w:rPr>
            </w:pPr>
          </w:p>
        </w:tc>
      </w:tr>
      <w:tr w:rsidR="00BA1532" w:rsidRPr="007B7470" w:rsidTr="005277C1">
        <w:trPr>
          <w:trHeight w:val="255"/>
        </w:trPr>
        <w:tc>
          <w:tcPr>
            <w:tcW w:w="4950" w:type="dxa"/>
            <w:tcBorders>
              <w:top w:val="nil"/>
              <w:left w:val="single" w:sz="4" w:space="0" w:color="auto"/>
              <w:bottom w:val="single" w:sz="4" w:space="0" w:color="auto"/>
              <w:right w:val="single" w:sz="4" w:space="0" w:color="auto"/>
            </w:tcBorders>
          </w:tcPr>
          <w:p w:rsidR="00BA1532" w:rsidRPr="007B7470" w:rsidRDefault="00BA1532" w:rsidP="005277C1">
            <w:pPr>
              <w:rPr>
                <w:b/>
                <w:bCs/>
                <w:vertAlign w:val="superscript"/>
              </w:rPr>
            </w:pPr>
            <w:r w:rsidRPr="007B7470">
              <w:rPr>
                <w:b/>
                <w:bCs/>
              </w:rPr>
              <w:t>Daňové príjmy (100)</w:t>
            </w:r>
            <w:r w:rsidRPr="007B7470">
              <w:rPr>
                <w:b/>
                <w:bCs/>
                <w:vertAlign w:val="superscript"/>
              </w:rPr>
              <w:t>1</w:t>
            </w:r>
          </w:p>
        </w:tc>
        <w:tc>
          <w:tcPr>
            <w:tcW w:w="1500" w:type="dxa"/>
            <w:tcBorders>
              <w:top w:val="nil"/>
              <w:left w:val="nil"/>
              <w:bottom w:val="single" w:sz="4" w:space="0" w:color="auto"/>
              <w:right w:val="single" w:sz="4" w:space="0" w:color="auto"/>
            </w:tcBorders>
            <w:vAlign w:val="center"/>
          </w:tcPr>
          <w:p w:rsidR="00BA1532" w:rsidRPr="007B7470" w:rsidRDefault="00BA1532" w:rsidP="005277C1">
            <w:pPr>
              <w:jc w:val="center"/>
              <w:rPr>
                <w:b/>
                <w:bCs/>
              </w:rPr>
            </w:pPr>
            <w:r w:rsidRPr="007B7470">
              <w:rPr>
                <w:b/>
                <w:bCs/>
                <w:iCs/>
              </w:rPr>
              <w:t>0</w:t>
            </w:r>
          </w:p>
        </w:tc>
        <w:tc>
          <w:tcPr>
            <w:tcW w:w="1500" w:type="dxa"/>
            <w:tcBorders>
              <w:top w:val="nil"/>
              <w:left w:val="nil"/>
              <w:bottom w:val="single" w:sz="4" w:space="0" w:color="auto"/>
              <w:right w:val="single" w:sz="4" w:space="0" w:color="auto"/>
            </w:tcBorders>
            <w:vAlign w:val="center"/>
          </w:tcPr>
          <w:p w:rsidR="00BA1532" w:rsidRPr="007B7470" w:rsidRDefault="00BA1532" w:rsidP="005277C1">
            <w:pPr>
              <w:jc w:val="center"/>
              <w:rPr>
                <w:b/>
                <w:bCs/>
              </w:rPr>
            </w:pPr>
            <w:r>
              <w:rPr>
                <w:b/>
                <w:bCs/>
                <w:iCs/>
              </w:rPr>
              <w:t>15 000 000</w:t>
            </w:r>
          </w:p>
        </w:tc>
        <w:tc>
          <w:tcPr>
            <w:tcW w:w="1500" w:type="dxa"/>
            <w:tcBorders>
              <w:top w:val="nil"/>
              <w:left w:val="nil"/>
              <w:bottom w:val="single" w:sz="4" w:space="0" w:color="auto"/>
              <w:right w:val="single" w:sz="4" w:space="0" w:color="auto"/>
            </w:tcBorders>
            <w:vAlign w:val="center"/>
          </w:tcPr>
          <w:p w:rsidR="00BA1532" w:rsidRPr="007B7470" w:rsidRDefault="00BA1532" w:rsidP="005277C1">
            <w:pPr>
              <w:jc w:val="center"/>
              <w:rPr>
                <w:b/>
                <w:bCs/>
              </w:rPr>
            </w:pPr>
            <w:r>
              <w:rPr>
                <w:b/>
                <w:bCs/>
                <w:iCs/>
              </w:rPr>
              <w:t>126 000 000</w:t>
            </w:r>
          </w:p>
        </w:tc>
        <w:tc>
          <w:tcPr>
            <w:tcW w:w="1500" w:type="dxa"/>
            <w:tcBorders>
              <w:top w:val="nil"/>
              <w:left w:val="nil"/>
              <w:bottom w:val="single" w:sz="4" w:space="0" w:color="auto"/>
              <w:right w:val="single" w:sz="4" w:space="0" w:color="auto"/>
            </w:tcBorders>
            <w:vAlign w:val="center"/>
          </w:tcPr>
          <w:p w:rsidR="00BA1532" w:rsidRPr="007B7470" w:rsidRDefault="00BA1532" w:rsidP="005277C1">
            <w:pPr>
              <w:jc w:val="center"/>
              <w:rPr>
                <w:b/>
                <w:bCs/>
              </w:rPr>
            </w:pPr>
            <w:r>
              <w:rPr>
                <w:b/>
                <w:bCs/>
                <w:iCs/>
              </w:rPr>
              <w:t>180 000 000</w:t>
            </w:r>
          </w:p>
        </w:tc>
        <w:tc>
          <w:tcPr>
            <w:tcW w:w="3000"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4950" w:type="dxa"/>
            <w:tcBorders>
              <w:top w:val="nil"/>
              <w:left w:val="single" w:sz="4" w:space="0" w:color="auto"/>
              <w:bottom w:val="single" w:sz="4" w:space="0" w:color="auto"/>
              <w:right w:val="single" w:sz="4" w:space="0" w:color="auto"/>
            </w:tcBorders>
            <w:vAlign w:val="center"/>
          </w:tcPr>
          <w:p w:rsidR="00BA1532" w:rsidRPr="007B7470" w:rsidRDefault="00BA1532" w:rsidP="005277C1">
            <w:pPr>
              <w:rPr>
                <w:b/>
                <w:bCs/>
              </w:rPr>
            </w:pPr>
            <w:r w:rsidRPr="006E1A3B">
              <w:rPr>
                <w:bCs/>
                <w:iCs/>
              </w:rPr>
              <w:t>v tom</w:t>
            </w:r>
            <w:r>
              <w:rPr>
                <w:bCs/>
                <w:iCs/>
              </w:rPr>
              <w:t>: (131) daň z pridanej hodnoty</w:t>
            </w:r>
          </w:p>
        </w:tc>
        <w:tc>
          <w:tcPr>
            <w:tcW w:w="1500" w:type="dxa"/>
            <w:tcBorders>
              <w:top w:val="nil"/>
              <w:left w:val="nil"/>
              <w:bottom w:val="single" w:sz="4" w:space="0" w:color="auto"/>
              <w:right w:val="single" w:sz="4" w:space="0" w:color="auto"/>
            </w:tcBorders>
            <w:vAlign w:val="center"/>
          </w:tcPr>
          <w:p w:rsidR="00BA1532" w:rsidRPr="00C552D4" w:rsidRDefault="00BA1532" w:rsidP="005277C1">
            <w:pPr>
              <w:jc w:val="center"/>
              <w:rPr>
                <w:bCs/>
              </w:rPr>
            </w:pPr>
            <w:r w:rsidRPr="00C552D4">
              <w:rPr>
                <w:bCs/>
                <w:iCs/>
              </w:rPr>
              <w:t>0</w:t>
            </w:r>
          </w:p>
        </w:tc>
        <w:tc>
          <w:tcPr>
            <w:tcW w:w="1500" w:type="dxa"/>
            <w:tcBorders>
              <w:top w:val="nil"/>
              <w:left w:val="nil"/>
              <w:bottom w:val="single" w:sz="4" w:space="0" w:color="auto"/>
              <w:right w:val="single" w:sz="4" w:space="0" w:color="auto"/>
            </w:tcBorders>
            <w:vAlign w:val="center"/>
          </w:tcPr>
          <w:p w:rsidR="00BA1532" w:rsidRPr="00C552D4" w:rsidRDefault="00BA1532" w:rsidP="005277C1">
            <w:pPr>
              <w:jc w:val="center"/>
              <w:rPr>
                <w:bCs/>
              </w:rPr>
            </w:pPr>
            <w:r>
              <w:rPr>
                <w:bCs/>
                <w:iCs/>
              </w:rPr>
              <w:t>3</w:t>
            </w:r>
            <w:r w:rsidRPr="00C552D4">
              <w:rPr>
                <w:bCs/>
                <w:iCs/>
              </w:rPr>
              <w:t> 000 000</w:t>
            </w:r>
          </w:p>
        </w:tc>
        <w:tc>
          <w:tcPr>
            <w:tcW w:w="1500" w:type="dxa"/>
            <w:tcBorders>
              <w:top w:val="nil"/>
              <w:left w:val="nil"/>
              <w:bottom w:val="single" w:sz="4" w:space="0" w:color="auto"/>
              <w:right w:val="single" w:sz="4" w:space="0" w:color="auto"/>
            </w:tcBorders>
            <w:vAlign w:val="center"/>
          </w:tcPr>
          <w:p w:rsidR="00BA1532" w:rsidRPr="00C552D4" w:rsidRDefault="00BA1532" w:rsidP="005277C1">
            <w:pPr>
              <w:jc w:val="center"/>
              <w:rPr>
                <w:bCs/>
              </w:rPr>
            </w:pPr>
            <w:r>
              <w:rPr>
                <w:bCs/>
                <w:iCs/>
              </w:rPr>
              <w:t>21</w:t>
            </w:r>
            <w:r w:rsidRPr="00C552D4">
              <w:rPr>
                <w:bCs/>
                <w:iCs/>
              </w:rPr>
              <w:t> 000 000</w:t>
            </w:r>
          </w:p>
        </w:tc>
        <w:tc>
          <w:tcPr>
            <w:tcW w:w="1500" w:type="dxa"/>
            <w:tcBorders>
              <w:top w:val="nil"/>
              <w:left w:val="nil"/>
              <w:bottom w:val="single" w:sz="4" w:space="0" w:color="auto"/>
              <w:right w:val="single" w:sz="4" w:space="0" w:color="auto"/>
            </w:tcBorders>
            <w:vAlign w:val="center"/>
          </w:tcPr>
          <w:p w:rsidR="00BA1532" w:rsidRPr="00C552D4" w:rsidRDefault="00BA1532" w:rsidP="005277C1">
            <w:pPr>
              <w:jc w:val="center"/>
              <w:rPr>
                <w:bCs/>
              </w:rPr>
            </w:pPr>
            <w:r>
              <w:rPr>
                <w:bCs/>
                <w:iCs/>
              </w:rPr>
              <w:t>30</w:t>
            </w:r>
            <w:r w:rsidRPr="00C552D4">
              <w:rPr>
                <w:bCs/>
                <w:iCs/>
              </w:rPr>
              <w:t> 000 000</w:t>
            </w:r>
          </w:p>
        </w:tc>
        <w:tc>
          <w:tcPr>
            <w:tcW w:w="3000" w:type="dxa"/>
            <w:tcBorders>
              <w:top w:val="nil"/>
              <w:left w:val="nil"/>
              <w:bottom w:val="single" w:sz="4" w:space="0" w:color="auto"/>
              <w:right w:val="single" w:sz="4" w:space="0" w:color="auto"/>
            </w:tcBorders>
            <w:noWrap/>
            <w:vAlign w:val="bottom"/>
          </w:tcPr>
          <w:p w:rsidR="00BA1532" w:rsidRPr="007B7470" w:rsidRDefault="00BA1532" w:rsidP="005277C1"/>
        </w:tc>
      </w:tr>
      <w:tr w:rsidR="00BA1532" w:rsidRPr="007B7470" w:rsidTr="005277C1">
        <w:trPr>
          <w:trHeight w:val="255"/>
        </w:trPr>
        <w:tc>
          <w:tcPr>
            <w:tcW w:w="4950" w:type="dxa"/>
            <w:tcBorders>
              <w:top w:val="nil"/>
              <w:left w:val="single" w:sz="4" w:space="0" w:color="auto"/>
              <w:bottom w:val="single" w:sz="4" w:space="0" w:color="auto"/>
              <w:right w:val="single" w:sz="4" w:space="0" w:color="auto"/>
            </w:tcBorders>
            <w:vAlign w:val="center"/>
          </w:tcPr>
          <w:p w:rsidR="00BA1532" w:rsidRPr="007B7470" w:rsidRDefault="00BA1532" w:rsidP="005277C1">
            <w:pPr>
              <w:rPr>
                <w:b/>
                <w:bCs/>
              </w:rPr>
            </w:pPr>
            <w:r w:rsidRPr="006E1A3B">
              <w:rPr>
                <w:bCs/>
                <w:iCs/>
              </w:rPr>
              <w:t>v tom</w:t>
            </w:r>
            <w:r>
              <w:rPr>
                <w:bCs/>
                <w:iCs/>
              </w:rPr>
              <w:t>: (132 009) spotrebná daň z tabakových výrobkov</w:t>
            </w:r>
          </w:p>
        </w:tc>
        <w:tc>
          <w:tcPr>
            <w:tcW w:w="1500" w:type="dxa"/>
            <w:tcBorders>
              <w:top w:val="nil"/>
              <w:left w:val="nil"/>
              <w:bottom w:val="single" w:sz="4" w:space="0" w:color="auto"/>
              <w:right w:val="single" w:sz="4" w:space="0" w:color="auto"/>
            </w:tcBorders>
            <w:vAlign w:val="center"/>
          </w:tcPr>
          <w:p w:rsidR="00BA1532" w:rsidRPr="00C552D4" w:rsidRDefault="00BA1532" w:rsidP="005277C1">
            <w:pPr>
              <w:jc w:val="center"/>
              <w:rPr>
                <w:bCs/>
              </w:rPr>
            </w:pPr>
            <w:r w:rsidRPr="00C552D4">
              <w:rPr>
                <w:bCs/>
                <w:iCs/>
              </w:rPr>
              <w:t>0</w:t>
            </w:r>
          </w:p>
        </w:tc>
        <w:tc>
          <w:tcPr>
            <w:tcW w:w="1500" w:type="dxa"/>
            <w:tcBorders>
              <w:top w:val="nil"/>
              <w:left w:val="nil"/>
              <w:bottom w:val="single" w:sz="4" w:space="0" w:color="auto"/>
              <w:right w:val="single" w:sz="4" w:space="0" w:color="auto"/>
            </w:tcBorders>
            <w:vAlign w:val="center"/>
          </w:tcPr>
          <w:p w:rsidR="00BA1532" w:rsidRPr="00C552D4" w:rsidRDefault="00BA1532" w:rsidP="005277C1">
            <w:pPr>
              <w:jc w:val="center"/>
              <w:rPr>
                <w:bCs/>
              </w:rPr>
            </w:pPr>
            <w:r>
              <w:rPr>
                <w:bCs/>
                <w:iCs/>
              </w:rPr>
              <w:t>12</w:t>
            </w:r>
            <w:r w:rsidRPr="00C552D4">
              <w:rPr>
                <w:bCs/>
                <w:iCs/>
              </w:rPr>
              <w:t> 000 000</w:t>
            </w:r>
          </w:p>
        </w:tc>
        <w:tc>
          <w:tcPr>
            <w:tcW w:w="1500" w:type="dxa"/>
            <w:tcBorders>
              <w:top w:val="nil"/>
              <w:left w:val="nil"/>
              <w:bottom w:val="single" w:sz="4" w:space="0" w:color="auto"/>
              <w:right w:val="single" w:sz="4" w:space="0" w:color="auto"/>
            </w:tcBorders>
            <w:vAlign w:val="center"/>
          </w:tcPr>
          <w:p w:rsidR="00BA1532" w:rsidRPr="00C552D4" w:rsidRDefault="00BA1532" w:rsidP="005277C1">
            <w:pPr>
              <w:jc w:val="center"/>
              <w:rPr>
                <w:bCs/>
              </w:rPr>
            </w:pPr>
            <w:r>
              <w:rPr>
                <w:bCs/>
                <w:iCs/>
              </w:rPr>
              <w:t>105</w:t>
            </w:r>
            <w:r w:rsidRPr="00C552D4">
              <w:rPr>
                <w:bCs/>
                <w:iCs/>
              </w:rPr>
              <w:t> 000 000</w:t>
            </w:r>
          </w:p>
        </w:tc>
        <w:tc>
          <w:tcPr>
            <w:tcW w:w="1500" w:type="dxa"/>
            <w:tcBorders>
              <w:top w:val="nil"/>
              <w:left w:val="nil"/>
              <w:bottom w:val="single" w:sz="4" w:space="0" w:color="auto"/>
              <w:right w:val="single" w:sz="4" w:space="0" w:color="auto"/>
            </w:tcBorders>
            <w:vAlign w:val="center"/>
          </w:tcPr>
          <w:p w:rsidR="00BA1532" w:rsidRPr="00C552D4" w:rsidRDefault="00BA1532" w:rsidP="005277C1">
            <w:pPr>
              <w:jc w:val="center"/>
              <w:rPr>
                <w:bCs/>
              </w:rPr>
            </w:pPr>
            <w:r>
              <w:rPr>
                <w:bCs/>
                <w:iCs/>
              </w:rPr>
              <w:t>1</w:t>
            </w:r>
            <w:r w:rsidRPr="00C552D4">
              <w:rPr>
                <w:bCs/>
                <w:iCs/>
              </w:rPr>
              <w:t>5</w:t>
            </w:r>
            <w:r>
              <w:rPr>
                <w:bCs/>
                <w:iCs/>
              </w:rPr>
              <w:t>0</w:t>
            </w:r>
            <w:r w:rsidRPr="00C552D4">
              <w:rPr>
                <w:bCs/>
                <w:iCs/>
              </w:rPr>
              <w:t> 000 000</w:t>
            </w:r>
          </w:p>
        </w:tc>
        <w:tc>
          <w:tcPr>
            <w:tcW w:w="3000" w:type="dxa"/>
            <w:tcBorders>
              <w:top w:val="nil"/>
              <w:left w:val="nil"/>
              <w:bottom w:val="single" w:sz="4" w:space="0" w:color="auto"/>
              <w:right w:val="single" w:sz="4" w:space="0" w:color="auto"/>
            </w:tcBorders>
            <w:noWrap/>
            <w:vAlign w:val="bottom"/>
          </w:tcPr>
          <w:p w:rsidR="00BA1532" w:rsidRPr="007B7470" w:rsidRDefault="00BA1532" w:rsidP="005277C1"/>
        </w:tc>
      </w:tr>
      <w:tr w:rsidR="00BA1532" w:rsidRPr="007B7470" w:rsidTr="005277C1">
        <w:trPr>
          <w:trHeight w:val="255"/>
        </w:trPr>
        <w:tc>
          <w:tcPr>
            <w:tcW w:w="4950"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Nedaňové príjmy (200)</w:t>
            </w:r>
            <w:r w:rsidRPr="007B7470">
              <w:rPr>
                <w:b/>
                <w:bCs/>
                <w:vertAlign w:val="superscript"/>
              </w:rPr>
              <w:t>1</w:t>
            </w:r>
          </w:p>
        </w:tc>
        <w:tc>
          <w:tcPr>
            <w:tcW w:w="1500" w:type="dxa"/>
            <w:tcBorders>
              <w:top w:val="nil"/>
              <w:left w:val="nil"/>
              <w:bottom w:val="single" w:sz="4" w:space="0" w:color="auto"/>
              <w:right w:val="single" w:sz="4" w:space="0" w:color="auto"/>
            </w:tcBorders>
          </w:tcPr>
          <w:p w:rsidR="00BA1532" w:rsidRPr="007B7470" w:rsidRDefault="00BA1532" w:rsidP="005277C1">
            <w:pPr>
              <w:jc w:val="center"/>
              <w:rPr>
                <w:b/>
                <w:bCs/>
              </w:rPr>
            </w:pPr>
            <w:r>
              <w:rPr>
                <w:b/>
                <w:bCs/>
              </w:rPr>
              <w:t>0</w:t>
            </w:r>
          </w:p>
        </w:tc>
        <w:tc>
          <w:tcPr>
            <w:tcW w:w="1500" w:type="dxa"/>
            <w:tcBorders>
              <w:top w:val="nil"/>
              <w:left w:val="nil"/>
              <w:bottom w:val="single" w:sz="4" w:space="0" w:color="auto"/>
              <w:right w:val="single" w:sz="4" w:space="0" w:color="auto"/>
            </w:tcBorders>
          </w:tcPr>
          <w:p w:rsidR="00BA1532" w:rsidRPr="007B7470" w:rsidRDefault="00BA1532" w:rsidP="005277C1">
            <w:pPr>
              <w:jc w:val="center"/>
              <w:rPr>
                <w:b/>
                <w:bCs/>
              </w:rPr>
            </w:pPr>
            <w:r w:rsidRPr="00E3037A">
              <w:rPr>
                <w:b/>
                <w:bCs/>
              </w:rPr>
              <w:t>0</w:t>
            </w:r>
          </w:p>
        </w:tc>
        <w:tc>
          <w:tcPr>
            <w:tcW w:w="1500" w:type="dxa"/>
            <w:tcBorders>
              <w:top w:val="nil"/>
              <w:left w:val="nil"/>
              <w:bottom w:val="single" w:sz="4" w:space="0" w:color="auto"/>
              <w:right w:val="single" w:sz="4" w:space="0" w:color="auto"/>
            </w:tcBorders>
          </w:tcPr>
          <w:p w:rsidR="00BA1532" w:rsidRPr="007B7470" w:rsidRDefault="00BA1532" w:rsidP="005277C1">
            <w:pPr>
              <w:jc w:val="center"/>
              <w:rPr>
                <w:b/>
                <w:bCs/>
              </w:rPr>
            </w:pPr>
            <w:r w:rsidRPr="00E3037A">
              <w:rPr>
                <w:b/>
                <w:bCs/>
              </w:rPr>
              <w:t>0</w:t>
            </w:r>
          </w:p>
        </w:tc>
        <w:tc>
          <w:tcPr>
            <w:tcW w:w="1500" w:type="dxa"/>
            <w:tcBorders>
              <w:top w:val="nil"/>
              <w:left w:val="nil"/>
              <w:bottom w:val="single" w:sz="4" w:space="0" w:color="auto"/>
              <w:right w:val="single" w:sz="4" w:space="0" w:color="auto"/>
            </w:tcBorders>
          </w:tcPr>
          <w:p w:rsidR="00BA1532" w:rsidRPr="007B7470" w:rsidRDefault="00BA1532" w:rsidP="005277C1">
            <w:pPr>
              <w:jc w:val="center"/>
              <w:rPr>
                <w:b/>
                <w:bCs/>
              </w:rPr>
            </w:pPr>
            <w:r w:rsidRPr="00E3037A">
              <w:rPr>
                <w:b/>
                <w:bCs/>
              </w:rPr>
              <w:t>0</w:t>
            </w:r>
          </w:p>
        </w:tc>
        <w:tc>
          <w:tcPr>
            <w:tcW w:w="3000"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4950"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Granty a transfery (300)</w:t>
            </w:r>
            <w:r w:rsidRPr="007B7470">
              <w:rPr>
                <w:b/>
                <w:bCs/>
                <w:vertAlign w:val="superscript"/>
              </w:rPr>
              <w:t>1</w:t>
            </w:r>
          </w:p>
        </w:tc>
        <w:tc>
          <w:tcPr>
            <w:tcW w:w="1500" w:type="dxa"/>
            <w:tcBorders>
              <w:top w:val="nil"/>
              <w:left w:val="nil"/>
              <w:bottom w:val="single" w:sz="4" w:space="0" w:color="auto"/>
              <w:right w:val="single" w:sz="4" w:space="0" w:color="auto"/>
            </w:tcBorders>
          </w:tcPr>
          <w:p w:rsidR="00BA1532" w:rsidRPr="007B7470" w:rsidRDefault="00BA1532" w:rsidP="005277C1">
            <w:pPr>
              <w:jc w:val="center"/>
              <w:rPr>
                <w:b/>
                <w:bCs/>
              </w:rPr>
            </w:pPr>
            <w:r>
              <w:rPr>
                <w:b/>
                <w:bCs/>
              </w:rPr>
              <w:t>0</w:t>
            </w:r>
          </w:p>
        </w:tc>
        <w:tc>
          <w:tcPr>
            <w:tcW w:w="1500" w:type="dxa"/>
            <w:tcBorders>
              <w:top w:val="nil"/>
              <w:left w:val="nil"/>
              <w:bottom w:val="single" w:sz="4" w:space="0" w:color="auto"/>
              <w:right w:val="single" w:sz="4" w:space="0" w:color="auto"/>
            </w:tcBorders>
          </w:tcPr>
          <w:p w:rsidR="00BA1532" w:rsidRPr="007B7470" w:rsidRDefault="00BA1532" w:rsidP="005277C1">
            <w:pPr>
              <w:jc w:val="center"/>
              <w:rPr>
                <w:b/>
                <w:bCs/>
              </w:rPr>
            </w:pPr>
            <w:r w:rsidRPr="00E3037A">
              <w:rPr>
                <w:b/>
                <w:bCs/>
              </w:rPr>
              <w:t>0</w:t>
            </w:r>
          </w:p>
        </w:tc>
        <w:tc>
          <w:tcPr>
            <w:tcW w:w="1500" w:type="dxa"/>
            <w:tcBorders>
              <w:top w:val="nil"/>
              <w:left w:val="nil"/>
              <w:bottom w:val="single" w:sz="4" w:space="0" w:color="auto"/>
              <w:right w:val="single" w:sz="4" w:space="0" w:color="auto"/>
            </w:tcBorders>
          </w:tcPr>
          <w:p w:rsidR="00BA1532" w:rsidRPr="007B7470" w:rsidRDefault="00BA1532" w:rsidP="005277C1">
            <w:pPr>
              <w:jc w:val="center"/>
              <w:rPr>
                <w:b/>
                <w:bCs/>
              </w:rPr>
            </w:pPr>
            <w:r w:rsidRPr="00E3037A">
              <w:rPr>
                <w:b/>
                <w:bCs/>
              </w:rPr>
              <w:t>0</w:t>
            </w:r>
          </w:p>
        </w:tc>
        <w:tc>
          <w:tcPr>
            <w:tcW w:w="1500" w:type="dxa"/>
            <w:tcBorders>
              <w:top w:val="nil"/>
              <w:left w:val="nil"/>
              <w:bottom w:val="single" w:sz="4" w:space="0" w:color="auto"/>
              <w:right w:val="single" w:sz="4" w:space="0" w:color="auto"/>
            </w:tcBorders>
          </w:tcPr>
          <w:p w:rsidR="00BA1532" w:rsidRPr="007B7470" w:rsidRDefault="00BA1532" w:rsidP="005277C1">
            <w:pPr>
              <w:jc w:val="center"/>
              <w:rPr>
                <w:b/>
                <w:bCs/>
              </w:rPr>
            </w:pPr>
            <w:r w:rsidRPr="00E3037A">
              <w:rPr>
                <w:b/>
                <w:bCs/>
              </w:rPr>
              <w:t>0</w:t>
            </w:r>
          </w:p>
        </w:tc>
        <w:tc>
          <w:tcPr>
            <w:tcW w:w="3000"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4950"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Pr>
                <w:b/>
                <w:bCs/>
              </w:rPr>
              <w:t>0</w:t>
            </w:r>
          </w:p>
        </w:tc>
        <w:tc>
          <w:tcPr>
            <w:tcW w:w="150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sidRPr="00E3037A">
              <w:rPr>
                <w:b/>
                <w:bCs/>
              </w:rPr>
              <w:t>0</w:t>
            </w:r>
          </w:p>
        </w:tc>
        <w:tc>
          <w:tcPr>
            <w:tcW w:w="150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sidRPr="00E3037A">
              <w:rPr>
                <w:b/>
                <w:bCs/>
              </w:rPr>
              <w:t>0</w:t>
            </w:r>
          </w:p>
        </w:tc>
        <w:tc>
          <w:tcPr>
            <w:tcW w:w="150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sidRPr="00E3037A">
              <w:rPr>
                <w:b/>
                <w:bCs/>
              </w:rPr>
              <w:t>0</w:t>
            </w:r>
          </w:p>
        </w:tc>
        <w:tc>
          <w:tcPr>
            <w:tcW w:w="3000"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4950"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Pr>
                <w:b/>
                <w:bCs/>
              </w:rPr>
              <w:t>0</w:t>
            </w:r>
          </w:p>
        </w:tc>
        <w:tc>
          <w:tcPr>
            <w:tcW w:w="150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sidRPr="00E3037A">
              <w:rPr>
                <w:b/>
                <w:bCs/>
              </w:rPr>
              <w:t>0</w:t>
            </w:r>
          </w:p>
        </w:tc>
        <w:tc>
          <w:tcPr>
            <w:tcW w:w="150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sidRPr="00E3037A">
              <w:rPr>
                <w:b/>
                <w:bCs/>
              </w:rPr>
              <w:t>0</w:t>
            </w:r>
          </w:p>
        </w:tc>
        <w:tc>
          <w:tcPr>
            <w:tcW w:w="150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sidRPr="00E3037A">
              <w:rPr>
                <w:b/>
                <w:bCs/>
              </w:rPr>
              <w:t>0</w:t>
            </w:r>
          </w:p>
        </w:tc>
        <w:tc>
          <w:tcPr>
            <w:tcW w:w="3000"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BA1532" w:rsidRPr="007B7470" w:rsidRDefault="00BA1532" w:rsidP="005277C1">
            <w:pPr>
              <w:rPr>
                <w:b/>
                <w:bCs/>
              </w:rPr>
            </w:pPr>
            <w:r w:rsidRPr="007B7470">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rPr>
            </w:pPr>
            <w:r>
              <w:rPr>
                <w:b/>
                <w:bCs/>
              </w:rPr>
              <w:t>15 000 000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rPr>
            </w:pPr>
            <w:r>
              <w:rPr>
                <w:b/>
                <w:bCs/>
              </w:rPr>
              <w:t>126 000 000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rPr>
            </w:pPr>
            <w:r>
              <w:rPr>
                <w:b/>
                <w:bCs/>
              </w:rPr>
              <w:t>180 000 000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BA1532" w:rsidRPr="007B7470" w:rsidRDefault="00BA1532" w:rsidP="005277C1">
            <w:r w:rsidRPr="007B7470">
              <w:t> </w:t>
            </w:r>
          </w:p>
        </w:tc>
      </w:tr>
    </w:tbl>
    <w:p w:rsidR="00BA1532" w:rsidRPr="007B7470" w:rsidRDefault="00BA1532" w:rsidP="00BA1532">
      <w:pPr>
        <w:tabs>
          <w:tab w:val="num" w:pos="1080"/>
        </w:tabs>
        <w:jc w:val="both"/>
        <w:rPr>
          <w:bCs/>
          <w:sz w:val="20"/>
          <w:szCs w:val="20"/>
        </w:rPr>
      </w:pPr>
      <w:r w:rsidRPr="007B7470">
        <w:rPr>
          <w:bCs/>
          <w:sz w:val="20"/>
          <w:szCs w:val="20"/>
        </w:rPr>
        <w:t>1 –  príjmy rozpísať až do položiek platnej ekonomickej klasifikácie</w:t>
      </w:r>
    </w:p>
    <w:p w:rsidR="00BA1532" w:rsidRPr="007B7470" w:rsidRDefault="00BA1532" w:rsidP="00BA1532">
      <w:pPr>
        <w:tabs>
          <w:tab w:val="num" w:pos="1080"/>
        </w:tabs>
        <w:jc w:val="both"/>
        <w:rPr>
          <w:bCs/>
          <w:szCs w:val="20"/>
        </w:rPr>
      </w:pPr>
    </w:p>
    <w:p w:rsidR="00BA1532" w:rsidRPr="007B7470" w:rsidRDefault="00BA1532" w:rsidP="00BA1532">
      <w:pPr>
        <w:tabs>
          <w:tab w:val="num" w:pos="1080"/>
        </w:tabs>
        <w:jc w:val="both"/>
        <w:rPr>
          <w:b/>
          <w:bCs/>
          <w:szCs w:val="20"/>
        </w:rPr>
      </w:pPr>
      <w:r w:rsidRPr="007B7470">
        <w:rPr>
          <w:b/>
          <w:bCs/>
          <w:szCs w:val="20"/>
        </w:rPr>
        <w:t>Poznámka:</w:t>
      </w:r>
    </w:p>
    <w:p w:rsidR="00BA1532" w:rsidRPr="007B7470" w:rsidRDefault="00BA1532" w:rsidP="00BA1532">
      <w:pPr>
        <w:tabs>
          <w:tab w:val="num" w:pos="1080"/>
        </w:tabs>
        <w:jc w:val="both"/>
        <w:rPr>
          <w:bCs/>
          <w:szCs w:val="20"/>
        </w:rPr>
      </w:pPr>
      <w:r w:rsidRPr="007B7470">
        <w:rPr>
          <w:bCs/>
          <w:szCs w:val="20"/>
        </w:rPr>
        <w:t>Ak sa vplyv týka viacerých subjektov verejnej správy, vypĺňa sa samostatná tabuľka za každý subjekt.</w:t>
      </w:r>
    </w:p>
    <w:p w:rsidR="00BA1532" w:rsidRPr="007B7470" w:rsidRDefault="00BA1532" w:rsidP="00BA1532">
      <w:pPr>
        <w:tabs>
          <w:tab w:val="num" w:pos="1080"/>
        </w:tabs>
        <w:ind w:right="-578"/>
        <w:jc w:val="right"/>
        <w:rPr>
          <w:bCs/>
        </w:rPr>
      </w:pPr>
      <w:r w:rsidRPr="007B7470">
        <w:rPr>
          <w:bCs/>
        </w:rPr>
        <w:t xml:space="preserve"> </w:t>
      </w: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Pr="007B7470" w:rsidRDefault="00BA1532" w:rsidP="00BA1532">
      <w:pPr>
        <w:tabs>
          <w:tab w:val="num" w:pos="1080"/>
        </w:tabs>
        <w:ind w:right="-578"/>
        <w:jc w:val="right"/>
        <w:rPr>
          <w:bCs/>
        </w:rPr>
      </w:pPr>
    </w:p>
    <w:p w:rsidR="00BA1532" w:rsidRDefault="00BA1532" w:rsidP="00BA1532">
      <w:pPr>
        <w:tabs>
          <w:tab w:val="num" w:pos="1080"/>
        </w:tabs>
        <w:jc w:val="both"/>
        <w:rPr>
          <w:bCs/>
          <w:sz w:val="20"/>
          <w:szCs w:val="20"/>
        </w:rPr>
      </w:pPr>
    </w:p>
    <w:p w:rsidR="00BA1532" w:rsidRPr="007B7470" w:rsidRDefault="00BA1532" w:rsidP="00BA1532">
      <w:pPr>
        <w:tabs>
          <w:tab w:val="num" w:pos="1080"/>
        </w:tabs>
        <w:jc w:val="both"/>
        <w:rPr>
          <w:bCs/>
          <w:sz w:val="20"/>
          <w:szCs w:val="20"/>
        </w:rPr>
      </w:pPr>
      <w:r w:rsidRPr="007B7470">
        <w:rPr>
          <w:bCs/>
          <w:sz w:val="20"/>
          <w:szCs w:val="20"/>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A1532" w:rsidRPr="007B7470" w:rsidTr="005277C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A1532" w:rsidRPr="007B7470" w:rsidRDefault="00BA1532" w:rsidP="005277C1">
            <w:pPr>
              <w:jc w:val="center"/>
              <w:rPr>
                <w:b/>
                <w:bCs/>
                <w:sz w:val="20"/>
                <w:szCs w:val="20"/>
              </w:rPr>
            </w:pPr>
            <w:r w:rsidRPr="007B7470">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sz w:val="20"/>
                <w:szCs w:val="20"/>
              </w:rPr>
            </w:pPr>
            <w:r w:rsidRPr="007B7470">
              <w:rPr>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A1532" w:rsidRPr="007B7470" w:rsidRDefault="00BA1532" w:rsidP="005277C1">
            <w:pPr>
              <w:jc w:val="center"/>
              <w:rPr>
                <w:b/>
                <w:bCs/>
              </w:rPr>
            </w:pPr>
            <w:r w:rsidRPr="007B7470">
              <w:rPr>
                <w:b/>
                <w:bCs/>
              </w:rPr>
              <w:t>poznámka</w:t>
            </w:r>
          </w:p>
        </w:tc>
      </w:tr>
      <w:tr w:rsidR="00BA1532" w:rsidRPr="007B7470" w:rsidTr="005277C1">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A1532" w:rsidRPr="007B7470" w:rsidRDefault="00BA1532" w:rsidP="005277C1">
            <w:pPr>
              <w:rPr>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sz w:val="20"/>
                <w:szCs w:val="20"/>
              </w:rPr>
            </w:pPr>
            <w:r>
              <w:rPr>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sz w:val="20"/>
                <w:szCs w:val="20"/>
              </w:rPr>
            </w:pPr>
            <w:r>
              <w:rPr>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sz w:val="20"/>
                <w:szCs w:val="20"/>
              </w:rPr>
            </w:pPr>
            <w:r w:rsidRPr="007B7470">
              <w:rPr>
                <w:b/>
                <w:bCs/>
                <w:sz w:val="20"/>
                <w:szCs w:val="20"/>
              </w:rPr>
              <w:t>2</w:t>
            </w:r>
            <w:r>
              <w:rPr>
                <w:b/>
                <w:bCs/>
                <w:sz w:val="20"/>
                <w:szCs w:val="20"/>
              </w:rPr>
              <w:t>026</w:t>
            </w:r>
          </w:p>
        </w:tc>
        <w:tc>
          <w:tcPr>
            <w:tcW w:w="154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Pr>
                <w:b/>
                <w:bCs/>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BA1532" w:rsidRPr="007B7470" w:rsidRDefault="00BA1532" w:rsidP="005277C1">
            <w:pPr>
              <w:rPr>
                <w:b/>
                <w:bCs/>
                <w:color w:val="FFFFFF"/>
              </w:rPr>
            </w:pP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b/>
                <w:bCs/>
                <w:sz w:val="20"/>
                <w:szCs w:val="20"/>
              </w:rPr>
            </w:pPr>
            <w:r w:rsidRPr="007B7470">
              <w:rPr>
                <w:b/>
                <w:bCs/>
                <w:sz w:val="20"/>
                <w:szCs w:val="20"/>
              </w:rPr>
              <w:t>Bežné výdavky (600)</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b/>
                <w:bCs/>
                <w:sz w:val="20"/>
                <w:szCs w:val="20"/>
              </w:rPr>
            </w:pPr>
            <w:r>
              <w:rPr>
                <w:b/>
                <w:bCs/>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b/>
                <w:bCs/>
              </w:rPr>
            </w:pPr>
            <w:r>
              <w:rPr>
                <w:b/>
                <w:bCs/>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sz w:val="20"/>
                <w:szCs w:val="20"/>
              </w:rPr>
            </w:pPr>
            <w:r w:rsidRPr="007B7470">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sz w:val="20"/>
                <w:szCs w:val="20"/>
                <w:vertAlign w:val="superscript"/>
              </w:rPr>
            </w:pPr>
            <w:r w:rsidRPr="007B7470">
              <w:rPr>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sz w:val="20"/>
                <w:szCs w:val="20"/>
                <w:vertAlign w:val="superscript"/>
              </w:rPr>
            </w:pPr>
            <w:r w:rsidRPr="007B7470">
              <w:rPr>
                <w:sz w:val="20"/>
                <w:szCs w:val="20"/>
              </w:rPr>
              <w:t xml:space="preserve">  Tovary a služby (630)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sz w:val="20"/>
                <w:szCs w:val="20"/>
              </w:rPr>
            </w:pPr>
            <w:r w:rsidRPr="007B7470">
              <w:rPr>
                <w:sz w:val="20"/>
                <w:szCs w:val="20"/>
              </w:rPr>
              <w:t xml:space="preserve">  Bežné transfery (640)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vAlign w:val="center"/>
          </w:tcPr>
          <w:p w:rsidR="00BA1532" w:rsidRPr="007B7470" w:rsidRDefault="00BA1532" w:rsidP="005277C1">
            <w:pPr>
              <w:rPr>
                <w:sz w:val="20"/>
                <w:szCs w:val="20"/>
              </w:rPr>
            </w:pPr>
            <w:r w:rsidRPr="007B7470">
              <w:rPr>
                <w:sz w:val="20"/>
                <w:szCs w:val="20"/>
              </w:rPr>
              <w:t xml:space="preserve">  Splácanie úrokov a ostatné platby súvisiace s </w:t>
            </w:r>
            <w:r w:rsidRPr="007B7470">
              <w:t xml:space="preserve"> </w:t>
            </w:r>
            <w:r w:rsidRPr="007B7470">
              <w:rPr>
                <w:sz w:val="20"/>
                <w:szCs w:val="20"/>
              </w:rPr>
              <w:t>úverom, pôžičkou, návratnou finančnou výpomocou a finančným prenájmom (650)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BA1532" w:rsidRPr="00151882" w:rsidRDefault="00BA1532" w:rsidP="005277C1">
            <w:pPr>
              <w:jc w:val="center"/>
              <w:rPr>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151882"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b/>
                <w:bCs/>
                <w:sz w:val="20"/>
                <w:szCs w:val="20"/>
              </w:rPr>
            </w:pPr>
            <w:r w:rsidRPr="007B7470">
              <w:rPr>
                <w:b/>
                <w:bCs/>
                <w:sz w:val="20"/>
                <w:szCs w:val="20"/>
              </w:rPr>
              <w:t>Kapitálové výdavky (700)</w:t>
            </w:r>
          </w:p>
        </w:tc>
        <w:tc>
          <w:tcPr>
            <w:tcW w:w="1430" w:type="dxa"/>
            <w:tcBorders>
              <w:top w:val="nil"/>
              <w:left w:val="nil"/>
              <w:bottom w:val="single" w:sz="4" w:space="0" w:color="auto"/>
              <w:right w:val="single" w:sz="4" w:space="0" w:color="auto"/>
            </w:tcBorders>
            <w:vAlign w:val="center"/>
          </w:tcPr>
          <w:p w:rsidR="00BA1532" w:rsidRPr="00B01611" w:rsidRDefault="00BA1532" w:rsidP="005277C1">
            <w:pPr>
              <w:jc w:val="center"/>
              <w:rPr>
                <w:b/>
                <w:bCs/>
                <w:sz w:val="20"/>
                <w:szCs w:val="20"/>
              </w:rPr>
            </w:pPr>
            <w:r w:rsidRPr="00886828">
              <w:rPr>
                <w:b/>
                <w:bCs/>
              </w:rPr>
              <w:t>301 632</w:t>
            </w:r>
          </w:p>
        </w:tc>
        <w:tc>
          <w:tcPr>
            <w:tcW w:w="1650" w:type="dxa"/>
            <w:tcBorders>
              <w:top w:val="nil"/>
              <w:left w:val="nil"/>
              <w:bottom w:val="single" w:sz="4" w:space="0" w:color="auto"/>
              <w:right w:val="single" w:sz="4" w:space="0" w:color="auto"/>
            </w:tcBorders>
            <w:vAlign w:val="center"/>
          </w:tcPr>
          <w:p w:rsidR="00BA1532" w:rsidRPr="00B01611" w:rsidRDefault="00BA1532" w:rsidP="005277C1">
            <w:pPr>
              <w:jc w:val="center"/>
              <w:rPr>
                <w:b/>
                <w:bCs/>
                <w:sz w:val="20"/>
                <w:szCs w:val="20"/>
              </w:rPr>
            </w:pPr>
            <w:r w:rsidRPr="00B01611">
              <w:rPr>
                <w:b/>
                <w:bCs/>
                <w:iCs/>
                <w:sz w:val="20"/>
                <w:szCs w:val="20"/>
              </w:rPr>
              <w:t>0</w:t>
            </w:r>
          </w:p>
        </w:tc>
        <w:tc>
          <w:tcPr>
            <w:tcW w:w="1540" w:type="dxa"/>
            <w:tcBorders>
              <w:top w:val="nil"/>
              <w:left w:val="nil"/>
              <w:bottom w:val="single" w:sz="4" w:space="0" w:color="auto"/>
              <w:right w:val="single" w:sz="4" w:space="0" w:color="auto"/>
            </w:tcBorders>
          </w:tcPr>
          <w:p w:rsidR="00BA1532" w:rsidRPr="00FD60FE" w:rsidRDefault="00BA1532" w:rsidP="005277C1">
            <w:pPr>
              <w:jc w:val="center"/>
              <w:rPr>
                <w:b/>
                <w:bCs/>
                <w:sz w:val="20"/>
                <w:szCs w:val="20"/>
              </w:rPr>
            </w:pPr>
            <w:r w:rsidRPr="00FD60FE">
              <w:rPr>
                <w:b/>
                <w:bCs/>
                <w:sz w:val="20"/>
                <w:szCs w:val="20"/>
              </w:rPr>
              <w:t>0</w:t>
            </w:r>
          </w:p>
        </w:tc>
        <w:tc>
          <w:tcPr>
            <w:tcW w:w="1540" w:type="dxa"/>
            <w:tcBorders>
              <w:top w:val="nil"/>
              <w:left w:val="nil"/>
              <w:bottom w:val="single" w:sz="4" w:space="0" w:color="auto"/>
              <w:right w:val="single" w:sz="4" w:space="0" w:color="auto"/>
            </w:tcBorders>
          </w:tcPr>
          <w:p w:rsidR="00BA1532" w:rsidRPr="00C552D4" w:rsidRDefault="00BA1532" w:rsidP="005277C1">
            <w:pPr>
              <w:jc w:val="center"/>
              <w:rPr>
                <w:b/>
                <w:bCs/>
                <w:sz w:val="20"/>
                <w:szCs w:val="20"/>
              </w:rPr>
            </w:pPr>
            <w:r w:rsidRPr="00C552D4">
              <w:rPr>
                <w:b/>
                <w:bCs/>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sz w:val="20"/>
                <w:szCs w:val="20"/>
              </w:rPr>
            </w:pPr>
            <w:r w:rsidRPr="007B7470">
              <w:rPr>
                <w:sz w:val="20"/>
                <w:szCs w:val="20"/>
              </w:rPr>
              <w:t xml:space="preserve">  Obstarávanie kapitálových aktív (710)</w:t>
            </w:r>
            <w:r w:rsidRPr="007B7470">
              <w:rPr>
                <w:sz w:val="20"/>
                <w:szCs w:val="20"/>
                <w:vertAlign w:val="superscript"/>
              </w:rPr>
              <w:t>2</w:t>
            </w:r>
          </w:p>
        </w:tc>
        <w:tc>
          <w:tcPr>
            <w:tcW w:w="1430" w:type="dxa"/>
            <w:tcBorders>
              <w:top w:val="nil"/>
              <w:left w:val="nil"/>
              <w:bottom w:val="single" w:sz="4" w:space="0" w:color="auto"/>
              <w:right w:val="single" w:sz="4" w:space="0" w:color="auto"/>
            </w:tcBorders>
            <w:vAlign w:val="center"/>
          </w:tcPr>
          <w:p w:rsidR="00BA1532" w:rsidRPr="00151882" w:rsidRDefault="00BA1532" w:rsidP="005277C1">
            <w:pPr>
              <w:jc w:val="center"/>
              <w:rPr>
                <w:sz w:val="20"/>
                <w:szCs w:val="20"/>
              </w:rPr>
            </w:pPr>
            <w:r>
              <w:rPr>
                <w:bCs/>
              </w:rPr>
              <w:t>301 632</w:t>
            </w:r>
          </w:p>
        </w:tc>
        <w:tc>
          <w:tcPr>
            <w:tcW w:w="1650" w:type="dxa"/>
            <w:tcBorders>
              <w:top w:val="nil"/>
              <w:left w:val="nil"/>
              <w:bottom w:val="single" w:sz="4" w:space="0" w:color="auto"/>
              <w:right w:val="single" w:sz="4" w:space="0" w:color="auto"/>
            </w:tcBorders>
            <w:vAlign w:val="center"/>
          </w:tcPr>
          <w:p w:rsidR="00BA1532" w:rsidRPr="00151882" w:rsidRDefault="00BA1532" w:rsidP="005277C1">
            <w:pPr>
              <w:jc w:val="center"/>
              <w:rPr>
                <w:sz w:val="20"/>
                <w:szCs w:val="20"/>
              </w:rPr>
            </w:pPr>
            <w:r w:rsidRPr="005B0C47">
              <w:rPr>
                <w:sz w:val="20"/>
                <w:szCs w:val="20"/>
              </w:rPr>
              <w:t>0</w:t>
            </w:r>
          </w:p>
        </w:tc>
        <w:tc>
          <w:tcPr>
            <w:tcW w:w="1540" w:type="dxa"/>
            <w:tcBorders>
              <w:top w:val="nil"/>
              <w:left w:val="nil"/>
              <w:bottom w:val="single" w:sz="4" w:space="0" w:color="auto"/>
              <w:right w:val="single" w:sz="4" w:space="0" w:color="auto"/>
            </w:tcBorders>
          </w:tcPr>
          <w:p w:rsidR="00BA1532" w:rsidRPr="00FD60FE" w:rsidRDefault="00BA1532" w:rsidP="005277C1">
            <w:pPr>
              <w:jc w:val="center"/>
              <w:rPr>
                <w:sz w:val="20"/>
                <w:szCs w:val="20"/>
              </w:rPr>
            </w:pPr>
            <w:r w:rsidRPr="00FD60FE">
              <w:rPr>
                <w:sz w:val="20"/>
                <w:szCs w:val="20"/>
              </w:rPr>
              <w:t>0</w:t>
            </w:r>
          </w:p>
        </w:tc>
        <w:tc>
          <w:tcPr>
            <w:tcW w:w="1540" w:type="dxa"/>
            <w:tcBorders>
              <w:top w:val="nil"/>
              <w:left w:val="nil"/>
              <w:bottom w:val="single" w:sz="4" w:space="0" w:color="auto"/>
              <w:right w:val="single" w:sz="4" w:space="0" w:color="auto"/>
            </w:tcBorders>
          </w:tcPr>
          <w:p w:rsidR="00BA1532" w:rsidRPr="00C552D4" w:rsidRDefault="00BA1532" w:rsidP="005277C1">
            <w:pPr>
              <w:jc w:val="center"/>
              <w:rPr>
                <w:sz w:val="20"/>
                <w:szCs w:val="20"/>
              </w:rPr>
            </w:pPr>
            <w:r w:rsidRPr="00C552D4">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sz w:val="20"/>
                <w:szCs w:val="20"/>
              </w:rPr>
            </w:pPr>
            <w:r w:rsidRPr="00B2480B">
              <w:rPr>
                <w:sz w:val="20"/>
                <w:szCs w:val="20"/>
              </w:rPr>
              <w:t>tom: Rekonštrukcia a modernizácia (718)</w:t>
            </w:r>
          </w:p>
        </w:tc>
        <w:tc>
          <w:tcPr>
            <w:tcW w:w="1430" w:type="dxa"/>
            <w:tcBorders>
              <w:top w:val="nil"/>
              <w:left w:val="nil"/>
              <w:bottom w:val="single" w:sz="4" w:space="0" w:color="auto"/>
              <w:right w:val="single" w:sz="4" w:space="0" w:color="auto"/>
            </w:tcBorders>
            <w:vAlign w:val="center"/>
          </w:tcPr>
          <w:p w:rsidR="00BA1532" w:rsidRPr="007B7470" w:rsidRDefault="00BA1532" w:rsidP="005277C1">
            <w:pPr>
              <w:jc w:val="center"/>
              <w:rPr>
                <w:sz w:val="20"/>
                <w:szCs w:val="20"/>
              </w:rPr>
            </w:pPr>
            <w:r>
              <w:rPr>
                <w:bCs/>
              </w:rPr>
              <w:t>301 632</w:t>
            </w:r>
          </w:p>
        </w:tc>
        <w:tc>
          <w:tcPr>
            <w:tcW w:w="1650" w:type="dxa"/>
            <w:tcBorders>
              <w:top w:val="nil"/>
              <w:left w:val="nil"/>
              <w:bottom w:val="single" w:sz="4" w:space="0" w:color="auto"/>
              <w:right w:val="single" w:sz="4" w:space="0" w:color="auto"/>
            </w:tcBorders>
            <w:vAlign w:val="center"/>
          </w:tcPr>
          <w:p w:rsidR="00BA1532" w:rsidRPr="007B7470" w:rsidRDefault="00BA1532" w:rsidP="005277C1">
            <w:pPr>
              <w:jc w:val="center"/>
              <w:rPr>
                <w:sz w:val="20"/>
                <w:szCs w:val="20"/>
              </w:rPr>
            </w:pPr>
            <w:r w:rsidRPr="005B0C47">
              <w:rPr>
                <w:sz w:val="20"/>
                <w:szCs w:val="20"/>
              </w:rPr>
              <w:t>0</w:t>
            </w:r>
          </w:p>
        </w:tc>
        <w:tc>
          <w:tcPr>
            <w:tcW w:w="1540" w:type="dxa"/>
            <w:tcBorders>
              <w:top w:val="nil"/>
              <w:left w:val="nil"/>
              <w:bottom w:val="single" w:sz="4" w:space="0" w:color="auto"/>
              <w:right w:val="single" w:sz="4" w:space="0" w:color="auto"/>
            </w:tcBorders>
          </w:tcPr>
          <w:p w:rsidR="00BA1532" w:rsidRPr="00FD60FE" w:rsidRDefault="00BA1532" w:rsidP="005277C1">
            <w:pPr>
              <w:jc w:val="center"/>
              <w:rPr>
                <w:sz w:val="20"/>
                <w:szCs w:val="20"/>
              </w:rPr>
            </w:pPr>
            <w:r w:rsidRPr="00FD60FE">
              <w:rPr>
                <w:sz w:val="20"/>
                <w:szCs w:val="20"/>
              </w:rPr>
              <w:t>0</w:t>
            </w:r>
          </w:p>
        </w:tc>
        <w:tc>
          <w:tcPr>
            <w:tcW w:w="1540" w:type="dxa"/>
            <w:tcBorders>
              <w:top w:val="nil"/>
              <w:left w:val="nil"/>
              <w:bottom w:val="single" w:sz="4" w:space="0" w:color="auto"/>
              <w:right w:val="single" w:sz="4" w:space="0" w:color="auto"/>
            </w:tcBorders>
          </w:tcPr>
          <w:p w:rsidR="00BA1532" w:rsidRPr="00C552D4" w:rsidRDefault="00BA1532" w:rsidP="005277C1">
            <w:pPr>
              <w:jc w:val="center"/>
              <w:rPr>
                <w:sz w:val="20"/>
                <w:szCs w:val="20"/>
              </w:rPr>
            </w:pPr>
            <w:r w:rsidRPr="00C552D4">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sz w:val="20"/>
                <w:szCs w:val="20"/>
              </w:rPr>
            </w:pPr>
            <w:r w:rsidRPr="007B7470">
              <w:rPr>
                <w:sz w:val="20"/>
                <w:szCs w:val="20"/>
              </w:rPr>
              <w:t xml:space="preserve">  Kapitálové transfery (720)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5B0C47">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5B0C47">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sz w:val="20"/>
                <w:szCs w:val="20"/>
              </w:rPr>
            </w:pPr>
            <w:r w:rsidRPr="005B0C47">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pPr>
            <w:r w:rsidRPr="005B0C47">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b/>
                <w:bCs/>
                <w:sz w:val="20"/>
                <w:szCs w:val="20"/>
              </w:rPr>
            </w:pPr>
            <w:r w:rsidRPr="007B7470">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sz w:val="20"/>
                <w:szCs w:val="20"/>
              </w:rPr>
            </w:pPr>
            <w:r w:rsidRPr="007B7470">
              <w:rPr>
                <w:b/>
                <w:bCs/>
                <w:sz w:val="20"/>
                <w:szCs w:val="20"/>
              </w:rPr>
              <w:t> </w:t>
            </w:r>
            <w:r>
              <w:rPr>
                <w:b/>
                <w:bCs/>
                <w:sz w:val="20"/>
                <w:szCs w:val="20"/>
              </w:rPr>
              <w:t>0</w:t>
            </w:r>
          </w:p>
        </w:tc>
        <w:tc>
          <w:tcPr>
            <w:tcW w:w="165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shd w:val="clear" w:color="auto" w:fill="auto"/>
          </w:tcPr>
          <w:p w:rsidR="00BA1532" w:rsidRPr="007B7470" w:rsidRDefault="00BA1532" w:rsidP="005277C1">
            <w:pPr>
              <w:jc w:val="center"/>
              <w:rPr>
                <w:b/>
                <w:bCs/>
              </w:rPr>
            </w:pPr>
            <w:r>
              <w:rPr>
                <w:b/>
                <w:bCs/>
              </w:rPr>
              <w:t>0</w:t>
            </w:r>
            <w:r w:rsidRPr="007B7470">
              <w:rPr>
                <w:b/>
                <w:bCs/>
              </w:rPr>
              <w:t> </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1532" w:rsidRPr="007B7470" w:rsidRDefault="00BA1532" w:rsidP="005277C1">
            <w:pPr>
              <w:rPr>
                <w:b/>
                <w:bCs/>
                <w:sz w:val="20"/>
                <w:szCs w:val="20"/>
              </w:rPr>
            </w:pPr>
            <w:r w:rsidRPr="007B7470">
              <w:rPr>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A1532" w:rsidRPr="00B01611" w:rsidRDefault="00BA1532" w:rsidP="005277C1">
            <w:pPr>
              <w:jc w:val="center"/>
              <w:rPr>
                <w:b/>
                <w:bCs/>
                <w:sz w:val="20"/>
                <w:szCs w:val="20"/>
              </w:rPr>
            </w:pPr>
            <w:r w:rsidRPr="00886828">
              <w:rPr>
                <w:b/>
                <w:bCs/>
              </w:rPr>
              <w:t>301 632</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A1532" w:rsidRPr="00B44779" w:rsidRDefault="00BA1532" w:rsidP="005277C1">
            <w:pPr>
              <w:jc w:val="center"/>
              <w:rPr>
                <w:b/>
                <w:bCs/>
                <w:sz w:val="20"/>
                <w:szCs w:val="20"/>
              </w:rPr>
            </w:pPr>
            <w:r w:rsidRPr="00B01611">
              <w:rPr>
                <w:b/>
                <w:bCs/>
                <w:i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A1532" w:rsidRPr="00B44779" w:rsidRDefault="00BA1532" w:rsidP="005277C1">
            <w:pPr>
              <w:jc w:val="center"/>
              <w:rPr>
                <w:b/>
                <w:bCs/>
                <w:sz w:val="20"/>
                <w:szCs w:val="20"/>
              </w:rPr>
            </w:pPr>
            <w:r>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A1532" w:rsidRPr="00C552D4" w:rsidRDefault="00BA1532" w:rsidP="005277C1">
            <w:pPr>
              <w:jc w:val="center"/>
              <w:rPr>
                <w:b/>
                <w:bCs/>
                <w:sz w:val="20"/>
                <w:szCs w:val="20"/>
              </w:rPr>
            </w:pPr>
            <w:r>
              <w:rPr>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A1532" w:rsidRPr="007B7470" w:rsidRDefault="00BA1532" w:rsidP="005277C1">
            <w:r w:rsidRPr="007B7470">
              <w:t> </w:t>
            </w:r>
          </w:p>
        </w:tc>
      </w:tr>
    </w:tbl>
    <w:p w:rsidR="00BA1532" w:rsidRPr="007B7470" w:rsidRDefault="00BA1532" w:rsidP="00BA1532">
      <w:pPr>
        <w:tabs>
          <w:tab w:val="num" w:pos="1080"/>
        </w:tabs>
        <w:ind w:left="-900"/>
        <w:jc w:val="both"/>
        <w:rPr>
          <w:bCs/>
          <w:sz w:val="20"/>
          <w:szCs w:val="20"/>
        </w:rPr>
      </w:pPr>
      <w:r w:rsidRPr="007B7470">
        <w:rPr>
          <w:bCs/>
          <w:sz w:val="20"/>
          <w:szCs w:val="20"/>
        </w:rPr>
        <w:t xml:space="preserve">  2 –  výdavky rozpísať až do položiek platnej ekonomickej klasifikácie</w:t>
      </w:r>
    </w:p>
    <w:p w:rsidR="00BA1532" w:rsidRPr="007B7470" w:rsidRDefault="00BA1532" w:rsidP="00BA1532">
      <w:pPr>
        <w:tabs>
          <w:tab w:val="num" w:pos="1080"/>
        </w:tabs>
        <w:ind w:left="-900"/>
        <w:jc w:val="both"/>
        <w:rPr>
          <w:bCs/>
          <w:szCs w:val="20"/>
        </w:rPr>
      </w:pPr>
    </w:p>
    <w:p w:rsidR="00BA1532" w:rsidRPr="007B7470" w:rsidRDefault="00BA1532" w:rsidP="00BA1532">
      <w:pPr>
        <w:tabs>
          <w:tab w:val="num" w:pos="1080"/>
        </w:tabs>
        <w:ind w:left="-900"/>
        <w:jc w:val="both"/>
        <w:rPr>
          <w:b/>
          <w:bCs/>
          <w:sz w:val="20"/>
          <w:szCs w:val="20"/>
        </w:rPr>
      </w:pPr>
      <w:r w:rsidRPr="007B7470">
        <w:rPr>
          <w:b/>
          <w:bCs/>
          <w:szCs w:val="20"/>
        </w:rPr>
        <w:t xml:space="preserve">  Poznámka:</w:t>
      </w:r>
    </w:p>
    <w:p w:rsidR="00BA1532" w:rsidRPr="007B7470" w:rsidRDefault="00BA1532" w:rsidP="00BA1532">
      <w:pPr>
        <w:tabs>
          <w:tab w:val="num" w:pos="1080"/>
        </w:tabs>
        <w:ind w:left="-900"/>
        <w:jc w:val="both"/>
        <w:rPr>
          <w:bCs/>
          <w:sz w:val="20"/>
          <w:szCs w:val="20"/>
        </w:rPr>
      </w:pPr>
      <w:r w:rsidRPr="007B7470">
        <w:rPr>
          <w:bCs/>
          <w:szCs w:val="20"/>
        </w:rPr>
        <w:t xml:space="preserve">  Ak sa vplyv týka viacerých subjektov verejnej správy, vypĺňa sa samostatná tabuľka za každý subjekt.</w:t>
      </w: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r w:rsidRPr="007B7470">
        <w:rPr>
          <w:bCs/>
          <w:sz w:val="20"/>
          <w:szCs w:val="20"/>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A1532" w:rsidRPr="007B7470" w:rsidTr="005277C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A1532" w:rsidRPr="007B7470" w:rsidRDefault="00BA1532" w:rsidP="005277C1">
            <w:pPr>
              <w:jc w:val="center"/>
              <w:rPr>
                <w:b/>
                <w:bCs/>
                <w:color w:val="000000" w:themeColor="text1"/>
                <w:sz w:val="20"/>
                <w:szCs w:val="20"/>
              </w:rPr>
            </w:pPr>
            <w:r w:rsidRPr="007B7470">
              <w:rPr>
                <w:b/>
                <w:bCs/>
                <w:color w:val="000000" w:themeColor="text1"/>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color w:val="000000" w:themeColor="text1"/>
                <w:sz w:val="20"/>
                <w:szCs w:val="20"/>
              </w:rPr>
            </w:pPr>
            <w:r w:rsidRPr="007B7470">
              <w:rPr>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A1532" w:rsidRPr="007B7470" w:rsidRDefault="00BA1532" w:rsidP="005277C1">
            <w:pPr>
              <w:jc w:val="center"/>
              <w:rPr>
                <w:b/>
                <w:bCs/>
                <w:color w:val="000000" w:themeColor="text1"/>
              </w:rPr>
            </w:pPr>
            <w:r w:rsidRPr="007B7470">
              <w:rPr>
                <w:b/>
                <w:bCs/>
                <w:color w:val="000000" w:themeColor="text1"/>
              </w:rPr>
              <w:t>poznámka</w:t>
            </w:r>
          </w:p>
        </w:tc>
      </w:tr>
      <w:tr w:rsidR="00BA1532" w:rsidRPr="007B7470" w:rsidTr="005277C1">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A1532" w:rsidRPr="007B7470" w:rsidRDefault="00BA1532" w:rsidP="005277C1">
            <w:pPr>
              <w:rPr>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color w:val="000000" w:themeColor="text1"/>
                <w:sz w:val="20"/>
                <w:szCs w:val="20"/>
              </w:rPr>
            </w:pPr>
            <w:r>
              <w:rPr>
                <w:b/>
                <w:bCs/>
                <w:color w:val="000000" w:themeColor="text1"/>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color w:val="000000" w:themeColor="text1"/>
                <w:sz w:val="20"/>
                <w:szCs w:val="20"/>
              </w:rPr>
            </w:pPr>
            <w:r>
              <w:rPr>
                <w:b/>
                <w:bCs/>
                <w:color w:val="000000" w:themeColor="text1"/>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color w:val="000000" w:themeColor="text1"/>
                <w:sz w:val="20"/>
                <w:szCs w:val="20"/>
              </w:rPr>
            </w:pPr>
            <w:r>
              <w:rPr>
                <w:b/>
                <w:bCs/>
                <w:color w:val="000000" w:themeColor="text1"/>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color w:val="000000" w:themeColor="text1"/>
              </w:rPr>
            </w:pPr>
            <w:r>
              <w:rPr>
                <w:b/>
                <w:bCs/>
                <w:color w:val="000000" w:themeColor="text1"/>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BA1532" w:rsidRPr="007B7470" w:rsidRDefault="00BA1532" w:rsidP="005277C1">
            <w:pPr>
              <w:rPr>
                <w:b/>
                <w:bCs/>
                <w:color w:val="000000" w:themeColor="text1"/>
              </w:rPr>
            </w:pP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b/>
                <w:bCs/>
                <w:color w:val="000000" w:themeColor="text1"/>
                <w:sz w:val="20"/>
                <w:szCs w:val="20"/>
              </w:rPr>
            </w:pPr>
            <w:r w:rsidRPr="007B7470">
              <w:rPr>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sz w:val="20"/>
                <w:szCs w:val="20"/>
              </w:rPr>
            </w:pPr>
            <w:r>
              <w:rPr>
                <w:b/>
                <w:bCs/>
                <w:color w:val="000000" w:themeColor="text1"/>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sz w:val="20"/>
                <w:szCs w:val="20"/>
              </w:rPr>
            </w:pPr>
            <w:r>
              <w:rPr>
                <w:b/>
                <w:bCs/>
                <w:color w:val="000000" w:themeColor="text1"/>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sz w:val="20"/>
                <w:szCs w:val="20"/>
              </w:rPr>
            </w:pPr>
            <w:r>
              <w:rPr>
                <w:b/>
                <w:bCs/>
                <w:color w:val="000000" w:themeColor="text1"/>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rPr>
            </w:pPr>
            <w:r>
              <w:rPr>
                <w:b/>
                <w:bCs/>
                <w:color w:val="000000" w:themeColor="text1"/>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b/>
                <w:bCs/>
                <w:color w:val="000000" w:themeColor="text1"/>
                <w:sz w:val="20"/>
                <w:szCs w:val="20"/>
              </w:rPr>
            </w:pPr>
            <w:r w:rsidRPr="007B7470">
              <w:rPr>
                <w:b/>
                <w:bCs/>
                <w:color w:val="000000" w:themeColor="text1"/>
                <w:sz w:val="20"/>
                <w:szCs w:val="20"/>
              </w:rPr>
              <w:t>Bežné výdavky (600)</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sz w:val="20"/>
                <w:szCs w:val="20"/>
              </w:rPr>
            </w:pPr>
            <w:r>
              <w:rPr>
                <w:b/>
                <w:bCs/>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sz w:val="20"/>
                <w:szCs w:val="20"/>
              </w:rPr>
            </w:pPr>
            <w:r>
              <w:rPr>
                <w:b/>
                <w:bCs/>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sz w:val="20"/>
                <w:szCs w:val="20"/>
              </w:rPr>
            </w:pPr>
            <w:r>
              <w:rPr>
                <w:b/>
                <w:bCs/>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rPr>
            </w:pPr>
            <w:r>
              <w:rPr>
                <w:b/>
                <w:bCs/>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r w:rsidRPr="007B7470">
              <w:rPr>
                <w:color w:val="000000" w:themeColor="text1"/>
              </w:rPr>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color w:val="000000" w:themeColor="text1"/>
                <w:sz w:val="20"/>
                <w:szCs w:val="20"/>
              </w:rPr>
            </w:pPr>
            <w:r w:rsidRPr="007B7470">
              <w:rPr>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rP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r w:rsidRPr="007B7470">
              <w:rPr>
                <w:color w:val="000000" w:themeColor="text1"/>
              </w:rPr>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color w:val="000000" w:themeColor="text1"/>
                <w:sz w:val="20"/>
                <w:szCs w:val="20"/>
                <w:vertAlign w:val="superscript"/>
              </w:rPr>
            </w:pPr>
            <w:r w:rsidRPr="007B7470">
              <w:rPr>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rP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r w:rsidRPr="007B7470">
              <w:rPr>
                <w:color w:val="000000" w:themeColor="text1"/>
              </w:rPr>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color w:val="000000" w:themeColor="text1"/>
                <w:sz w:val="20"/>
                <w:szCs w:val="20"/>
                <w:vertAlign w:val="superscript"/>
              </w:rPr>
            </w:pPr>
            <w:r w:rsidRPr="007B7470">
              <w:rPr>
                <w:color w:val="000000" w:themeColor="text1"/>
                <w:sz w:val="20"/>
                <w:szCs w:val="20"/>
              </w:rPr>
              <w:t xml:space="preserve">  Tovary a služby (630)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rP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r w:rsidRPr="007B7470">
              <w:rPr>
                <w:color w:val="000000" w:themeColor="text1"/>
              </w:rPr>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color w:val="000000" w:themeColor="text1"/>
                <w:sz w:val="20"/>
                <w:szCs w:val="20"/>
              </w:rPr>
            </w:pPr>
            <w:r w:rsidRPr="007B7470">
              <w:rPr>
                <w:color w:val="000000" w:themeColor="text1"/>
                <w:sz w:val="20"/>
                <w:szCs w:val="20"/>
              </w:rPr>
              <w:t xml:space="preserve">  Bežné transfery (640)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rP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r w:rsidRPr="007B7470">
              <w:rPr>
                <w:color w:val="000000" w:themeColor="text1"/>
              </w:rPr>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vAlign w:val="center"/>
          </w:tcPr>
          <w:p w:rsidR="00BA1532" w:rsidRPr="007B7470" w:rsidRDefault="00BA1532" w:rsidP="005277C1">
            <w:pPr>
              <w:rPr>
                <w:color w:val="000000" w:themeColor="text1"/>
                <w:sz w:val="20"/>
                <w:szCs w:val="20"/>
              </w:rPr>
            </w:pPr>
            <w:r w:rsidRPr="007B7470">
              <w:rPr>
                <w:color w:val="000000" w:themeColor="text1"/>
                <w:sz w:val="20"/>
                <w:szCs w:val="20"/>
              </w:rPr>
              <w:t xml:space="preserve">  Splácanie úrokov a ostatné platby súvisiace s </w:t>
            </w:r>
            <w:r w:rsidRPr="007B7470">
              <w:rPr>
                <w:color w:val="000000" w:themeColor="text1"/>
              </w:rPr>
              <w:t xml:space="preserve"> </w:t>
            </w:r>
            <w:r w:rsidRPr="007B7470">
              <w:rPr>
                <w:color w:val="000000" w:themeColor="text1"/>
                <w:sz w:val="20"/>
                <w:szCs w:val="20"/>
              </w:rPr>
              <w:t>úverom, pôžičkou, návratnou finančnou výpomocou a finančným prenájmom (650)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2B2618">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rPr>
            </w:pPr>
            <w:r w:rsidRPr="002B2618">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b/>
                <w:bCs/>
                <w:color w:val="000000" w:themeColor="text1"/>
                <w:sz w:val="20"/>
                <w:szCs w:val="20"/>
              </w:rPr>
            </w:pPr>
            <w:r w:rsidRPr="007B7470">
              <w:rPr>
                <w:b/>
                <w:bCs/>
                <w:color w:val="000000" w:themeColor="text1"/>
                <w:sz w:val="20"/>
                <w:szCs w:val="20"/>
              </w:rPr>
              <w:t>Kapitálové výdavky (700)</w:t>
            </w:r>
          </w:p>
        </w:tc>
        <w:tc>
          <w:tcPr>
            <w:tcW w:w="1430" w:type="dxa"/>
            <w:tcBorders>
              <w:top w:val="nil"/>
              <w:left w:val="nil"/>
              <w:bottom w:val="single" w:sz="4" w:space="0" w:color="auto"/>
              <w:right w:val="single" w:sz="4" w:space="0" w:color="auto"/>
            </w:tcBorders>
            <w:vAlign w:val="center"/>
          </w:tcPr>
          <w:p w:rsidR="00BA1532" w:rsidRPr="007B7470" w:rsidRDefault="00BA1532" w:rsidP="005277C1">
            <w:pPr>
              <w:jc w:val="center"/>
              <w:rPr>
                <w:b/>
                <w:bCs/>
                <w:color w:val="000000" w:themeColor="text1"/>
                <w:sz w:val="20"/>
                <w:szCs w:val="20"/>
              </w:rPr>
            </w:pPr>
            <w:r>
              <w:rPr>
                <w:b/>
                <w:bCs/>
                <w:iCs/>
                <w:sz w:val="20"/>
                <w:szCs w:val="20"/>
              </w:rPr>
              <w:t>0</w:t>
            </w:r>
          </w:p>
        </w:tc>
        <w:tc>
          <w:tcPr>
            <w:tcW w:w="1650" w:type="dxa"/>
            <w:tcBorders>
              <w:top w:val="nil"/>
              <w:left w:val="nil"/>
              <w:bottom w:val="single" w:sz="4" w:space="0" w:color="auto"/>
              <w:right w:val="single" w:sz="4" w:space="0" w:color="auto"/>
            </w:tcBorders>
            <w:vAlign w:val="center"/>
          </w:tcPr>
          <w:p w:rsidR="00BA1532" w:rsidRPr="007B7470" w:rsidRDefault="00BA1532" w:rsidP="005277C1">
            <w:pPr>
              <w:jc w:val="center"/>
              <w:rPr>
                <w:b/>
                <w:bCs/>
                <w:color w:val="000000" w:themeColor="text1"/>
                <w:sz w:val="20"/>
                <w:szCs w:val="20"/>
              </w:rPr>
            </w:pPr>
            <w:r>
              <w:rPr>
                <w:b/>
                <w:bCs/>
                <w:iCs/>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sz w:val="20"/>
                <w:szCs w:val="20"/>
              </w:rPr>
            </w:pPr>
            <w:r w:rsidRPr="006E1A3B">
              <w:rPr>
                <w:b/>
                <w:bCs/>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b/>
                <w:bCs/>
                <w:color w:val="000000" w:themeColor="text1"/>
              </w:rPr>
            </w:pPr>
            <w:r w:rsidRPr="006E1A3B">
              <w:rPr>
                <w:b/>
                <w:bCs/>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r w:rsidRPr="007B7470">
              <w:rPr>
                <w:color w:val="000000" w:themeColor="text1"/>
              </w:rPr>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color w:val="000000" w:themeColor="text1"/>
                <w:sz w:val="20"/>
                <w:szCs w:val="20"/>
              </w:rPr>
            </w:pPr>
            <w:r w:rsidRPr="007B7470">
              <w:rPr>
                <w:color w:val="000000" w:themeColor="text1"/>
                <w:sz w:val="20"/>
                <w:szCs w:val="20"/>
              </w:rPr>
              <w:t xml:space="preserve">  Obstarávanie kapitálových aktív (710)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vAlign w:val="center"/>
          </w:tcPr>
          <w:p w:rsidR="00BA1532" w:rsidRPr="007B7470" w:rsidRDefault="00BA1532" w:rsidP="005277C1">
            <w:pPr>
              <w:jc w:val="center"/>
              <w:rPr>
                <w:color w:val="000000" w:themeColor="text1"/>
                <w:sz w:val="20"/>
                <w:szCs w:val="20"/>
              </w:rPr>
            </w:pPr>
            <w:r>
              <w:rPr>
                <w:bCs/>
                <w:iCs/>
                <w:sz w:val="20"/>
                <w:szCs w:val="20"/>
              </w:rPr>
              <w:t>0</w:t>
            </w:r>
          </w:p>
        </w:tc>
        <w:tc>
          <w:tcPr>
            <w:tcW w:w="1650" w:type="dxa"/>
            <w:tcBorders>
              <w:top w:val="nil"/>
              <w:left w:val="nil"/>
              <w:bottom w:val="single" w:sz="4" w:space="0" w:color="auto"/>
              <w:right w:val="single" w:sz="4" w:space="0" w:color="auto"/>
            </w:tcBorders>
            <w:vAlign w:val="center"/>
          </w:tcPr>
          <w:p w:rsidR="00BA1532" w:rsidRPr="007B7470" w:rsidRDefault="00BA1532" w:rsidP="005277C1">
            <w:pPr>
              <w:jc w:val="center"/>
              <w:rPr>
                <w:color w:val="000000" w:themeColor="text1"/>
                <w:sz w:val="20"/>
                <w:szCs w:val="20"/>
              </w:rPr>
            </w:pPr>
            <w:r>
              <w:rPr>
                <w:bCs/>
                <w:iCs/>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6E1A3B">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rPr>
            </w:pPr>
            <w:r w:rsidRPr="006E1A3B">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r w:rsidRPr="007B7470">
              <w:rPr>
                <w:color w:val="000000" w:themeColor="text1"/>
              </w:rPr>
              <w:t> </w:t>
            </w: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color w:val="000000" w:themeColor="text1"/>
                <w:sz w:val="20"/>
                <w:szCs w:val="20"/>
              </w:rPr>
            </w:pPr>
            <w:r w:rsidRPr="00B2480B">
              <w:rPr>
                <w:sz w:val="20"/>
                <w:szCs w:val="20"/>
              </w:rPr>
              <w:t>tom: Rekonštrukcia a modernizácia (718)</w:t>
            </w:r>
          </w:p>
        </w:tc>
        <w:tc>
          <w:tcPr>
            <w:tcW w:w="1430" w:type="dxa"/>
            <w:tcBorders>
              <w:top w:val="nil"/>
              <w:left w:val="nil"/>
              <w:bottom w:val="single" w:sz="4" w:space="0" w:color="auto"/>
              <w:right w:val="single" w:sz="4" w:space="0" w:color="auto"/>
            </w:tcBorders>
            <w:vAlign w:val="center"/>
          </w:tcPr>
          <w:p w:rsidR="00BA1532" w:rsidRPr="007B7470" w:rsidRDefault="00BA1532" w:rsidP="005277C1">
            <w:pPr>
              <w:jc w:val="center"/>
              <w:rPr>
                <w:color w:val="000000" w:themeColor="text1"/>
                <w:sz w:val="20"/>
                <w:szCs w:val="20"/>
              </w:rPr>
            </w:pPr>
            <w:r>
              <w:rPr>
                <w:bCs/>
                <w:iCs/>
                <w:sz w:val="20"/>
                <w:szCs w:val="20"/>
              </w:rPr>
              <w:t>0</w:t>
            </w:r>
          </w:p>
        </w:tc>
        <w:tc>
          <w:tcPr>
            <w:tcW w:w="1650" w:type="dxa"/>
            <w:tcBorders>
              <w:top w:val="nil"/>
              <w:left w:val="nil"/>
              <w:bottom w:val="single" w:sz="4" w:space="0" w:color="auto"/>
              <w:right w:val="single" w:sz="4" w:space="0" w:color="auto"/>
            </w:tcBorders>
            <w:vAlign w:val="center"/>
          </w:tcPr>
          <w:p w:rsidR="00BA1532" w:rsidRPr="007B7470" w:rsidRDefault="00BA1532" w:rsidP="005277C1">
            <w:pPr>
              <w:jc w:val="center"/>
              <w:rPr>
                <w:color w:val="000000" w:themeColor="text1"/>
                <w:sz w:val="20"/>
                <w:szCs w:val="20"/>
              </w:rPr>
            </w:pPr>
            <w:r>
              <w:rPr>
                <w:bCs/>
                <w:iCs/>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6E1A3B">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rPr>
            </w:pPr>
            <w:r w:rsidRPr="006E1A3B">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p>
        </w:tc>
      </w:tr>
      <w:tr w:rsidR="00BA1532" w:rsidRPr="007B7470" w:rsidTr="005277C1">
        <w:trPr>
          <w:trHeight w:val="255"/>
        </w:trPr>
        <w:tc>
          <w:tcPr>
            <w:tcW w:w="7070" w:type="dxa"/>
            <w:tcBorders>
              <w:top w:val="nil"/>
              <w:left w:val="single" w:sz="4" w:space="0" w:color="auto"/>
              <w:bottom w:val="single" w:sz="4" w:space="0" w:color="auto"/>
              <w:right w:val="single" w:sz="4" w:space="0" w:color="auto"/>
            </w:tcBorders>
          </w:tcPr>
          <w:p w:rsidR="00BA1532" w:rsidRPr="007B7470" w:rsidRDefault="00BA1532" w:rsidP="005277C1">
            <w:pPr>
              <w:rPr>
                <w:color w:val="000000" w:themeColor="text1"/>
                <w:sz w:val="20"/>
                <w:szCs w:val="20"/>
              </w:rPr>
            </w:pPr>
            <w:r w:rsidRPr="007B7470">
              <w:rPr>
                <w:color w:val="000000" w:themeColor="text1"/>
                <w:sz w:val="20"/>
                <w:szCs w:val="20"/>
              </w:rPr>
              <w:t xml:space="preserve">  Kapitálové transfery (720)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5B0C47">
              <w:rPr>
                <w:sz w:val="20"/>
                <w:szCs w:val="20"/>
              </w:rPr>
              <w:t>0</w:t>
            </w:r>
          </w:p>
        </w:tc>
        <w:tc>
          <w:tcPr>
            <w:tcW w:w="165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5B0C47">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sz w:val="20"/>
                <w:szCs w:val="20"/>
              </w:rPr>
            </w:pPr>
            <w:r w:rsidRPr="005B0C47">
              <w:rPr>
                <w:sz w:val="20"/>
                <w:szCs w:val="20"/>
              </w:rPr>
              <w:t>0</w:t>
            </w:r>
          </w:p>
        </w:tc>
        <w:tc>
          <w:tcPr>
            <w:tcW w:w="1540" w:type="dxa"/>
            <w:tcBorders>
              <w:top w:val="nil"/>
              <w:left w:val="nil"/>
              <w:bottom w:val="single" w:sz="4" w:space="0" w:color="auto"/>
              <w:right w:val="single" w:sz="4" w:space="0" w:color="auto"/>
            </w:tcBorders>
          </w:tcPr>
          <w:p w:rsidR="00BA1532" w:rsidRPr="007B7470" w:rsidRDefault="00BA1532" w:rsidP="005277C1">
            <w:pPr>
              <w:jc w:val="center"/>
              <w:rPr>
                <w:color w:val="000000" w:themeColor="text1"/>
              </w:rPr>
            </w:pPr>
            <w:r w:rsidRPr="005B0C47">
              <w:rPr>
                <w:sz w:val="20"/>
                <w:szCs w:val="20"/>
              </w:rPr>
              <w:t>0</w:t>
            </w:r>
          </w:p>
        </w:tc>
        <w:tc>
          <w:tcPr>
            <w:tcW w:w="1649" w:type="dxa"/>
            <w:tcBorders>
              <w:top w:val="nil"/>
              <w:left w:val="nil"/>
              <w:bottom w:val="single" w:sz="4" w:space="0" w:color="auto"/>
              <w:right w:val="single" w:sz="4" w:space="0" w:color="auto"/>
            </w:tcBorders>
            <w:noWrap/>
            <w:vAlign w:val="bottom"/>
          </w:tcPr>
          <w:p w:rsidR="00BA1532" w:rsidRPr="007B7470" w:rsidRDefault="00BA1532" w:rsidP="005277C1">
            <w:pPr>
              <w:rPr>
                <w:color w:val="000000" w:themeColor="text1"/>
              </w:rPr>
            </w:pPr>
            <w:r w:rsidRPr="007B7470">
              <w:rPr>
                <w:color w:val="000000" w:themeColor="text1"/>
              </w:rPr>
              <w:t> </w:t>
            </w:r>
          </w:p>
        </w:tc>
      </w:tr>
      <w:tr w:rsidR="00BA1532" w:rsidRPr="007B7470" w:rsidTr="005277C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1532" w:rsidRPr="007B7470" w:rsidRDefault="00BA1532" w:rsidP="005277C1">
            <w:pPr>
              <w:rPr>
                <w:b/>
                <w:bCs/>
                <w:color w:val="000000" w:themeColor="text1"/>
                <w:sz w:val="20"/>
                <w:szCs w:val="20"/>
              </w:rPr>
            </w:pPr>
            <w:r w:rsidRPr="007B7470">
              <w:rPr>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color w:val="000000" w:themeColor="text1"/>
                <w:sz w:val="20"/>
                <w:szCs w:val="20"/>
              </w:rPr>
            </w:pPr>
            <w:r>
              <w:rPr>
                <w:b/>
                <w:bCs/>
                <w:i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color w:val="000000" w:themeColor="text1"/>
                <w:sz w:val="20"/>
                <w:szCs w:val="20"/>
              </w:rPr>
            </w:pPr>
            <w:r>
              <w:rPr>
                <w:b/>
                <w:bCs/>
                <w:i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color w:val="000000" w:themeColor="text1"/>
                <w:sz w:val="20"/>
                <w:szCs w:val="20"/>
              </w:rPr>
            </w:pPr>
            <w:r>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color w:val="000000" w:themeColor="text1"/>
              </w:rPr>
            </w:pPr>
            <w:r>
              <w:rPr>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A1532" w:rsidRPr="007B7470" w:rsidRDefault="00BA1532" w:rsidP="005277C1">
            <w:pPr>
              <w:rPr>
                <w:color w:val="000000" w:themeColor="text1"/>
              </w:rPr>
            </w:pPr>
            <w:r w:rsidRPr="007B7470">
              <w:rPr>
                <w:color w:val="000000" w:themeColor="text1"/>
              </w:rPr>
              <w:t> </w:t>
            </w:r>
          </w:p>
        </w:tc>
      </w:tr>
    </w:tbl>
    <w:p w:rsidR="00BA1532" w:rsidRPr="007B7470" w:rsidRDefault="00BA1532" w:rsidP="00BA1532">
      <w:pPr>
        <w:tabs>
          <w:tab w:val="num" w:pos="1080"/>
        </w:tabs>
        <w:ind w:left="-900"/>
        <w:jc w:val="both"/>
        <w:rPr>
          <w:bCs/>
          <w:sz w:val="20"/>
          <w:szCs w:val="20"/>
        </w:rPr>
      </w:pPr>
      <w:r w:rsidRPr="007B7470">
        <w:rPr>
          <w:bCs/>
          <w:color w:val="000000" w:themeColor="text1"/>
          <w:sz w:val="20"/>
          <w:szCs w:val="20"/>
        </w:rPr>
        <w:t xml:space="preserve">  2 –  výdavky rozpísať až do podpo</w:t>
      </w:r>
      <w:r w:rsidRPr="007B7470">
        <w:rPr>
          <w:bCs/>
          <w:sz w:val="20"/>
          <w:szCs w:val="20"/>
        </w:rPr>
        <w:t>ložiek platnej ekonomickej klasifikácie</w:t>
      </w:r>
    </w:p>
    <w:p w:rsidR="00BA1532" w:rsidRPr="007B7470" w:rsidRDefault="00BA1532" w:rsidP="00BA1532">
      <w:pPr>
        <w:tabs>
          <w:tab w:val="num" w:pos="1080"/>
        </w:tabs>
        <w:ind w:left="-900"/>
        <w:jc w:val="both"/>
        <w:rPr>
          <w:bCs/>
          <w:szCs w:val="20"/>
        </w:rPr>
      </w:pPr>
    </w:p>
    <w:p w:rsidR="00BA1532" w:rsidRPr="007B7470" w:rsidRDefault="00BA1532" w:rsidP="00BA1532">
      <w:pPr>
        <w:tabs>
          <w:tab w:val="num" w:pos="1080"/>
        </w:tabs>
        <w:ind w:left="-900"/>
        <w:jc w:val="both"/>
        <w:rPr>
          <w:b/>
          <w:bCs/>
          <w:sz w:val="20"/>
          <w:szCs w:val="20"/>
        </w:rPr>
      </w:pPr>
      <w:r w:rsidRPr="007B7470">
        <w:rPr>
          <w:b/>
          <w:bCs/>
          <w:szCs w:val="20"/>
        </w:rPr>
        <w:t xml:space="preserve">  Poznámka:</w:t>
      </w:r>
    </w:p>
    <w:p w:rsidR="00BA1532" w:rsidRPr="007B7470" w:rsidRDefault="00BA1532" w:rsidP="00BA1532">
      <w:pPr>
        <w:tabs>
          <w:tab w:val="num" w:pos="1080"/>
        </w:tabs>
        <w:ind w:left="-900"/>
        <w:jc w:val="both"/>
        <w:rPr>
          <w:bCs/>
          <w:sz w:val="20"/>
          <w:szCs w:val="20"/>
        </w:rPr>
      </w:pPr>
      <w:r w:rsidRPr="007B7470">
        <w:rPr>
          <w:bCs/>
          <w:szCs w:val="20"/>
        </w:rPr>
        <w:t xml:space="preserve">  Ak sa vplyv týka viacerých subjektov verejnej správy, vypĺňa sa samostatná tabuľka za každý subjekt.</w:t>
      </w: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Default="00BA1532" w:rsidP="00BA1532">
      <w:pPr>
        <w:tabs>
          <w:tab w:val="num" w:pos="1080"/>
        </w:tabs>
        <w:ind w:left="-900"/>
        <w:jc w:val="both"/>
        <w:rPr>
          <w:bCs/>
          <w:sz w:val="20"/>
          <w:szCs w:val="20"/>
        </w:rPr>
      </w:pPr>
    </w:p>
    <w:p w:rsidR="00F33D01" w:rsidRPr="007B7470" w:rsidRDefault="00F33D01"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ind w:left="-900"/>
        <w:jc w:val="both"/>
        <w:rPr>
          <w:bCs/>
          <w:sz w:val="20"/>
          <w:szCs w:val="20"/>
        </w:rPr>
      </w:pPr>
    </w:p>
    <w:p w:rsidR="00BA1532" w:rsidRPr="007B7470" w:rsidRDefault="00BA1532" w:rsidP="00BA1532">
      <w:pPr>
        <w:tabs>
          <w:tab w:val="num" w:pos="1080"/>
        </w:tabs>
        <w:jc w:val="both"/>
        <w:rPr>
          <w:bCs/>
          <w:sz w:val="20"/>
          <w:szCs w:val="20"/>
        </w:rPr>
      </w:pPr>
      <w:r w:rsidRPr="007B7470">
        <w:rPr>
          <w:bCs/>
          <w:sz w:val="20"/>
          <w:szCs w:val="20"/>
        </w:rPr>
        <w:lastRenderedPageBreak/>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BA1532" w:rsidRPr="007B7470" w:rsidTr="005277C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532" w:rsidRPr="007B7470" w:rsidRDefault="00BA1532" w:rsidP="005277C1">
            <w:pPr>
              <w:jc w:val="center"/>
              <w:rPr>
                <w:b/>
                <w:bCs/>
              </w:rPr>
            </w:pPr>
            <w:r w:rsidRPr="007B7470">
              <w:rPr>
                <w:b/>
                <w:bCs/>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sidRPr="007B7470">
              <w:rPr>
                <w:b/>
                <w:bCs/>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A1532" w:rsidRPr="007B7470" w:rsidRDefault="00BA1532" w:rsidP="005277C1">
            <w:pPr>
              <w:jc w:val="center"/>
              <w:rPr>
                <w:b/>
                <w:bCs/>
              </w:rPr>
            </w:pPr>
            <w:r w:rsidRPr="007B7470">
              <w:rPr>
                <w:b/>
                <w:bCs/>
              </w:rPr>
              <w:t>poznámka</w:t>
            </w:r>
          </w:p>
        </w:tc>
      </w:tr>
      <w:tr w:rsidR="00BA1532" w:rsidRPr="007B7470" w:rsidTr="005277C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532" w:rsidRPr="007B7470" w:rsidRDefault="00BA1532" w:rsidP="005277C1">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sidRPr="007B7470">
              <w:rPr>
                <w:b/>
                <w:bCs/>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sidRPr="007B7470">
              <w:rPr>
                <w:b/>
                <w:bCs/>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sidRPr="007B7470">
              <w:rPr>
                <w:b/>
                <w:bCs/>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r w:rsidRPr="007B7470">
              <w:rPr>
                <w:b/>
                <w:bCs/>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532" w:rsidRPr="007B7470" w:rsidRDefault="00BA1532" w:rsidP="005277C1">
            <w:pPr>
              <w:rPr>
                <w:b/>
                <w:bCs/>
                <w:color w:val="FFFFFF"/>
              </w:rPr>
            </w:pPr>
          </w:p>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Počet zamestnancov celkom</w:t>
            </w:r>
          </w:p>
        </w:tc>
        <w:tc>
          <w:tcPr>
            <w:tcW w:w="1698"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788"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878" w:type="dxa"/>
            <w:gridSpan w:val="2"/>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560"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842" w:type="dxa"/>
            <w:gridSpan w:val="2"/>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BA1532" w:rsidRPr="007B7470" w:rsidRDefault="00BA1532" w:rsidP="005277C1">
            <w:pPr>
              <w:jc w:val="center"/>
              <w:rPr>
                <w:b/>
                <w:bCs/>
              </w:rPr>
            </w:pPr>
          </w:p>
        </w:tc>
        <w:tc>
          <w:tcPr>
            <w:tcW w:w="1788" w:type="dxa"/>
            <w:tcBorders>
              <w:top w:val="single" w:sz="4" w:space="0" w:color="auto"/>
              <w:left w:val="nil"/>
              <w:bottom w:val="single" w:sz="4" w:space="0" w:color="auto"/>
              <w:right w:val="single" w:sz="4" w:space="0" w:color="auto"/>
            </w:tcBorders>
          </w:tcPr>
          <w:p w:rsidR="00BA1532" w:rsidRPr="007B7470" w:rsidRDefault="00BA1532" w:rsidP="005277C1">
            <w:pPr>
              <w:jc w:val="center"/>
              <w:rPr>
                <w:b/>
                <w:bCs/>
              </w:rPr>
            </w:pPr>
          </w:p>
        </w:tc>
        <w:tc>
          <w:tcPr>
            <w:tcW w:w="1878" w:type="dxa"/>
            <w:gridSpan w:val="2"/>
            <w:tcBorders>
              <w:top w:val="single" w:sz="4" w:space="0" w:color="auto"/>
              <w:left w:val="nil"/>
              <w:bottom w:val="single" w:sz="4" w:space="0" w:color="auto"/>
              <w:right w:val="single" w:sz="4" w:space="0" w:color="auto"/>
            </w:tcBorders>
          </w:tcPr>
          <w:p w:rsidR="00BA1532" w:rsidRPr="007B7470" w:rsidRDefault="00BA1532" w:rsidP="005277C1">
            <w:pPr>
              <w:jc w:val="center"/>
              <w:rPr>
                <w:b/>
                <w:bCs/>
              </w:rPr>
            </w:pPr>
          </w:p>
        </w:tc>
        <w:tc>
          <w:tcPr>
            <w:tcW w:w="1560" w:type="dxa"/>
            <w:tcBorders>
              <w:top w:val="single" w:sz="4" w:space="0" w:color="auto"/>
              <w:left w:val="nil"/>
              <w:bottom w:val="single" w:sz="4" w:space="0" w:color="auto"/>
              <w:right w:val="single" w:sz="4" w:space="0" w:color="auto"/>
            </w:tcBorders>
          </w:tcPr>
          <w:p w:rsidR="00BA1532" w:rsidRPr="007B7470" w:rsidRDefault="00BA1532" w:rsidP="005277C1">
            <w:pPr>
              <w:jc w:val="center"/>
              <w:rPr>
                <w:b/>
                <w:bCs/>
              </w:rPr>
            </w:pPr>
          </w:p>
        </w:tc>
        <w:tc>
          <w:tcPr>
            <w:tcW w:w="1842" w:type="dxa"/>
            <w:gridSpan w:val="2"/>
            <w:tcBorders>
              <w:top w:val="nil"/>
              <w:left w:val="nil"/>
              <w:bottom w:val="single" w:sz="4" w:space="0" w:color="auto"/>
              <w:right w:val="single" w:sz="4" w:space="0" w:color="auto"/>
            </w:tcBorders>
            <w:noWrap/>
            <w:vAlign w:val="bottom"/>
          </w:tcPr>
          <w:p w:rsidR="00BA1532" w:rsidRPr="007B7470" w:rsidRDefault="00BA1532" w:rsidP="005277C1"/>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BA1532" w:rsidRPr="007B7470" w:rsidRDefault="00BA1532" w:rsidP="005277C1">
            <w:pPr>
              <w:jc w:val="center"/>
              <w:rPr>
                <w:b/>
                <w:bCs/>
              </w:rPr>
            </w:pPr>
          </w:p>
        </w:tc>
        <w:tc>
          <w:tcPr>
            <w:tcW w:w="1788" w:type="dxa"/>
            <w:tcBorders>
              <w:top w:val="single" w:sz="4" w:space="0" w:color="auto"/>
              <w:left w:val="nil"/>
              <w:bottom w:val="single" w:sz="4" w:space="0" w:color="auto"/>
              <w:right w:val="single" w:sz="4" w:space="0" w:color="auto"/>
            </w:tcBorders>
          </w:tcPr>
          <w:p w:rsidR="00BA1532" w:rsidRPr="007B7470" w:rsidRDefault="00BA1532" w:rsidP="005277C1">
            <w:pPr>
              <w:jc w:val="center"/>
              <w:rPr>
                <w:b/>
                <w:bCs/>
              </w:rPr>
            </w:pPr>
          </w:p>
        </w:tc>
        <w:tc>
          <w:tcPr>
            <w:tcW w:w="1878" w:type="dxa"/>
            <w:gridSpan w:val="2"/>
            <w:tcBorders>
              <w:top w:val="single" w:sz="4" w:space="0" w:color="auto"/>
              <w:left w:val="nil"/>
              <w:bottom w:val="single" w:sz="4" w:space="0" w:color="auto"/>
              <w:right w:val="single" w:sz="4" w:space="0" w:color="auto"/>
            </w:tcBorders>
          </w:tcPr>
          <w:p w:rsidR="00BA1532" w:rsidRPr="007B7470" w:rsidRDefault="00BA1532" w:rsidP="005277C1">
            <w:pPr>
              <w:jc w:val="center"/>
              <w:rPr>
                <w:b/>
                <w:bCs/>
              </w:rPr>
            </w:pPr>
          </w:p>
        </w:tc>
        <w:tc>
          <w:tcPr>
            <w:tcW w:w="1560" w:type="dxa"/>
            <w:tcBorders>
              <w:top w:val="single" w:sz="4" w:space="0" w:color="auto"/>
              <w:left w:val="nil"/>
              <w:bottom w:val="single" w:sz="4" w:space="0" w:color="auto"/>
              <w:right w:val="single" w:sz="4" w:space="0" w:color="auto"/>
            </w:tcBorders>
          </w:tcPr>
          <w:p w:rsidR="00BA1532" w:rsidRPr="007B7470" w:rsidRDefault="00BA1532" w:rsidP="005277C1">
            <w:pPr>
              <w:jc w:val="center"/>
              <w:rPr>
                <w:b/>
                <w:bCs/>
              </w:rPr>
            </w:pPr>
          </w:p>
        </w:tc>
        <w:tc>
          <w:tcPr>
            <w:tcW w:w="1842" w:type="dxa"/>
            <w:gridSpan w:val="2"/>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tcPr>
          <w:p w:rsidR="00BA1532" w:rsidRPr="007B7470" w:rsidRDefault="00BA1532" w:rsidP="005277C1">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BA1532" w:rsidRPr="007B7470" w:rsidRDefault="00BA1532" w:rsidP="005277C1">
            <w:pPr>
              <w:jc w:val="center"/>
            </w:pPr>
            <w:r w:rsidRPr="007B7470">
              <w:t> </w:t>
            </w:r>
          </w:p>
        </w:tc>
        <w:tc>
          <w:tcPr>
            <w:tcW w:w="1788" w:type="dxa"/>
            <w:tcBorders>
              <w:top w:val="single" w:sz="4" w:space="0" w:color="auto"/>
              <w:left w:val="nil"/>
              <w:bottom w:val="single" w:sz="4" w:space="0" w:color="auto"/>
              <w:right w:val="single" w:sz="4" w:space="0" w:color="auto"/>
            </w:tcBorders>
          </w:tcPr>
          <w:p w:rsidR="00BA1532" w:rsidRPr="007B7470" w:rsidRDefault="00BA1532" w:rsidP="005277C1">
            <w:pPr>
              <w:jc w:val="center"/>
            </w:pPr>
            <w:r w:rsidRPr="007B7470">
              <w:t> </w:t>
            </w:r>
          </w:p>
        </w:tc>
        <w:tc>
          <w:tcPr>
            <w:tcW w:w="1878" w:type="dxa"/>
            <w:gridSpan w:val="2"/>
            <w:tcBorders>
              <w:top w:val="single" w:sz="4" w:space="0" w:color="auto"/>
              <w:left w:val="nil"/>
              <w:bottom w:val="single" w:sz="4" w:space="0" w:color="auto"/>
              <w:right w:val="single" w:sz="4" w:space="0" w:color="auto"/>
            </w:tcBorders>
          </w:tcPr>
          <w:p w:rsidR="00BA1532" w:rsidRPr="007B7470" w:rsidRDefault="00BA1532" w:rsidP="005277C1">
            <w:pPr>
              <w:jc w:val="center"/>
            </w:pPr>
            <w:r w:rsidRPr="007B7470">
              <w:t> </w:t>
            </w:r>
          </w:p>
        </w:tc>
        <w:tc>
          <w:tcPr>
            <w:tcW w:w="1560" w:type="dxa"/>
            <w:tcBorders>
              <w:top w:val="single" w:sz="4" w:space="0" w:color="auto"/>
              <w:left w:val="nil"/>
              <w:bottom w:val="single" w:sz="4" w:space="0" w:color="auto"/>
              <w:right w:val="single" w:sz="4" w:space="0" w:color="auto"/>
            </w:tcBorders>
          </w:tcPr>
          <w:p w:rsidR="00BA1532" w:rsidRPr="007B7470" w:rsidRDefault="00BA1532" w:rsidP="005277C1">
            <w:pPr>
              <w:jc w:val="center"/>
            </w:pPr>
            <w:r w:rsidRPr="007B7470">
              <w:t> </w:t>
            </w:r>
          </w:p>
        </w:tc>
        <w:tc>
          <w:tcPr>
            <w:tcW w:w="1842" w:type="dxa"/>
            <w:gridSpan w:val="2"/>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BA1532" w:rsidRPr="007B7470" w:rsidRDefault="00BA1532" w:rsidP="005277C1">
            <w:pPr>
              <w:rPr>
                <w:b/>
                <w:bCs/>
              </w:rPr>
            </w:pPr>
            <w:r w:rsidRPr="007B7470">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p>
        </w:tc>
        <w:tc>
          <w:tcPr>
            <w:tcW w:w="1788"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p>
        </w:tc>
        <w:tc>
          <w:tcPr>
            <w:tcW w:w="1560" w:type="dxa"/>
            <w:tcBorders>
              <w:top w:val="nil"/>
              <w:left w:val="nil"/>
              <w:bottom w:val="single" w:sz="4" w:space="0" w:color="auto"/>
              <w:right w:val="single" w:sz="4" w:space="0" w:color="auto"/>
            </w:tcBorders>
            <w:shd w:val="clear" w:color="auto" w:fill="BFBFBF" w:themeFill="background1" w:themeFillShade="BF"/>
          </w:tcPr>
          <w:p w:rsidR="00BA1532" w:rsidRPr="007B7470" w:rsidRDefault="00BA1532" w:rsidP="005277C1">
            <w:pPr>
              <w:jc w:val="center"/>
              <w:rPr>
                <w:b/>
                <w:bCs/>
              </w:rPr>
            </w:pP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BA1532" w:rsidRPr="007B7470" w:rsidRDefault="00BA1532" w:rsidP="005277C1">
            <w:pPr>
              <w:rPr>
                <w:b/>
                <w:bCs/>
              </w:rPr>
            </w:pPr>
            <w:r w:rsidRPr="007B7470">
              <w:rPr>
                <w:b/>
                <w:bCs/>
              </w:rPr>
              <w:t> </w:t>
            </w:r>
          </w:p>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Mzdy, platy, služobné príjmy a ostatné osobné vyrovnania (610)</w:t>
            </w:r>
          </w:p>
        </w:tc>
        <w:tc>
          <w:tcPr>
            <w:tcW w:w="1698"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788"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878" w:type="dxa"/>
            <w:gridSpan w:val="2"/>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560"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842" w:type="dxa"/>
            <w:gridSpan w:val="2"/>
            <w:tcBorders>
              <w:top w:val="nil"/>
              <w:left w:val="nil"/>
              <w:bottom w:val="single" w:sz="4" w:space="0" w:color="auto"/>
              <w:right w:val="single" w:sz="4" w:space="0" w:color="auto"/>
            </w:tcBorders>
            <w:noWrap/>
            <w:vAlign w:val="bottom"/>
          </w:tcPr>
          <w:p w:rsidR="00BA1532" w:rsidRPr="007B7470" w:rsidRDefault="00BA1532" w:rsidP="005277C1">
            <w:pPr>
              <w:rPr>
                <w:b/>
                <w:bCs/>
              </w:rPr>
            </w:pPr>
            <w:r w:rsidRPr="007B7470">
              <w:rPr>
                <w:b/>
                <w:bCs/>
              </w:rPr>
              <w:t> </w:t>
            </w:r>
          </w:p>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tcPr>
          <w:p w:rsidR="00BA1532" w:rsidRPr="007B7470" w:rsidRDefault="00BA1532" w:rsidP="005277C1">
            <w:r w:rsidRPr="007B7470">
              <w:rPr>
                <w:b/>
                <w:bCs/>
              </w:rPr>
              <w:t xml:space="preserve">   z toho vplyv na ŠR</w:t>
            </w:r>
          </w:p>
        </w:tc>
        <w:tc>
          <w:tcPr>
            <w:tcW w:w="1698" w:type="dxa"/>
            <w:tcBorders>
              <w:top w:val="nil"/>
              <w:left w:val="nil"/>
              <w:bottom w:val="single" w:sz="4" w:space="0" w:color="auto"/>
              <w:right w:val="single" w:sz="4" w:space="0" w:color="auto"/>
            </w:tcBorders>
          </w:tcPr>
          <w:p w:rsidR="00BA1532" w:rsidRPr="007B7470" w:rsidRDefault="00BA1532" w:rsidP="005277C1">
            <w:pPr>
              <w:jc w:val="center"/>
            </w:pPr>
          </w:p>
        </w:tc>
        <w:tc>
          <w:tcPr>
            <w:tcW w:w="1788" w:type="dxa"/>
            <w:tcBorders>
              <w:top w:val="nil"/>
              <w:left w:val="nil"/>
              <w:bottom w:val="single" w:sz="4" w:space="0" w:color="auto"/>
              <w:right w:val="single" w:sz="4" w:space="0" w:color="auto"/>
            </w:tcBorders>
          </w:tcPr>
          <w:p w:rsidR="00BA1532" w:rsidRPr="007B7470" w:rsidRDefault="00BA1532" w:rsidP="005277C1">
            <w:pPr>
              <w:jc w:val="center"/>
            </w:pPr>
          </w:p>
        </w:tc>
        <w:tc>
          <w:tcPr>
            <w:tcW w:w="1878" w:type="dxa"/>
            <w:gridSpan w:val="2"/>
            <w:tcBorders>
              <w:top w:val="nil"/>
              <w:left w:val="nil"/>
              <w:bottom w:val="single" w:sz="4" w:space="0" w:color="auto"/>
              <w:right w:val="single" w:sz="4" w:space="0" w:color="auto"/>
            </w:tcBorders>
          </w:tcPr>
          <w:p w:rsidR="00BA1532" w:rsidRPr="007B7470" w:rsidRDefault="00BA1532" w:rsidP="005277C1">
            <w:pPr>
              <w:jc w:val="center"/>
            </w:pPr>
          </w:p>
        </w:tc>
        <w:tc>
          <w:tcPr>
            <w:tcW w:w="1560" w:type="dxa"/>
            <w:tcBorders>
              <w:top w:val="nil"/>
              <w:left w:val="nil"/>
              <w:bottom w:val="single" w:sz="4" w:space="0" w:color="auto"/>
              <w:right w:val="single" w:sz="4" w:space="0" w:color="auto"/>
            </w:tcBorders>
          </w:tcPr>
          <w:p w:rsidR="00BA1532" w:rsidRPr="007B7470" w:rsidRDefault="00BA1532" w:rsidP="005277C1">
            <w:pPr>
              <w:jc w:val="center"/>
            </w:pPr>
          </w:p>
        </w:tc>
        <w:tc>
          <w:tcPr>
            <w:tcW w:w="1842" w:type="dxa"/>
            <w:gridSpan w:val="2"/>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tcPr>
          <w:p w:rsidR="00BA1532" w:rsidRPr="007B7470" w:rsidRDefault="00BA1532" w:rsidP="005277C1">
            <w:pPr>
              <w:rPr>
                <w:b/>
                <w:bCs/>
              </w:rPr>
            </w:pPr>
            <w:r w:rsidRPr="007B7470">
              <w:rPr>
                <w:b/>
                <w:bCs/>
              </w:rPr>
              <w:t>Poistné a príspevok do poisťovní (620)</w:t>
            </w:r>
          </w:p>
        </w:tc>
        <w:tc>
          <w:tcPr>
            <w:tcW w:w="1698"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788"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878" w:type="dxa"/>
            <w:gridSpan w:val="2"/>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560" w:type="dxa"/>
            <w:tcBorders>
              <w:top w:val="nil"/>
              <w:left w:val="nil"/>
              <w:bottom w:val="single" w:sz="4" w:space="0" w:color="auto"/>
              <w:right w:val="single" w:sz="4" w:space="0" w:color="auto"/>
            </w:tcBorders>
          </w:tcPr>
          <w:p w:rsidR="00BA1532" w:rsidRPr="007B7470" w:rsidRDefault="00BA1532" w:rsidP="005277C1">
            <w:pPr>
              <w:jc w:val="center"/>
              <w:rPr>
                <w:b/>
                <w:bCs/>
              </w:rPr>
            </w:pPr>
          </w:p>
        </w:tc>
        <w:tc>
          <w:tcPr>
            <w:tcW w:w="1842" w:type="dxa"/>
            <w:gridSpan w:val="2"/>
            <w:tcBorders>
              <w:top w:val="nil"/>
              <w:left w:val="nil"/>
              <w:bottom w:val="single" w:sz="4" w:space="0" w:color="auto"/>
              <w:right w:val="single" w:sz="4" w:space="0" w:color="auto"/>
            </w:tcBorders>
            <w:noWrap/>
            <w:vAlign w:val="bottom"/>
          </w:tcPr>
          <w:p w:rsidR="00BA1532" w:rsidRPr="007B7470" w:rsidRDefault="00BA1532" w:rsidP="005277C1">
            <w:pPr>
              <w:rPr>
                <w:b/>
                <w:bCs/>
              </w:rPr>
            </w:pPr>
            <w:r w:rsidRPr="007B7470">
              <w:rPr>
                <w:b/>
                <w:bCs/>
              </w:rPr>
              <w:t> </w:t>
            </w:r>
          </w:p>
        </w:tc>
      </w:tr>
      <w:tr w:rsidR="00BA1532" w:rsidRPr="007B7470" w:rsidTr="005277C1">
        <w:trPr>
          <w:trHeight w:val="255"/>
        </w:trPr>
        <w:tc>
          <w:tcPr>
            <w:tcW w:w="6188" w:type="dxa"/>
            <w:tcBorders>
              <w:top w:val="nil"/>
              <w:left w:val="single" w:sz="4" w:space="0" w:color="auto"/>
              <w:bottom w:val="single" w:sz="4" w:space="0" w:color="auto"/>
              <w:right w:val="single" w:sz="4" w:space="0" w:color="auto"/>
            </w:tcBorders>
          </w:tcPr>
          <w:p w:rsidR="00BA1532" w:rsidRPr="007B7470" w:rsidRDefault="00BA1532" w:rsidP="005277C1">
            <w:r w:rsidRPr="007B7470">
              <w:rPr>
                <w:b/>
                <w:bCs/>
              </w:rPr>
              <w:t xml:space="preserve">   z toho vplyv na ŠR</w:t>
            </w:r>
          </w:p>
        </w:tc>
        <w:tc>
          <w:tcPr>
            <w:tcW w:w="1698" w:type="dxa"/>
            <w:tcBorders>
              <w:top w:val="nil"/>
              <w:left w:val="nil"/>
              <w:bottom w:val="single" w:sz="4" w:space="0" w:color="auto"/>
              <w:right w:val="single" w:sz="4" w:space="0" w:color="auto"/>
            </w:tcBorders>
          </w:tcPr>
          <w:p w:rsidR="00BA1532" w:rsidRPr="007B7470" w:rsidRDefault="00BA1532" w:rsidP="005277C1">
            <w:pPr>
              <w:jc w:val="center"/>
            </w:pPr>
          </w:p>
        </w:tc>
        <w:tc>
          <w:tcPr>
            <w:tcW w:w="1788" w:type="dxa"/>
            <w:tcBorders>
              <w:top w:val="nil"/>
              <w:left w:val="nil"/>
              <w:bottom w:val="single" w:sz="4" w:space="0" w:color="auto"/>
              <w:right w:val="single" w:sz="4" w:space="0" w:color="auto"/>
            </w:tcBorders>
          </w:tcPr>
          <w:p w:rsidR="00BA1532" w:rsidRPr="007B7470" w:rsidRDefault="00BA1532" w:rsidP="005277C1">
            <w:pPr>
              <w:jc w:val="center"/>
            </w:pPr>
          </w:p>
        </w:tc>
        <w:tc>
          <w:tcPr>
            <w:tcW w:w="1878" w:type="dxa"/>
            <w:gridSpan w:val="2"/>
            <w:tcBorders>
              <w:top w:val="nil"/>
              <w:left w:val="nil"/>
              <w:bottom w:val="single" w:sz="4" w:space="0" w:color="auto"/>
              <w:right w:val="single" w:sz="4" w:space="0" w:color="auto"/>
            </w:tcBorders>
          </w:tcPr>
          <w:p w:rsidR="00BA1532" w:rsidRPr="007B7470" w:rsidRDefault="00BA1532" w:rsidP="005277C1">
            <w:pPr>
              <w:jc w:val="center"/>
            </w:pPr>
          </w:p>
        </w:tc>
        <w:tc>
          <w:tcPr>
            <w:tcW w:w="1560" w:type="dxa"/>
            <w:tcBorders>
              <w:top w:val="nil"/>
              <w:left w:val="nil"/>
              <w:bottom w:val="single" w:sz="4" w:space="0" w:color="auto"/>
              <w:right w:val="single" w:sz="4" w:space="0" w:color="auto"/>
            </w:tcBorders>
          </w:tcPr>
          <w:p w:rsidR="00BA1532" w:rsidRPr="007B7470" w:rsidRDefault="00BA1532" w:rsidP="005277C1">
            <w:pPr>
              <w:jc w:val="center"/>
            </w:pPr>
          </w:p>
        </w:tc>
        <w:tc>
          <w:tcPr>
            <w:tcW w:w="1842" w:type="dxa"/>
            <w:gridSpan w:val="2"/>
            <w:tcBorders>
              <w:top w:val="nil"/>
              <w:left w:val="nil"/>
              <w:bottom w:val="single" w:sz="4" w:space="0" w:color="auto"/>
              <w:right w:val="single" w:sz="4" w:space="0" w:color="auto"/>
            </w:tcBorders>
            <w:noWrap/>
            <w:vAlign w:val="bottom"/>
          </w:tcPr>
          <w:p w:rsidR="00BA1532" w:rsidRPr="007B7470" w:rsidRDefault="00BA1532" w:rsidP="005277C1">
            <w:r w:rsidRPr="007B7470">
              <w:t> </w:t>
            </w:r>
          </w:p>
        </w:tc>
      </w:tr>
      <w:tr w:rsidR="00BA1532" w:rsidRPr="007B7470" w:rsidTr="005277C1">
        <w:trPr>
          <w:trHeight w:val="255"/>
        </w:trPr>
        <w:tc>
          <w:tcPr>
            <w:tcW w:w="6188" w:type="dxa"/>
            <w:tcBorders>
              <w:top w:val="nil"/>
              <w:left w:val="nil"/>
              <w:bottom w:val="nil"/>
              <w:right w:val="nil"/>
            </w:tcBorders>
            <w:noWrap/>
            <w:vAlign w:val="bottom"/>
          </w:tcPr>
          <w:p w:rsidR="00BA1532" w:rsidRPr="007B7470" w:rsidRDefault="00BA1532" w:rsidP="005277C1"/>
        </w:tc>
        <w:tc>
          <w:tcPr>
            <w:tcW w:w="1698" w:type="dxa"/>
            <w:tcBorders>
              <w:top w:val="nil"/>
              <w:left w:val="nil"/>
              <w:bottom w:val="nil"/>
              <w:right w:val="nil"/>
            </w:tcBorders>
            <w:noWrap/>
            <w:vAlign w:val="bottom"/>
          </w:tcPr>
          <w:p w:rsidR="00BA1532" w:rsidRPr="007B7470" w:rsidRDefault="00BA1532" w:rsidP="005277C1"/>
        </w:tc>
        <w:tc>
          <w:tcPr>
            <w:tcW w:w="1788" w:type="dxa"/>
            <w:tcBorders>
              <w:top w:val="nil"/>
              <w:left w:val="nil"/>
              <w:bottom w:val="nil"/>
              <w:right w:val="nil"/>
            </w:tcBorders>
            <w:noWrap/>
            <w:vAlign w:val="bottom"/>
          </w:tcPr>
          <w:p w:rsidR="00BA1532" w:rsidRPr="007B7470" w:rsidRDefault="00BA1532" w:rsidP="005277C1"/>
        </w:tc>
        <w:tc>
          <w:tcPr>
            <w:tcW w:w="1878" w:type="dxa"/>
            <w:gridSpan w:val="2"/>
            <w:tcBorders>
              <w:top w:val="nil"/>
              <w:left w:val="nil"/>
              <w:bottom w:val="nil"/>
              <w:right w:val="nil"/>
            </w:tcBorders>
            <w:noWrap/>
            <w:vAlign w:val="bottom"/>
          </w:tcPr>
          <w:p w:rsidR="00BA1532" w:rsidRPr="007B7470" w:rsidRDefault="00BA1532" w:rsidP="005277C1"/>
        </w:tc>
        <w:tc>
          <w:tcPr>
            <w:tcW w:w="1560" w:type="dxa"/>
            <w:tcBorders>
              <w:top w:val="nil"/>
              <w:left w:val="nil"/>
              <w:bottom w:val="nil"/>
              <w:right w:val="nil"/>
            </w:tcBorders>
            <w:noWrap/>
            <w:vAlign w:val="bottom"/>
          </w:tcPr>
          <w:p w:rsidR="00BA1532" w:rsidRPr="007B7470" w:rsidRDefault="00BA1532" w:rsidP="005277C1"/>
        </w:tc>
        <w:tc>
          <w:tcPr>
            <w:tcW w:w="1842" w:type="dxa"/>
            <w:gridSpan w:val="2"/>
            <w:tcBorders>
              <w:top w:val="nil"/>
              <w:left w:val="nil"/>
              <w:bottom w:val="nil"/>
              <w:right w:val="nil"/>
            </w:tcBorders>
            <w:noWrap/>
            <w:vAlign w:val="bottom"/>
          </w:tcPr>
          <w:p w:rsidR="00BA1532" w:rsidRPr="007B7470" w:rsidRDefault="00BA1532" w:rsidP="005277C1"/>
        </w:tc>
      </w:tr>
      <w:tr w:rsidR="00BA1532" w:rsidRPr="007B7470" w:rsidTr="005277C1">
        <w:trPr>
          <w:trHeight w:val="255"/>
        </w:trPr>
        <w:tc>
          <w:tcPr>
            <w:tcW w:w="6188" w:type="dxa"/>
            <w:tcBorders>
              <w:top w:val="nil"/>
              <w:left w:val="nil"/>
              <w:bottom w:val="nil"/>
              <w:right w:val="nil"/>
            </w:tcBorders>
          </w:tcPr>
          <w:p w:rsidR="00BA1532" w:rsidRPr="007B7470" w:rsidRDefault="00BA1532" w:rsidP="005277C1">
            <w:pPr>
              <w:rPr>
                <w:b/>
                <w:bCs/>
              </w:rPr>
            </w:pPr>
            <w:r w:rsidRPr="007B7470">
              <w:rPr>
                <w:b/>
                <w:bCs/>
              </w:rPr>
              <w:t>Poznámka:</w:t>
            </w:r>
          </w:p>
        </w:tc>
        <w:tc>
          <w:tcPr>
            <w:tcW w:w="1698" w:type="dxa"/>
            <w:tcBorders>
              <w:top w:val="nil"/>
              <w:left w:val="nil"/>
              <w:bottom w:val="nil"/>
              <w:right w:val="nil"/>
            </w:tcBorders>
            <w:noWrap/>
            <w:vAlign w:val="bottom"/>
          </w:tcPr>
          <w:p w:rsidR="00BA1532" w:rsidRPr="007B7470" w:rsidRDefault="00BA1532" w:rsidP="005277C1"/>
        </w:tc>
        <w:tc>
          <w:tcPr>
            <w:tcW w:w="1788" w:type="dxa"/>
            <w:tcBorders>
              <w:top w:val="nil"/>
              <w:left w:val="nil"/>
              <w:bottom w:val="nil"/>
              <w:right w:val="nil"/>
            </w:tcBorders>
            <w:noWrap/>
            <w:vAlign w:val="bottom"/>
          </w:tcPr>
          <w:p w:rsidR="00BA1532" w:rsidRPr="007B7470" w:rsidRDefault="00BA1532" w:rsidP="005277C1"/>
        </w:tc>
        <w:tc>
          <w:tcPr>
            <w:tcW w:w="1878" w:type="dxa"/>
            <w:gridSpan w:val="2"/>
            <w:tcBorders>
              <w:top w:val="nil"/>
              <w:left w:val="nil"/>
              <w:bottom w:val="nil"/>
              <w:right w:val="nil"/>
            </w:tcBorders>
            <w:noWrap/>
            <w:vAlign w:val="bottom"/>
          </w:tcPr>
          <w:p w:rsidR="00BA1532" w:rsidRPr="007B7470" w:rsidRDefault="00BA1532" w:rsidP="005277C1"/>
        </w:tc>
        <w:tc>
          <w:tcPr>
            <w:tcW w:w="1560" w:type="dxa"/>
            <w:tcBorders>
              <w:top w:val="nil"/>
              <w:left w:val="nil"/>
              <w:bottom w:val="nil"/>
              <w:right w:val="nil"/>
            </w:tcBorders>
            <w:noWrap/>
            <w:vAlign w:val="bottom"/>
          </w:tcPr>
          <w:p w:rsidR="00BA1532" w:rsidRPr="007B7470" w:rsidRDefault="00BA1532" w:rsidP="005277C1"/>
        </w:tc>
        <w:tc>
          <w:tcPr>
            <w:tcW w:w="1842" w:type="dxa"/>
            <w:gridSpan w:val="2"/>
            <w:tcBorders>
              <w:top w:val="nil"/>
              <w:left w:val="nil"/>
              <w:bottom w:val="nil"/>
              <w:right w:val="nil"/>
            </w:tcBorders>
            <w:noWrap/>
            <w:vAlign w:val="bottom"/>
          </w:tcPr>
          <w:p w:rsidR="00BA1532" w:rsidRPr="007B7470" w:rsidRDefault="00BA1532" w:rsidP="005277C1"/>
        </w:tc>
      </w:tr>
      <w:tr w:rsidR="00BA1532" w:rsidRPr="007B7470" w:rsidTr="005277C1">
        <w:trPr>
          <w:trHeight w:val="255"/>
        </w:trPr>
        <w:tc>
          <w:tcPr>
            <w:tcW w:w="13112" w:type="dxa"/>
            <w:gridSpan w:val="6"/>
            <w:tcBorders>
              <w:top w:val="nil"/>
              <w:left w:val="nil"/>
              <w:bottom w:val="nil"/>
              <w:right w:val="nil"/>
            </w:tcBorders>
            <w:noWrap/>
          </w:tcPr>
          <w:p w:rsidR="00BA1532" w:rsidRPr="007B7470" w:rsidRDefault="00BA1532" w:rsidP="005277C1">
            <w:pPr>
              <w:tabs>
                <w:tab w:val="num" w:pos="1080"/>
              </w:tabs>
              <w:jc w:val="both"/>
              <w:rPr>
                <w:bCs/>
                <w:szCs w:val="20"/>
              </w:rPr>
            </w:pPr>
            <w:r w:rsidRPr="007B7470">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BA1532" w:rsidRPr="007B7470" w:rsidRDefault="00BA1532" w:rsidP="005277C1">
            <w:r w:rsidRPr="007B7470">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BA1532" w:rsidRPr="007B7470" w:rsidRDefault="00BA1532" w:rsidP="005277C1"/>
        </w:tc>
      </w:tr>
      <w:tr w:rsidR="00BA1532" w:rsidRPr="007B7470" w:rsidTr="005277C1">
        <w:trPr>
          <w:trHeight w:val="255"/>
        </w:trPr>
        <w:tc>
          <w:tcPr>
            <w:tcW w:w="10394" w:type="dxa"/>
            <w:gridSpan w:val="4"/>
            <w:tcBorders>
              <w:top w:val="nil"/>
              <w:left w:val="nil"/>
              <w:bottom w:val="nil"/>
              <w:right w:val="nil"/>
            </w:tcBorders>
            <w:noWrap/>
            <w:vAlign w:val="bottom"/>
          </w:tcPr>
          <w:p w:rsidR="00BA1532" w:rsidRPr="007B7470" w:rsidRDefault="00BA1532" w:rsidP="005277C1">
            <w:r w:rsidRPr="007B7470">
              <w:t>Kategórie 610 a 620 sú z tejto prílohy prenášané do príslušných kategórií prílohy „výdavky“.</w:t>
            </w:r>
          </w:p>
        </w:tc>
        <w:tc>
          <w:tcPr>
            <w:tcW w:w="1158" w:type="dxa"/>
            <w:tcBorders>
              <w:top w:val="nil"/>
              <w:left w:val="nil"/>
              <w:bottom w:val="nil"/>
              <w:right w:val="nil"/>
            </w:tcBorders>
            <w:noWrap/>
            <w:vAlign w:val="bottom"/>
          </w:tcPr>
          <w:p w:rsidR="00BA1532" w:rsidRPr="007B7470" w:rsidRDefault="00BA1532" w:rsidP="005277C1"/>
        </w:tc>
        <w:tc>
          <w:tcPr>
            <w:tcW w:w="2892" w:type="dxa"/>
            <w:gridSpan w:val="2"/>
            <w:tcBorders>
              <w:top w:val="nil"/>
              <w:left w:val="nil"/>
              <w:bottom w:val="nil"/>
              <w:right w:val="nil"/>
            </w:tcBorders>
            <w:noWrap/>
            <w:vAlign w:val="bottom"/>
          </w:tcPr>
          <w:p w:rsidR="00BA1532" w:rsidRPr="007B7470" w:rsidRDefault="00BA1532" w:rsidP="005277C1"/>
        </w:tc>
        <w:tc>
          <w:tcPr>
            <w:tcW w:w="510" w:type="dxa"/>
            <w:tcBorders>
              <w:top w:val="nil"/>
              <w:left w:val="nil"/>
              <w:bottom w:val="nil"/>
              <w:right w:val="nil"/>
            </w:tcBorders>
            <w:noWrap/>
            <w:vAlign w:val="bottom"/>
          </w:tcPr>
          <w:p w:rsidR="00BA1532" w:rsidRPr="007B7470" w:rsidRDefault="00BA1532" w:rsidP="005277C1"/>
        </w:tc>
      </w:tr>
    </w:tbl>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Pr="007B7470" w:rsidRDefault="00BA1532" w:rsidP="00BA1532">
      <w:pPr>
        <w:rPr>
          <w:b/>
          <w:bCs/>
        </w:rPr>
      </w:pPr>
    </w:p>
    <w:p w:rsidR="00BA1532" w:rsidRDefault="00BA1532" w:rsidP="00BA1532">
      <w:pPr>
        <w:jc w:val="both"/>
        <w:rPr>
          <w:b/>
          <w:bCs/>
        </w:rPr>
      </w:pPr>
    </w:p>
    <w:p w:rsidR="00BA1532" w:rsidRPr="007B7470" w:rsidRDefault="00BA1532" w:rsidP="00BA1532">
      <w:pPr>
        <w:jc w:val="both"/>
        <w:rPr>
          <w:b/>
        </w:rPr>
      </w:pPr>
      <w:r w:rsidRPr="007B7470">
        <w:rPr>
          <w:b/>
        </w:rPr>
        <w:lastRenderedPageBreak/>
        <w:t xml:space="preserve">2.2.5. Výpočet vplyvov na dlhodobú udržateľnosť verejných financií </w:t>
      </w:r>
    </w:p>
    <w:p w:rsidR="00BA1532" w:rsidRPr="007B7470" w:rsidRDefault="00BA1532" w:rsidP="00BA1532">
      <w:pPr>
        <w:jc w:val="both"/>
      </w:pPr>
    </w:p>
    <w:p w:rsidR="00BA1532" w:rsidRPr="007B7470" w:rsidRDefault="00BA1532" w:rsidP="00BA1532">
      <w:pPr>
        <w:ind w:firstLine="708"/>
        <w:jc w:val="both"/>
      </w:pPr>
      <w:r w:rsidRPr="007B7470">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BA1532" w:rsidRPr="007B7470" w:rsidRDefault="00BA1532" w:rsidP="00BA1532">
      <w:pPr>
        <w:jc w:val="both"/>
      </w:pPr>
    </w:p>
    <w:p w:rsidR="00BA1532" w:rsidRPr="007B7470" w:rsidRDefault="00BA1532" w:rsidP="00BA1532">
      <w:pPr>
        <w:jc w:val="both"/>
      </w:pPr>
      <w:r w:rsidRPr="007B7470">
        <w:t xml:space="preserve">                                                                                                                                </w:t>
      </w:r>
      <w:r w:rsidRPr="007B7470">
        <w:tab/>
      </w:r>
      <w:r w:rsidRPr="007B7470">
        <w:tab/>
      </w:r>
      <w:r w:rsidRPr="007B7470">
        <w:tab/>
      </w:r>
      <w:r w:rsidRPr="007B7470">
        <w:tab/>
      </w:r>
      <w:r w:rsidRPr="007B7470">
        <w:tab/>
      </w:r>
      <w:r w:rsidRPr="007B7470">
        <w:tab/>
      </w:r>
      <w:r w:rsidRPr="007B7470">
        <w:tab/>
      </w:r>
      <w:r w:rsidRPr="007B7470">
        <w:tab/>
      </w:r>
    </w:p>
    <w:p w:rsidR="00BA1532" w:rsidRPr="007B7470" w:rsidRDefault="00BA1532" w:rsidP="00BA1532">
      <w:pPr>
        <w:jc w:val="both"/>
        <w:rPr>
          <w:sz w:val="20"/>
          <w:szCs w:val="20"/>
        </w:rPr>
      </w:pPr>
      <w:r w:rsidRPr="007B7470">
        <w:rPr>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BA1532" w:rsidRPr="007B7470" w:rsidTr="005277C1">
        <w:trPr>
          <w:trHeight w:val="284"/>
        </w:trPr>
        <w:tc>
          <w:tcPr>
            <w:tcW w:w="2943" w:type="dxa"/>
            <w:vMerge w:val="restart"/>
            <w:shd w:val="clear" w:color="auto" w:fill="BFBFBF" w:themeFill="background1" w:themeFillShade="BF"/>
            <w:vAlign w:val="center"/>
          </w:tcPr>
          <w:p w:rsidR="00BA1532" w:rsidRPr="007B7470" w:rsidRDefault="00BA1532" w:rsidP="005277C1">
            <w:pPr>
              <w:widowControl w:val="0"/>
              <w:overflowPunct w:val="0"/>
              <w:autoSpaceDE w:val="0"/>
              <w:autoSpaceDN w:val="0"/>
              <w:adjustRightInd w:val="0"/>
              <w:jc w:val="center"/>
              <w:textAlignment w:val="baseline"/>
              <w:rPr>
                <w:b/>
              </w:rPr>
            </w:pPr>
            <w:r w:rsidRPr="007B7470">
              <w:rPr>
                <w:b/>
              </w:rPr>
              <w:t>Dlhodobá udržateľnosť</w:t>
            </w:r>
          </w:p>
        </w:tc>
        <w:tc>
          <w:tcPr>
            <w:tcW w:w="7967" w:type="dxa"/>
            <w:gridSpan w:val="5"/>
            <w:shd w:val="clear" w:color="auto" w:fill="BFBFBF" w:themeFill="background1" w:themeFillShade="BF"/>
          </w:tcPr>
          <w:p w:rsidR="00BA1532" w:rsidRPr="007B7470" w:rsidRDefault="00BA1532" w:rsidP="005277C1">
            <w:pPr>
              <w:widowControl w:val="0"/>
              <w:overflowPunct w:val="0"/>
              <w:autoSpaceDE w:val="0"/>
              <w:autoSpaceDN w:val="0"/>
              <w:adjustRightInd w:val="0"/>
              <w:jc w:val="center"/>
              <w:textAlignment w:val="baseline"/>
              <w:rPr>
                <w:b/>
              </w:rPr>
            </w:pPr>
            <w:r w:rsidRPr="007B7470">
              <w:rPr>
                <w:b/>
              </w:rPr>
              <w:t>Vplyv na verejné financie</w:t>
            </w:r>
          </w:p>
        </w:tc>
        <w:tc>
          <w:tcPr>
            <w:tcW w:w="3119" w:type="dxa"/>
            <w:vMerge w:val="restart"/>
            <w:shd w:val="clear" w:color="auto" w:fill="BFBFBF" w:themeFill="background1" w:themeFillShade="BF"/>
            <w:vAlign w:val="center"/>
          </w:tcPr>
          <w:p w:rsidR="00BA1532" w:rsidRPr="007B7470" w:rsidRDefault="00BA1532" w:rsidP="005277C1">
            <w:pPr>
              <w:widowControl w:val="0"/>
              <w:overflowPunct w:val="0"/>
              <w:autoSpaceDE w:val="0"/>
              <w:autoSpaceDN w:val="0"/>
              <w:adjustRightInd w:val="0"/>
              <w:jc w:val="center"/>
              <w:textAlignment w:val="baseline"/>
              <w:rPr>
                <w:b/>
              </w:rPr>
            </w:pPr>
            <w:r w:rsidRPr="007B7470">
              <w:rPr>
                <w:b/>
              </w:rPr>
              <w:t>Poznámka</w:t>
            </w:r>
          </w:p>
        </w:tc>
      </w:tr>
      <w:tr w:rsidR="00BA1532" w:rsidRPr="007B7470" w:rsidTr="005277C1">
        <w:trPr>
          <w:trHeight w:val="284"/>
        </w:trPr>
        <w:tc>
          <w:tcPr>
            <w:tcW w:w="2943" w:type="dxa"/>
            <w:vMerge/>
            <w:shd w:val="clear" w:color="auto" w:fill="BFBFBF" w:themeFill="background1" w:themeFillShade="BF"/>
          </w:tcPr>
          <w:p w:rsidR="00BA1532" w:rsidRPr="007B7470" w:rsidRDefault="00BA1532" w:rsidP="005277C1">
            <w:pPr>
              <w:widowControl w:val="0"/>
              <w:overflowPunct w:val="0"/>
              <w:autoSpaceDE w:val="0"/>
              <w:autoSpaceDN w:val="0"/>
              <w:adjustRightInd w:val="0"/>
              <w:jc w:val="both"/>
              <w:textAlignment w:val="baseline"/>
            </w:pPr>
          </w:p>
        </w:tc>
        <w:tc>
          <w:tcPr>
            <w:tcW w:w="1447" w:type="dxa"/>
            <w:shd w:val="clear" w:color="auto" w:fill="BFBFBF" w:themeFill="background1" w:themeFillShade="BF"/>
          </w:tcPr>
          <w:p w:rsidR="00BA1532" w:rsidRPr="007B7470" w:rsidRDefault="00BA1532" w:rsidP="005277C1">
            <w:pPr>
              <w:widowControl w:val="0"/>
              <w:overflowPunct w:val="0"/>
              <w:autoSpaceDE w:val="0"/>
              <w:autoSpaceDN w:val="0"/>
              <w:adjustRightInd w:val="0"/>
              <w:jc w:val="center"/>
              <w:textAlignment w:val="baseline"/>
            </w:pPr>
            <w:r w:rsidRPr="007B7470">
              <w:t>d</w:t>
            </w:r>
          </w:p>
        </w:tc>
        <w:tc>
          <w:tcPr>
            <w:tcW w:w="1559" w:type="dxa"/>
            <w:shd w:val="clear" w:color="auto" w:fill="BFBFBF" w:themeFill="background1" w:themeFillShade="BF"/>
          </w:tcPr>
          <w:p w:rsidR="00BA1532" w:rsidRPr="007B7470" w:rsidRDefault="00BA1532" w:rsidP="005277C1">
            <w:pPr>
              <w:widowControl w:val="0"/>
              <w:overflowPunct w:val="0"/>
              <w:autoSpaceDE w:val="0"/>
              <w:autoSpaceDN w:val="0"/>
              <w:adjustRightInd w:val="0"/>
              <w:jc w:val="center"/>
              <w:textAlignment w:val="baseline"/>
            </w:pPr>
            <w:r w:rsidRPr="007B7470">
              <w:t>d + 10</w:t>
            </w:r>
          </w:p>
        </w:tc>
        <w:tc>
          <w:tcPr>
            <w:tcW w:w="1559" w:type="dxa"/>
            <w:shd w:val="clear" w:color="auto" w:fill="BFBFBF" w:themeFill="background1" w:themeFillShade="BF"/>
          </w:tcPr>
          <w:p w:rsidR="00BA1532" w:rsidRPr="007B7470" w:rsidRDefault="00BA1532" w:rsidP="005277C1">
            <w:pPr>
              <w:widowControl w:val="0"/>
              <w:overflowPunct w:val="0"/>
              <w:autoSpaceDE w:val="0"/>
              <w:autoSpaceDN w:val="0"/>
              <w:adjustRightInd w:val="0"/>
              <w:jc w:val="center"/>
              <w:textAlignment w:val="baseline"/>
            </w:pPr>
            <w:r w:rsidRPr="007B7470">
              <w:t>d + 20</w:t>
            </w:r>
          </w:p>
        </w:tc>
        <w:tc>
          <w:tcPr>
            <w:tcW w:w="1418" w:type="dxa"/>
            <w:shd w:val="clear" w:color="auto" w:fill="BFBFBF" w:themeFill="background1" w:themeFillShade="BF"/>
          </w:tcPr>
          <w:p w:rsidR="00BA1532" w:rsidRPr="007B7470" w:rsidRDefault="00BA1532" w:rsidP="005277C1">
            <w:pPr>
              <w:widowControl w:val="0"/>
              <w:overflowPunct w:val="0"/>
              <w:autoSpaceDE w:val="0"/>
              <w:autoSpaceDN w:val="0"/>
              <w:adjustRightInd w:val="0"/>
              <w:jc w:val="center"/>
              <w:textAlignment w:val="baseline"/>
            </w:pPr>
            <w:r w:rsidRPr="007B7470">
              <w:t>d + 30</w:t>
            </w:r>
          </w:p>
        </w:tc>
        <w:tc>
          <w:tcPr>
            <w:tcW w:w="1984" w:type="dxa"/>
            <w:shd w:val="clear" w:color="auto" w:fill="BFBFBF" w:themeFill="background1" w:themeFillShade="BF"/>
          </w:tcPr>
          <w:p w:rsidR="00BA1532" w:rsidRPr="007B7470" w:rsidRDefault="00BA1532" w:rsidP="005277C1">
            <w:pPr>
              <w:widowControl w:val="0"/>
              <w:overflowPunct w:val="0"/>
              <w:autoSpaceDE w:val="0"/>
              <w:autoSpaceDN w:val="0"/>
              <w:adjustRightInd w:val="0"/>
              <w:jc w:val="center"/>
              <w:textAlignment w:val="baseline"/>
            </w:pPr>
            <w:r w:rsidRPr="007B7470">
              <w:t>d + 40</w:t>
            </w:r>
          </w:p>
        </w:tc>
        <w:tc>
          <w:tcPr>
            <w:tcW w:w="3119" w:type="dxa"/>
            <w:vMerge/>
            <w:shd w:val="clear" w:color="auto" w:fill="BFBFBF" w:themeFill="background1" w:themeFillShade="BF"/>
          </w:tcPr>
          <w:p w:rsidR="00BA1532" w:rsidRPr="007B7470" w:rsidRDefault="00BA1532" w:rsidP="005277C1">
            <w:pPr>
              <w:widowControl w:val="0"/>
              <w:overflowPunct w:val="0"/>
              <w:autoSpaceDE w:val="0"/>
              <w:autoSpaceDN w:val="0"/>
              <w:adjustRightInd w:val="0"/>
              <w:jc w:val="both"/>
              <w:textAlignment w:val="baseline"/>
            </w:pPr>
          </w:p>
        </w:tc>
      </w:tr>
      <w:tr w:rsidR="00BA1532" w:rsidRPr="007B7470" w:rsidTr="005277C1">
        <w:trPr>
          <w:trHeight w:val="284"/>
        </w:trPr>
        <w:tc>
          <w:tcPr>
            <w:tcW w:w="2943" w:type="dxa"/>
            <w:shd w:val="clear" w:color="auto" w:fill="auto"/>
            <w:vAlign w:val="bottom"/>
          </w:tcPr>
          <w:p w:rsidR="00BA1532" w:rsidRPr="007B7470" w:rsidRDefault="00BA1532" w:rsidP="005277C1">
            <w:pPr>
              <w:widowControl w:val="0"/>
              <w:overflowPunct w:val="0"/>
              <w:autoSpaceDE w:val="0"/>
              <w:autoSpaceDN w:val="0"/>
              <w:adjustRightInd w:val="0"/>
              <w:textAlignment w:val="baseline"/>
            </w:pPr>
            <w:r w:rsidRPr="007B7470">
              <w:t>Vplyv na výdavky v p. b. HDP</w:t>
            </w:r>
          </w:p>
        </w:tc>
        <w:tc>
          <w:tcPr>
            <w:tcW w:w="1447"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55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55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418"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984"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311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r>
      <w:tr w:rsidR="00BA1532" w:rsidRPr="007B7470" w:rsidTr="005277C1">
        <w:trPr>
          <w:trHeight w:val="284"/>
        </w:trPr>
        <w:tc>
          <w:tcPr>
            <w:tcW w:w="2943" w:type="dxa"/>
            <w:shd w:val="clear" w:color="auto" w:fill="auto"/>
          </w:tcPr>
          <w:p w:rsidR="00BA1532" w:rsidRPr="007B7470" w:rsidRDefault="00BA1532" w:rsidP="005277C1">
            <w:pPr>
              <w:widowControl w:val="0"/>
              <w:overflowPunct w:val="0"/>
              <w:autoSpaceDE w:val="0"/>
              <w:autoSpaceDN w:val="0"/>
              <w:adjustRightInd w:val="0"/>
              <w:textAlignment w:val="baseline"/>
            </w:pPr>
            <w:r w:rsidRPr="007B7470">
              <w:t>Vplyv na príjmy v p. b. HDP</w:t>
            </w:r>
          </w:p>
        </w:tc>
        <w:tc>
          <w:tcPr>
            <w:tcW w:w="1447"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55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55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418"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984"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311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r>
      <w:tr w:rsidR="00BA1532" w:rsidRPr="007B7470" w:rsidTr="005277C1">
        <w:trPr>
          <w:trHeight w:val="284"/>
        </w:trPr>
        <w:tc>
          <w:tcPr>
            <w:tcW w:w="2943" w:type="dxa"/>
            <w:shd w:val="clear" w:color="auto" w:fill="auto"/>
          </w:tcPr>
          <w:p w:rsidR="00BA1532" w:rsidRPr="007B7470" w:rsidRDefault="00BA1532" w:rsidP="005277C1">
            <w:pPr>
              <w:widowControl w:val="0"/>
              <w:overflowPunct w:val="0"/>
              <w:autoSpaceDE w:val="0"/>
              <w:autoSpaceDN w:val="0"/>
              <w:adjustRightInd w:val="0"/>
              <w:textAlignment w:val="baseline"/>
            </w:pPr>
            <w:r w:rsidRPr="007B7470">
              <w:t>Vplyv na bilanciu  v p. b. HDP</w:t>
            </w:r>
          </w:p>
        </w:tc>
        <w:tc>
          <w:tcPr>
            <w:tcW w:w="1447"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55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55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418"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1984"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c>
          <w:tcPr>
            <w:tcW w:w="3119" w:type="dxa"/>
            <w:shd w:val="clear" w:color="auto" w:fill="auto"/>
          </w:tcPr>
          <w:p w:rsidR="00BA1532" w:rsidRPr="007B7470" w:rsidRDefault="00BA1532" w:rsidP="005277C1">
            <w:pPr>
              <w:widowControl w:val="0"/>
              <w:overflowPunct w:val="0"/>
              <w:autoSpaceDE w:val="0"/>
              <w:autoSpaceDN w:val="0"/>
              <w:adjustRightInd w:val="0"/>
              <w:jc w:val="both"/>
              <w:textAlignment w:val="baseline"/>
            </w:pPr>
          </w:p>
        </w:tc>
      </w:tr>
    </w:tbl>
    <w:p w:rsidR="00BA1532" w:rsidRPr="007B7470" w:rsidRDefault="00BA1532" w:rsidP="00BA1532">
      <w:pPr>
        <w:jc w:val="both"/>
      </w:pPr>
    </w:p>
    <w:p w:rsidR="00BA1532" w:rsidRPr="007B7470" w:rsidRDefault="00BA1532" w:rsidP="00BA1532">
      <w:pPr>
        <w:jc w:val="both"/>
        <w:rPr>
          <w:b/>
        </w:rPr>
      </w:pPr>
      <w:r w:rsidRPr="007B7470">
        <w:rPr>
          <w:b/>
        </w:rPr>
        <w:t xml:space="preserve">Poznámka: </w:t>
      </w:r>
    </w:p>
    <w:p w:rsidR="00BA1532" w:rsidRPr="007B7470" w:rsidRDefault="00BA1532" w:rsidP="00BA1532">
      <w:pPr>
        <w:jc w:val="both"/>
      </w:pPr>
      <w:r w:rsidRPr="007B7470">
        <w:t xml:space="preserve">Písmeno „d“ označuje prvý rok nasledujúcej dekády. </w:t>
      </w:r>
    </w:p>
    <w:p w:rsidR="00BA1532" w:rsidRDefault="00BA1532" w:rsidP="00BA1532">
      <w:pPr>
        <w:jc w:val="both"/>
      </w:pPr>
      <w:r w:rsidRPr="007B7470">
        <w:t>Tabuľka sa vypĺňa pre každé opatrenie samostatne. V prípade zavádzania viacerých opatrení sa vyplní aj tabuľka obsahujúca aj kumulatívny efekt zaveden</w:t>
      </w:r>
      <w:r>
        <w:t>ia všetkých opatrení súčasne.</w:t>
      </w:r>
    </w:p>
    <w:p w:rsidR="00BA1532" w:rsidRPr="00D50EF7" w:rsidRDefault="00BA1532" w:rsidP="00BA1532">
      <w:pPr>
        <w:jc w:val="both"/>
        <w:sectPr w:rsidR="00BA1532" w:rsidRPr="00D50EF7">
          <w:pgSz w:w="16838" w:h="11906" w:orient="landscape"/>
          <w:pgMar w:top="1418" w:right="1418" w:bottom="1418" w:left="1418" w:header="709" w:footer="709" w:gutter="0"/>
          <w:cols w:space="708"/>
          <w:docGrid w:linePitch="360"/>
        </w:sectPr>
      </w:pPr>
    </w:p>
    <w:p w:rsidR="00BA1532" w:rsidRPr="00895898" w:rsidRDefault="00BA1532" w:rsidP="00BA1532">
      <w:pPr>
        <w:jc w:val="center"/>
        <w:rPr>
          <w:rFonts w:eastAsia="Calibri"/>
          <w:b/>
          <w:sz w:val="28"/>
          <w:szCs w:val="28"/>
        </w:rPr>
      </w:pPr>
      <w:r w:rsidRPr="00895898">
        <w:rPr>
          <w:rFonts w:eastAsia="Calibri"/>
          <w:b/>
          <w:sz w:val="28"/>
          <w:szCs w:val="28"/>
        </w:rPr>
        <w:lastRenderedPageBreak/>
        <w:t>Analýza vplyvov na podnikateľské prostredie</w:t>
      </w:r>
    </w:p>
    <w:p w:rsidR="00BA1532" w:rsidRPr="00895898" w:rsidRDefault="00BA1532" w:rsidP="00BA1532">
      <w:pPr>
        <w:jc w:val="both"/>
        <w:rPr>
          <w:rFonts w:eastAsia="Calibri"/>
          <w:b/>
        </w:rPr>
      </w:pPr>
    </w:p>
    <w:p w:rsidR="00BA1532" w:rsidRDefault="00BA1532" w:rsidP="00BA1532">
      <w:pPr>
        <w:jc w:val="both"/>
        <w:rPr>
          <w:rFonts w:eastAsia="Calibri"/>
          <w:b/>
        </w:rPr>
      </w:pPr>
      <w:r w:rsidRPr="001F1B43">
        <w:rPr>
          <w:rFonts w:eastAsia="Calibri"/>
          <w:b/>
        </w:rPr>
        <w:t>Názov materiálu:</w:t>
      </w:r>
    </w:p>
    <w:p w:rsidR="00BA1532" w:rsidRPr="001F1B43" w:rsidRDefault="00BA1532" w:rsidP="00BA1532">
      <w:pPr>
        <w:jc w:val="both"/>
        <w:rPr>
          <w:rFonts w:eastAsia="Calibri"/>
          <w:b/>
        </w:rPr>
      </w:pPr>
      <w:r w:rsidRPr="0037328E">
        <w:rPr>
          <w:rFonts w:eastAsia="Calibri"/>
          <w:b/>
        </w:rPr>
        <w:t>Návrh zákona, ktorým sa mení a dopĺňa zákon č. 106/2004 Z. z. o spotrebnej dani z tabakových výrobkov v znení neskorších predpisov</w:t>
      </w:r>
    </w:p>
    <w:p w:rsidR="00BA1532" w:rsidRPr="001F1B43" w:rsidRDefault="00BA1532" w:rsidP="00BA1532">
      <w:pPr>
        <w:jc w:val="both"/>
        <w:rPr>
          <w:rFonts w:eastAsia="Calibri"/>
          <w:b/>
        </w:rPr>
      </w:pPr>
      <w:r w:rsidRPr="001F1B43">
        <w:rPr>
          <w:rFonts w:eastAsia="Calibri"/>
          <w:b/>
        </w:rPr>
        <w:t>Predkladateľ:</w:t>
      </w:r>
    </w:p>
    <w:p w:rsidR="00BA1532" w:rsidRPr="0037328E" w:rsidRDefault="00BA1532" w:rsidP="00BA1532">
      <w:r w:rsidRPr="003831B8">
        <w:t>Ministerstvo financií Slovenskej republiky.</w:t>
      </w:r>
    </w:p>
    <w:p w:rsidR="00BA1532" w:rsidRPr="001F1B43" w:rsidRDefault="00BA1532" w:rsidP="00BA1532">
      <w:pPr>
        <w:jc w:val="both"/>
        <w:rPr>
          <w:rFonts w:eastAsia="Calibri"/>
          <w:b/>
        </w:rPr>
      </w:pPr>
      <w:r w:rsidRPr="001F1B43">
        <w:rPr>
          <w:rFonts w:eastAsia="Calibri"/>
          <w:b/>
        </w:rPr>
        <w:t>3.1 Náklady regulácie</w:t>
      </w:r>
    </w:p>
    <w:p w:rsidR="00BA1532" w:rsidRPr="001F1B43" w:rsidRDefault="00BA1532" w:rsidP="00BA1532">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BA1532" w:rsidRPr="00D8247C" w:rsidRDefault="00BA1532" w:rsidP="00BA1532">
      <w:pPr>
        <w:jc w:val="both"/>
        <w:rPr>
          <w:rFonts w:eastAsia="Calibri"/>
          <w:i/>
        </w:rPr>
      </w:pPr>
      <w:r w:rsidRPr="00D8247C">
        <w:rPr>
          <w:rFonts w:eastAsia="Calibri"/>
          <w:i/>
        </w:rPr>
        <w:t>Tabuľka č. 1: Zmeny nákladov (ročne) v prepočte na podnikateľské prostredie (PP), vyhodnotenie mechanizmu znižovania byrokracie a náklado</w:t>
      </w:r>
      <w:r>
        <w:rPr>
          <w:rFonts w:eastAsia="Calibri"/>
          <w:i/>
        </w:rPr>
        <w:t xml:space="preserve">v, náklady </w:t>
      </w:r>
      <w:proofErr w:type="spellStart"/>
      <w:r w:rsidRPr="00804BC8">
        <w:rPr>
          <w:rFonts w:eastAsia="Calibri"/>
          <w:i/>
        </w:rPr>
        <w:t>goldplatingu</w:t>
      </w:r>
      <w:proofErr w:type="spellEnd"/>
      <w:r>
        <w:rPr>
          <w:rStyle w:val="Odkaznapoznmkupodiarou"/>
          <w:rFonts w:eastAsia="Calibri"/>
          <w:i/>
        </w:rPr>
        <w:footnoteReference w:id="1"/>
      </w:r>
      <w:r>
        <w:rPr>
          <w:rFonts w:eastAsia="Calibri"/>
          <w:i/>
        </w:rPr>
        <w:t xml:space="preserve"> na podnikateľské prostredie</w:t>
      </w:r>
      <w:r w:rsidRPr="00D8247C">
        <w:rPr>
          <w:rFonts w:eastAsia="Calibri"/>
          <w:i/>
        </w:rPr>
        <w:t xml:space="preserve">. </w:t>
      </w:r>
    </w:p>
    <w:p w:rsidR="00BA1532" w:rsidRPr="00D8247C" w:rsidRDefault="00BA1532" w:rsidP="00BA1532">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17"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BA1532" w:rsidRPr="00C929AE" w:rsidTr="005277C1">
        <w:trPr>
          <w:trHeight w:val="27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2792" w:type="dxa"/>
            <w:gridSpan w:val="2"/>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160"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2716" w:type="dxa"/>
            <w:gridSpan w:val="2"/>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160" w:type="dxa"/>
            <w:tcBorders>
              <w:top w:val="nil"/>
              <w:left w:val="nil"/>
              <w:bottom w:val="nil"/>
              <w:right w:val="nil"/>
            </w:tcBorders>
            <w:shd w:val="clear" w:color="auto" w:fill="auto"/>
            <w:noWrap/>
            <w:vAlign w:val="bottom"/>
            <w:hideMark/>
          </w:tcPr>
          <w:p w:rsidR="00BA1532" w:rsidRPr="00C929AE" w:rsidRDefault="00BA1532" w:rsidP="005277C1">
            <w:pPr>
              <w:jc w:val="center"/>
              <w:rPr>
                <w:color w:val="000000"/>
                <w:sz w:val="20"/>
                <w:szCs w:val="20"/>
              </w:rPr>
            </w:pPr>
          </w:p>
        </w:tc>
      </w:tr>
      <w:tr w:rsidR="00BA1532" w:rsidRPr="00C929AE" w:rsidTr="005277C1">
        <w:trPr>
          <w:gridAfter w:val="2"/>
          <w:wAfter w:w="583" w:type="dxa"/>
          <w:trHeight w:val="451"/>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A1532" w:rsidRPr="00C929AE" w:rsidRDefault="00BA1532" w:rsidP="005277C1">
            <w:pPr>
              <w:jc w:val="center"/>
              <w:rPr>
                <w:b/>
                <w:bCs/>
                <w:i/>
                <w:iCs/>
                <w:color w:val="000000"/>
                <w:sz w:val="20"/>
                <w:szCs w:val="20"/>
              </w:rPr>
            </w:pPr>
            <w:r w:rsidRPr="00C929AE">
              <w:rPr>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sidRPr="00C929AE">
              <w:rPr>
                <w:b/>
                <w:bCs/>
                <w:color w:val="000000"/>
                <w:sz w:val="20"/>
                <w:szCs w:val="20"/>
              </w:rPr>
              <w:t>Zníženie nákladov v € na PP</w:t>
            </w:r>
          </w:p>
        </w:tc>
      </w:tr>
      <w:tr w:rsidR="00BA1532" w:rsidRPr="00C929AE" w:rsidTr="005277C1">
        <w:trPr>
          <w:gridAfter w:val="2"/>
          <w:wAfter w:w="583" w:type="dxa"/>
          <w:trHeight w:val="60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BA1532" w:rsidRPr="00C929AE" w:rsidRDefault="00BA1532" w:rsidP="005277C1">
            <w:pPr>
              <w:rPr>
                <w:b/>
                <w:bCs/>
                <w:i/>
                <w:iCs/>
                <w:color w:val="000000"/>
                <w:sz w:val="20"/>
                <w:szCs w:val="20"/>
              </w:rPr>
            </w:pPr>
            <w:r w:rsidRPr="00C929AE">
              <w:rPr>
                <w:b/>
                <w:bCs/>
                <w:i/>
                <w:iCs/>
                <w:color w:val="000000"/>
                <w:sz w:val="20"/>
                <w:szCs w:val="20"/>
              </w:rPr>
              <w:t>A.</w:t>
            </w:r>
            <w:r>
              <w:rPr>
                <w:b/>
                <w:bCs/>
                <w:i/>
                <w:iCs/>
                <w:color w:val="000000"/>
                <w:sz w:val="20"/>
                <w:szCs w:val="20"/>
              </w:rPr>
              <w:t xml:space="preserve"> </w:t>
            </w:r>
            <w:r w:rsidRPr="00C929AE">
              <w:rPr>
                <w:b/>
                <w:bCs/>
                <w:i/>
                <w:iCs/>
                <w:color w:val="000000"/>
                <w:sz w:val="20"/>
                <w:szCs w:val="20"/>
              </w:rPr>
              <w:t xml:space="preserve">Dane, odvody, clá a poplatky, ktorých cieľom je znižovať negatívne </w:t>
            </w:r>
            <w:proofErr w:type="spellStart"/>
            <w:r w:rsidRPr="00C929AE">
              <w:rPr>
                <w:b/>
                <w:bCs/>
                <w:i/>
                <w:iCs/>
                <w:color w:val="000000"/>
                <w:sz w:val="20"/>
                <w:szCs w:val="20"/>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Pr>
                <w:b/>
                <w:bCs/>
                <w:color w:val="000000"/>
                <w:sz w:val="20"/>
                <w:szCs w:val="20"/>
              </w:rPr>
              <w:t>0</w:t>
            </w:r>
            <w:r w:rsidRPr="00C929AE">
              <w:rPr>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r>
      <w:tr w:rsidR="00BA1532" w:rsidRPr="00C929AE" w:rsidTr="005277C1">
        <w:trPr>
          <w:gridAfter w:val="2"/>
          <w:wAfter w:w="583" w:type="dxa"/>
          <w:trHeight w:val="42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BA1532" w:rsidRPr="00C929AE" w:rsidRDefault="00BA1532" w:rsidP="005277C1">
            <w:pPr>
              <w:rPr>
                <w:b/>
                <w:bCs/>
                <w:i/>
                <w:iCs/>
                <w:color w:val="000000"/>
                <w:sz w:val="20"/>
                <w:szCs w:val="20"/>
              </w:rPr>
            </w:pPr>
            <w:r w:rsidRPr="00C929AE">
              <w:rPr>
                <w:b/>
                <w:bCs/>
                <w:i/>
                <w:iCs/>
                <w:color w:val="000000"/>
                <w:sz w:val="20"/>
                <w:szCs w:val="20"/>
              </w:rPr>
              <w:t xml:space="preserve">B. Iné </w:t>
            </w:r>
            <w:r w:rsidRPr="00952CF6">
              <w:rPr>
                <w:b/>
                <w:bCs/>
                <w:i/>
                <w:iCs/>
                <w:color w:val="000000"/>
                <w:sz w:val="20"/>
                <w:szCs w:val="20"/>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r>
      <w:tr w:rsidR="00BA1532" w:rsidRPr="00C929AE" w:rsidTr="005277C1">
        <w:trPr>
          <w:gridAfter w:val="2"/>
          <w:wAfter w:w="583" w:type="dxa"/>
          <w:trHeight w:val="435"/>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BA1532" w:rsidRPr="00C929AE" w:rsidRDefault="00BA1532" w:rsidP="005277C1">
            <w:pPr>
              <w:rPr>
                <w:b/>
                <w:bCs/>
                <w:i/>
                <w:iCs/>
                <w:color w:val="000000"/>
                <w:sz w:val="20"/>
                <w:szCs w:val="20"/>
              </w:rPr>
            </w:pPr>
            <w:r w:rsidRPr="00C929AE">
              <w:rPr>
                <w:b/>
                <w:bCs/>
                <w:i/>
                <w:iCs/>
                <w:color w:val="000000"/>
                <w:sz w:val="20"/>
                <w:szCs w:val="20"/>
              </w:rPr>
              <w:t>C.</w:t>
            </w:r>
            <w:r>
              <w:rPr>
                <w:b/>
                <w:bCs/>
                <w:i/>
                <w:iCs/>
                <w:color w:val="000000"/>
                <w:sz w:val="20"/>
                <w:szCs w:val="20"/>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Pr>
                <w:b/>
                <w:bCs/>
                <w:color w:val="000000"/>
                <w:sz w:val="20"/>
                <w:szCs w:val="20"/>
              </w:rPr>
              <w:t>0</w:t>
            </w:r>
          </w:p>
        </w:tc>
      </w:tr>
      <w:tr w:rsidR="00BA1532" w:rsidRPr="00C929AE" w:rsidTr="005277C1">
        <w:trPr>
          <w:gridAfter w:val="2"/>
          <w:wAfter w:w="583" w:type="dxa"/>
          <w:trHeight w:val="48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BA1532" w:rsidRPr="00C929AE" w:rsidRDefault="00BA1532" w:rsidP="005277C1">
            <w:pPr>
              <w:rPr>
                <w:b/>
                <w:bCs/>
                <w:i/>
                <w:iCs/>
                <w:color w:val="000000"/>
                <w:sz w:val="20"/>
                <w:szCs w:val="20"/>
              </w:rPr>
            </w:pPr>
            <w:r w:rsidRPr="00E961E8">
              <w:rPr>
                <w:b/>
                <w:bCs/>
                <w:i/>
                <w:iCs/>
                <w:color w:val="000000"/>
                <w:sz w:val="20"/>
                <w:szCs w:val="20"/>
              </w:rPr>
              <w:t xml:space="preserve">D. </w:t>
            </w:r>
            <w:r>
              <w:rPr>
                <w:b/>
                <w:bCs/>
                <w:i/>
                <w:iCs/>
                <w:color w:val="000000"/>
                <w:sz w:val="20"/>
                <w:szCs w:val="20"/>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r>
      <w:tr w:rsidR="00BA1532" w:rsidRPr="00C929AE" w:rsidTr="005277C1">
        <w:trPr>
          <w:gridAfter w:val="2"/>
          <w:wAfter w:w="583" w:type="dxa"/>
          <w:trHeight w:val="480"/>
        </w:trPr>
        <w:tc>
          <w:tcPr>
            <w:tcW w:w="146" w:type="dxa"/>
            <w:tcBorders>
              <w:top w:val="nil"/>
              <w:left w:val="nil"/>
              <w:bottom w:val="nil"/>
              <w:right w:val="nil"/>
            </w:tcBorders>
            <w:shd w:val="clear" w:color="auto" w:fill="auto"/>
            <w:noWrap/>
            <w:vAlign w:val="bottom"/>
          </w:tcPr>
          <w:p w:rsidR="00BA1532" w:rsidRPr="00C929AE" w:rsidRDefault="00BA1532" w:rsidP="005277C1">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BA1532" w:rsidRPr="00C929AE" w:rsidRDefault="00BA1532" w:rsidP="005277C1">
            <w:pPr>
              <w:rPr>
                <w:b/>
                <w:bCs/>
                <w:i/>
                <w:iCs/>
                <w:color w:val="000000"/>
                <w:sz w:val="20"/>
                <w:szCs w:val="20"/>
              </w:rPr>
            </w:pPr>
            <w:r>
              <w:rPr>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BA1532" w:rsidRPr="00C929AE" w:rsidRDefault="00BA1532" w:rsidP="005277C1">
            <w:pPr>
              <w:jc w:val="center"/>
              <w:rPr>
                <w:b/>
                <w:bCs/>
                <w:color w:val="000000"/>
                <w:sz w:val="20"/>
                <w:szCs w:val="20"/>
              </w:rPr>
            </w:pPr>
            <w:r>
              <w:rPr>
                <w:b/>
                <w:bCs/>
                <w:color w:val="000000"/>
                <w:sz w:val="20"/>
                <w:szCs w:val="20"/>
              </w:rPr>
              <w:t>72 891</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BA1532" w:rsidRPr="00C929AE" w:rsidRDefault="00BA1532" w:rsidP="005277C1">
            <w:pPr>
              <w:jc w:val="center"/>
              <w:rPr>
                <w:b/>
                <w:bCs/>
                <w:color w:val="000000"/>
                <w:sz w:val="20"/>
                <w:szCs w:val="20"/>
              </w:rPr>
            </w:pPr>
            <w:r>
              <w:rPr>
                <w:b/>
                <w:bCs/>
                <w:color w:val="000000"/>
                <w:sz w:val="20"/>
                <w:szCs w:val="20"/>
              </w:rPr>
              <w:t>584</w:t>
            </w:r>
          </w:p>
        </w:tc>
      </w:tr>
      <w:tr w:rsidR="00BA1532" w:rsidRPr="00C929AE" w:rsidTr="005277C1">
        <w:trPr>
          <w:gridAfter w:val="2"/>
          <w:wAfter w:w="583" w:type="dxa"/>
          <w:trHeight w:val="60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BA1532" w:rsidRPr="00C929AE" w:rsidRDefault="00BA1532" w:rsidP="005277C1">
            <w:pPr>
              <w:rPr>
                <w:b/>
                <w:bCs/>
                <w:i/>
                <w:iCs/>
                <w:color w:val="000000"/>
                <w:sz w:val="20"/>
                <w:szCs w:val="20"/>
              </w:rPr>
            </w:pPr>
            <w:r w:rsidRPr="00C929AE">
              <w:rPr>
                <w:b/>
                <w:bCs/>
                <w:i/>
                <w:iCs/>
                <w:color w:val="000000"/>
                <w:sz w:val="20"/>
                <w:szCs w:val="20"/>
              </w:rPr>
              <w:t>Spolu = A+B+C+D</w:t>
            </w:r>
            <w:r w:rsidRPr="00E961E8">
              <w:rPr>
                <w:b/>
                <w:bCs/>
                <w:i/>
                <w:iCs/>
                <w:color w:val="000000"/>
                <w:sz w:val="20"/>
                <w:szCs w:val="20"/>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72 891</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584</w:t>
            </w:r>
          </w:p>
        </w:tc>
      </w:tr>
      <w:tr w:rsidR="00BA1532" w:rsidRPr="00C929AE" w:rsidTr="005277C1">
        <w:trPr>
          <w:trHeight w:val="27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2792" w:type="dxa"/>
            <w:gridSpan w:val="2"/>
            <w:tcBorders>
              <w:top w:val="nil"/>
              <w:left w:val="nil"/>
              <w:bottom w:val="nil"/>
              <w:right w:val="nil"/>
            </w:tcBorders>
            <w:shd w:val="clear" w:color="auto" w:fill="auto"/>
            <w:vAlign w:val="center"/>
            <w:hideMark/>
          </w:tcPr>
          <w:p w:rsidR="00BA1532" w:rsidRPr="00C929AE" w:rsidRDefault="00BA1532" w:rsidP="005277C1">
            <w:pPr>
              <w:rPr>
                <w:i/>
                <w:iCs/>
                <w:color w:val="000000"/>
                <w:sz w:val="20"/>
                <w:szCs w:val="20"/>
              </w:rPr>
            </w:pPr>
          </w:p>
        </w:tc>
        <w:tc>
          <w:tcPr>
            <w:tcW w:w="160" w:type="dxa"/>
            <w:tcBorders>
              <w:top w:val="nil"/>
              <w:left w:val="nil"/>
              <w:bottom w:val="nil"/>
              <w:right w:val="nil"/>
            </w:tcBorders>
            <w:shd w:val="clear" w:color="auto" w:fill="auto"/>
            <w:vAlign w:val="center"/>
            <w:hideMark/>
          </w:tcPr>
          <w:p w:rsidR="00BA1532" w:rsidRPr="00C929AE" w:rsidRDefault="00BA1532" w:rsidP="005277C1">
            <w:pPr>
              <w:rPr>
                <w:i/>
                <w:iCs/>
                <w:color w:val="000000"/>
                <w:sz w:val="20"/>
                <w:szCs w:val="20"/>
              </w:rPr>
            </w:pPr>
          </w:p>
        </w:tc>
        <w:tc>
          <w:tcPr>
            <w:tcW w:w="2716" w:type="dxa"/>
            <w:gridSpan w:val="2"/>
            <w:tcBorders>
              <w:top w:val="nil"/>
              <w:left w:val="nil"/>
              <w:bottom w:val="nil"/>
              <w:right w:val="nil"/>
            </w:tcBorders>
            <w:shd w:val="clear" w:color="auto" w:fill="auto"/>
            <w:vAlign w:val="center"/>
            <w:hideMark/>
          </w:tcPr>
          <w:p w:rsidR="00BA1532" w:rsidRPr="00C929AE" w:rsidRDefault="00BA1532" w:rsidP="005277C1">
            <w:pPr>
              <w:rPr>
                <w:i/>
                <w:iCs/>
                <w:color w:val="000000"/>
                <w:sz w:val="20"/>
                <w:szCs w:val="20"/>
              </w:rPr>
            </w:pPr>
          </w:p>
        </w:tc>
        <w:tc>
          <w:tcPr>
            <w:tcW w:w="160" w:type="dxa"/>
            <w:tcBorders>
              <w:top w:val="nil"/>
              <w:left w:val="nil"/>
              <w:bottom w:val="nil"/>
              <w:right w:val="nil"/>
            </w:tcBorders>
            <w:shd w:val="clear" w:color="auto" w:fill="auto"/>
            <w:vAlign w:val="center"/>
            <w:hideMark/>
          </w:tcPr>
          <w:p w:rsidR="00BA1532" w:rsidRPr="00C929AE" w:rsidRDefault="00BA1532" w:rsidP="005277C1">
            <w:pPr>
              <w:rPr>
                <w:i/>
                <w:iCs/>
                <w:color w:val="000000"/>
                <w:sz w:val="20"/>
                <w:szCs w:val="20"/>
              </w:rPr>
            </w:pPr>
          </w:p>
        </w:tc>
      </w:tr>
      <w:tr w:rsidR="00BA1532" w:rsidRPr="00C929AE" w:rsidTr="005277C1">
        <w:trPr>
          <w:gridAfter w:val="2"/>
          <w:wAfter w:w="583" w:type="dxa"/>
          <w:trHeight w:val="412"/>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A1532" w:rsidRPr="00C929AE" w:rsidRDefault="00BA1532" w:rsidP="005277C1">
            <w:pPr>
              <w:rPr>
                <w:i/>
                <w:iCs/>
                <w:color w:val="000000"/>
              </w:rPr>
            </w:pPr>
            <w:r w:rsidRPr="00C929AE">
              <w:rPr>
                <w:i/>
                <w:iCs/>
                <w:color w:val="000000"/>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sidRPr="00C929AE">
              <w:rPr>
                <w:b/>
                <w:bCs/>
                <w:color w:val="000000"/>
                <w:sz w:val="20"/>
                <w:szCs w:val="20"/>
              </w:rPr>
              <w:t>Zníženie nákladov v € na PP</w:t>
            </w:r>
          </w:p>
        </w:tc>
      </w:tr>
      <w:tr w:rsidR="00BA1532" w:rsidRPr="00C929AE" w:rsidTr="005277C1">
        <w:trPr>
          <w:gridAfter w:val="2"/>
          <w:wAfter w:w="583" w:type="dxa"/>
          <w:trHeight w:val="84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BA1532" w:rsidRPr="00C929AE" w:rsidRDefault="00BA1532" w:rsidP="005277C1">
            <w:pPr>
              <w:rPr>
                <w:b/>
                <w:bCs/>
                <w:i/>
                <w:iCs/>
                <w:color w:val="000000"/>
                <w:sz w:val="20"/>
                <w:szCs w:val="20"/>
              </w:rPr>
            </w:pPr>
            <w:r>
              <w:rPr>
                <w:b/>
                <w:bCs/>
                <w:i/>
                <w:iCs/>
                <w:color w:val="000000"/>
                <w:sz w:val="20"/>
                <w:szCs w:val="20"/>
              </w:rPr>
              <w:t>F</w:t>
            </w:r>
            <w:r w:rsidRPr="00C929AE">
              <w:rPr>
                <w:b/>
                <w:bCs/>
                <w:i/>
                <w:iCs/>
                <w:color w:val="000000"/>
                <w:sz w:val="20"/>
                <w:szCs w:val="20"/>
              </w:rPr>
              <w:t>. Úplná harmonizácia práva EÚ</w:t>
            </w:r>
            <w:r w:rsidRPr="00C929AE">
              <w:rPr>
                <w:b/>
                <w:bCs/>
                <w:i/>
                <w:iCs/>
                <w:color w:val="000000"/>
                <w:sz w:val="20"/>
                <w:szCs w:val="20"/>
              </w:rPr>
              <w:br/>
            </w:r>
            <w:r w:rsidRPr="00C929AE">
              <w:rPr>
                <w:i/>
                <w:iCs/>
                <w:color w:val="000000"/>
                <w:sz w:val="16"/>
                <w:szCs w:val="16"/>
              </w:rPr>
              <w:t xml:space="preserve">(okrem daní, odvodov, ciel a poplatkov, ktorých cieľom je znižovať negatívne </w:t>
            </w:r>
            <w:proofErr w:type="spellStart"/>
            <w:r w:rsidRPr="00C929AE">
              <w:rPr>
                <w:i/>
                <w:iCs/>
                <w:color w:val="000000"/>
                <w:sz w:val="16"/>
                <w:szCs w:val="16"/>
              </w:rPr>
              <w:t>externality</w:t>
            </w:r>
            <w:proofErr w:type="spellEnd"/>
            <w:r w:rsidRPr="00C929AE">
              <w:rPr>
                <w:i/>
                <w:iCs/>
                <w:color w:val="000000"/>
                <w:sz w:val="16"/>
                <w:szCs w:val="16"/>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r>
      <w:tr w:rsidR="00BA1532" w:rsidRPr="00C929AE" w:rsidTr="005277C1">
        <w:trPr>
          <w:gridAfter w:val="2"/>
          <w:wAfter w:w="583" w:type="dxa"/>
          <w:trHeight w:val="486"/>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BA1532" w:rsidRPr="00C929AE" w:rsidRDefault="00BA1532" w:rsidP="005277C1">
            <w:pPr>
              <w:rPr>
                <w:b/>
                <w:bCs/>
                <w:i/>
                <w:iCs/>
                <w:color w:val="000000"/>
                <w:sz w:val="20"/>
                <w:szCs w:val="20"/>
              </w:rPr>
            </w:pPr>
            <w:r>
              <w:rPr>
                <w:b/>
                <w:bCs/>
                <w:i/>
                <w:iCs/>
                <w:color w:val="000000"/>
                <w:sz w:val="20"/>
                <w:szCs w:val="20"/>
              </w:rPr>
              <w:t>G</w:t>
            </w:r>
            <w:r w:rsidRPr="00C929AE">
              <w:rPr>
                <w:b/>
                <w:bCs/>
                <w:i/>
                <w:iCs/>
                <w:color w:val="000000"/>
                <w:sz w:val="20"/>
                <w:szCs w:val="20"/>
              </w:rPr>
              <w:t xml:space="preserve">. </w:t>
            </w:r>
            <w:proofErr w:type="spellStart"/>
            <w:r w:rsidRPr="00C929AE">
              <w:rPr>
                <w:b/>
                <w:bCs/>
                <w:i/>
                <w:iCs/>
                <w:color w:val="000000"/>
                <w:sz w:val="20"/>
                <w:szCs w:val="20"/>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Pr>
                <w:b/>
                <w:bCs/>
                <w:color w:val="000000"/>
                <w:sz w:val="20"/>
                <w:szCs w:val="20"/>
              </w:rPr>
              <w:t>0</w:t>
            </w:r>
            <w:r w:rsidRPr="00C929AE">
              <w:rPr>
                <w:b/>
                <w:bCs/>
                <w:color w:val="000000"/>
                <w:sz w:val="20"/>
                <w:szCs w:val="20"/>
              </w:rPr>
              <w:t> </w:t>
            </w:r>
          </w:p>
        </w:tc>
      </w:tr>
      <w:tr w:rsidR="00BA1532" w:rsidRPr="00C929AE" w:rsidTr="005277C1">
        <w:trPr>
          <w:trHeight w:val="36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2792" w:type="dxa"/>
            <w:gridSpan w:val="2"/>
            <w:tcBorders>
              <w:top w:val="nil"/>
              <w:left w:val="nil"/>
              <w:bottom w:val="nil"/>
              <w:right w:val="nil"/>
            </w:tcBorders>
            <w:shd w:val="clear" w:color="auto" w:fill="auto"/>
            <w:vAlign w:val="center"/>
            <w:hideMark/>
          </w:tcPr>
          <w:p w:rsidR="00BA1532" w:rsidRPr="00C929AE" w:rsidRDefault="00BA1532" w:rsidP="005277C1">
            <w:pPr>
              <w:rPr>
                <w:i/>
                <w:iCs/>
                <w:color w:val="000000"/>
                <w:sz w:val="20"/>
                <w:szCs w:val="20"/>
              </w:rPr>
            </w:pPr>
          </w:p>
        </w:tc>
        <w:tc>
          <w:tcPr>
            <w:tcW w:w="160" w:type="dxa"/>
            <w:tcBorders>
              <w:top w:val="nil"/>
              <w:left w:val="nil"/>
              <w:bottom w:val="nil"/>
              <w:right w:val="nil"/>
            </w:tcBorders>
            <w:shd w:val="clear" w:color="auto" w:fill="auto"/>
            <w:vAlign w:val="center"/>
            <w:hideMark/>
          </w:tcPr>
          <w:p w:rsidR="00BA1532" w:rsidRPr="00C929AE" w:rsidRDefault="00BA1532" w:rsidP="005277C1">
            <w:pPr>
              <w:rPr>
                <w:i/>
                <w:iCs/>
                <w:color w:val="000000"/>
                <w:sz w:val="20"/>
                <w:szCs w:val="20"/>
              </w:rPr>
            </w:pPr>
          </w:p>
        </w:tc>
        <w:tc>
          <w:tcPr>
            <w:tcW w:w="2716" w:type="dxa"/>
            <w:gridSpan w:val="2"/>
            <w:tcBorders>
              <w:top w:val="nil"/>
              <w:left w:val="nil"/>
              <w:bottom w:val="nil"/>
              <w:right w:val="nil"/>
            </w:tcBorders>
            <w:shd w:val="clear" w:color="auto" w:fill="auto"/>
            <w:vAlign w:val="center"/>
            <w:hideMark/>
          </w:tcPr>
          <w:p w:rsidR="00BA1532" w:rsidRPr="00C929AE" w:rsidRDefault="00BA1532" w:rsidP="005277C1">
            <w:pPr>
              <w:rPr>
                <w:i/>
                <w:iCs/>
                <w:color w:val="000000"/>
                <w:sz w:val="20"/>
                <w:szCs w:val="20"/>
              </w:rPr>
            </w:pPr>
          </w:p>
        </w:tc>
        <w:tc>
          <w:tcPr>
            <w:tcW w:w="160" w:type="dxa"/>
            <w:tcBorders>
              <w:top w:val="nil"/>
              <w:left w:val="nil"/>
              <w:bottom w:val="nil"/>
              <w:right w:val="nil"/>
            </w:tcBorders>
            <w:shd w:val="clear" w:color="auto" w:fill="auto"/>
            <w:vAlign w:val="center"/>
            <w:hideMark/>
          </w:tcPr>
          <w:p w:rsidR="00BA1532" w:rsidRPr="00C929AE" w:rsidRDefault="00BA1532" w:rsidP="005277C1">
            <w:pPr>
              <w:rPr>
                <w:i/>
                <w:iCs/>
                <w:color w:val="000000"/>
                <w:sz w:val="20"/>
                <w:szCs w:val="20"/>
              </w:rPr>
            </w:pPr>
          </w:p>
        </w:tc>
      </w:tr>
      <w:tr w:rsidR="00BA1532" w:rsidRPr="00C929AE" w:rsidTr="005277C1">
        <w:trPr>
          <w:gridAfter w:val="2"/>
          <w:wAfter w:w="583" w:type="dxa"/>
          <w:trHeight w:val="39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A1532" w:rsidRPr="00C929AE" w:rsidRDefault="00BA1532" w:rsidP="005277C1">
            <w:pPr>
              <w:rPr>
                <w:i/>
                <w:iCs/>
                <w:color w:val="000000"/>
                <w:sz w:val="20"/>
                <w:szCs w:val="20"/>
              </w:rPr>
            </w:pPr>
            <w:r w:rsidRPr="00C929AE">
              <w:rPr>
                <w:i/>
                <w:iCs/>
                <w:color w:val="000000"/>
                <w:sz w:val="20"/>
                <w:szCs w:val="20"/>
              </w:rPr>
              <w:t>VÝPOČET PRAVIDLA 1in</w:t>
            </w:r>
            <w:r>
              <w:rPr>
                <w:i/>
                <w:iCs/>
                <w:color w:val="000000"/>
                <w:sz w:val="20"/>
                <w:szCs w:val="20"/>
              </w:rPr>
              <w:t xml:space="preserve"> </w:t>
            </w:r>
            <w:r w:rsidRPr="00C929AE">
              <w:rPr>
                <w:i/>
                <w:iCs/>
                <w:color w:val="000000"/>
                <w:sz w:val="20"/>
                <w:szCs w:val="20"/>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BA1532" w:rsidRPr="00C929AE" w:rsidRDefault="00BA1532" w:rsidP="005277C1">
            <w:pPr>
              <w:jc w:val="center"/>
              <w:rPr>
                <w:color w:val="000000"/>
                <w:sz w:val="20"/>
                <w:szCs w:val="20"/>
              </w:rPr>
            </w:pPr>
            <w:r w:rsidRPr="00C929AE">
              <w:rPr>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BA1532" w:rsidRPr="00C929AE" w:rsidRDefault="00BA1532" w:rsidP="005277C1">
            <w:pPr>
              <w:jc w:val="center"/>
              <w:rPr>
                <w:color w:val="000000"/>
                <w:sz w:val="20"/>
                <w:szCs w:val="20"/>
              </w:rPr>
            </w:pPr>
            <w:r w:rsidRPr="00C929AE">
              <w:rPr>
                <w:color w:val="000000"/>
                <w:sz w:val="20"/>
                <w:szCs w:val="20"/>
              </w:rPr>
              <w:t>OUT</w:t>
            </w:r>
          </w:p>
        </w:tc>
      </w:tr>
      <w:tr w:rsidR="00BA1532" w:rsidRPr="00C929AE" w:rsidTr="005277C1">
        <w:trPr>
          <w:gridAfter w:val="2"/>
          <w:wAfter w:w="583" w:type="dxa"/>
          <w:trHeight w:val="390"/>
        </w:trPr>
        <w:tc>
          <w:tcPr>
            <w:tcW w:w="146" w:type="dxa"/>
            <w:tcBorders>
              <w:top w:val="nil"/>
              <w:left w:val="nil"/>
              <w:bottom w:val="nil"/>
              <w:right w:val="nil"/>
            </w:tcBorders>
            <w:shd w:val="clear" w:color="auto" w:fill="auto"/>
            <w:noWrap/>
            <w:vAlign w:val="bottom"/>
            <w:hideMark/>
          </w:tcPr>
          <w:p w:rsidR="00BA1532" w:rsidRPr="00C929AE" w:rsidRDefault="00BA1532" w:rsidP="005277C1">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BA1532" w:rsidRPr="00751DA9" w:rsidRDefault="00BA1532" w:rsidP="005277C1">
            <w:pPr>
              <w:rPr>
                <w:i/>
                <w:iCs/>
                <w:color w:val="000000"/>
                <w:sz w:val="20"/>
                <w:szCs w:val="20"/>
              </w:rPr>
            </w:pPr>
            <w:r w:rsidRPr="00751DA9">
              <w:rPr>
                <w:b/>
                <w:i/>
                <w:iCs/>
                <w:color w:val="000000"/>
                <w:sz w:val="20"/>
                <w:szCs w:val="20"/>
              </w:rPr>
              <w:t>H.</w:t>
            </w:r>
            <w:r>
              <w:rPr>
                <w:i/>
                <w:iCs/>
                <w:color w:val="000000"/>
                <w:sz w:val="20"/>
                <w:szCs w:val="20"/>
              </w:rPr>
              <w:t xml:space="preserve"> Náklady okrem výnimiek = B+D</w:t>
            </w:r>
            <w:r w:rsidRPr="00751DA9">
              <w:rPr>
                <w:i/>
                <w:iCs/>
                <w:color w:val="000000"/>
                <w:sz w:val="20"/>
                <w:szCs w:val="20"/>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BA1532" w:rsidRPr="00C929AE" w:rsidRDefault="00BA1532" w:rsidP="005277C1">
            <w:pPr>
              <w:jc w:val="center"/>
              <w:rPr>
                <w:b/>
                <w:bCs/>
                <w:color w:val="000000"/>
                <w:sz w:val="20"/>
                <w:szCs w:val="20"/>
              </w:rPr>
            </w:pPr>
            <w:r w:rsidRPr="00C929AE">
              <w:rPr>
                <w:b/>
                <w:bCs/>
                <w:color w:val="000000"/>
                <w:sz w:val="20"/>
                <w:szCs w:val="20"/>
              </w:rPr>
              <w:t> </w:t>
            </w:r>
            <w:r>
              <w:rPr>
                <w:b/>
                <w:bCs/>
                <w:color w:val="000000"/>
                <w:sz w:val="20"/>
                <w:szCs w:val="20"/>
              </w:rPr>
              <w:t>72 891</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BA1532" w:rsidRPr="00C929AE" w:rsidRDefault="00BA1532" w:rsidP="005277C1">
            <w:pPr>
              <w:jc w:val="center"/>
              <w:rPr>
                <w:b/>
                <w:bCs/>
                <w:color w:val="000000"/>
                <w:sz w:val="20"/>
                <w:szCs w:val="20"/>
              </w:rPr>
            </w:pPr>
            <w:r>
              <w:rPr>
                <w:b/>
                <w:bCs/>
                <w:color w:val="000000"/>
                <w:sz w:val="20"/>
                <w:szCs w:val="20"/>
              </w:rPr>
              <w:t>584</w:t>
            </w:r>
            <w:r w:rsidRPr="00C929AE">
              <w:rPr>
                <w:b/>
                <w:bCs/>
                <w:color w:val="000000"/>
                <w:sz w:val="20"/>
                <w:szCs w:val="20"/>
              </w:rPr>
              <w:t> </w:t>
            </w:r>
          </w:p>
        </w:tc>
      </w:tr>
    </w:tbl>
    <w:p w:rsidR="00BA1532" w:rsidRPr="00895898" w:rsidRDefault="00BA1532" w:rsidP="00BA1532">
      <w:pPr>
        <w:rPr>
          <w:rFonts w:eastAsia="Calibri"/>
          <w:b/>
        </w:rPr>
        <w:sectPr w:rsidR="00BA1532" w:rsidRPr="00895898" w:rsidSect="00870C88">
          <w:headerReference w:type="default" r:id="rId18"/>
          <w:footerReference w:type="default" r:id="rId19"/>
          <w:pgSz w:w="11906" w:h="16838"/>
          <w:pgMar w:top="993" w:right="1417" w:bottom="1417" w:left="1417" w:header="708" w:footer="708" w:gutter="0"/>
          <w:pgNumType w:start="21"/>
          <w:cols w:space="708"/>
          <w:docGrid w:linePitch="360"/>
        </w:sectPr>
      </w:pPr>
    </w:p>
    <w:p w:rsidR="00BA1532" w:rsidRPr="001F1B43" w:rsidRDefault="00BA1532" w:rsidP="00BA1532">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BA1532" w:rsidRDefault="00BA1532" w:rsidP="00BA1532">
      <w:pPr>
        <w:jc w:val="both"/>
        <w:rPr>
          <w:rFonts w:eastAsia="Calibri"/>
          <w:i/>
        </w:rPr>
      </w:pPr>
      <w:r w:rsidRPr="00D8247C">
        <w:rPr>
          <w:rFonts w:eastAsia="Calibri"/>
          <w:i/>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342"/>
        <w:gridCol w:w="1635"/>
        <w:gridCol w:w="992"/>
        <w:gridCol w:w="1342"/>
        <w:gridCol w:w="709"/>
        <w:gridCol w:w="992"/>
        <w:gridCol w:w="919"/>
        <w:gridCol w:w="1000"/>
        <w:gridCol w:w="708"/>
        <w:gridCol w:w="1134"/>
      </w:tblGrid>
      <w:tr w:rsidR="00BA1532" w:rsidRPr="000A6B7F" w:rsidTr="005277C1">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0A6B7F" w:rsidRDefault="00BA1532" w:rsidP="005277C1">
            <w:pPr>
              <w:jc w:val="center"/>
              <w:rPr>
                <w:b/>
                <w:bCs/>
                <w:color w:val="000000"/>
                <w:sz w:val="20"/>
                <w:szCs w:val="20"/>
              </w:rPr>
            </w:pPr>
            <w:proofErr w:type="spellStart"/>
            <w:r w:rsidRPr="000A6B7F">
              <w:rPr>
                <w:b/>
                <w:bCs/>
                <w:color w:val="000000"/>
                <w:sz w:val="20"/>
                <w:szCs w:val="20"/>
              </w:rPr>
              <w:t>P.č</w:t>
            </w:r>
            <w:proofErr w:type="spellEnd"/>
            <w:r w:rsidRPr="000A6B7F">
              <w:rPr>
                <w:b/>
                <w:bCs/>
                <w:color w:val="000000"/>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0A6B7F" w:rsidRDefault="00BA1532" w:rsidP="005277C1">
            <w:pPr>
              <w:jc w:val="center"/>
              <w:rPr>
                <w:b/>
                <w:bCs/>
                <w:color w:val="000000"/>
                <w:sz w:val="20"/>
                <w:szCs w:val="20"/>
              </w:rPr>
            </w:pPr>
            <w:r w:rsidRPr="000A6B7F">
              <w:rPr>
                <w:b/>
                <w:bCs/>
                <w:color w:val="000000"/>
                <w:sz w:val="20"/>
                <w:szCs w:val="20"/>
              </w:rPr>
              <w:t xml:space="preserve">Zrozumiteľný a stručný opis regulácie </w:t>
            </w:r>
            <w:r w:rsidRPr="000A6B7F">
              <w:rPr>
                <w:b/>
                <w:bCs/>
                <w:color w:val="000000"/>
                <w:sz w:val="20"/>
                <w:szCs w:val="20"/>
              </w:rPr>
              <w:br/>
              <w:t>(dôvod zvýšenia/zníženia nákladov na PP</w:t>
            </w:r>
            <w:r>
              <w:rPr>
                <w:b/>
                <w:bCs/>
                <w:color w:val="000000"/>
                <w:sz w:val="20"/>
                <w:szCs w:val="20"/>
              </w:rPr>
              <w:t xml:space="preserve"> a dôvod ponechania nákladov na PP, ktoré sú </w:t>
            </w:r>
            <w:proofErr w:type="spellStart"/>
            <w:r>
              <w:rPr>
                <w:b/>
                <w:bCs/>
                <w:color w:val="000000"/>
                <w:sz w:val="20"/>
                <w:szCs w:val="20"/>
              </w:rPr>
              <w:t>goldplatngom</w:t>
            </w:r>
            <w:proofErr w:type="spellEnd"/>
            <w:r w:rsidRPr="000A6B7F">
              <w:rPr>
                <w:b/>
                <w:bCs/>
                <w:color w:val="000000"/>
                <w:sz w:val="20"/>
                <w:szCs w:val="20"/>
              </w:rPr>
              <w:t>)</w:t>
            </w:r>
          </w:p>
        </w:tc>
        <w:tc>
          <w:tcPr>
            <w:tcW w:w="99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BA1532" w:rsidRPr="000A6B7F" w:rsidRDefault="00BA1532" w:rsidP="005277C1">
            <w:pPr>
              <w:jc w:val="center"/>
              <w:rPr>
                <w:b/>
                <w:bCs/>
                <w:color w:val="000000"/>
                <w:sz w:val="20"/>
                <w:szCs w:val="20"/>
              </w:rPr>
            </w:pPr>
            <w:r w:rsidRPr="000A6B7F">
              <w:rPr>
                <w:b/>
                <w:bCs/>
                <w:color w:val="000000"/>
                <w:sz w:val="20"/>
                <w:szCs w:val="20"/>
              </w:rPr>
              <w:t>Číslo normy</w:t>
            </w:r>
            <w:r w:rsidRPr="000A6B7F">
              <w:rPr>
                <w:b/>
                <w:bCs/>
                <w:color w:val="000000"/>
                <w:sz w:val="20"/>
                <w:szCs w:val="20"/>
              </w:rPr>
              <w:br/>
            </w:r>
            <w:r w:rsidRPr="000A6B7F">
              <w:rPr>
                <w:color w:val="000000"/>
                <w:sz w:val="20"/>
                <w:szCs w:val="20"/>
              </w:rPr>
              <w:t>(zákona, vyhlášky a pod.)</w:t>
            </w:r>
          </w:p>
        </w:tc>
        <w:tc>
          <w:tcPr>
            <w:tcW w:w="134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BA1532" w:rsidRPr="000A6B7F" w:rsidRDefault="00BA1532" w:rsidP="005277C1">
            <w:pPr>
              <w:jc w:val="center"/>
              <w:rPr>
                <w:b/>
                <w:bCs/>
                <w:color w:val="000000"/>
                <w:sz w:val="20"/>
                <w:szCs w:val="20"/>
              </w:rPr>
            </w:pPr>
            <w:r w:rsidRPr="000A6B7F">
              <w:rPr>
                <w:b/>
                <w:bCs/>
                <w:color w:val="000000"/>
                <w:sz w:val="20"/>
                <w:szCs w:val="20"/>
              </w:rPr>
              <w:t>Lokalizácia</w:t>
            </w:r>
            <w:r w:rsidRPr="000A6B7F">
              <w:rPr>
                <w:b/>
                <w:bCs/>
                <w:color w:val="000000"/>
                <w:sz w:val="20"/>
                <w:szCs w:val="20"/>
              </w:rPr>
              <w:br/>
              <w:t>(§, ods.</w:t>
            </w:r>
            <w:r>
              <w:rPr>
                <w:b/>
                <w:bCs/>
                <w:color w:val="000000"/>
                <w:sz w:val="20"/>
                <w:szCs w:val="20"/>
              </w:rPr>
              <w:t>, čl.,...</w:t>
            </w:r>
            <w:r w:rsidRPr="000A6B7F">
              <w:rPr>
                <w:b/>
                <w:bCs/>
                <w:color w:val="000000"/>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Default="00BA1532" w:rsidP="005277C1">
            <w:pPr>
              <w:jc w:val="center"/>
              <w:rPr>
                <w:color w:val="000000"/>
                <w:sz w:val="20"/>
                <w:szCs w:val="20"/>
              </w:rPr>
            </w:pPr>
            <w:r w:rsidRPr="000A6B7F">
              <w:rPr>
                <w:b/>
                <w:bCs/>
                <w:color w:val="000000"/>
                <w:sz w:val="20"/>
                <w:szCs w:val="20"/>
              </w:rPr>
              <w:t xml:space="preserve">Pôvod regulácie: </w:t>
            </w:r>
            <w:r w:rsidRPr="000A6B7F">
              <w:rPr>
                <w:b/>
                <w:bCs/>
                <w:color w:val="000000"/>
                <w:sz w:val="20"/>
                <w:szCs w:val="20"/>
              </w:rPr>
              <w:br/>
            </w:r>
            <w:r>
              <w:rPr>
                <w:color w:val="000000"/>
                <w:sz w:val="20"/>
                <w:szCs w:val="20"/>
              </w:rPr>
              <w:t>SK</w:t>
            </w:r>
            <w:r w:rsidRPr="000A6B7F">
              <w:rPr>
                <w:color w:val="000000"/>
                <w:sz w:val="20"/>
                <w:szCs w:val="20"/>
              </w:rPr>
              <w:t xml:space="preserve">/EÚ úplná </w:t>
            </w:r>
            <w:proofErr w:type="spellStart"/>
            <w:r w:rsidRPr="000A6B7F">
              <w:rPr>
                <w:color w:val="000000"/>
                <w:sz w:val="20"/>
                <w:szCs w:val="20"/>
              </w:rPr>
              <w:t>harm</w:t>
            </w:r>
            <w:proofErr w:type="spellEnd"/>
            <w:r w:rsidRPr="000A6B7F">
              <w:rPr>
                <w:color w:val="000000"/>
                <w:sz w:val="20"/>
                <w:szCs w:val="20"/>
              </w:rPr>
              <w:t>./</w:t>
            </w:r>
          </w:p>
          <w:p w:rsidR="00BA1532" w:rsidRPr="000A6B7F" w:rsidRDefault="00BA1532" w:rsidP="005277C1">
            <w:pPr>
              <w:jc w:val="center"/>
              <w:rPr>
                <w:b/>
                <w:bCs/>
                <w:color w:val="000000"/>
                <w:sz w:val="20"/>
                <w:szCs w:val="20"/>
              </w:rPr>
            </w:pPr>
            <w:proofErr w:type="spellStart"/>
            <w:r>
              <w:rPr>
                <w:color w:val="000000"/>
                <w:sz w:val="20"/>
                <w:szCs w:val="20"/>
              </w:rPr>
              <w:t>G</w:t>
            </w:r>
            <w:r w:rsidRPr="000A6B7F">
              <w:rPr>
                <w:color w:val="000000"/>
                <w:sz w:val="20"/>
                <w:szCs w:val="20"/>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0A6B7F" w:rsidRDefault="00BA1532" w:rsidP="005277C1">
            <w:pPr>
              <w:jc w:val="center"/>
              <w:rPr>
                <w:b/>
                <w:bCs/>
                <w:color w:val="000000"/>
                <w:sz w:val="20"/>
                <w:szCs w:val="20"/>
              </w:rPr>
            </w:pPr>
            <w:r w:rsidRPr="000A6B7F">
              <w:rPr>
                <w:b/>
                <w:bCs/>
                <w:color w:val="000000"/>
                <w:sz w:val="20"/>
                <w:szCs w:val="20"/>
              </w:rPr>
              <w:t>Účinnosť regulácie</w:t>
            </w:r>
          </w:p>
        </w:tc>
        <w:tc>
          <w:tcPr>
            <w:tcW w:w="1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0A6B7F" w:rsidRDefault="00BA1532" w:rsidP="005277C1">
            <w:pPr>
              <w:jc w:val="center"/>
              <w:rPr>
                <w:b/>
                <w:bCs/>
                <w:color w:val="000000"/>
                <w:sz w:val="20"/>
                <w:szCs w:val="20"/>
              </w:rPr>
            </w:pPr>
            <w:r w:rsidRPr="000A6B7F">
              <w:rPr>
                <w:b/>
                <w:bCs/>
                <w:color w:val="000000"/>
                <w:sz w:val="20"/>
                <w:szCs w:val="20"/>
              </w:rPr>
              <w:t xml:space="preserve">Kategória </w:t>
            </w:r>
            <w:proofErr w:type="spellStart"/>
            <w:r w:rsidRPr="000A6B7F">
              <w:rPr>
                <w:b/>
                <w:bCs/>
                <w:color w:val="000000"/>
                <w:sz w:val="20"/>
                <w:szCs w:val="20"/>
              </w:rPr>
              <w:t>dotk</w:t>
            </w:r>
            <w:proofErr w:type="spellEnd"/>
            <w:r w:rsidRPr="000A6B7F">
              <w:rPr>
                <w:b/>
                <w:bCs/>
                <w:color w:val="000000"/>
                <w:sz w:val="20"/>
                <w:szCs w:val="20"/>
              </w:rPr>
              <w:t>. subjektov</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A1532" w:rsidRDefault="00BA1532" w:rsidP="005277C1">
            <w:pPr>
              <w:jc w:val="center"/>
              <w:rPr>
                <w:b/>
                <w:bCs/>
                <w:color w:val="000000"/>
                <w:sz w:val="20"/>
                <w:szCs w:val="20"/>
              </w:rPr>
            </w:pPr>
            <w:r w:rsidRPr="00895898">
              <w:rPr>
                <w:b/>
                <w:bCs/>
                <w:color w:val="000000"/>
                <w:sz w:val="20"/>
                <w:szCs w:val="20"/>
              </w:rPr>
              <w:t xml:space="preserve">Počet </w:t>
            </w:r>
          </w:p>
          <w:p w:rsidR="00BA1532" w:rsidRPr="00895898" w:rsidRDefault="00BA1532" w:rsidP="005277C1">
            <w:pPr>
              <w:jc w:val="center"/>
              <w:rPr>
                <w:b/>
                <w:bCs/>
                <w:color w:val="000000"/>
                <w:sz w:val="20"/>
                <w:szCs w:val="20"/>
              </w:rPr>
            </w:pPr>
            <w:proofErr w:type="spellStart"/>
            <w:r>
              <w:rPr>
                <w:b/>
                <w:bCs/>
                <w:color w:val="000000"/>
                <w:sz w:val="20"/>
                <w:szCs w:val="20"/>
              </w:rPr>
              <w:t>dotk</w:t>
            </w:r>
            <w:proofErr w:type="spellEnd"/>
            <w:r>
              <w:rPr>
                <w:b/>
                <w:bCs/>
                <w:color w:val="000000"/>
                <w:sz w:val="20"/>
                <w:szCs w:val="20"/>
              </w:rPr>
              <w:t>.</w:t>
            </w:r>
            <w:r w:rsidRPr="00895898">
              <w:rPr>
                <w:b/>
                <w:bCs/>
                <w:color w:val="000000"/>
                <w:sz w:val="20"/>
                <w:szCs w:val="20"/>
              </w:rPr>
              <w:t xml:space="preserve"> subjektov </w:t>
            </w:r>
            <w:r>
              <w:rPr>
                <w:b/>
                <w:bCs/>
                <w:color w:val="000000"/>
                <w:sz w:val="20"/>
                <w:szCs w:val="20"/>
              </w:rPr>
              <w:t>spolu</w:t>
            </w:r>
            <w:r w:rsidRPr="00895898">
              <w:rPr>
                <w:b/>
                <w:bCs/>
                <w:color w:val="00000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0A6B7F" w:rsidRDefault="00BA1532" w:rsidP="005277C1">
            <w:pPr>
              <w:jc w:val="center"/>
              <w:rPr>
                <w:b/>
                <w:bCs/>
                <w:color w:val="000000"/>
                <w:sz w:val="20"/>
                <w:szCs w:val="20"/>
              </w:rPr>
            </w:pPr>
            <w:r w:rsidRPr="000A6B7F">
              <w:rPr>
                <w:b/>
                <w:bCs/>
                <w:color w:val="000000"/>
                <w:sz w:val="20"/>
                <w:szCs w:val="20"/>
              </w:rPr>
              <w:t>Vplyv na 1 podnik. v €</w:t>
            </w:r>
          </w:p>
        </w:tc>
        <w:tc>
          <w:tcPr>
            <w:tcW w:w="9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0A6B7F" w:rsidRDefault="00BA1532" w:rsidP="005277C1">
            <w:pPr>
              <w:jc w:val="center"/>
              <w:rPr>
                <w:b/>
                <w:bCs/>
                <w:color w:val="000000"/>
                <w:sz w:val="20"/>
                <w:szCs w:val="20"/>
              </w:rPr>
            </w:pPr>
            <w:r>
              <w:rPr>
                <w:b/>
                <w:bCs/>
                <w:color w:val="000000"/>
                <w:sz w:val="20"/>
                <w:szCs w:val="20"/>
              </w:rPr>
              <w:t xml:space="preserve">Vplyv na </w:t>
            </w:r>
            <w:proofErr w:type="spellStart"/>
            <w:r>
              <w:rPr>
                <w:b/>
                <w:bCs/>
                <w:color w:val="000000"/>
                <w:sz w:val="20"/>
                <w:szCs w:val="20"/>
              </w:rPr>
              <w:t>kateg</w:t>
            </w:r>
            <w:proofErr w:type="spellEnd"/>
            <w:r>
              <w:rPr>
                <w:b/>
                <w:bCs/>
                <w:color w:val="000000"/>
                <w:sz w:val="20"/>
                <w:szCs w:val="20"/>
              </w:rPr>
              <w:t xml:space="preserve">. </w:t>
            </w:r>
            <w:proofErr w:type="spellStart"/>
            <w:r>
              <w:rPr>
                <w:b/>
                <w:bCs/>
                <w:color w:val="000000"/>
                <w:sz w:val="20"/>
                <w:szCs w:val="20"/>
              </w:rPr>
              <w:t>dotk</w:t>
            </w:r>
            <w:proofErr w:type="spellEnd"/>
            <w:r>
              <w:rPr>
                <w:b/>
                <w:bCs/>
                <w:color w:val="000000"/>
                <w:sz w:val="20"/>
                <w:szCs w:val="20"/>
              </w:rPr>
              <w:t>. subjekt.</w:t>
            </w:r>
            <w:r w:rsidRPr="000A6B7F">
              <w:rPr>
                <w:b/>
                <w:bCs/>
                <w:color w:val="000000"/>
                <w:sz w:val="20"/>
                <w:szCs w:val="20"/>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895898" w:rsidRDefault="00BA1532" w:rsidP="005277C1">
            <w:pPr>
              <w:jc w:val="center"/>
              <w:rPr>
                <w:bCs/>
                <w:color w:val="000000"/>
                <w:sz w:val="20"/>
                <w:szCs w:val="20"/>
              </w:rPr>
            </w:pPr>
            <w:r w:rsidRPr="000A6B7F">
              <w:rPr>
                <w:b/>
                <w:bCs/>
                <w:color w:val="000000"/>
                <w:sz w:val="20"/>
                <w:szCs w:val="20"/>
              </w:rPr>
              <w:t>Druh vplyvu</w:t>
            </w:r>
            <w:r w:rsidRPr="000A6B7F">
              <w:rPr>
                <w:b/>
                <w:bCs/>
                <w:color w:val="000000"/>
                <w:sz w:val="20"/>
                <w:szCs w:val="20"/>
              </w:rPr>
              <w:br/>
            </w:r>
            <w:r w:rsidRPr="00895898">
              <w:rPr>
                <w:bCs/>
                <w:color w:val="000000"/>
                <w:sz w:val="20"/>
                <w:szCs w:val="20"/>
              </w:rPr>
              <w:t xml:space="preserve">In (zvyšuje náklady) / </w:t>
            </w:r>
          </w:p>
          <w:p w:rsidR="00BA1532" w:rsidRPr="00895898" w:rsidRDefault="00BA1532" w:rsidP="005277C1">
            <w:pPr>
              <w:jc w:val="center"/>
              <w:rPr>
                <w:b/>
                <w:bCs/>
                <w:color w:val="000000"/>
                <w:sz w:val="20"/>
                <w:szCs w:val="20"/>
              </w:rPr>
            </w:pPr>
            <w:proofErr w:type="spellStart"/>
            <w:r w:rsidRPr="00895898">
              <w:rPr>
                <w:bCs/>
                <w:color w:val="000000"/>
                <w:sz w:val="20"/>
                <w:szCs w:val="20"/>
              </w:rPr>
              <w:t>Out</w:t>
            </w:r>
            <w:proofErr w:type="spellEnd"/>
            <w:r w:rsidRPr="00895898">
              <w:rPr>
                <w:bCs/>
                <w:color w:val="000000"/>
                <w:sz w:val="20"/>
                <w:szCs w:val="20"/>
              </w:rPr>
              <w:t xml:space="preserve"> (znižuje náklady</w:t>
            </w:r>
            <w:r w:rsidRPr="00895898">
              <w:rPr>
                <w:b/>
                <w:bCs/>
                <w:color w:val="000000"/>
                <w:sz w:val="20"/>
                <w:szCs w:val="20"/>
              </w:rPr>
              <w:t>)</w:t>
            </w:r>
          </w:p>
          <w:p w:rsidR="00BA1532" w:rsidRPr="000A6B7F" w:rsidRDefault="00BA1532" w:rsidP="005277C1">
            <w:pPr>
              <w:jc w:val="center"/>
              <w:rPr>
                <w:b/>
                <w:bCs/>
                <w:color w:val="000000"/>
                <w:sz w:val="20"/>
                <w:szCs w:val="20"/>
              </w:rPr>
            </w:pPr>
            <w:r w:rsidRPr="000A6B7F">
              <w:rPr>
                <w:color w:val="000000"/>
                <w:sz w:val="20"/>
                <w:szCs w:val="2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6B5D74" w:rsidRDefault="00BA1532" w:rsidP="005277C1">
            <w:pPr>
              <w:jc w:val="center"/>
              <w:rPr>
                <w:b/>
                <w:bCs/>
                <w:color w:val="000000"/>
                <w:sz w:val="18"/>
                <w:szCs w:val="18"/>
              </w:rPr>
            </w:pPr>
            <w:r w:rsidRPr="006B5D74">
              <w:rPr>
                <w:b/>
                <w:bCs/>
                <w:color w:val="000000"/>
                <w:sz w:val="18"/>
                <w:szCs w:val="18"/>
              </w:rPr>
              <w:t>1in</w:t>
            </w:r>
          </w:p>
          <w:p w:rsidR="00BA1532" w:rsidRPr="006B5D74" w:rsidRDefault="00BA1532" w:rsidP="005277C1">
            <w:pPr>
              <w:jc w:val="center"/>
              <w:rPr>
                <w:b/>
                <w:bCs/>
                <w:color w:val="000000"/>
                <w:sz w:val="18"/>
                <w:szCs w:val="18"/>
              </w:rPr>
            </w:pPr>
            <w:r w:rsidRPr="006B5D74">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A1532" w:rsidRPr="006B5D74" w:rsidRDefault="00BA1532" w:rsidP="005277C1">
            <w:pPr>
              <w:jc w:val="center"/>
              <w:rPr>
                <w:b/>
                <w:bCs/>
                <w:color w:val="000000"/>
                <w:sz w:val="18"/>
                <w:szCs w:val="18"/>
              </w:rPr>
            </w:pPr>
            <w:proofErr w:type="spellStart"/>
            <w:r w:rsidRPr="006B5D74">
              <w:rPr>
                <w:b/>
                <w:bCs/>
                <w:color w:val="000000"/>
                <w:sz w:val="18"/>
                <w:szCs w:val="18"/>
              </w:rPr>
              <w:t>Goldplating</w:t>
            </w:r>
            <w:proofErr w:type="spellEnd"/>
            <w:r w:rsidRPr="006B5D74">
              <w:rPr>
                <w:b/>
                <w:bCs/>
                <w:color w:val="000000"/>
                <w:sz w:val="18"/>
                <w:szCs w:val="18"/>
              </w:rPr>
              <w:t xml:space="preserve"> celkom</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1</w:t>
            </w:r>
          </w:p>
        </w:tc>
        <w:tc>
          <w:tcPr>
            <w:tcW w:w="1740" w:type="dxa"/>
            <w:shd w:val="clear" w:color="auto" w:fill="auto"/>
            <w:vAlign w:val="center"/>
          </w:tcPr>
          <w:p w:rsidR="00BA1532" w:rsidRPr="00022980" w:rsidRDefault="00BA1532" w:rsidP="005277C1">
            <w:pPr>
              <w:rPr>
                <w:sz w:val="20"/>
                <w:szCs w:val="20"/>
              </w:rPr>
            </w:pPr>
            <w:r>
              <w:rPr>
                <w:color w:val="000000"/>
                <w:sz w:val="20"/>
                <w:szCs w:val="20"/>
              </w:rPr>
              <w:t xml:space="preserve">Povolenie na obchodovanie s bezdymovým tabakovým výrobkom </w:t>
            </w:r>
          </w:p>
        </w:tc>
        <w:tc>
          <w:tcPr>
            <w:tcW w:w="992" w:type="dxa"/>
            <w:vAlign w:val="center"/>
          </w:tcPr>
          <w:p w:rsidR="00BA1532" w:rsidRPr="00022980" w:rsidRDefault="00BA1532" w:rsidP="005277C1">
            <w:pPr>
              <w:rPr>
                <w:sz w:val="20"/>
                <w:szCs w:val="20"/>
              </w:rPr>
            </w:pPr>
            <w:r>
              <w:rPr>
                <w:color w:val="000000"/>
                <w:sz w:val="20"/>
                <w:szCs w:val="20"/>
              </w:rPr>
              <w:t>zákon č. 106/2004 Z. z.</w:t>
            </w:r>
          </w:p>
        </w:tc>
        <w:tc>
          <w:tcPr>
            <w:tcW w:w="1342" w:type="dxa"/>
            <w:vAlign w:val="center"/>
          </w:tcPr>
          <w:p w:rsidR="00BA1532" w:rsidRPr="00022980" w:rsidRDefault="00BA1532" w:rsidP="005277C1">
            <w:pPr>
              <w:rPr>
                <w:sz w:val="20"/>
                <w:szCs w:val="20"/>
              </w:rPr>
            </w:pPr>
            <w:r>
              <w:rPr>
                <w:color w:val="000000"/>
                <w:sz w:val="20"/>
                <w:szCs w:val="20"/>
              </w:rPr>
              <w:t>§ 19aa ods. 7</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podnikateľské subjekty obchodujúce s bezdymovým tabakovým výrobkom</w:t>
            </w:r>
          </w:p>
        </w:tc>
        <w:tc>
          <w:tcPr>
            <w:tcW w:w="709" w:type="dxa"/>
            <w:vAlign w:val="center"/>
          </w:tcPr>
          <w:p w:rsidR="00BA1532" w:rsidRPr="00022980" w:rsidRDefault="00BA1532" w:rsidP="005277C1">
            <w:pPr>
              <w:rPr>
                <w:sz w:val="20"/>
                <w:szCs w:val="20"/>
              </w:rPr>
            </w:pPr>
            <w:r>
              <w:rPr>
                <w:color w:val="000000"/>
                <w:sz w:val="20"/>
                <w:szCs w:val="20"/>
              </w:rPr>
              <w:t xml:space="preserve">             450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12</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5 478</w:t>
            </w:r>
          </w:p>
        </w:tc>
        <w:tc>
          <w:tcPr>
            <w:tcW w:w="1000" w:type="dxa"/>
            <w:shd w:val="clear" w:color="auto" w:fill="auto"/>
            <w:noWrap/>
            <w:vAlign w:val="center"/>
          </w:tcPr>
          <w:p w:rsidR="00BA1532" w:rsidRPr="00022980" w:rsidRDefault="00BA1532" w:rsidP="005277C1">
            <w:pPr>
              <w:rPr>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color w:val="000000"/>
                <w:sz w:val="20"/>
                <w:szCs w:val="20"/>
              </w:rPr>
            </w:pPr>
            <w:r>
              <w:rPr>
                <w:sz w:val="20"/>
                <w:szCs w:val="20"/>
              </w:rPr>
              <w:t>5 478</w:t>
            </w:r>
          </w:p>
        </w:tc>
        <w:tc>
          <w:tcPr>
            <w:tcW w:w="1134" w:type="dxa"/>
            <w:vAlign w:val="center"/>
          </w:tcPr>
          <w:p w:rsidR="00BA1532" w:rsidRPr="00022980" w:rsidRDefault="00BA1532" w:rsidP="005277C1">
            <w:pPr>
              <w:rPr>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2</w:t>
            </w:r>
          </w:p>
        </w:tc>
        <w:tc>
          <w:tcPr>
            <w:tcW w:w="1740" w:type="dxa"/>
            <w:shd w:val="clear" w:color="auto" w:fill="auto"/>
            <w:vAlign w:val="center"/>
          </w:tcPr>
          <w:p w:rsidR="00BA1532" w:rsidRPr="00022980" w:rsidRDefault="00BA1532" w:rsidP="005277C1">
            <w:pPr>
              <w:rPr>
                <w:sz w:val="20"/>
                <w:szCs w:val="20"/>
              </w:rPr>
            </w:pPr>
            <w:r>
              <w:rPr>
                <w:color w:val="000000"/>
                <w:sz w:val="20"/>
                <w:szCs w:val="20"/>
              </w:rPr>
              <w:t>Povolenie na distribúciu bezdymového tabakového výrobku</w:t>
            </w:r>
          </w:p>
        </w:tc>
        <w:tc>
          <w:tcPr>
            <w:tcW w:w="992" w:type="dxa"/>
            <w:vAlign w:val="center"/>
          </w:tcPr>
          <w:p w:rsidR="00BA1532" w:rsidRPr="00022980" w:rsidRDefault="00BA1532" w:rsidP="005277C1">
            <w:pPr>
              <w:rPr>
                <w:sz w:val="20"/>
                <w:szCs w:val="20"/>
              </w:rPr>
            </w:pPr>
            <w:r>
              <w:rPr>
                <w:color w:val="000000"/>
                <w:sz w:val="20"/>
                <w:szCs w:val="20"/>
              </w:rPr>
              <w:t>zákon č. 106/2004 Z. z.</w:t>
            </w:r>
          </w:p>
        </w:tc>
        <w:tc>
          <w:tcPr>
            <w:tcW w:w="1342" w:type="dxa"/>
            <w:vAlign w:val="center"/>
          </w:tcPr>
          <w:p w:rsidR="00BA1532" w:rsidRPr="00022980" w:rsidRDefault="00BA1532" w:rsidP="005277C1">
            <w:pPr>
              <w:rPr>
                <w:sz w:val="20"/>
                <w:szCs w:val="20"/>
              </w:rPr>
            </w:pPr>
            <w:r>
              <w:rPr>
                <w:color w:val="000000"/>
                <w:sz w:val="20"/>
                <w:szCs w:val="20"/>
              </w:rPr>
              <w:t>§ 19aa ods. 17</w:t>
            </w:r>
          </w:p>
        </w:tc>
        <w:tc>
          <w:tcPr>
            <w:tcW w:w="1635" w:type="dxa"/>
            <w:shd w:val="clear" w:color="auto" w:fill="auto"/>
            <w:vAlign w:val="center"/>
          </w:tcPr>
          <w:p w:rsidR="00BA1532" w:rsidRPr="00022980" w:rsidDel="00801596"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podnikateľské subjekty distribuujúce bezdymový tabakový výrobok</w:t>
            </w:r>
          </w:p>
        </w:tc>
        <w:tc>
          <w:tcPr>
            <w:tcW w:w="709" w:type="dxa"/>
            <w:vAlign w:val="center"/>
          </w:tcPr>
          <w:p w:rsidR="00BA1532" w:rsidRPr="00022980" w:rsidRDefault="00BA1532" w:rsidP="005277C1">
            <w:pPr>
              <w:rPr>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12</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852</w:t>
            </w:r>
          </w:p>
        </w:tc>
        <w:tc>
          <w:tcPr>
            <w:tcW w:w="1000" w:type="dxa"/>
            <w:shd w:val="clear" w:color="auto" w:fill="auto"/>
            <w:noWrap/>
            <w:vAlign w:val="center"/>
          </w:tcPr>
          <w:p w:rsidR="00BA1532" w:rsidRPr="00022980" w:rsidRDefault="00BA1532" w:rsidP="005277C1">
            <w:pPr>
              <w:rPr>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color w:val="000000"/>
                <w:sz w:val="20"/>
                <w:szCs w:val="20"/>
              </w:rPr>
            </w:pPr>
            <w:r>
              <w:rPr>
                <w:sz w:val="20"/>
                <w:szCs w:val="20"/>
              </w:rPr>
              <w:t>852</w:t>
            </w:r>
          </w:p>
        </w:tc>
        <w:tc>
          <w:tcPr>
            <w:tcW w:w="1134" w:type="dxa"/>
            <w:vAlign w:val="center"/>
          </w:tcPr>
          <w:p w:rsidR="00BA1532" w:rsidRPr="00022980" w:rsidRDefault="00BA1532" w:rsidP="005277C1">
            <w:pPr>
              <w:rPr>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3</w:t>
            </w:r>
          </w:p>
        </w:tc>
        <w:tc>
          <w:tcPr>
            <w:tcW w:w="1740" w:type="dxa"/>
            <w:shd w:val="clear" w:color="auto" w:fill="auto"/>
            <w:vAlign w:val="center"/>
          </w:tcPr>
          <w:p w:rsidR="00BA1532" w:rsidRPr="00022980" w:rsidRDefault="00BA1532" w:rsidP="005277C1">
            <w:pPr>
              <w:rPr>
                <w:sz w:val="20"/>
                <w:szCs w:val="20"/>
              </w:rPr>
            </w:pPr>
            <w:r>
              <w:rPr>
                <w:color w:val="000000"/>
                <w:sz w:val="20"/>
                <w:szCs w:val="20"/>
              </w:rPr>
              <w:t>Povolenie na obchodovanie s výrobkom súvisiacim s tabakovými výrobkami</w:t>
            </w:r>
          </w:p>
        </w:tc>
        <w:tc>
          <w:tcPr>
            <w:tcW w:w="992" w:type="dxa"/>
            <w:vAlign w:val="center"/>
          </w:tcPr>
          <w:p w:rsidR="00BA1532" w:rsidRPr="00022980" w:rsidRDefault="00BA1532" w:rsidP="005277C1">
            <w:pPr>
              <w:rPr>
                <w:sz w:val="20"/>
                <w:szCs w:val="20"/>
              </w:rPr>
            </w:pPr>
            <w:r>
              <w:rPr>
                <w:color w:val="000000"/>
                <w:sz w:val="20"/>
                <w:szCs w:val="20"/>
              </w:rPr>
              <w:t>zákon č. 106/2004 Z. z.</w:t>
            </w:r>
          </w:p>
        </w:tc>
        <w:tc>
          <w:tcPr>
            <w:tcW w:w="1342" w:type="dxa"/>
            <w:vAlign w:val="center"/>
          </w:tcPr>
          <w:p w:rsidR="00BA1532" w:rsidRPr="00022980" w:rsidRDefault="00BA1532" w:rsidP="005277C1">
            <w:pPr>
              <w:rPr>
                <w:sz w:val="20"/>
                <w:szCs w:val="20"/>
              </w:rPr>
            </w:pPr>
            <w:r>
              <w:rPr>
                <w:color w:val="000000"/>
                <w:sz w:val="20"/>
                <w:szCs w:val="20"/>
              </w:rPr>
              <w:t>§ 19ab ods. 8</w:t>
            </w:r>
          </w:p>
        </w:tc>
        <w:tc>
          <w:tcPr>
            <w:tcW w:w="1635" w:type="dxa"/>
            <w:shd w:val="clear" w:color="auto" w:fill="auto"/>
            <w:vAlign w:val="center"/>
          </w:tcPr>
          <w:p w:rsidR="00BA1532" w:rsidRPr="00022980" w:rsidDel="00801596"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podnikateľské subjekty obchodujúce s výrobkom súvisiacim s tabakovými výrobkami</w:t>
            </w:r>
          </w:p>
        </w:tc>
        <w:tc>
          <w:tcPr>
            <w:tcW w:w="709" w:type="dxa"/>
            <w:vAlign w:val="center"/>
          </w:tcPr>
          <w:p w:rsidR="00BA1532" w:rsidRPr="00022980" w:rsidRDefault="00BA1532" w:rsidP="005277C1">
            <w:pPr>
              <w:rPr>
                <w:sz w:val="20"/>
                <w:szCs w:val="20"/>
              </w:rPr>
            </w:pPr>
            <w:r>
              <w:rPr>
                <w:color w:val="000000"/>
                <w:sz w:val="20"/>
                <w:szCs w:val="20"/>
              </w:rPr>
              <w:t xml:space="preserve">             450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12</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5 478</w:t>
            </w:r>
          </w:p>
        </w:tc>
        <w:tc>
          <w:tcPr>
            <w:tcW w:w="1000" w:type="dxa"/>
            <w:shd w:val="clear" w:color="auto" w:fill="auto"/>
            <w:noWrap/>
            <w:vAlign w:val="center"/>
          </w:tcPr>
          <w:p w:rsidR="00BA1532" w:rsidRPr="00022980" w:rsidRDefault="00BA1532" w:rsidP="005277C1">
            <w:pPr>
              <w:rPr>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color w:val="000000"/>
                <w:sz w:val="20"/>
                <w:szCs w:val="20"/>
              </w:rPr>
            </w:pPr>
            <w:r>
              <w:rPr>
                <w:sz w:val="20"/>
                <w:szCs w:val="20"/>
              </w:rPr>
              <w:t>5 478</w:t>
            </w:r>
          </w:p>
        </w:tc>
        <w:tc>
          <w:tcPr>
            <w:tcW w:w="1134" w:type="dxa"/>
            <w:vAlign w:val="center"/>
          </w:tcPr>
          <w:p w:rsidR="00BA1532" w:rsidRPr="00022980" w:rsidRDefault="00BA1532" w:rsidP="005277C1">
            <w:pPr>
              <w:rPr>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4</w:t>
            </w:r>
          </w:p>
        </w:tc>
        <w:tc>
          <w:tcPr>
            <w:tcW w:w="1740" w:type="dxa"/>
            <w:shd w:val="clear" w:color="auto" w:fill="auto"/>
            <w:vAlign w:val="center"/>
          </w:tcPr>
          <w:p w:rsidR="00BA1532" w:rsidRPr="00022980" w:rsidRDefault="00BA1532" w:rsidP="005277C1">
            <w:pPr>
              <w:rPr>
                <w:sz w:val="20"/>
                <w:szCs w:val="20"/>
              </w:rPr>
            </w:pPr>
            <w:r>
              <w:rPr>
                <w:color w:val="000000"/>
                <w:sz w:val="20"/>
                <w:szCs w:val="20"/>
              </w:rPr>
              <w:t>Povolenie na distribúciu výrobku súvisiaceho s tabakovými výrobkami</w:t>
            </w:r>
          </w:p>
        </w:tc>
        <w:tc>
          <w:tcPr>
            <w:tcW w:w="992" w:type="dxa"/>
            <w:vAlign w:val="center"/>
          </w:tcPr>
          <w:p w:rsidR="00BA1532" w:rsidRPr="00022980" w:rsidRDefault="00BA1532" w:rsidP="005277C1">
            <w:pPr>
              <w:rPr>
                <w:sz w:val="20"/>
                <w:szCs w:val="20"/>
              </w:rPr>
            </w:pPr>
            <w:r>
              <w:rPr>
                <w:color w:val="000000"/>
                <w:sz w:val="20"/>
                <w:szCs w:val="20"/>
              </w:rPr>
              <w:t>zákon č. 106/2004 Z. z.</w:t>
            </w:r>
          </w:p>
        </w:tc>
        <w:tc>
          <w:tcPr>
            <w:tcW w:w="1342" w:type="dxa"/>
            <w:vAlign w:val="center"/>
          </w:tcPr>
          <w:p w:rsidR="00BA1532" w:rsidRPr="00022980" w:rsidRDefault="00BA1532" w:rsidP="005277C1">
            <w:pPr>
              <w:rPr>
                <w:sz w:val="20"/>
                <w:szCs w:val="20"/>
              </w:rPr>
            </w:pPr>
            <w:r>
              <w:rPr>
                <w:color w:val="000000"/>
                <w:sz w:val="20"/>
                <w:szCs w:val="20"/>
              </w:rPr>
              <w:t>§ 19ab ods. 19</w:t>
            </w:r>
          </w:p>
        </w:tc>
        <w:tc>
          <w:tcPr>
            <w:tcW w:w="1635" w:type="dxa"/>
            <w:shd w:val="clear" w:color="auto" w:fill="auto"/>
            <w:vAlign w:val="center"/>
          </w:tcPr>
          <w:p w:rsidR="00BA1532" w:rsidRPr="00022980" w:rsidDel="00801596"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 xml:space="preserve">podnikateľské subjekty distribuujúce výrobok súvisiaci s </w:t>
            </w:r>
            <w:r>
              <w:rPr>
                <w:color w:val="000000"/>
                <w:sz w:val="20"/>
                <w:szCs w:val="20"/>
              </w:rPr>
              <w:lastRenderedPageBreak/>
              <w:t>tabakovými výrobkami</w:t>
            </w:r>
          </w:p>
        </w:tc>
        <w:tc>
          <w:tcPr>
            <w:tcW w:w="709" w:type="dxa"/>
            <w:vAlign w:val="center"/>
          </w:tcPr>
          <w:p w:rsidR="00BA1532" w:rsidRPr="00022980" w:rsidRDefault="00BA1532" w:rsidP="005277C1">
            <w:pPr>
              <w:rPr>
                <w:sz w:val="20"/>
                <w:szCs w:val="20"/>
              </w:rPr>
            </w:pPr>
            <w:r>
              <w:rPr>
                <w:color w:val="000000"/>
                <w:sz w:val="20"/>
                <w:szCs w:val="20"/>
              </w:rPr>
              <w:lastRenderedPageBreak/>
              <w:t xml:space="preserve">                70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12</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852</w:t>
            </w:r>
          </w:p>
        </w:tc>
        <w:tc>
          <w:tcPr>
            <w:tcW w:w="1000" w:type="dxa"/>
            <w:shd w:val="clear" w:color="auto" w:fill="auto"/>
            <w:noWrap/>
            <w:vAlign w:val="center"/>
          </w:tcPr>
          <w:p w:rsidR="00BA1532" w:rsidRPr="00022980" w:rsidRDefault="00BA1532" w:rsidP="005277C1">
            <w:pPr>
              <w:rPr>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color w:val="000000"/>
                <w:sz w:val="20"/>
                <w:szCs w:val="20"/>
              </w:rPr>
            </w:pPr>
            <w:r>
              <w:rPr>
                <w:sz w:val="20"/>
                <w:szCs w:val="20"/>
              </w:rPr>
              <w:t>852</w:t>
            </w:r>
          </w:p>
        </w:tc>
        <w:tc>
          <w:tcPr>
            <w:tcW w:w="1134" w:type="dxa"/>
            <w:vAlign w:val="center"/>
          </w:tcPr>
          <w:p w:rsidR="00BA1532" w:rsidRPr="00022980" w:rsidRDefault="00BA1532" w:rsidP="005277C1">
            <w:pPr>
              <w:rPr>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5</w:t>
            </w:r>
          </w:p>
        </w:tc>
        <w:tc>
          <w:tcPr>
            <w:tcW w:w="1740" w:type="dxa"/>
            <w:shd w:val="clear" w:color="auto" w:fill="auto"/>
            <w:vAlign w:val="center"/>
          </w:tcPr>
          <w:p w:rsidR="00BA1532" w:rsidRPr="00022980" w:rsidRDefault="00BA1532" w:rsidP="005277C1">
            <w:pPr>
              <w:rPr>
                <w:sz w:val="20"/>
                <w:szCs w:val="20"/>
              </w:rPr>
            </w:pPr>
            <w:r>
              <w:rPr>
                <w:color w:val="000000"/>
                <w:sz w:val="20"/>
                <w:szCs w:val="20"/>
              </w:rPr>
              <w:t>Daňové priznanie platiteľa podľa § 19ab ods. 34</w:t>
            </w:r>
          </w:p>
        </w:tc>
        <w:tc>
          <w:tcPr>
            <w:tcW w:w="992" w:type="dxa"/>
            <w:vAlign w:val="center"/>
          </w:tcPr>
          <w:p w:rsidR="00BA1532" w:rsidRPr="00022980" w:rsidRDefault="00BA1532" w:rsidP="005277C1">
            <w:pPr>
              <w:rPr>
                <w:sz w:val="20"/>
                <w:szCs w:val="20"/>
              </w:rPr>
            </w:pPr>
            <w:r>
              <w:rPr>
                <w:color w:val="000000"/>
                <w:sz w:val="20"/>
                <w:szCs w:val="20"/>
              </w:rPr>
              <w:t>zákon č. 106/2004 Z. z.</w:t>
            </w:r>
          </w:p>
        </w:tc>
        <w:tc>
          <w:tcPr>
            <w:tcW w:w="1342" w:type="dxa"/>
            <w:vAlign w:val="center"/>
          </w:tcPr>
          <w:p w:rsidR="00BA1532" w:rsidRPr="00022980" w:rsidRDefault="00BA1532" w:rsidP="005277C1">
            <w:pPr>
              <w:rPr>
                <w:sz w:val="20"/>
                <w:szCs w:val="20"/>
              </w:rPr>
            </w:pPr>
            <w:r>
              <w:rPr>
                <w:color w:val="000000"/>
                <w:sz w:val="20"/>
                <w:szCs w:val="20"/>
              </w:rPr>
              <w:t>§ 19ab ods. 35</w:t>
            </w:r>
          </w:p>
        </w:tc>
        <w:tc>
          <w:tcPr>
            <w:tcW w:w="1635" w:type="dxa"/>
            <w:shd w:val="clear" w:color="auto" w:fill="auto"/>
            <w:vAlign w:val="center"/>
          </w:tcPr>
          <w:p w:rsidR="00BA1532" w:rsidRPr="00022980" w:rsidDel="00801596"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platiteľa dane podľa § 19ab ods. 32</w:t>
            </w:r>
          </w:p>
        </w:tc>
        <w:tc>
          <w:tcPr>
            <w:tcW w:w="709" w:type="dxa"/>
            <w:vAlign w:val="center"/>
          </w:tcPr>
          <w:p w:rsidR="00BA1532" w:rsidRPr="00022980" w:rsidRDefault="00BA1532" w:rsidP="005277C1">
            <w:pPr>
              <w:rPr>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49</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3 408</w:t>
            </w:r>
          </w:p>
        </w:tc>
        <w:tc>
          <w:tcPr>
            <w:tcW w:w="1000" w:type="dxa"/>
            <w:shd w:val="clear" w:color="auto" w:fill="auto"/>
            <w:noWrap/>
            <w:vAlign w:val="center"/>
          </w:tcPr>
          <w:p w:rsidR="00BA1532" w:rsidRPr="00022980" w:rsidRDefault="00BA1532" w:rsidP="005277C1">
            <w:pPr>
              <w:rPr>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color w:val="000000"/>
                <w:sz w:val="20"/>
                <w:szCs w:val="20"/>
              </w:rPr>
            </w:pPr>
            <w:r>
              <w:rPr>
                <w:sz w:val="20"/>
                <w:szCs w:val="20"/>
              </w:rPr>
              <w:t>3 408</w:t>
            </w:r>
          </w:p>
        </w:tc>
        <w:tc>
          <w:tcPr>
            <w:tcW w:w="1134" w:type="dxa"/>
            <w:vAlign w:val="center"/>
          </w:tcPr>
          <w:p w:rsidR="00BA1532" w:rsidRPr="00022980" w:rsidRDefault="00BA1532" w:rsidP="005277C1">
            <w:pPr>
              <w:rPr>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6</w:t>
            </w:r>
          </w:p>
        </w:tc>
        <w:tc>
          <w:tcPr>
            <w:tcW w:w="1740" w:type="dxa"/>
            <w:shd w:val="clear" w:color="auto" w:fill="auto"/>
            <w:vAlign w:val="center"/>
          </w:tcPr>
          <w:p w:rsidR="00BA1532" w:rsidRPr="00022980" w:rsidRDefault="00BA1532" w:rsidP="005277C1">
            <w:pPr>
              <w:rPr>
                <w:sz w:val="20"/>
                <w:szCs w:val="20"/>
              </w:rPr>
            </w:pPr>
            <w:r>
              <w:rPr>
                <w:color w:val="000000"/>
                <w:sz w:val="20"/>
                <w:szCs w:val="20"/>
              </w:rPr>
              <w:t>Vedenie evidencie</w:t>
            </w:r>
          </w:p>
        </w:tc>
        <w:tc>
          <w:tcPr>
            <w:tcW w:w="992" w:type="dxa"/>
            <w:vAlign w:val="center"/>
          </w:tcPr>
          <w:p w:rsidR="00BA1532" w:rsidRPr="00022980" w:rsidRDefault="00BA1532" w:rsidP="005277C1">
            <w:pPr>
              <w:rPr>
                <w:sz w:val="20"/>
                <w:szCs w:val="20"/>
              </w:rPr>
            </w:pPr>
            <w:r>
              <w:rPr>
                <w:color w:val="000000"/>
                <w:sz w:val="20"/>
                <w:szCs w:val="20"/>
              </w:rPr>
              <w:t>zákon č. 106/2004 Z. z.</w:t>
            </w:r>
          </w:p>
        </w:tc>
        <w:tc>
          <w:tcPr>
            <w:tcW w:w="1342" w:type="dxa"/>
            <w:vAlign w:val="center"/>
          </w:tcPr>
          <w:p w:rsidR="00BA1532" w:rsidRPr="00022980" w:rsidRDefault="00BA1532" w:rsidP="005277C1">
            <w:pPr>
              <w:rPr>
                <w:sz w:val="20"/>
                <w:szCs w:val="20"/>
              </w:rPr>
            </w:pPr>
            <w:r>
              <w:rPr>
                <w:color w:val="000000"/>
                <w:sz w:val="20"/>
                <w:szCs w:val="20"/>
              </w:rPr>
              <w:t>§ 19ab ods. 45</w:t>
            </w:r>
          </w:p>
        </w:tc>
        <w:tc>
          <w:tcPr>
            <w:tcW w:w="1635" w:type="dxa"/>
            <w:shd w:val="clear" w:color="auto" w:fill="auto"/>
            <w:vAlign w:val="center"/>
          </w:tcPr>
          <w:p w:rsidR="00BA1532" w:rsidRPr="00022980" w:rsidDel="00801596"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držitelia povolenia na distribúciu výrobku súvisiaceho s tabakovými výrobkami</w:t>
            </w:r>
          </w:p>
        </w:tc>
        <w:tc>
          <w:tcPr>
            <w:tcW w:w="709" w:type="dxa"/>
            <w:vAlign w:val="center"/>
          </w:tcPr>
          <w:p w:rsidR="00BA1532" w:rsidRPr="00022980" w:rsidRDefault="00BA1532" w:rsidP="005277C1">
            <w:pPr>
              <w:rPr>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73</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5 113</w:t>
            </w:r>
          </w:p>
        </w:tc>
        <w:tc>
          <w:tcPr>
            <w:tcW w:w="1000" w:type="dxa"/>
            <w:shd w:val="clear" w:color="auto" w:fill="auto"/>
            <w:noWrap/>
            <w:vAlign w:val="center"/>
          </w:tcPr>
          <w:p w:rsidR="00BA1532" w:rsidRPr="00022980" w:rsidRDefault="00BA1532" w:rsidP="005277C1">
            <w:pPr>
              <w:rPr>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color w:val="000000"/>
                <w:sz w:val="20"/>
                <w:szCs w:val="20"/>
              </w:rPr>
            </w:pPr>
            <w:r>
              <w:rPr>
                <w:sz w:val="20"/>
                <w:szCs w:val="20"/>
              </w:rPr>
              <w:t>5 113</w:t>
            </w:r>
          </w:p>
        </w:tc>
        <w:tc>
          <w:tcPr>
            <w:tcW w:w="1134" w:type="dxa"/>
            <w:vAlign w:val="center"/>
          </w:tcPr>
          <w:p w:rsidR="00BA1532" w:rsidRPr="00022980" w:rsidRDefault="00BA1532" w:rsidP="005277C1">
            <w:pPr>
              <w:rPr>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7</w:t>
            </w:r>
          </w:p>
        </w:tc>
        <w:tc>
          <w:tcPr>
            <w:tcW w:w="1740" w:type="dxa"/>
            <w:shd w:val="clear" w:color="auto" w:fill="auto"/>
            <w:vAlign w:val="center"/>
          </w:tcPr>
          <w:p w:rsidR="00BA1532" w:rsidRPr="00022980" w:rsidRDefault="00BA1532" w:rsidP="005277C1">
            <w:pPr>
              <w:rPr>
                <w:sz w:val="20"/>
                <w:szCs w:val="20"/>
              </w:rPr>
            </w:pPr>
            <w:r>
              <w:rPr>
                <w:color w:val="000000"/>
                <w:sz w:val="20"/>
                <w:szCs w:val="20"/>
              </w:rPr>
              <w:t>Povinnosť označovať výrobok súvisiaci s tabakovými výrobkami kontrolnou známkou</w:t>
            </w:r>
          </w:p>
        </w:tc>
        <w:tc>
          <w:tcPr>
            <w:tcW w:w="992" w:type="dxa"/>
            <w:vAlign w:val="center"/>
          </w:tcPr>
          <w:p w:rsidR="00BA1532" w:rsidRPr="00022980" w:rsidRDefault="00BA1532" w:rsidP="005277C1">
            <w:pPr>
              <w:rPr>
                <w:sz w:val="20"/>
                <w:szCs w:val="20"/>
              </w:rPr>
            </w:pPr>
            <w:r>
              <w:rPr>
                <w:color w:val="000000"/>
                <w:sz w:val="20"/>
                <w:szCs w:val="20"/>
              </w:rPr>
              <w:t>zákon č. 106/2004 Z. z.</w:t>
            </w:r>
          </w:p>
        </w:tc>
        <w:tc>
          <w:tcPr>
            <w:tcW w:w="1342" w:type="dxa"/>
            <w:vAlign w:val="center"/>
          </w:tcPr>
          <w:p w:rsidR="00BA1532" w:rsidRPr="00022980" w:rsidRDefault="00BA1532" w:rsidP="005277C1">
            <w:pPr>
              <w:rPr>
                <w:sz w:val="20"/>
                <w:szCs w:val="20"/>
              </w:rPr>
            </w:pPr>
            <w:r>
              <w:rPr>
                <w:color w:val="000000"/>
                <w:sz w:val="20"/>
                <w:szCs w:val="20"/>
              </w:rPr>
              <w:t>§ 19ab ods. 47</w:t>
            </w:r>
          </w:p>
        </w:tc>
        <w:tc>
          <w:tcPr>
            <w:tcW w:w="1635" w:type="dxa"/>
            <w:shd w:val="clear" w:color="auto" w:fill="auto"/>
            <w:vAlign w:val="center"/>
          </w:tcPr>
          <w:p w:rsidR="00BA1532" w:rsidRPr="00022980" w:rsidDel="00801596"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1.2.22025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držitelia povolenia na distribúciu výrobku súvisiaceho s tabakovými výrobkami</w:t>
            </w:r>
          </w:p>
        </w:tc>
        <w:tc>
          <w:tcPr>
            <w:tcW w:w="709" w:type="dxa"/>
            <w:vAlign w:val="center"/>
          </w:tcPr>
          <w:p w:rsidR="00BA1532" w:rsidRPr="00022980" w:rsidRDefault="00BA1532" w:rsidP="005277C1">
            <w:pPr>
              <w:rPr>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85,2096875</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5964,678125</w:t>
            </w:r>
          </w:p>
        </w:tc>
        <w:tc>
          <w:tcPr>
            <w:tcW w:w="1000" w:type="dxa"/>
            <w:shd w:val="clear" w:color="auto" w:fill="auto"/>
            <w:noWrap/>
            <w:vAlign w:val="center"/>
          </w:tcPr>
          <w:p w:rsidR="00BA1532" w:rsidRPr="00022980" w:rsidRDefault="00BA1532" w:rsidP="005277C1">
            <w:pPr>
              <w:rPr>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color w:val="000000"/>
                <w:sz w:val="20"/>
                <w:szCs w:val="20"/>
              </w:rPr>
            </w:pPr>
            <w:r>
              <w:rPr>
                <w:color w:val="000000"/>
                <w:sz w:val="20"/>
                <w:szCs w:val="20"/>
              </w:rPr>
              <w:t>5964,678125</w:t>
            </w:r>
          </w:p>
        </w:tc>
        <w:tc>
          <w:tcPr>
            <w:tcW w:w="1134" w:type="dxa"/>
            <w:vAlign w:val="center"/>
          </w:tcPr>
          <w:p w:rsidR="00BA1532" w:rsidRPr="00022980" w:rsidRDefault="00BA1532" w:rsidP="005277C1">
            <w:pPr>
              <w:rPr>
                <w:sz w:val="20"/>
                <w:szCs w:val="20"/>
              </w:rPr>
            </w:pPr>
            <w:r>
              <w:rPr>
                <w:color w:val="000000"/>
                <w:sz w:val="20"/>
                <w:szCs w:val="20"/>
              </w:rPr>
              <w:t>0</w:t>
            </w:r>
          </w:p>
        </w:tc>
        <w:bookmarkStart w:id="1" w:name="_GoBack"/>
        <w:bookmarkEnd w:id="1"/>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8</w:t>
            </w:r>
          </w:p>
        </w:tc>
        <w:tc>
          <w:tcPr>
            <w:tcW w:w="1740" w:type="dxa"/>
            <w:shd w:val="clear" w:color="auto" w:fill="auto"/>
            <w:vAlign w:val="center"/>
          </w:tcPr>
          <w:p w:rsidR="00BA1532" w:rsidRPr="00022980" w:rsidRDefault="00BA1532" w:rsidP="005277C1">
            <w:pPr>
              <w:rPr>
                <w:sz w:val="20"/>
                <w:szCs w:val="20"/>
              </w:rPr>
            </w:pPr>
            <w:r>
              <w:rPr>
                <w:color w:val="000000"/>
                <w:sz w:val="20"/>
                <w:szCs w:val="20"/>
              </w:rPr>
              <w:t>Oboznámenie sa s novými povinnosťami - obchodník a distribútor</w:t>
            </w:r>
          </w:p>
        </w:tc>
        <w:tc>
          <w:tcPr>
            <w:tcW w:w="992" w:type="dxa"/>
            <w:vAlign w:val="center"/>
          </w:tcPr>
          <w:p w:rsidR="00BA1532" w:rsidRPr="00022980" w:rsidRDefault="00BA1532" w:rsidP="005277C1">
            <w:pPr>
              <w:rPr>
                <w:sz w:val="20"/>
                <w:szCs w:val="20"/>
              </w:rPr>
            </w:pPr>
            <w:r>
              <w:rPr>
                <w:color w:val="000000"/>
                <w:sz w:val="20"/>
                <w:szCs w:val="20"/>
              </w:rPr>
              <w:t>zákon č. 106/2004 Z. z.</w:t>
            </w:r>
          </w:p>
        </w:tc>
        <w:tc>
          <w:tcPr>
            <w:tcW w:w="1342" w:type="dxa"/>
            <w:vAlign w:val="center"/>
          </w:tcPr>
          <w:p w:rsidR="00BA1532" w:rsidRPr="00022980" w:rsidRDefault="00BA1532" w:rsidP="005277C1">
            <w:pPr>
              <w:rPr>
                <w:sz w:val="20"/>
                <w:szCs w:val="20"/>
              </w:rPr>
            </w:pPr>
            <w:r>
              <w:rPr>
                <w:color w:val="000000"/>
                <w:sz w:val="20"/>
                <w:szCs w:val="20"/>
              </w:rPr>
              <w:t>§ 1</w:t>
            </w:r>
          </w:p>
        </w:tc>
        <w:tc>
          <w:tcPr>
            <w:tcW w:w="1635" w:type="dxa"/>
            <w:shd w:val="clear" w:color="auto" w:fill="auto"/>
            <w:vAlign w:val="center"/>
          </w:tcPr>
          <w:p w:rsidR="00BA1532" w:rsidRPr="00022980" w:rsidDel="00801596"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podnikateľské subjekty, ktorých sa týka obchodovanie alebo distribúcia s bezdymovým tabakovým výrobkom alebo s výrobkom súvisiacim s tabakovými výrobkami</w:t>
            </w:r>
          </w:p>
        </w:tc>
        <w:tc>
          <w:tcPr>
            <w:tcW w:w="709" w:type="dxa"/>
            <w:vAlign w:val="center"/>
          </w:tcPr>
          <w:p w:rsidR="00BA1532" w:rsidRPr="00022980" w:rsidRDefault="00BA1532" w:rsidP="005277C1">
            <w:pPr>
              <w:rPr>
                <w:sz w:val="20"/>
                <w:szCs w:val="20"/>
              </w:rPr>
            </w:pPr>
            <w:r>
              <w:rPr>
                <w:color w:val="000000"/>
                <w:sz w:val="20"/>
                <w:szCs w:val="20"/>
              </w:rPr>
              <w:t xml:space="preserve">             450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55</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24 650</w:t>
            </w:r>
          </w:p>
        </w:tc>
        <w:tc>
          <w:tcPr>
            <w:tcW w:w="1000" w:type="dxa"/>
            <w:shd w:val="clear" w:color="auto" w:fill="auto"/>
            <w:noWrap/>
            <w:vAlign w:val="center"/>
          </w:tcPr>
          <w:p w:rsidR="00BA1532" w:rsidRPr="00022980" w:rsidRDefault="00BA1532" w:rsidP="005277C1">
            <w:pPr>
              <w:rPr>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color w:val="000000"/>
                <w:sz w:val="20"/>
                <w:szCs w:val="20"/>
              </w:rPr>
            </w:pPr>
            <w:r>
              <w:rPr>
                <w:sz w:val="20"/>
                <w:szCs w:val="20"/>
              </w:rPr>
              <w:t>24 650</w:t>
            </w:r>
          </w:p>
        </w:tc>
        <w:tc>
          <w:tcPr>
            <w:tcW w:w="1134" w:type="dxa"/>
            <w:vAlign w:val="center"/>
          </w:tcPr>
          <w:p w:rsidR="00BA1532" w:rsidRPr="00022980" w:rsidRDefault="00BA1532" w:rsidP="005277C1">
            <w:pPr>
              <w:rPr>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sz w:val="20"/>
                <w:szCs w:val="20"/>
              </w:rPr>
            </w:pPr>
            <w:r>
              <w:rPr>
                <w:color w:val="000000"/>
                <w:sz w:val="20"/>
                <w:szCs w:val="20"/>
              </w:rPr>
              <w:t>9</w:t>
            </w:r>
          </w:p>
        </w:tc>
        <w:tc>
          <w:tcPr>
            <w:tcW w:w="1740" w:type="dxa"/>
            <w:shd w:val="clear" w:color="auto" w:fill="auto"/>
            <w:vAlign w:val="center"/>
          </w:tcPr>
          <w:p w:rsidR="00BA1532" w:rsidRPr="00022980" w:rsidRDefault="00BA1532" w:rsidP="005277C1">
            <w:pPr>
              <w:rPr>
                <w:sz w:val="20"/>
                <w:szCs w:val="20"/>
              </w:rPr>
            </w:pPr>
            <w:r>
              <w:rPr>
                <w:color w:val="000000"/>
                <w:sz w:val="20"/>
                <w:szCs w:val="20"/>
              </w:rPr>
              <w:t xml:space="preserve">Žiadosť o vydanie povolenia na prijatie a dovoz bezdymového </w:t>
            </w:r>
            <w:r>
              <w:rPr>
                <w:color w:val="000000"/>
                <w:sz w:val="20"/>
                <w:szCs w:val="20"/>
              </w:rPr>
              <w:lastRenderedPageBreak/>
              <w:t>tabakového výrobku</w:t>
            </w:r>
          </w:p>
        </w:tc>
        <w:tc>
          <w:tcPr>
            <w:tcW w:w="992" w:type="dxa"/>
            <w:vAlign w:val="center"/>
          </w:tcPr>
          <w:p w:rsidR="00BA1532" w:rsidRPr="00022980" w:rsidRDefault="00BA1532" w:rsidP="005277C1">
            <w:pPr>
              <w:rPr>
                <w:sz w:val="20"/>
                <w:szCs w:val="20"/>
              </w:rPr>
            </w:pPr>
            <w:r>
              <w:rPr>
                <w:color w:val="000000"/>
                <w:sz w:val="20"/>
                <w:szCs w:val="20"/>
              </w:rPr>
              <w:lastRenderedPageBreak/>
              <w:t>zákon č. 106/2004 Z. z.</w:t>
            </w:r>
          </w:p>
        </w:tc>
        <w:tc>
          <w:tcPr>
            <w:tcW w:w="1342" w:type="dxa"/>
            <w:vAlign w:val="center"/>
          </w:tcPr>
          <w:p w:rsidR="00BA1532" w:rsidRPr="00022980" w:rsidRDefault="00BA1532" w:rsidP="005277C1">
            <w:pPr>
              <w:rPr>
                <w:sz w:val="20"/>
                <w:szCs w:val="20"/>
              </w:rPr>
            </w:pPr>
            <w:r>
              <w:rPr>
                <w:color w:val="000000"/>
                <w:sz w:val="20"/>
                <w:szCs w:val="20"/>
              </w:rPr>
              <w:t>§ 19aa ods. 8</w:t>
            </w:r>
          </w:p>
        </w:tc>
        <w:tc>
          <w:tcPr>
            <w:tcW w:w="1635" w:type="dxa"/>
            <w:shd w:val="clear" w:color="auto" w:fill="auto"/>
            <w:vAlign w:val="center"/>
          </w:tcPr>
          <w:p w:rsidR="00BA1532" w:rsidRPr="00022980" w:rsidDel="00801596" w:rsidRDefault="00BA1532" w:rsidP="005277C1">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 xml:space="preserve">podnikateľské subjekty obchodujúce s bezdymovým </w:t>
            </w:r>
            <w:r>
              <w:rPr>
                <w:color w:val="000000"/>
                <w:sz w:val="20"/>
                <w:szCs w:val="20"/>
              </w:rPr>
              <w:lastRenderedPageBreak/>
              <w:t>tabakovým výrobkom</w:t>
            </w:r>
          </w:p>
        </w:tc>
        <w:tc>
          <w:tcPr>
            <w:tcW w:w="709" w:type="dxa"/>
            <w:vAlign w:val="center"/>
          </w:tcPr>
          <w:p w:rsidR="00BA1532" w:rsidRPr="00022980" w:rsidRDefault="00BA1532" w:rsidP="005277C1">
            <w:pPr>
              <w:rPr>
                <w:sz w:val="20"/>
                <w:szCs w:val="20"/>
              </w:rPr>
            </w:pPr>
            <w:r>
              <w:rPr>
                <w:color w:val="000000"/>
                <w:sz w:val="20"/>
                <w:szCs w:val="20"/>
              </w:rPr>
              <w:lastRenderedPageBreak/>
              <w:t xml:space="preserve">                  1 </w:t>
            </w:r>
          </w:p>
        </w:tc>
        <w:tc>
          <w:tcPr>
            <w:tcW w:w="992" w:type="dxa"/>
            <w:shd w:val="clear" w:color="auto" w:fill="auto"/>
            <w:noWrap/>
            <w:vAlign w:val="center"/>
          </w:tcPr>
          <w:p w:rsidR="00BA1532" w:rsidRPr="00022980" w:rsidRDefault="00BA1532" w:rsidP="005277C1">
            <w:pPr>
              <w:rPr>
                <w:sz w:val="20"/>
                <w:szCs w:val="20"/>
              </w:rPr>
            </w:pPr>
            <w:r>
              <w:rPr>
                <w:color w:val="000000"/>
                <w:sz w:val="20"/>
                <w:szCs w:val="20"/>
              </w:rPr>
              <w:t>584</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584</w:t>
            </w:r>
          </w:p>
        </w:tc>
        <w:tc>
          <w:tcPr>
            <w:tcW w:w="1000" w:type="dxa"/>
            <w:shd w:val="clear" w:color="auto" w:fill="auto"/>
            <w:noWrap/>
            <w:vAlign w:val="center"/>
          </w:tcPr>
          <w:p w:rsidR="00BA1532" w:rsidRPr="00022980" w:rsidRDefault="00BA1532" w:rsidP="005277C1">
            <w:pPr>
              <w:rPr>
                <w:sz w:val="20"/>
                <w:szCs w:val="20"/>
              </w:rPr>
            </w:pPr>
            <w:proofErr w:type="spellStart"/>
            <w:r>
              <w:rPr>
                <w:color w:val="000000"/>
                <w:sz w:val="20"/>
                <w:szCs w:val="20"/>
              </w:rPr>
              <w:t>Out</w:t>
            </w:r>
            <w:proofErr w:type="spellEnd"/>
            <w:r>
              <w:rPr>
                <w:color w:val="000000"/>
                <w:sz w:val="20"/>
                <w:szCs w:val="20"/>
              </w:rPr>
              <w:t xml:space="preserve"> (znižuje náklady)</w:t>
            </w:r>
          </w:p>
        </w:tc>
        <w:tc>
          <w:tcPr>
            <w:tcW w:w="708" w:type="dxa"/>
            <w:shd w:val="clear" w:color="auto" w:fill="auto"/>
            <w:noWrap/>
            <w:vAlign w:val="center"/>
          </w:tcPr>
          <w:p w:rsidR="00BA1532" w:rsidRPr="00022980" w:rsidRDefault="00BA1532" w:rsidP="005277C1">
            <w:pPr>
              <w:rPr>
                <w:color w:val="000000"/>
                <w:sz w:val="20"/>
                <w:szCs w:val="20"/>
              </w:rPr>
            </w:pPr>
            <w:r>
              <w:rPr>
                <w:sz w:val="20"/>
                <w:szCs w:val="20"/>
              </w:rPr>
              <w:t>584</w:t>
            </w:r>
          </w:p>
        </w:tc>
        <w:tc>
          <w:tcPr>
            <w:tcW w:w="1134" w:type="dxa"/>
            <w:vAlign w:val="center"/>
          </w:tcPr>
          <w:p w:rsidR="00BA1532" w:rsidRPr="00022980" w:rsidRDefault="00BA1532" w:rsidP="005277C1">
            <w:pPr>
              <w:rPr>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10</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Daňové priznanie platiteľa podľa § 19aa ods. 30</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19aa ods. 31</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platitelia dane podľa § 19aa ods. 28</w:t>
            </w:r>
          </w:p>
        </w:tc>
        <w:tc>
          <w:tcPr>
            <w:tcW w:w="709" w:type="dxa"/>
            <w:vAlign w:val="center"/>
          </w:tcPr>
          <w:p w:rsidR="00BA1532" w:rsidRPr="00022980" w:rsidRDefault="00BA1532" w:rsidP="005277C1">
            <w:pPr>
              <w:rPr>
                <w:color w:val="000000"/>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49</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3 408</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3 408</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11</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Vedenie evidencie - žuvací tabak a šnupavý tabak</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19aa ods. 45</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držitelia povolenia na distribúciu - žuvací tabak a šnupavý tabak</w:t>
            </w:r>
          </w:p>
        </w:tc>
        <w:tc>
          <w:tcPr>
            <w:tcW w:w="709" w:type="dxa"/>
            <w:vAlign w:val="center"/>
          </w:tcPr>
          <w:p w:rsidR="00BA1532" w:rsidRPr="00022980" w:rsidRDefault="00BA1532" w:rsidP="005277C1">
            <w:pPr>
              <w:rPr>
                <w:color w:val="000000"/>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73</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5 113</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5 113</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12</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Povinnosť označovať bezdymový tabakový výrobok kontrolnou známkou - žuvací tabak a šnupavý tabak</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19aa ods. 42</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držitelia povolenia na distribúciu bezdymového tabakového výrobku - žuvací tabak a šnupavý tabak</w:t>
            </w:r>
          </w:p>
        </w:tc>
        <w:tc>
          <w:tcPr>
            <w:tcW w:w="709" w:type="dxa"/>
            <w:vAlign w:val="center"/>
          </w:tcPr>
          <w:p w:rsidR="00BA1532" w:rsidRPr="00022980" w:rsidRDefault="00BA1532" w:rsidP="005277C1">
            <w:pPr>
              <w:rPr>
                <w:color w:val="000000"/>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85</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5 965</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5 965</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13</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Oznamovacia povinnosť pred každým prijatím bezdymového tabakového výrobku - žuvací tabak a šnupavý tabak</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19aa ods. 26</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držitelia povolenia na distribúciu bezdymového tabakového výrobku - žuvací tabak a šnupavý tabak</w:t>
            </w:r>
          </w:p>
        </w:tc>
        <w:tc>
          <w:tcPr>
            <w:tcW w:w="709" w:type="dxa"/>
            <w:vAlign w:val="center"/>
          </w:tcPr>
          <w:p w:rsidR="00BA1532" w:rsidRPr="00022980" w:rsidRDefault="00BA1532" w:rsidP="005277C1">
            <w:pPr>
              <w:rPr>
                <w:color w:val="000000"/>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6</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426</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426</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14</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Oznamovacia povinnosť pred každým prijatím výrobku súvisiaceho s tabakovými výrobkami</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19ab ods. 28</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Pr="00022980"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držitelia povolenia na distribúciu výrobku súvisiaceho s tabakovými výrobkami</w:t>
            </w:r>
          </w:p>
        </w:tc>
        <w:tc>
          <w:tcPr>
            <w:tcW w:w="709" w:type="dxa"/>
            <w:vAlign w:val="center"/>
          </w:tcPr>
          <w:p w:rsidR="00BA1532" w:rsidRPr="00022980" w:rsidRDefault="00BA1532" w:rsidP="005277C1">
            <w:pPr>
              <w:rPr>
                <w:color w:val="000000"/>
                <w:sz w:val="20"/>
                <w:szCs w:val="20"/>
              </w:rPr>
            </w:pPr>
            <w:r>
              <w:rPr>
                <w:color w:val="000000"/>
                <w:sz w:val="20"/>
                <w:szCs w:val="20"/>
              </w:rPr>
              <w:t xml:space="preserve">                70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6</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426</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426</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15</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Oznamovacia povinnosť obchodníka - prevádzkareň</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19aa ods. 12 písm. a)</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 xml:space="preserve">podnikateľské subjekty, ktorých sa týka obchodovanie </w:t>
            </w:r>
            <w:r>
              <w:rPr>
                <w:color w:val="000000"/>
                <w:sz w:val="20"/>
                <w:szCs w:val="20"/>
              </w:rPr>
              <w:lastRenderedPageBreak/>
              <w:t>s bezdymovým tabakovým výrobkom</w:t>
            </w:r>
          </w:p>
        </w:tc>
        <w:tc>
          <w:tcPr>
            <w:tcW w:w="709" w:type="dxa"/>
            <w:vAlign w:val="center"/>
          </w:tcPr>
          <w:p w:rsidR="00BA1532" w:rsidRPr="00022980" w:rsidRDefault="00BA1532" w:rsidP="005277C1">
            <w:pPr>
              <w:rPr>
                <w:color w:val="000000"/>
                <w:sz w:val="20"/>
                <w:szCs w:val="20"/>
              </w:rPr>
            </w:pPr>
            <w:r>
              <w:rPr>
                <w:color w:val="000000"/>
                <w:sz w:val="20"/>
                <w:szCs w:val="20"/>
              </w:rPr>
              <w:lastRenderedPageBreak/>
              <w:t xml:space="preserve">                23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6</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140</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140</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16</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Evidencia dodaného a predaného ITV</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19ab ods. 13 písm. e)</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podnikateľské subjekty, ktorých sa týka obchodovanie s výrobkom súvisiacim s TV</w:t>
            </w:r>
          </w:p>
        </w:tc>
        <w:tc>
          <w:tcPr>
            <w:tcW w:w="709" w:type="dxa"/>
            <w:vAlign w:val="center"/>
          </w:tcPr>
          <w:p w:rsidR="00BA1532" w:rsidRPr="00022980" w:rsidRDefault="00BA1532" w:rsidP="005277C1">
            <w:pPr>
              <w:rPr>
                <w:color w:val="000000"/>
                <w:sz w:val="20"/>
                <w:szCs w:val="20"/>
              </w:rPr>
            </w:pPr>
            <w:r>
              <w:rPr>
                <w:color w:val="000000"/>
                <w:sz w:val="20"/>
                <w:szCs w:val="20"/>
              </w:rPr>
              <w:t xml:space="preserve">             450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6</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2 739</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2 739</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17</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Evidencia dodaného a predaného BTV</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xml:space="preserve">§ 19aa ods. 12 písm. e) </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podnikateľské subjekty, ktorých sa týka obchodovanie s bezdymovým tabakovým výrobkom</w:t>
            </w:r>
          </w:p>
        </w:tc>
        <w:tc>
          <w:tcPr>
            <w:tcW w:w="709" w:type="dxa"/>
            <w:vAlign w:val="center"/>
          </w:tcPr>
          <w:p w:rsidR="00BA1532" w:rsidRPr="00022980" w:rsidRDefault="00BA1532" w:rsidP="005277C1">
            <w:pPr>
              <w:rPr>
                <w:color w:val="000000"/>
                <w:sz w:val="20"/>
                <w:szCs w:val="20"/>
              </w:rPr>
            </w:pPr>
            <w:r>
              <w:rPr>
                <w:color w:val="000000"/>
                <w:sz w:val="20"/>
                <w:szCs w:val="20"/>
              </w:rPr>
              <w:t xml:space="preserve">             450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6</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2 739</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2 739</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r w:rsidR="00BA1532" w:rsidRPr="00895898" w:rsidTr="00527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BA1532" w:rsidRPr="00022980" w:rsidRDefault="00BA1532" w:rsidP="005277C1">
            <w:pPr>
              <w:rPr>
                <w:color w:val="000000"/>
                <w:sz w:val="20"/>
                <w:szCs w:val="20"/>
              </w:rPr>
            </w:pPr>
            <w:r>
              <w:rPr>
                <w:color w:val="000000"/>
                <w:sz w:val="20"/>
                <w:szCs w:val="20"/>
              </w:rPr>
              <w:t>18</w:t>
            </w:r>
          </w:p>
        </w:tc>
        <w:tc>
          <w:tcPr>
            <w:tcW w:w="1740" w:type="dxa"/>
            <w:shd w:val="clear" w:color="auto" w:fill="auto"/>
            <w:vAlign w:val="center"/>
          </w:tcPr>
          <w:p w:rsidR="00BA1532" w:rsidRPr="00022980" w:rsidRDefault="00BA1532" w:rsidP="005277C1">
            <w:pPr>
              <w:rPr>
                <w:color w:val="000000"/>
                <w:sz w:val="20"/>
                <w:szCs w:val="20"/>
              </w:rPr>
            </w:pPr>
            <w:r>
              <w:rPr>
                <w:color w:val="000000"/>
                <w:sz w:val="20"/>
                <w:szCs w:val="20"/>
              </w:rPr>
              <w:t>Oznamovacia povinnosť obchodníka - prevádzkareň a zoznam dodávateľov</w:t>
            </w:r>
          </w:p>
        </w:tc>
        <w:tc>
          <w:tcPr>
            <w:tcW w:w="992" w:type="dxa"/>
            <w:vAlign w:val="center"/>
          </w:tcPr>
          <w:p w:rsidR="00BA1532" w:rsidRPr="00022980" w:rsidRDefault="00BA1532" w:rsidP="005277C1">
            <w:pPr>
              <w:rPr>
                <w:color w:val="000000"/>
                <w:sz w:val="20"/>
                <w:szCs w:val="20"/>
              </w:rPr>
            </w:pPr>
            <w:r>
              <w:rPr>
                <w:color w:val="000000"/>
                <w:sz w:val="20"/>
                <w:szCs w:val="20"/>
              </w:rPr>
              <w:t>zákon č. 106/2004 Z. z.</w:t>
            </w:r>
          </w:p>
        </w:tc>
        <w:tc>
          <w:tcPr>
            <w:tcW w:w="1342" w:type="dxa"/>
            <w:vAlign w:val="center"/>
          </w:tcPr>
          <w:p w:rsidR="00BA1532" w:rsidRPr="00022980" w:rsidRDefault="00BA1532" w:rsidP="005277C1">
            <w:pPr>
              <w:rPr>
                <w:color w:val="000000"/>
                <w:sz w:val="20"/>
                <w:szCs w:val="20"/>
              </w:rPr>
            </w:pPr>
            <w:r>
              <w:rPr>
                <w:color w:val="000000"/>
                <w:sz w:val="20"/>
                <w:szCs w:val="20"/>
              </w:rPr>
              <w:t>§ 19ab ods. 13 písm. a)</w:t>
            </w:r>
          </w:p>
        </w:tc>
        <w:tc>
          <w:tcPr>
            <w:tcW w:w="1635" w:type="dxa"/>
            <w:shd w:val="clear" w:color="auto" w:fill="auto"/>
            <w:vAlign w:val="center"/>
          </w:tcPr>
          <w:p w:rsidR="00BA1532" w:rsidRPr="00022980" w:rsidRDefault="00BA1532" w:rsidP="005277C1">
            <w:pPr>
              <w:pStyle w:val="gmail-m-1648484718305530482msolistparagraph"/>
              <w:spacing w:before="0" w:beforeAutospacing="0" w:after="0" w:afterAutospacing="0"/>
              <w:jc w:val="both"/>
              <w:rPr>
                <w:rFonts w:ascii="Times New Roman" w:hAnsi="Times New Roman" w:cs="Times New Roman"/>
                <w:color w:val="000000"/>
                <w:sz w:val="20"/>
                <w:szCs w:val="20"/>
              </w:rPr>
            </w:pPr>
            <w:r>
              <w:rPr>
                <w:color w:val="000000"/>
                <w:sz w:val="20"/>
                <w:szCs w:val="20"/>
              </w:rPr>
              <w:t>1.SK</w:t>
            </w:r>
          </w:p>
        </w:tc>
        <w:tc>
          <w:tcPr>
            <w:tcW w:w="992" w:type="dxa"/>
            <w:vAlign w:val="center"/>
          </w:tcPr>
          <w:p w:rsidR="00BA1532" w:rsidRDefault="00BA1532" w:rsidP="005277C1">
            <w:pPr>
              <w:rPr>
                <w:color w:val="000000"/>
                <w:sz w:val="20"/>
                <w:szCs w:val="20"/>
              </w:rPr>
            </w:pPr>
            <w:r>
              <w:rPr>
                <w:color w:val="000000"/>
                <w:sz w:val="20"/>
                <w:szCs w:val="20"/>
              </w:rPr>
              <w:t>01.02.25</w:t>
            </w:r>
          </w:p>
        </w:tc>
        <w:tc>
          <w:tcPr>
            <w:tcW w:w="1342" w:type="dxa"/>
            <w:shd w:val="clear" w:color="auto" w:fill="auto"/>
            <w:noWrap/>
            <w:vAlign w:val="center"/>
          </w:tcPr>
          <w:p w:rsidR="00BA1532" w:rsidRPr="00022980" w:rsidRDefault="00BA1532" w:rsidP="005277C1">
            <w:pPr>
              <w:rPr>
                <w:color w:val="000000"/>
                <w:sz w:val="20"/>
                <w:szCs w:val="20"/>
              </w:rPr>
            </w:pPr>
            <w:r>
              <w:rPr>
                <w:color w:val="000000"/>
                <w:sz w:val="20"/>
                <w:szCs w:val="20"/>
              </w:rPr>
              <w:t>podnikateľské subjekty, ktorých sa týka obchodovanie s výrobkom súvisiacim s TV</w:t>
            </w:r>
          </w:p>
        </w:tc>
        <w:tc>
          <w:tcPr>
            <w:tcW w:w="709" w:type="dxa"/>
            <w:vAlign w:val="center"/>
          </w:tcPr>
          <w:p w:rsidR="00BA1532" w:rsidRPr="00022980" w:rsidRDefault="00BA1532" w:rsidP="005277C1">
            <w:pPr>
              <w:rPr>
                <w:color w:val="000000"/>
                <w:sz w:val="20"/>
                <w:szCs w:val="20"/>
              </w:rPr>
            </w:pPr>
            <w:r>
              <w:rPr>
                <w:color w:val="000000"/>
                <w:sz w:val="20"/>
                <w:szCs w:val="20"/>
              </w:rPr>
              <w:t xml:space="preserve">                23 </w:t>
            </w:r>
          </w:p>
        </w:tc>
        <w:tc>
          <w:tcPr>
            <w:tcW w:w="992" w:type="dxa"/>
            <w:shd w:val="clear" w:color="auto" w:fill="auto"/>
            <w:noWrap/>
            <w:vAlign w:val="center"/>
          </w:tcPr>
          <w:p w:rsidR="00BA1532" w:rsidRPr="00022980" w:rsidRDefault="00BA1532" w:rsidP="005277C1">
            <w:pPr>
              <w:rPr>
                <w:color w:val="000000"/>
                <w:sz w:val="20"/>
                <w:szCs w:val="20"/>
              </w:rPr>
            </w:pPr>
            <w:r>
              <w:rPr>
                <w:color w:val="000000"/>
                <w:sz w:val="20"/>
                <w:szCs w:val="20"/>
              </w:rPr>
              <w:t>6</w:t>
            </w:r>
          </w:p>
        </w:tc>
        <w:tc>
          <w:tcPr>
            <w:tcW w:w="919" w:type="dxa"/>
            <w:shd w:val="clear" w:color="auto" w:fill="auto"/>
            <w:noWrap/>
            <w:vAlign w:val="center"/>
          </w:tcPr>
          <w:p w:rsidR="00BA1532" w:rsidRPr="00022980" w:rsidRDefault="00BA1532" w:rsidP="005277C1">
            <w:pPr>
              <w:rPr>
                <w:color w:val="000000"/>
                <w:sz w:val="20"/>
                <w:szCs w:val="20"/>
              </w:rPr>
            </w:pPr>
            <w:r>
              <w:rPr>
                <w:color w:val="000000"/>
                <w:sz w:val="20"/>
                <w:szCs w:val="20"/>
              </w:rPr>
              <w:t>140</w:t>
            </w:r>
          </w:p>
        </w:tc>
        <w:tc>
          <w:tcPr>
            <w:tcW w:w="1000" w:type="dxa"/>
            <w:shd w:val="clear" w:color="auto" w:fill="auto"/>
            <w:noWrap/>
            <w:vAlign w:val="center"/>
          </w:tcPr>
          <w:p w:rsidR="00BA1532" w:rsidRPr="00022980" w:rsidRDefault="00BA1532" w:rsidP="005277C1">
            <w:pPr>
              <w:rPr>
                <w:color w:val="000000"/>
                <w:sz w:val="20"/>
                <w:szCs w:val="20"/>
              </w:rPr>
            </w:pPr>
            <w:r>
              <w:rPr>
                <w:color w:val="000000"/>
                <w:sz w:val="20"/>
                <w:szCs w:val="20"/>
              </w:rPr>
              <w:t>In (zvyšuje náklady)</w:t>
            </w:r>
          </w:p>
        </w:tc>
        <w:tc>
          <w:tcPr>
            <w:tcW w:w="708" w:type="dxa"/>
            <w:shd w:val="clear" w:color="auto" w:fill="auto"/>
            <w:noWrap/>
            <w:vAlign w:val="center"/>
          </w:tcPr>
          <w:p w:rsidR="00BA1532" w:rsidRPr="00022980" w:rsidRDefault="00BA1532" w:rsidP="005277C1">
            <w:pPr>
              <w:rPr>
                <w:sz w:val="20"/>
                <w:szCs w:val="20"/>
              </w:rPr>
            </w:pPr>
            <w:r>
              <w:rPr>
                <w:sz w:val="20"/>
                <w:szCs w:val="20"/>
              </w:rPr>
              <w:t>140</w:t>
            </w:r>
          </w:p>
        </w:tc>
        <w:tc>
          <w:tcPr>
            <w:tcW w:w="1134" w:type="dxa"/>
            <w:vAlign w:val="center"/>
          </w:tcPr>
          <w:p w:rsidR="00BA1532" w:rsidRPr="00022980" w:rsidRDefault="00BA1532" w:rsidP="005277C1">
            <w:pPr>
              <w:rPr>
                <w:color w:val="000000"/>
                <w:sz w:val="20"/>
                <w:szCs w:val="20"/>
              </w:rPr>
            </w:pPr>
            <w:r>
              <w:rPr>
                <w:color w:val="000000"/>
                <w:sz w:val="20"/>
                <w:szCs w:val="20"/>
              </w:rPr>
              <w:t>0</w:t>
            </w:r>
          </w:p>
        </w:tc>
      </w:tr>
    </w:tbl>
    <w:p w:rsidR="00BA1532" w:rsidRPr="00895898" w:rsidRDefault="00BA1532" w:rsidP="00BA1532">
      <w:pPr>
        <w:jc w:val="both"/>
        <w:rPr>
          <w:rFonts w:eastAsia="Calibri"/>
          <w:i/>
        </w:rPr>
      </w:pPr>
    </w:p>
    <w:p w:rsidR="00BA1532" w:rsidRPr="007471CD" w:rsidRDefault="00BA1532" w:rsidP="00BA1532">
      <w:pPr>
        <w:jc w:val="both"/>
        <w:rPr>
          <w:rFonts w:eastAsia="Calibri"/>
          <w:b/>
          <w:bCs/>
          <w:i/>
          <w:sz w:val="20"/>
          <w:szCs w:val="20"/>
        </w:rPr>
        <w:sectPr w:rsidR="00BA1532" w:rsidRPr="007471CD" w:rsidSect="00142154">
          <w:pgSz w:w="16838" w:h="11906" w:orient="landscape"/>
          <w:pgMar w:top="1417" w:right="1417" w:bottom="1417" w:left="1417" w:header="708" w:footer="708" w:gutter="0"/>
          <w:cols w:space="708"/>
          <w:docGrid w:linePitch="360"/>
        </w:sectPr>
      </w:pPr>
    </w:p>
    <w:p w:rsidR="00BA1532" w:rsidRPr="001F1B43" w:rsidRDefault="00BA1532" w:rsidP="00BA1532">
      <w:pPr>
        <w:jc w:val="both"/>
        <w:rPr>
          <w:rFonts w:eastAsia="Calibri"/>
          <w:b/>
          <w:bCs/>
          <w:i/>
          <w:u w:val="single"/>
        </w:rPr>
      </w:pPr>
      <w:r>
        <w:rPr>
          <w:rFonts w:eastAsia="Calibri"/>
          <w:b/>
          <w:bCs/>
          <w:i/>
          <w:u w:val="single"/>
        </w:rPr>
        <w:lastRenderedPageBreak/>
        <w:t xml:space="preserve">3.1.3 </w:t>
      </w:r>
      <w:r w:rsidRPr="001F1B43">
        <w:rPr>
          <w:rFonts w:eastAsia="Calibri"/>
          <w:b/>
          <w:bCs/>
          <w:i/>
          <w:u w:val="single"/>
        </w:rPr>
        <w:t xml:space="preserve">Doplňujúce informácie k spôsobu výpočtu vplyvov jednotlivých regulácií na zmenu nákladov </w:t>
      </w:r>
    </w:p>
    <w:p w:rsidR="00BA1532" w:rsidRDefault="00BA1532" w:rsidP="00BA1532">
      <w:pPr>
        <w:jc w:val="both"/>
        <w:rPr>
          <w:rFonts w:eastAsia="Calibri"/>
          <w:bCs/>
          <w:i/>
          <w:iCs/>
          <w:color w:val="000000"/>
        </w:rPr>
      </w:pPr>
      <w:r w:rsidRPr="00D8247C">
        <w:rPr>
          <w:rFonts w:eastAsia="Calibri"/>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eastAsia="Calibri"/>
          <w:bCs/>
          <w:i/>
          <w:iCs/>
          <w:color w:val="000000"/>
        </w:rPr>
        <w:t>link</w:t>
      </w:r>
      <w:proofErr w:type="spellEnd"/>
      <w:r w:rsidRPr="00D8247C">
        <w:rPr>
          <w:rFonts w:eastAsia="Calibri"/>
          <w:bCs/>
          <w:i/>
          <w:iCs/>
          <w:color w:val="000000"/>
        </w:rPr>
        <w:t xml:space="preserve">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 xml:space="preserve">a poplatky, ktorých cieľom je znižovať negatívne </w:t>
      </w:r>
      <w:proofErr w:type="spellStart"/>
      <w:r w:rsidRPr="00A000DA">
        <w:rPr>
          <w:rFonts w:eastAsia="Calibri"/>
          <w:bCs/>
          <w:i/>
          <w:iCs/>
          <w:color w:val="000000"/>
        </w:rPr>
        <w:t>externality</w:t>
      </w:r>
      <w:proofErr w:type="spellEnd"/>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oplatky</w:t>
      </w:r>
      <w:r w:rsidRPr="00952CF6">
        <w:rPr>
          <w:rFonts w:eastAsia="Calibri"/>
          <w:bCs/>
          <w:i/>
          <w:iCs/>
          <w:color w:val="000000"/>
        </w:rPr>
        <w:t>,</w:t>
      </w:r>
      <w:r w:rsidRPr="00D8247C">
        <w:rPr>
          <w:rFonts w:eastAsia="Calibri"/>
          <w:bCs/>
          <w:i/>
          <w:iCs/>
          <w:color w:val="000000"/>
        </w:rPr>
        <w:t xml:space="preserve"> C. </w:t>
      </w:r>
      <w:r>
        <w:rPr>
          <w:rFonts w:eastAsia="Calibri"/>
          <w:bCs/>
          <w:i/>
          <w:iCs/>
          <w:color w:val="000000"/>
        </w:rPr>
        <w:t>Sankcie</w:t>
      </w:r>
      <w:r w:rsidRPr="00D8247C">
        <w:rPr>
          <w:rFonts w:eastAsia="Calibri"/>
          <w:bCs/>
          <w:i/>
          <w:iCs/>
          <w:color w:val="000000"/>
        </w:rPr>
        <w:t xml:space="preserve">, D. </w:t>
      </w:r>
      <w:r>
        <w:rPr>
          <w:rFonts w:eastAsia="Calibri"/>
          <w:bCs/>
          <w:i/>
          <w:iCs/>
          <w:color w:val="000000"/>
        </w:rPr>
        <w:t xml:space="preserve">Nepriame finančné náklady, E. </w:t>
      </w:r>
      <w:r w:rsidRPr="00D8247C">
        <w:rPr>
          <w:rFonts w:eastAsia="Calibri"/>
          <w:bCs/>
          <w:i/>
          <w:iCs/>
          <w:color w:val="000000"/>
        </w:rPr>
        <w:t xml:space="preserve">Administratívne náklady). Rozčleňte ich a vypočítajte v súlade s metodickým postupom. </w:t>
      </w:r>
    </w:p>
    <w:p w:rsidR="00BA1532" w:rsidRDefault="00BA1532" w:rsidP="00BA1532">
      <w:pPr>
        <w:jc w:val="both"/>
      </w:pPr>
      <w:r w:rsidRPr="00D55228">
        <w:t>V predkladanom návrhu</w:t>
      </w:r>
      <w:r>
        <w:t xml:space="preserve"> zákona</w:t>
      </w:r>
      <w:r w:rsidRPr="00C65124">
        <w:t xml:space="preserve">, ktorým sa mení a dopĺňa zákon č. 106/2004 Z. z. o spotrebnej dani z tabakových výrobkov v znení neskorších predpisov </w:t>
      </w:r>
      <w:r w:rsidRPr="00F906F4">
        <w:t>(ďalej len „návrh zákona“)</w:t>
      </w:r>
      <w:r w:rsidRPr="00D55228">
        <w:t xml:space="preserve"> bolo identifikovaných</w:t>
      </w:r>
      <w:r>
        <w:t xml:space="preserve"> 19</w:t>
      </w:r>
      <w:r w:rsidRPr="00D55228">
        <w:t xml:space="preserve"> regulácií s vplyvom na podnikateľské prostredie. Predmetom Kalkulačky nákladov sú regulácie súvisiace so znížením alebo zvýšením administratívnej záťaže:</w:t>
      </w:r>
    </w:p>
    <w:p w:rsidR="00BA1532" w:rsidRPr="00E01588" w:rsidRDefault="00BA1532" w:rsidP="00BA1532">
      <w:pPr>
        <w:jc w:val="both"/>
      </w:pPr>
    </w:p>
    <w:p w:rsidR="00BA1532" w:rsidRPr="008E4A1C" w:rsidRDefault="00BA1532" w:rsidP="00BA1532">
      <w:pPr>
        <w:jc w:val="both"/>
        <w:rPr>
          <w:b/>
          <w:color w:val="000000"/>
        </w:rPr>
      </w:pPr>
      <w:r w:rsidRPr="008E4A1C">
        <w:rPr>
          <w:rFonts w:eastAsia="Calibri"/>
          <w:b/>
          <w:bCs/>
          <w:iCs/>
          <w:color w:val="000000"/>
        </w:rPr>
        <w:t xml:space="preserve">1. </w:t>
      </w:r>
      <w:r w:rsidRPr="008E4A1C">
        <w:rPr>
          <w:b/>
          <w:color w:val="000000"/>
        </w:rPr>
        <w:t>Povolenie na obchodovanie s bezdymovým tabakovým výrobkom</w:t>
      </w:r>
    </w:p>
    <w:p w:rsidR="00BA1532" w:rsidRPr="00F418A7" w:rsidRDefault="00BA1532" w:rsidP="00BA1532">
      <w:pPr>
        <w:jc w:val="both"/>
      </w:pPr>
      <w:r w:rsidRPr="00F418A7">
        <w:rPr>
          <w:shd w:val="clear" w:color="auto" w:fill="FFFFFF"/>
        </w:rPr>
        <w:t xml:space="preserve">Regulácia dotknutým subjektom zvyšuje náklady. </w:t>
      </w:r>
      <w:r w:rsidRPr="005519AD">
        <w:t>Osoba, ktorá chce v rámci podnikania na daňovom území obchodovať s bezdymovým tabakovým výrobkom</w:t>
      </w:r>
      <w:r>
        <w:t xml:space="preserve"> (ďalej len „BTV“)</w:t>
      </w:r>
      <w:r w:rsidRPr="005519AD">
        <w:t>, je povinná požiadať colný úrad o vydanie povolenia na obchodovanie s </w:t>
      </w:r>
      <w:r>
        <w:t>BTV</w:t>
      </w:r>
      <w:r w:rsidRPr="00F418A7">
        <w:t>.</w:t>
      </w:r>
    </w:p>
    <w:p w:rsidR="00BA1532" w:rsidRDefault="00BA1532" w:rsidP="00BA1532">
      <w:pPr>
        <w:jc w:val="both"/>
        <w:rPr>
          <w:shd w:val="clear" w:color="auto" w:fill="FFFFFF"/>
        </w:rPr>
      </w:pPr>
    </w:p>
    <w:p w:rsidR="00BA1532" w:rsidRPr="00DE25ED"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450</w:t>
      </w:r>
      <w:r w:rsidRPr="00DE25ED">
        <w:rPr>
          <w:shd w:val="clear" w:color="auto" w:fill="FFFFFF"/>
        </w:rPr>
        <w:t>.</w:t>
      </w:r>
      <w:r>
        <w:rPr>
          <w:shd w:val="clear" w:color="auto" w:fill="FFFFFF"/>
        </w:rPr>
        <w:t xml:space="preserve"> Počet subjektov je odvodený z dát z </w:t>
      </w:r>
      <w:proofErr w:type="spellStart"/>
      <w:r>
        <w:rPr>
          <w:shd w:val="clear" w:color="auto" w:fill="FFFFFF"/>
        </w:rPr>
        <w:t>eKasy</w:t>
      </w:r>
      <w:proofErr w:type="spellEnd"/>
      <w:r>
        <w:rPr>
          <w:shd w:val="clear" w:color="auto" w:fill="FFFFFF"/>
        </w:rPr>
        <w:t xml:space="preserve">. Z údajov vyplýva, že približne 450 subjektov predalo za rok minimálne 1000 kusov bezdymového tabakového výrobku alebo výrobku súvisiaceho s tabakovými výrobkami. MF SR predpokladá, že ide o subjekty, ktoré napriek navrhovanej regulácii budú mať naďalej záujem v odvetví podnikať. </w:t>
      </w:r>
      <w:r w:rsidRPr="00DE25ED">
        <w:rPr>
          <w:shd w:val="clear" w:color="auto" w:fill="FFFFFF"/>
        </w:rPr>
        <w:t>Náklady regulácie boli určené ako administratívne. Pri kvantifikácii bol zvolený postup na základe alternatívy č. 2. Frekvencia plnenia bola určená jednorazovo pri od</w:t>
      </w:r>
      <w:r>
        <w:rPr>
          <w:shd w:val="clear" w:color="auto" w:fill="FFFFFF"/>
        </w:rPr>
        <w:t>hadovanom počte subjektov, ktoré ak budú chcieť v rámci podnikania obchodovať s BTV, budú povinné požiadať colný úrad o vydanie povolenia na obchodovanie s BTV.</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5 478</w:t>
      </w:r>
      <w:r w:rsidRPr="00DE25ED">
        <w:rPr>
          <w:shd w:val="clear" w:color="auto" w:fill="FFFFFF"/>
        </w:rPr>
        <w:t xml:space="preserve"> Eur.</w:t>
      </w:r>
    </w:p>
    <w:p w:rsidR="00BA1532" w:rsidRPr="00E01588" w:rsidRDefault="00BA1532" w:rsidP="00BA1532">
      <w:pPr>
        <w:jc w:val="both"/>
        <w:rPr>
          <w:color w:val="000000"/>
        </w:rPr>
      </w:pPr>
    </w:p>
    <w:p w:rsidR="00BA1532" w:rsidRDefault="00BA1532" w:rsidP="00BA1532">
      <w:pPr>
        <w:jc w:val="both"/>
        <w:rPr>
          <w:b/>
          <w:color w:val="000000"/>
        </w:rPr>
      </w:pPr>
      <w:r w:rsidRPr="008E4A1C">
        <w:rPr>
          <w:b/>
        </w:rPr>
        <w:t xml:space="preserve">2. </w:t>
      </w:r>
      <w:r w:rsidRPr="008E4A1C">
        <w:rPr>
          <w:b/>
          <w:color w:val="000000"/>
        </w:rPr>
        <w:t>Povolenie na distribúciu bezdymového tabakového výrobku</w:t>
      </w:r>
    </w:p>
    <w:p w:rsidR="00BA1532" w:rsidRPr="00F418A7" w:rsidRDefault="00BA1532" w:rsidP="00BA1532">
      <w:pPr>
        <w:jc w:val="both"/>
      </w:pPr>
      <w:r w:rsidRPr="00F418A7">
        <w:rPr>
          <w:shd w:val="clear" w:color="auto" w:fill="FFFFFF"/>
        </w:rPr>
        <w:t xml:space="preserve">Regulácia dotknutým subjektom zvyšuje náklady. </w:t>
      </w:r>
      <w:r w:rsidRPr="005519AD">
        <w:t xml:space="preserve">Osoba, ktorá chce v rámci podnikania na daňovom území </w:t>
      </w:r>
      <w:r w:rsidRPr="005519AD">
        <w:rPr>
          <w:color w:val="000000"/>
        </w:rPr>
        <w:t xml:space="preserve">distribuovať </w:t>
      </w:r>
      <w:r>
        <w:rPr>
          <w:color w:val="000000"/>
        </w:rPr>
        <w:t>BTV</w:t>
      </w:r>
      <w:r w:rsidRPr="005519AD">
        <w:rPr>
          <w:color w:val="000000"/>
        </w:rPr>
        <w:t>,</w:t>
      </w:r>
      <w:r w:rsidRPr="005519AD">
        <w:t xml:space="preserve"> je povinná požiadať colný úrad o vydanie povolenia na distribúciu</w:t>
      </w:r>
      <w:r>
        <w:t xml:space="preserve"> BTV</w:t>
      </w:r>
      <w:r w:rsidRPr="00F418A7">
        <w:t>.</w:t>
      </w:r>
    </w:p>
    <w:p w:rsidR="00BA1532" w:rsidRDefault="00BA1532" w:rsidP="00BA1532">
      <w:pPr>
        <w:jc w:val="both"/>
        <w:rPr>
          <w:shd w:val="clear" w:color="auto" w:fill="FFFFFF"/>
        </w:rPr>
      </w:pPr>
    </w:p>
    <w:p w:rsidR="00BA1532" w:rsidRPr="00DE25ED"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70</w:t>
      </w:r>
      <w:r w:rsidRPr="00DE25ED">
        <w:rPr>
          <w:shd w:val="clear" w:color="auto" w:fill="FFFFFF"/>
        </w:rPr>
        <w:t>.</w:t>
      </w:r>
      <w:r>
        <w:rPr>
          <w:shd w:val="clear" w:color="auto" w:fill="FFFFFF"/>
        </w:rPr>
        <w:t xml:space="preserve"> Počet dotknutých subjektov zohľadňuje množstvo subjektov podnikajúcich v súčasnosti v oblasti tabakových výrobkov v súlade so zákonom č. 106/2004 Z. z.</w:t>
      </w:r>
      <w:r w:rsidRPr="00DE25ED">
        <w:rPr>
          <w:shd w:val="clear" w:color="auto" w:fill="FFFFFF"/>
        </w:rPr>
        <w:t xml:space="preserve"> </w:t>
      </w:r>
      <w:r>
        <w:rPr>
          <w:shd w:val="clear" w:color="auto" w:fill="FFFFFF"/>
        </w:rPr>
        <w:t xml:space="preserve">o spotrebnej dani z tabakových výrobkov. </w:t>
      </w:r>
      <w:r w:rsidRPr="00DE25ED">
        <w:rPr>
          <w:shd w:val="clear" w:color="auto" w:fill="FFFFFF"/>
        </w:rPr>
        <w:t>Náklady regulácie boli určené ako administratívne. Pri kvantifikácii bol zvolený postup na základe alternatívy č. 2. Frekvencia plnenia bola určená jednorazovo pri od</w:t>
      </w:r>
      <w:r>
        <w:rPr>
          <w:shd w:val="clear" w:color="auto" w:fill="FFFFFF"/>
        </w:rPr>
        <w:t>hadovanom počte subjektov, ktoré ak budú chcieť v rámci podnikania distribuovať BTV, budú povinné požiadať colný úrad o vydanie povolenia na distribúciu BTV.</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852</w:t>
      </w:r>
      <w:r w:rsidRPr="00DE25ED">
        <w:rPr>
          <w:shd w:val="clear" w:color="auto" w:fill="FFFFFF"/>
        </w:rPr>
        <w:t xml:space="preserve"> Eur.</w:t>
      </w:r>
    </w:p>
    <w:p w:rsidR="00BA1532" w:rsidRDefault="00BA1532" w:rsidP="00BA1532">
      <w:pPr>
        <w:jc w:val="both"/>
        <w:rPr>
          <w:color w:val="000000"/>
        </w:rPr>
      </w:pPr>
    </w:p>
    <w:p w:rsidR="00B3448D" w:rsidRDefault="00B3448D" w:rsidP="00BA1532">
      <w:pPr>
        <w:jc w:val="both"/>
        <w:rPr>
          <w:color w:val="000000"/>
        </w:rPr>
      </w:pPr>
    </w:p>
    <w:p w:rsidR="00B3448D" w:rsidRDefault="00B3448D" w:rsidP="00BA1532">
      <w:pPr>
        <w:jc w:val="both"/>
        <w:rPr>
          <w:color w:val="000000"/>
        </w:rPr>
      </w:pPr>
    </w:p>
    <w:p w:rsidR="00B3448D" w:rsidRPr="008E4A1C" w:rsidRDefault="00B3448D" w:rsidP="00BA1532">
      <w:pPr>
        <w:jc w:val="both"/>
        <w:rPr>
          <w:color w:val="000000"/>
        </w:rPr>
      </w:pPr>
    </w:p>
    <w:p w:rsidR="00BA1532" w:rsidRDefault="00BA1532" w:rsidP="00BA1532">
      <w:pPr>
        <w:jc w:val="both"/>
        <w:rPr>
          <w:b/>
          <w:color w:val="000000"/>
        </w:rPr>
      </w:pPr>
      <w:r w:rsidRPr="008E4A1C">
        <w:rPr>
          <w:b/>
          <w:color w:val="000000"/>
        </w:rPr>
        <w:lastRenderedPageBreak/>
        <w:t>3. Povolenie na obchodovanie s výrobkom súvisiacim s tabakovými výrobkami</w:t>
      </w:r>
    </w:p>
    <w:p w:rsidR="00BA1532" w:rsidRPr="00F418A7" w:rsidRDefault="00BA1532" w:rsidP="00BA1532">
      <w:pPr>
        <w:jc w:val="both"/>
      </w:pPr>
      <w:r w:rsidRPr="00F418A7">
        <w:rPr>
          <w:shd w:val="clear" w:color="auto" w:fill="FFFFFF"/>
        </w:rPr>
        <w:t xml:space="preserve">Regulácia dotknutým subjektom zvyšuje náklady. </w:t>
      </w:r>
      <w:r w:rsidRPr="006333E5">
        <w:t>Osoba, ktorá chce v rámci podnikania na daňovom území obchodovať s výrobkom súvisiacim s tabakovými výrobkami</w:t>
      </w:r>
      <w:r>
        <w:t xml:space="preserve"> (ďalej len „ITV“)</w:t>
      </w:r>
      <w:r w:rsidRPr="006333E5">
        <w:t>, je povinná požiadať colný úrad o vydanie povolenia na obchodovanie s </w:t>
      </w:r>
      <w:r>
        <w:t>ITV</w:t>
      </w:r>
      <w:r w:rsidRPr="00F418A7">
        <w:t>.</w:t>
      </w:r>
    </w:p>
    <w:p w:rsidR="00BA1532" w:rsidRDefault="00BA1532" w:rsidP="00BA1532">
      <w:pPr>
        <w:jc w:val="both"/>
        <w:rPr>
          <w:shd w:val="clear" w:color="auto" w:fill="FFFFFF"/>
        </w:rPr>
      </w:pPr>
    </w:p>
    <w:p w:rsidR="00BA1532" w:rsidRPr="00DE25ED"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450 (výpočet v regulácii č. 1) </w:t>
      </w:r>
      <w:r w:rsidRPr="00DE25ED">
        <w:rPr>
          <w:shd w:val="clear" w:color="auto" w:fill="FFFFFF"/>
        </w:rPr>
        <w:t>. Náklady regulácie boli určené ako administratívne. Pri kvantifikácii bol zvolený postup na základe alternatívy č. 2. Frekvencia plnenia bola určená jednorazovo pri od</w:t>
      </w:r>
      <w:r>
        <w:rPr>
          <w:shd w:val="clear" w:color="auto" w:fill="FFFFFF"/>
        </w:rPr>
        <w:t>hadovanom počte subjektov, ktoré ak budú chcieť v rámci podnikania obchodovať s ITV, budú povinné požiadať colný úrad o vydanie povolenia na obchodovanie s ITV.</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5 478</w:t>
      </w:r>
      <w:r w:rsidRPr="00DE25ED">
        <w:rPr>
          <w:shd w:val="clear" w:color="auto" w:fill="FFFFFF"/>
        </w:rPr>
        <w:t xml:space="preserve"> Eur.</w:t>
      </w:r>
    </w:p>
    <w:p w:rsidR="00BA1532" w:rsidRPr="008E4A1C" w:rsidRDefault="00BA1532" w:rsidP="00BA1532">
      <w:pPr>
        <w:jc w:val="both"/>
        <w:rPr>
          <w:color w:val="000000"/>
        </w:rPr>
      </w:pPr>
    </w:p>
    <w:p w:rsidR="00BA1532" w:rsidRDefault="00BA1532" w:rsidP="00BA1532">
      <w:pPr>
        <w:jc w:val="both"/>
        <w:rPr>
          <w:b/>
          <w:color w:val="000000"/>
        </w:rPr>
      </w:pPr>
      <w:r w:rsidRPr="008E4A1C">
        <w:rPr>
          <w:b/>
          <w:color w:val="000000"/>
        </w:rPr>
        <w:t>4. Povolenie na distribúciu výrobku súvisiaceho s tabakovými výrobkami</w:t>
      </w:r>
    </w:p>
    <w:p w:rsidR="00BA1532" w:rsidRPr="00F418A7" w:rsidRDefault="00BA1532" w:rsidP="00BA1532">
      <w:pPr>
        <w:jc w:val="both"/>
      </w:pPr>
      <w:r w:rsidRPr="00F418A7">
        <w:rPr>
          <w:shd w:val="clear" w:color="auto" w:fill="FFFFFF"/>
        </w:rPr>
        <w:t xml:space="preserve">Regulácia dotknutým subjektom zvyšuje náklady. </w:t>
      </w:r>
      <w:r w:rsidRPr="005519AD">
        <w:t xml:space="preserve">Osoba, ktorá chce v rámci podnikania na daňovom území distribuovať </w:t>
      </w:r>
      <w:r>
        <w:t>ITV</w:t>
      </w:r>
      <w:r w:rsidRPr="005519AD">
        <w:rPr>
          <w:color w:val="000000"/>
        </w:rPr>
        <w:t xml:space="preserve">, </w:t>
      </w:r>
      <w:r w:rsidRPr="005519AD">
        <w:t xml:space="preserve">je povinná požiadať colný úrad o vydanie povolenia na distribúciu </w:t>
      </w:r>
      <w:r>
        <w:t>ITV</w:t>
      </w:r>
      <w:r w:rsidRPr="005519AD">
        <w:t>.</w:t>
      </w:r>
    </w:p>
    <w:p w:rsidR="00BA1532" w:rsidRDefault="00BA1532" w:rsidP="00BA1532">
      <w:pPr>
        <w:jc w:val="both"/>
        <w:rPr>
          <w:shd w:val="clear" w:color="auto" w:fill="FFFFFF"/>
        </w:rPr>
      </w:pPr>
    </w:p>
    <w:p w:rsidR="00BA1532" w:rsidRPr="00DE25ED"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Náklady regulácie boli určené ako administratívne. Pri kvantifikácii bol zvolený postup na základe alternatívy č. 2. Frekvencia plnenia bola určená jednorazovo pri od</w:t>
      </w:r>
      <w:r>
        <w:rPr>
          <w:shd w:val="clear" w:color="auto" w:fill="FFFFFF"/>
        </w:rPr>
        <w:t>hadovanom počte subjektov, ktoré ak budú chcieť v rámci podnikania distribuovať ITV, budú povinné požiadať colný úrad o vydanie povolenia na distribúciu ITV.</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852</w:t>
      </w:r>
      <w:r w:rsidRPr="00DE25ED">
        <w:rPr>
          <w:shd w:val="clear" w:color="auto" w:fill="FFFFFF"/>
        </w:rPr>
        <w:t xml:space="preserve"> Eur.</w:t>
      </w:r>
    </w:p>
    <w:p w:rsidR="00BA1532" w:rsidRDefault="00BA1532" w:rsidP="00BA1532">
      <w:pPr>
        <w:jc w:val="both"/>
        <w:rPr>
          <w:b/>
          <w:color w:val="000000"/>
        </w:rPr>
      </w:pPr>
    </w:p>
    <w:p w:rsidR="00BA1532" w:rsidRDefault="00BA1532" w:rsidP="00BA1532">
      <w:pPr>
        <w:jc w:val="both"/>
        <w:rPr>
          <w:b/>
          <w:color w:val="000000"/>
        </w:rPr>
      </w:pPr>
      <w:r w:rsidRPr="008E4A1C">
        <w:rPr>
          <w:b/>
          <w:color w:val="000000"/>
        </w:rPr>
        <w:t>5.  Daňové priznani</w:t>
      </w:r>
      <w:r>
        <w:rPr>
          <w:b/>
          <w:color w:val="000000"/>
        </w:rPr>
        <w:t>e platiteľa podľa § 19ab ods. 34</w:t>
      </w:r>
    </w:p>
    <w:p w:rsidR="00BA1532" w:rsidRDefault="00BA1532" w:rsidP="00BA1532">
      <w:pPr>
        <w:jc w:val="both"/>
      </w:pPr>
      <w:r w:rsidRPr="00F418A7">
        <w:rPr>
          <w:shd w:val="clear" w:color="auto" w:fill="FFFFFF"/>
        </w:rPr>
        <w:t xml:space="preserve">Regulácia dotknutým subjektom zvyšuje náklady. </w:t>
      </w:r>
      <w:r w:rsidRPr="008F5270">
        <w:t>Platiteľ dane je povinný podať colnému úradu daňové priznanie najneskôr do troch pracovných dní nasledujúcich po dni vzniku daňovej povinnosti a</w:t>
      </w:r>
      <w:r>
        <w:t xml:space="preserve"> v rovnakej lehote zaplatiť daň</w:t>
      </w:r>
      <w:r w:rsidRPr="008F5270">
        <w:t>.</w:t>
      </w:r>
    </w:p>
    <w:p w:rsidR="00BA1532" w:rsidRDefault="00BA1532" w:rsidP="00BA1532">
      <w:pPr>
        <w:jc w:val="both"/>
        <w:rPr>
          <w:shd w:val="clear" w:color="auto" w:fill="FFFFFF"/>
        </w:rPr>
      </w:pPr>
    </w:p>
    <w:p w:rsidR="00BA1532" w:rsidRPr="008E4A1C" w:rsidRDefault="00BA1532" w:rsidP="00BA1532">
      <w:pPr>
        <w:jc w:val="both"/>
        <w:rPr>
          <w:color w:val="000000"/>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hadovanom počte subjektov, ktoré budú musieť podať daňové priznanie.</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3 408</w:t>
      </w:r>
      <w:r w:rsidRPr="00DE25ED">
        <w:rPr>
          <w:shd w:val="clear" w:color="auto" w:fill="FFFFFF"/>
        </w:rPr>
        <w:t xml:space="preserve"> Eur.</w:t>
      </w:r>
    </w:p>
    <w:p w:rsidR="00BA1532" w:rsidRPr="008E4A1C" w:rsidRDefault="00BA1532" w:rsidP="00BA1532">
      <w:pPr>
        <w:jc w:val="both"/>
        <w:rPr>
          <w:b/>
          <w:color w:val="000000"/>
        </w:rPr>
      </w:pPr>
      <w:r w:rsidRPr="008E4A1C">
        <w:rPr>
          <w:b/>
          <w:color w:val="000000"/>
        </w:rPr>
        <w:t>6. Vedenie evidencie</w:t>
      </w:r>
    </w:p>
    <w:p w:rsidR="00BA1532" w:rsidRDefault="00BA1532" w:rsidP="00BA1532">
      <w:pPr>
        <w:jc w:val="both"/>
      </w:pPr>
      <w:r w:rsidRPr="00F418A7">
        <w:rPr>
          <w:shd w:val="clear" w:color="auto" w:fill="FFFFFF"/>
        </w:rPr>
        <w:t xml:space="preserve">Regulácia dotknutým subjektom zvyšuje náklady. </w:t>
      </w:r>
      <w:r>
        <w:rPr>
          <w:color w:val="000000"/>
        </w:rPr>
        <w:t>Držiteľ povolenia</w:t>
      </w:r>
      <w:r w:rsidRPr="008F5270">
        <w:rPr>
          <w:color w:val="000000"/>
        </w:rPr>
        <w:t xml:space="preserve"> n</w:t>
      </w:r>
      <w:r>
        <w:rPr>
          <w:color w:val="000000"/>
        </w:rPr>
        <w:t>a distribúciu ITV</w:t>
      </w:r>
      <w:r>
        <w:t xml:space="preserve"> </w:t>
      </w:r>
      <w:r w:rsidRPr="008F5270">
        <w:t>je povinn</w:t>
      </w:r>
      <w:r>
        <w:t>ý</w:t>
      </w:r>
      <w:r w:rsidRPr="008F5270">
        <w:t xml:space="preserve"> viesť evidenciu</w:t>
      </w:r>
      <w:r>
        <w:t>.</w:t>
      </w:r>
    </w:p>
    <w:p w:rsidR="00BA1532" w:rsidRDefault="00BA1532" w:rsidP="00BA1532">
      <w:pPr>
        <w:jc w:val="both"/>
        <w:rPr>
          <w:shd w:val="clear" w:color="auto" w:fill="FFFFFF"/>
        </w:rPr>
      </w:pPr>
    </w:p>
    <w:p w:rsidR="00BA1532" w:rsidRPr="008E4A1C" w:rsidRDefault="00BA1532" w:rsidP="00BA1532">
      <w:pPr>
        <w:jc w:val="both"/>
        <w:rPr>
          <w:color w:val="000000"/>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mesačne</w:t>
      </w:r>
      <w:r w:rsidRPr="00DE25ED">
        <w:rPr>
          <w:shd w:val="clear" w:color="auto" w:fill="FFFFFF"/>
        </w:rPr>
        <w:t xml:space="preserve"> pri od</w:t>
      </w:r>
      <w:r>
        <w:rPr>
          <w:shd w:val="clear" w:color="auto" w:fill="FFFFFF"/>
        </w:rPr>
        <w:t xml:space="preserve">hadovanom počte subjektov, </w:t>
      </w:r>
      <w:r>
        <w:t>ktoré si budú musieť plniť evidenčné povinnosti</w:t>
      </w:r>
      <w:r>
        <w:rPr>
          <w:shd w:val="clear" w:color="auto" w:fill="FFFFFF"/>
        </w:rPr>
        <w:t>.</w:t>
      </w:r>
      <w:r w:rsidRPr="00DE25ED">
        <w:rPr>
          <w:shd w:val="clear" w:color="auto" w:fill="FFFFFF"/>
        </w:rPr>
        <w:t xml:space="preserve"> Na základe </w:t>
      </w:r>
      <w:r w:rsidRPr="00771452">
        <w:rPr>
          <w:shd w:val="clear" w:color="auto" w:fill="FFFFFF"/>
        </w:rPr>
        <w:t xml:space="preserve">výpočtu Kalkulačky nákladov na podnikateľské prostredie </w:t>
      </w:r>
      <w:r w:rsidRPr="00771452">
        <w:rPr>
          <w:shd w:val="clear" w:color="auto" w:fill="FFFFFF"/>
        </w:rPr>
        <w:lastRenderedPageBreak/>
        <w:t>sa v súvislosti s touto reguláciou predpokladá suma administratívnych nákladov na podnikateľské prostredie (IN) vo výške 5 113 Eur.</w:t>
      </w:r>
    </w:p>
    <w:p w:rsidR="00BA1532" w:rsidRPr="008E4A1C" w:rsidRDefault="00BA1532" w:rsidP="00BA1532">
      <w:pPr>
        <w:jc w:val="both"/>
        <w:rPr>
          <w:b/>
          <w:color w:val="000000"/>
        </w:rPr>
      </w:pPr>
      <w:r w:rsidRPr="008E4A1C">
        <w:rPr>
          <w:b/>
          <w:color w:val="000000"/>
        </w:rPr>
        <w:t>7. Povinnosť označovať výrobok súvisiaci s tabakovými výrobkami kontrolnou známkou</w:t>
      </w:r>
    </w:p>
    <w:p w:rsidR="00BA1532" w:rsidRDefault="00BA1532" w:rsidP="00BA1532">
      <w:pPr>
        <w:jc w:val="both"/>
      </w:pPr>
      <w:r w:rsidRPr="00F418A7">
        <w:rPr>
          <w:shd w:val="clear" w:color="auto" w:fill="FFFFFF"/>
        </w:rPr>
        <w:t xml:space="preserve">Regulácia dotknutým subjektom zvyšuje náklady. </w:t>
      </w:r>
      <w:r>
        <w:t>ITV</w:t>
      </w:r>
      <w:r w:rsidRPr="008F5270">
        <w:t xml:space="preserve"> možno do daňového voľného obehu uviesť, len ak je označený kontrolnou známkou, na ktorej je uvedený znak „ITV“.</w:t>
      </w:r>
    </w:p>
    <w:p w:rsidR="00BA1532" w:rsidRDefault="00BA1532" w:rsidP="00BA1532">
      <w:pPr>
        <w:jc w:val="both"/>
        <w:rPr>
          <w:shd w:val="clear" w:color="auto" w:fill="FFFFFF"/>
        </w:rPr>
      </w:pPr>
    </w:p>
    <w:p w:rsidR="00BA1532" w:rsidRPr="008E4A1C" w:rsidRDefault="00BA1532" w:rsidP="00BA1532">
      <w:pPr>
        <w:jc w:val="both"/>
        <w:rPr>
          <w:color w:val="000000"/>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 xml:space="preserve">hadovanom počte subjektov, </w:t>
      </w:r>
      <w:r>
        <w:t>ktoré budú musieť označovať ITV kontrolnou známkou, ak ho budú chcieť uviesť do daňového voľného obehu</w:t>
      </w:r>
      <w:r>
        <w:rPr>
          <w:shd w:val="clear" w:color="auto" w:fill="FFFFFF"/>
        </w:rPr>
        <w:t>.</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5 964</w:t>
      </w:r>
      <w:r w:rsidRPr="00DE25ED">
        <w:rPr>
          <w:shd w:val="clear" w:color="auto" w:fill="FFFFFF"/>
        </w:rPr>
        <w:t xml:space="preserve"> Eur.</w:t>
      </w:r>
    </w:p>
    <w:p w:rsidR="00BA1532" w:rsidRPr="008E4A1C" w:rsidRDefault="00BA1532" w:rsidP="00BA1532">
      <w:pPr>
        <w:jc w:val="both"/>
        <w:rPr>
          <w:b/>
          <w:color w:val="000000"/>
        </w:rPr>
      </w:pPr>
      <w:r w:rsidRPr="008E4A1C">
        <w:rPr>
          <w:b/>
          <w:color w:val="000000"/>
        </w:rPr>
        <w:t>8. Oboznámenie sa s novými povinnosťami - obchodník a distribútor</w:t>
      </w:r>
    </w:p>
    <w:p w:rsidR="00BA1532" w:rsidRPr="002D67B6" w:rsidRDefault="00BA1532" w:rsidP="00BA1532">
      <w:pPr>
        <w:jc w:val="both"/>
      </w:pPr>
      <w:r>
        <w:rPr>
          <w:shd w:val="clear" w:color="auto" w:fill="FFFFFF"/>
        </w:rPr>
        <w:t>Navrhovaná r</w:t>
      </w:r>
      <w:r w:rsidRPr="00F418A7">
        <w:rPr>
          <w:shd w:val="clear" w:color="auto" w:fill="FFFFFF"/>
        </w:rPr>
        <w:t>egulácia dotknutým subjektom zvyšuje náklady.</w:t>
      </w:r>
      <w:r>
        <w:rPr>
          <w:shd w:val="clear" w:color="auto" w:fill="FFFFFF"/>
        </w:rPr>
        <w:t xml:space="preserve"> </w:t>
      </w:r>
      <w:r w:rsidRPr="00F906F4">
        <w:t xml:space="preserve">Primárny dôvodom vypracovania a predloženia návrhu zákona je </w:t>
      </w:r>
      <w:r>
        <w:t>úprava definície bezdymového tabakového výrobku o šnupavý  tabak a žuvací tabak a výrobky súvisiace s tabakovými výrobkami.</w:t>
      </w:r>
      <w:r w:rsidRPr="002D67B6">
        <w:t xml:space="preserve"> Navrhovaná </w:t>
      </w:r>
      <w:r>
        <w:t xml:space="preserve">úprava </w:t>
      </w:r>
      <w:r w:rsidRPr="002D67B6">
        <w:t>bude predstavovať negatívny vplyv na podnikateľské prostredie, ktorý je možné kvantifikovať najmä s ohľadom na administratívne povinnosti vyplývajúce z návrhu zákona.</w:t>
      </w:r>
    </w:p>
    <w:p w:rsidR="00BA1532" w:rsidRDefault="00BA1532" w:rsidP="00BA1532">
      <w:pPr>
        <w:jc w:val="both"/>
        <w:rPr>
          <w:color w:val="000000"/>
        </w:rPr>
      </w:pPr>
    </w:p>
    <w:p w:rsidR="00BA1532" w:rsidRPr="00E01588" w:rsidRDefault="00BA1532" w:rsidP="00BA1532">
      <w:pPr>
        <w:jc w:val="both"/>
        <w:rPr>
          <w:color w:val="000000"/>
        </w:rPr>
      </w:pPr>
      <w:r w:rsidRPr="003B75A5">
        <w:t>Predmetná regulácia pre dotknuté subjekty predstavuje administratívny vplyv.</w:t>
      </w:r>
      <w:r>
        <w:t xml:space="preserve"> </w:t>
      </w:r>
      <w:r w:rsidRPr="003B75A5">
        <w:t>Počet dotknutých subjektov</w:t>
      </w:r>
      <w:r>
        <w:t xml:space="preserve"> 450 (výpočet v regulácii č. 1) </w:t>
      </w:r>
      <w:r w:rsidRPr="003B75A5">
        <w:t xml:space="preserve">Náklady regulácie boli určené ako administratívne. Pri kvantifikácii bol zvolený postup na základe alternatívy č. 2. Frekvencia plnenia bola určená nepravidelne pri odhadovanom počte subjektov, ktorí sa budú oboznamovať s povinnosťami upravenými v návrhu zákona. Na základe výpočtu Kalkulačky nákladov na podnikateľské prostredie sa v súvislosti s touto reguláciou predpokladá </w:t>
      </w:r>
      <w:r>
        <w:t>suma</w:t>
      </w:r>
      <w:r w:rsidRPr="003B75A5">
        <w:t xml:space="preserve"> administratívnych nákladov na podnikateľské prostredie (IN) vo výške</w:t>
      </w:r>
      <w:r>
        <w:t xml:space="preserve"> 24 650</w:t>
      </w:r>
      <w:r w:rsidRPr="003B75A5">
        <w:t xml:space="preserve"> Eur.</w:t>
      </w:r>
    </w:p>
    <w:p w:rsidR="00BA1532" w:rsidRPr="008E4A1C" w:rsidRDefault="00BA1532" w:rsidP="00BA1532">
      <w:pPr>
        <w:jc w:val="both"/>
        <w:rPr>
          <w:b/>
        </w:rPr>
      </w:pPr>
      <w:r w:rsidRPr="008E4A1C">
        <w:rPr>
          <w:b/>
          <w:color w:val="000000"/>
        </w:rPr>
        <w:t>9. Žiadosť o vydanie povolenia na prijatie a dovoz bezdymového tabakového výrobku</w:t>
      </w:r>
    </w:p>
    <w:p w:rsidR="00BA1532" w:rsidRPr="002D67B6" w:rsidRDefault="00BA1532" w:rsidP="00BA1532">
      <w:pPr>
        <w:jc w:val="both"/>
      </w:pPr>
      <w:r>
        <w:rPr>
          <w:shd w:val="clear" w:color="auto" w:fill="FFFFFF"/>
        </w:rPr>
        <w:t>Navrhovaná r</w:t>
      </w:r>
      <w:r w:rsidRPr="00F418A7">
        <w:rPr>
          <w:shd w:val="clear" w:color="auto" w:fill="FFFFFF"/>
        </w:rPr>
        <w:t xml:space="preserve">egulácia dotknutým subjektom </w:t>
      </w:r>
      <w:r>
        <w:rPr>
          <w:shd w:val="clear" w:color="auto" w:fill="FFFFFF"/>
        </w:rPr>
        <w:t>znižuje administratívne náklady súvisiace s opätovným podávaním žiadosti o vydanie povolenia na prijatie a dovoz BTV. O povolenie na obchodovanie alebo na distribúciu s BTV bude dotknutý subjekt podľa návrhu zákona žiadať iba jednorazovo.</w:t>
      </w:r>
    </w:p>
    <w:p w:rsidR="00BA1532" w:rsidRDefault="00BA1532" w:rsidP="00BA1532">
      <w:pPr>
        <w:jc w:val="both"/>
        <w:rPr>
          <w:color w:val="000000"/>
        </w:rPr>
      </w:pPr>
    </w:p>
    <w:p w:rsidR="00BA1532" w:rsidRDefault="00BA1532" w:rsidP="00BA1532">
      <w:pPr>
        <w:jc w:val="both"/>
      </w:pPr>
      <w:r w:rsidRPr="003B75A5">
        <w:t>Predmetná regulácia pre dotknut</w:t>
      </w:r>
      <w:r>
        <w:t>ý subjekt</w:t>
      </w:r>
      <w:r w:rsidRPr="003B75A5">
        <w:t xml:space="preserve"> predstavuje</w:t>
      </w:r>
      <w:r>
        <w:t xml:space="preserve"> zníženie administratívneho</w:t>
      </w:r>
      <w:r w:rsidRPr="003B75A5">
        <w:t xml:space="preserve"> vplyv</w:t>
      </w:r>
      <w:r>
        <w:t>u</w:t>
      </w:r>
      <w:r w:rsidRPr="003B75A5">
        <w:t>.</w:t>
      </w:r>
      <w:r>
        <w:t xml:space="preserve"> Na základe údajov z Inštitútu finančnej politiky sa regulácia týka iba jedného subjektu. </w:t>
      </w:r>
      <w:r w:rsidRPr="003B75A5">
        <w:t>Pri kvantifikácii bol zvolený postup na základe alternatívy č. 2. Frekvencia plnenia bola určená nepravidelne. Na základe výpočtu Kalkulačky nákladov na podnikateľské prostredie sa v </w:t>
      </w:r>
      <w:r w:rsidRPr="0018404B">
        <w:t>súvislosti s touto reguláciou predpokladá zníženie sumy administratívnych nákladov na podnikateľské prostredie (OUT) vo výške 584 Eur.</w:t>
      </w:r>
    </w:p>
    <w:p w:rsidR="00BA1532" w:rsidRPr="00CF123B" w:rsidRDefault="00BA1532" w:rsidP="00BA1532">
      <w:pPr>
        <w:jc w:val="both"/>
        <w:rPr>
          <w:b/>
        </w:rPr>
      </w:pPr>
      <w:r w:rsidRPr="00CF123B">
        <w:rPr>
          <w:b/>
        </w:rPr>
        <w:t>10. Daňové priznani</w:t>
      </w:r>
      <w:r>
        <w:rPr>
          <w:b/>
        </w:rPr>
        <w:t>e platiteľa podľa § 19aa ods. 30</w:t>
      </w:r>
    </w:p>
    <w:p w:rsidR="00BA1532" w:rsidRDefault="00BA1532" w:rsidP="00BA1532">
      <w:pPr>
        <w:jc w:val="both"/>
      </w:pPr>
      <w:r w:rsidRPr="00F418A7">
        <w:rPr>
          <w:shd w:val="clear" w:color="auto" w:fill="FFFFFF"/>
        </w:rPr>
        <w:t xml:space="preserve">Regulácia dotknutým subjektom zvyšuje náklady. </w:t>
      </w:r>
      <w:r w:rsidRPr="00AA4A98">
        <w:t>P</w:t>
      </w:r>
      <w:r>
        <w:t xml:space="preserve">latiteľ dane uvedený </w:t>
      </w:r>
      <w:r w:rsidRPr="00AA4A98">
        <w:t>je povinný podať colnému úradu daňové priznanie najneskôr do troch pracovných dní nasledujúcich po dni vzniku daňovej povinnosti a v rovnakej lehote zaplatiť daň.</w:t>
      </w:r>
    </w:p>
    <w:p w:rsidR="00BA1532" w:rsidRDefault="00BA1532" w:rsidP="00BA1532">
      <w:pPr>
        <w:jc w:val="both"/>
        <w:rPr>
          <w:shd w:val="clear" w:color="auto" w:fill="FFFFFF"/>
        </w:rPr>
      </w:pPr>
    </w:p>
    <w:p w:rsidR="00BA1532" w:rsidRPr="008E4A1C" w:rsidRDefault="00BA1532" w:rsidP="00BA1532">
      <w:pPr>
        <w:jc w:val="both"/>
        <w:rPr>
          <w:color w:val="000000"/>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 xml:space="preserve">hadovanom počte subjektov, ktoré budú musieť podať </w:t>
      </w:r>
      <w:r>
        <w:rPr>
          <w:shd w:val="clear" w:color="auto" w:fill="FFFFFF"/>
        </w:rPr>
        <w:lastRenderedPageBreak/>
        <w:t>daňové priznanie.</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3 408</w:t>
      </w:r>
      <w:r w:rsidRPr="00DE25ED">
        <w:rPr>
          <w:shd w:val="clear" w:color="auto" w:fill="FFFFFF"/>
        </w:rPr>
        <w:t xml:space="preserve"> Eur.</w:t>
      </w:r>
    </w:p>
    <w:p w:rsidR="00BA1532" w:rsidRPr="00CF123B" w:rsidRDefault="00BA1532" w:rsidP="00BA1532">
      <w:pPr>
        <w:jc w:val="both"/>
        <w:rPr>
          <w:b/>
        </w:rPr>
      </w:pPr>
      <w:r w:rsidRPr="00CF123B">
        <w:rPr>
          <w:b/>
        </w:rPr>
        <w:t xml:space="preserve">11. Vedenie evidencie </w:t>
      </w:r>
      <w:r>
        <w:rPr>
          <w:b/>
        </w:rPr>
        <w:t>–</w:t>
      </w:r>
      <w:r w:rsidRPr="00CF123B">
        <w:rPr>
          <w:b/>
        </w:rPr>
        <w:t xml:space="preserve"> žuvací</w:t>
      </w:r>
      <w:r>
        <w:rPr>
          <w:b/>
        </w:rPr>
        <w:t xml:space="preserve"> tabak</w:t>
      </w:r>
      <w:r w:rsidRPr="00CF123B">
        <w:rPr>
          <w:b/>
        </w:rPr>
        <w:t xml:space="preserve"> a šnupavý tabak</w:t>
      </w:r>
    </w:p>
    <w:p w:rsidR="00BA1532" w:rsidRDefault="00BA1532" w:rsidP="00BA1532">
      <w:pPr>
        <w:jc w:val="both"/>
      </w:pPr>
      <w:r w:rsidRPr="00F418A7">
        <w:rPr>
          <w:shd w:val="clear" w:color="auto" w:fill="FFFFFF"/>
        </w:rPr>
        <w:t xml:space="preserve">Regulácia dotknutým subjektom zvyšuje náklady. </w:t>
      </w:r>
      <w:r w:rsidRPr="00722EA7">
        <w:rPr>
          <w:color w:val="000000"/>
        </w:rPr>
        <w:t xml:space="preserve">Držiteľ povolenia na distribúciu </w:t>
      </w:r>
      <w:r>
        <w:t>BTV</w:t>
      </w:r>
      <w:r w:rsidRPr="00722EA7">
        <w:t xml:space="preserve"> je povinný viesť evidenciu </w:t>
      </w:r>
      <w:r>
        <w:t>BTV.</w:t>
      </w:r>
    </w:p>
    <w:p w:rsidR="00BA1532" w:rsidRDefault="00BA1532" w:rsidP="00BA1532">
      <w:pPr>
        <w:jc w:val="both"/>
        <w:rPr>
          <w:shd w:val="clear" w:color="auto" w:fill="FFFFFF"/>
        </w:rPr>
      </w:pPr>
    </w:p>
    <w:p w:rsidR="00BA1532" w:rsidRPr="008E4A1C" w:rsidRDefault="00BA1532" w:rsidP="00BA1532">
      <w:pPr>
        <w:jc w:val="both"/>
        <w:rPr>
          <w:color w:val="000000"/>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mesačne</w:t>
      </w:r>
      <w:r w:rsidRPr="00DE25ED">
        <w:rPr>
          <w:shd w:val="clear" w:color="auto" w:fill="FFFFFF"/>
        </w:rPr>
        <w:t xml:space="preserve"> pri od</w:t>
      </w:r>
      <w:r>
        <w:rPr>
          <w:shd w:val="clear" w:color="auto" w:fill="FFFFFF"/>
        </w:rPr>
        <w:t xml:space="preserve">hadovanom počte subjektov, </w:t>
      </w:r>
      <w:r>
        <w:t>ktoré si budú musieť plniť evidenčné povinnosti</w:t>
      </w:r>
      <w:r>
        <w:rPr>
          <w:shd w:val="clear" w:color="auto" w:fill="FFFFFF"/>
        </w:rPr>
        <w:t>.</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5 113</w:t>
      </w:r>
      <w:r w:rsidRPr="00DE25ED">
        <w:rPr>
          <w:shd w:val="clear" w:color="auto" w:fill="FFFFFF"/>
        </w:rPr>
        <w:t xml:space="preserve"> Eur.</w:t>
      </w:r>
    </w:p>
    <w:p w:rsidR="00BA1532" w:rsidRPr="00CF123B" w:rsidRDefault="00BA1532" w:rsidP="00BA1532">
      <w:pPr>
        <w:jc w:val="both"/>
        <w:rPr>
          <w:b/>
        </w:rPr>
      </w:pPr>
      <w:r w:rsidRPr="00CF123B">
        <w:rPr>
          <w:b/>
        </w:rPr>
        <w:t xml:space="preserve">12. Povinnosť označovať bezdymový tabakový výrobok kontrolnou známkou </w:t>
      </w:r>
      <w:r>
        <w:rPr>
          <w:b/>
        </w:rPr>
        <w:t>–</w:t>
      </w:r>
      <w:r w:rsidRPr="00CF123B">
        <w:rPr>
          <w:b/>
        </w:rPr>
        <w:t xml:space="preserve"> žuvací</w:t>
      </w:r>
      <w:r>
        <w:rPr>
          <w:b/>
        </w:rPr>
        <w:t xml:space="preserve"> tabak</w:t>
      </w:r>
      <w:r w:rsidRPr="00CF123B">
        <w:rPr>
          <w:b/>
        </w:rPr>
        <w:t xml:space="preserve"> a šnupavý tabak</w:t>
      </w:r>
    </w:p>
    <w:p w:rsidR="00BA1532" w:rsidRDefault="00BA1532" w:rsidP="00BA1532">
      <w:pPr>
        <w:jc w:val="both"/>
        <w:rPr>
          <w:shd w:val="clear" w:color="auto" w:fill="FFFFFF"/>
        </w:rPr>
      </w:pPr>
    </w:p>
    <w:p w:rsidR="00BA1532" w:rsidRDefault="00BA1532" w:rsidP="00BA1532">
      <w:pPr>
        <w:jc w:val="both"/>
      </w:pPr>
      <w:r w:rsidRPr="00F418A7">
        <w:rPr>
          <w:shd w:val="clear" w:color="auto" w:fill="FFFFFF"/>
        </w:rPr>
        <w:t xml:space="preserve">Regulácia dotknutým subjektom zvyšuje náklady. </w:t>
      </w:r>
      <w:r>
        <w:t>BTV</w:t>
      </w:r>
      <w:r w:rsidRPr="008F5270">
        <w:t xml:space="preserve"> možno do daňového voľného obehu uviesť, len ak je označený kontrolnou známk</w:t>
      </w:r>
      <w:r>
        <w:t>ou, na ktorej je uvedený znak „B</w:t>
      </w:r>
      <w:r w:rsidRPr="008F5270">
        <w:t>TV“.</w:t>
      </w:r>
    </w:p>
    <w:p w:rsidR="00BA1532" w:rsidRDefault="00BA1532" w:rsidP="00BA1532">
      <w:pPr>
        <w:jc w:val="both"/>
        <w:rPr>
          <w:shd w:val="clear" w:color="auto" w:fill="FFFFFF"/>
        </w:rPr>
      </w:pPr>
    </w:p>
    <w:p w:rsidR="00BA1532" w:rsidRPr="008E4A1C" w:rsidRDefault="00BA1532" w:rsidP="00BA1532">
      <w:pPr>
        <w:jc w:val="both"/>
        <w:rPr>
          <w:color w:val="000000"/>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 xml:space="preserve">hadovanom počte subjektov, </w:t>
      </w:r>
      <w:r>
        <w:t>ktoré budú musieť označovať BTV kontrolnou známkou, ak ho budú chcieť uviesť do daňového voľného obehu</w:t>
      </w:r>
      <w:r>
        <w:rPr>
          <w:shd w:val="clear" w:color="auto" w:fill="FFFFFF"/>
        </w:rPr>
        <w:t>.</w:t>
      </w:r>
      <w:r w:rsidRPr="00DE25ED">
        <w:rPr>
          <w:shd w:val="clear" w:color="auto" w:fill="FFFFFF"/>
        </w:rPr>
        <w:t xml:space="preserve"> Na základe výpočtu Kalkulačky nákladov na podnikateľské prostredie sa v súvislosti s touto </w:t>
      </w:r>
      <w:r w:rsidRPr="00771452">
        <w:rPr>
          <w:shd w:val="clear" w:color="auto" w:fill="FFFFFF"/>
        </w:rPr>
        <w:t>reguláciou predpokladá suma administratívnych nákladov na podnikateľské prostredie (IN) vo výške 5 965 Eur.</w:t>
      </w:r>
    </w:p>
    <w:p w:rsidR="00BA1532" w:rsidRDefault="00BA1532" w:rsidP="00BA1532">
      <w:pPr>
        <w:jc w:val="both"/>
        <w:rPr>
          <w:b/>
        </w:rPr>
      </w:pPr>
      <w:r w:rsidRPr="00CF123B">
        <w:rPr>
          <w:b/>
        </w:rPr>
        <w:t xml:space="preserve">13. Oznamovacia povinnosť pred každým prijatím bezdymového tabakového výrobku - žuvací </w:t>
      </w:r>
      <w:r>
        <w:rPr>
          <w:b/>
        </w:rPr>
        <w:t xml:space="preserve">tabak </w:t>
      </w:r>
      <w:r w:rsidRPr="00CF123B">
        <w:rPr>
          <w:b/>
        </w:rPr>
        <w:t>a šnupavý tabak</w:t>
      </w:r>
    </w:p>
    <w:p w:rsidR="00BA1532" w:rsidRDefault="00BA1532" w:rsidP="00BA1532">
      <w:pPr>
        <w:jc w:val="both"/>
      </w:pPr>
      <w:r w:rsidRPr="00F418A7">
        <w:rPr>
          <w:shd w:val="clear" w:color="auto" w:fill="FFFFFF"/>
        </w:rPr>
        <w:t xml:space="preserve">Regulácia dotknutým subjektom zvyšuje náklady. </w:t>
      </w:r>
      <w:r>
        <w:t>Držiteľ povolenia na distribúciu BTV je povinný</w:t>
      </w:r>
      <w:r w:rsidRPr="006532B2">
        <w:t xml:space="preserve"> najneskôr dva pracovné dni pred každým prijatím </w:t>
      </w:r>
      <w:r>
        <w:t xml:space="preserve">BTV na </w:t>
      </w:r>
      <w:r w:rsidRPr="006532B2">
        <w:t>daňovom území z iného členského štátu, alebo jeho dovozom z tretích št</w:t>
      </w:r>
      <w:r>
        <w:t>átov oznámiť colnému úradu ustanovené</w:t>
      </w:r>
      <w:r w:rsidRPr="006532B2">
        <w:t xml:space="preserve"> údaj</w:t>
      </w:r>
      <w:r>
        <w:t>e.</w:t>
      </w:r>
    </w:p>
    <w:p w:rsidR="00BA1532" w:rsidRDefault="00BA1532" w:rsidP="00BA1532">
      <w:pPr>
        <w:jc w:val="both"/>
        <w:rPr>
          <w:shd w:val="clear" w:color="auto" w:fill="FFFFFF"/>
        </w:rPr>
      </w:pPr>
    </w:p>
    <w:p w:rsidR="00BA1532" w:rsidRPr="008E4A1C" w:rsidRDefault="00BA1532" w:rsidP="00BA1532">
      <w:pPr>
        <w:jc w:val="both"/>
        <w:rPr>
          <w:color w:val="000000"/>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hadovanom počte subjektov, ktoré budú musieť splniť oznamovaciu povinnosť.</w:t>
      </w:r>
      <w:r w:rsidRPr="00DE25ED">
        <w:rPr>
          <w:shd w:val="clear" w:color="auto" w:fill="FFFFFF"/>
        </w:rPr>
        <w:t xml:space="preserve"> Na základe </w:t>
      </w:r>
      <w:r w:rsidRPr="00771452">
        <w:rPr>
          <w:shd w:val="clear" w:color="auto" w:fill="FFFFFF"/>
        </w:rPr>
        <w:t>výpočtu Kalkulačky nákladov na podnikateľské prostredie sa v súvislosti s touto reguláciou predpokladá suma administratívnych nákladov na podnikateľské prostredie (IN) vo výške 426 Eur.</w:t>
      </w:r>
    </w:p>
    <w:p w:rsidR="00BA1532" w:rsidRPr="00CF123B" w:rsidRDefault="00BA1532" w:rsidP="00BA1532">
      <w:pPr>
        <w:jc w:val="both"/>
        <w:rPr>
          <w:b/>
        </w:rPr>
      </w:pPr>
      <w:r w:rsidRPr="00CF123B">
        <w:rPr>
          <w:b/>
        </w:rPr>
        <w:t>14. Oznamovacia povinnosť pred každým prijatím výrobku súvisiaceho s tabakovými výrobkami</w:t>
      </w:r>
    </w:p>
    <w:p w:rsidR="00BA1532" w:rsidRDefault="00BA1532" w:rsidP="00BA1532">
      <w:pPr>
        <w:jc w:val="both"/>
      </w:pPr>
      <w:r w:rsidRPr="00F418A7">
        <w:rPr>
          <w:shd w:val="clear" w:color="auto" w:fill="FFFFFF"/>
        </w:rPr>
        <w:t xml:space="preserve">Regulácia dotknutým subjektom zvyšuje náklady. </w:t>
      </w:r>
      <w:r>
        <w:t>Držiteľ povolenia na distribúciu je povinný</w:t>
      </w:r>
      <w:r w:rsidRPr="008F5270">
        <w:t xml:space="preserve"> najneskôr dva pracovné dni pred každým prijatím </w:t>
      </w:r>
      <w:r>
        <w:t>ITV</w:t>
      </w:r>
      <w:r w:rsidRPr="008F5270">
        <w:t xml:space="preserve"> na daňovom území z iného členského štátu, alebo jeho dovozom z tretích štátov oznámiť colnému úradu </w:t>
      </w:r>
      <w:r>
        <w:t>ustanovené</w:t>
      </w:r>
      <w:r w:rsidRPr="008F5270">
        <w:t xml:space="preserve"> údaj</w:t>
      </w:r>
      <w:r>
        <w:t>e.</w:t>
      </w:r>
    </w:p>
    <w:p w:rsidR="00BA1532" w:rsidRDefault="00BA1532" w:rsidP="00BA1532">
      <w:pPr>
        <w:jc w:val="both"/>
        <w:rPr>
          <w:shd w:val="clear" w:color="auto" w:fill="FFFFFF"/>
        </w:rPr>
      </w:pPr>
    </w:p>
    <w:p w:rsidR="00BA1532"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70 (výpočet v regulácii č. 2)</w:t>
      </w:r>
      <w:r w:rsidRPr="00DE25ED">
        <w:rPr>
          <w:shd w:val="clear" w:color="auto" w:fill="FFFFFF"/>
        </w:rPr>
        <w:t xml:space="preserve">. Náklady regulácie boli určené ako administratívne. Pri kvantifikácii bol zvolený postup na základe alternatívy č. 2. Frekvencia </w:t>
      </w:r>
      <w:r w:rsidRPr="00DE25ED">
        <w:rPr>
          <w:shd w:val="clear" w:color="auto" w:fill="FFFFFF"/>
        </w:rPr>
        <w:lastRenderedPageBreak/>
        <w:t xml:space="preserve">plnenia bola určená </w:t>
      </w:r>
      <w:r>
        <w:rPr>
          <w:shd w:val="clear" w:color="auto" w:fill="FFFFFF"/>
        </w:rPr>
        <w:t>nepravidelne</w:t>
      </w:r>
      <w:r w:rsidRPr="00DE25ED">
        <w:rPr>
          <w:shd w:val="clear" w:color="auto" w:fill="FFFFFF"/>
        </w:rPr>
        <w:t xml:space="preserve"> pri od</w:t>
      </w:r>
      <w:r>
        <w:rPr>
          <w:shd w:val="clear" w:color="auto" w:fill="FFFFFF"/>
        </w:rPr>
        <w:t>hadovanom počte subjektov, ktoré budú musieť splniť oznamovaciu povinnosť.</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426</w:t>
      </w:r>
      <w:r w:rsidRPr="00DE25ED">
        <w:rPr>
          <w:shd w:val="clear" w:color="auto" w:fill="FFFFFF"/>
        </w:rPr>
        <w:t xml:space="preserve"> Eur.</w:t>
      </w:r>
    </w:p>
    <w:p w:rsidR="00BA1532" w:rsidRPr="001910DE" w:rsidRDefault="00BA1532" w:rsidP="00BA1532">
      <w:pPr>
        <w:jc w:val="both"/>
        <w:rPr>
          <w:b/>
          <w:color w:val="000000"/>
        </w:rPr>
      </w:pPr>
      <w:r w:rsidRPr="001910DE">
        <w:rPr>
          <w:b/>
          <w:color w:val="000000"/>
        </w:rPr>
        <w:t>15. Oznamovacia povinnosť obchodníka – prevádzkareň</w:t>
      </w:r>
      <w:r>
        <w:rPr>
          <w:b/>
          <w:color w:val="000000"/>
        </w:rPr>
        <w:t xml:space="preserve"> a zoznam dodávateľov</w:t>
      </w:r>
    </w:p>
    <w:p w:rsidR="00BA1532" w:rsidRDefault="00BA1532" w:rsidP="00BA1532">
      <w:pPr>
        <w:tabs>
          <w:tab w:val="left" w:pos="709"/>
          <w:tab w:val="left" w:pos="851"/>
        </w:tabs>
        <w:spacing w:before="240" w:line="252" w:lineRule="auto"/>
        <w:jc w:val="both"/>
      </w:pPr>
      <w:r w:rsidRPr="001910DE">
        <w:rPr>
          <w:color w:val="000000"/>
        </w:rPr>
        <w:t xml:space="preserve">Regulácia dotknutým subjektom zvyšuje náklady. Držiteľ povolenia na obchodovanie s BTV </w:t>
      </w:r>
      <w:r w:rsidRPr="001910DE">
        <w:t>je povinný</w:t>
      </w:r>
      <w:r>
        <w:t xml:space="preserve"> </w:t>
      </w:r>
      <w:r w:rsidRPr="00006A16">
        <w:t xml:space="preserve">oznámiť colnému úradu </w:t>
      </w:r>
      <w:r>
        <w:t>každú zmenu adresy umiestnenia prevádzkarne, ak nie je totožná</w:t>
      </w:r>
      <w:r w:rsidRPr="00006A16">
        <w:t xml:space="preserve"> so sídlom alebo s trvalým pobytom </w:t>
      </w:r>
      <w:r>
        <w:t xml:space="preserve">subjektu a </w:t>
      </w:r>
      <w:r w:rsidRPr="00006A16">
        <w:t>zoznam dodávateľov</w:t>
      </w:r>
      <w:r>
        <w:t xml:space="preserve"> BTV.</w:t>
      </w:r>
    </w:p>
    <w:p w:rsidR="00BA1532"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odhaduje MF SR vo výške 5 % z celkového počtu 450 subjektov podnikajúcich s tabakovými výrobkami  (výpočet v regulácii č. 1)</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hadovanom počte subjektov, ktoré budú musieť oznámiť zmenu.</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140</w:t>
      </w:r>
      <w:r w:rsidRPr="00DE25ED">
        <w:rPr>
          <w:shd w:val="clear" w:color="auto" w:fill="FFFFFF"/>
        </w:rPr>
        <w:t xml:space="preserve"> Eur.</w:t>
      </w:r>
    </w:p>
    <w:p w:rsidR="00BA1532" w:rsidRPr="001910DE" w:rsidRDefault="00BA1532" w:rsidP="00BA1532">
      <w:pPr>
        <w:jc w:val="both"/>
        <w:rPr>
          <w:b/>
          <w:color w:val="000000"/>
        </w:rPr>
      </w:pPr>
      <w:r>
        <w:rPr>
          <w:b/>
          <w:color w:val="000000"/>
        </w:rPr>
        <w:t>16</w:t>
      </w:r>
      <w:r w:rsidRPr="001910DE">
        <w:rPr>
          <w:b/>
          <w:color w:val="000000"/>
        </w:rPr>
        <w:t xml:space="preserve">. </w:t>
      </w:r>
      <w:r>
        <w:rPr>
          <w:b/>
          <w:color w:val="000000"/>
        </w:rPr>
        <w:t>Evidencia dodaného a predaného ITV</w:t>
      </w:r>
    </w:p>
    <w:p w:rsidR="00BA1532" w:rsidRPr="000075BA" w:rsidRDefault="00BA1532" w:rsidP="00BA1532">
      <w:pPr>
        <w:tabs>
          <w:tab w:val="left" w:pos="709"/>
          <w:tab w:val="left" w:pos="851"/>
        </w:tabs>
        <w:spacing w:before="240" w:line="252" w:lineRule="auto"/>
        <w:jc w:val="both"/>
      </w:pPr>
      <w:r w:rsidRPr="000075BA">
        <w:rPr>
          <w:color w:val="000000"/>
        </w:rPr>
        <w:t>Regulácia dotknutým subjektom zvyšuje náklady. Držiteľ povolenia na obchodovanie s </w:t>
      </w:r>
      <w:r>
        <w:rPr>
          <w:color w:val="000000"/>
        </w:rPr>
        <w:t>I</w:t>
      </w:r>
      <w:r w:rsidRPr="000075BA">
        <w:rPr>
          <w:color w:val="000000"/>
        </w:rPr>
        <w:t xml:space="preserve">TV </w:t>
      </w:r>
      <w:r w:rsidRPr="000075BA">
        <w:t xml:space="preserve">je povinný viesť za kalendárny mesiac evidenciu nakúpeného a predaného </w:t>
      </w:r>
      <w:r>
        <w:t>ITV</w:t>
      </w:r>
      <w:r w:rsidRPr="000075BA">
        <w:t>.</w:t>
      </w:r>
    </w:p>
    <w:p w:rsidR="00BA1532"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450 (výpočet v regulácii č. 1)</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hadovanom počte subjektov, ktoré budú musieť viesť evidenciu. Údaje vedené v zmysle tejto evidencie nie sú nad rámec povinností vzťahujúcich sa na všeobecnú evidenciu.</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2 739</w:t>
      </w:r>
      <w:r w:rsidRPr="00DE25ED">
        <w:rPr>
          <w:shd w:val="clear" w:color="auto" w:fill="FFFFFF"/>
        </w:rPr>
        <w:t xml:space="preserve"> Eur.</w:t>
      </w:r>
    </w:p>
    <w:p w:rsidR="00BA1532" w:rsidRPr="001910DE" w:rsidRDefault="00BA1532" w:rsidP="00BA1532">
      <w:pPr>
        <w:jc w:val="both"/>
        <w:rPr>
          <w:b/>
          <w:color w:val="000000"/>
        </w:rPr>
      </w:pPr>
      <w:r>
        <w:rPr>
          <w:b/>
          <w:color w:val="000000"/>
        </w:rPr>
        <w:t>17</w:t>
      </w:r>
      <w:r w:rsidRPr="001910DE">
        <w:rPr>
          <w:b/>
          <w:color w:val="000000"/>
        </w:rPr>
        <w:t xml:space="preserve">. </w:t>
      </w:r>
      <w:r>
        <w:rPr>
          <w:b/>
          <w:color w:val="000000"/>
        </w:rPr>
        <w:t>Evidencia dodaného a predaného BTV</w:t>
      </w:r>
    </w:p>
    <w:p w:rsidR="00BA1532" w:rsidRPr="000075BA" w:rsidRDefault="00BA1532" w:rsidP="00BA1532">
      <w:pPr>
        <w:tabs>
          <w:tab w:val="left" w:pos="709"/>
          <w:tab w:val="left" w:pos="851"/>
        </w:tabs>
        <w:spacing w:before="240" w:line="252" w:lineRule="auto"/>
        <w:jc w:val="both"/>
      </w:pPr>
      <w:r w:rsidRPr="000075BA">
        <w:rPr>
          <w:color w:val="000000"/>
        </w:rPr>
        <w:t xml:space="preserve">Regulácia dotknutým subjektom zvyšuje náklady. Držiteľ povolenia na obchodovanie s BTV </w:t>
      </w:r>
      <w:r w:rsidRPr="000075BA">
        <w:t>je povinný viesť za kalendárny mesiac evidenciu nakúpeného a predaného bezdymového tabakového výrobku.</w:t>
      </w:r>
    </w:p>
    <w:p w:rsidR="00BA1532"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450 (výpočet v regulácii č. 1)</w:t>
      </w:r>
      <w:r w:rsidRPr="00DE25ED">
        <w:rPr>
          <w:shd w:val="clear" w:color="auto" w:fill="FFFFFF"/>
        </w:rPr>
        <w:t xml:space="preserve">. Náklady 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hadovanom počte subjektov, ktoré budú musieť viesť evidenciu. Údaje vedené v zmysle tejto evidencie nie sú nad rámec povinností vzťahujúcich sa na všeobecnú evidenciu.</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2 739</w:t>
      </w:r>
      <w:r w:rsidRPr="00DE25ED">
        <w:rPr>
          <w:shd w:val="clear" w:color="auto" w:fill="FFFFFF"/>
        </w:rPr>
        <w:t xml:space="preserve"> Eur.</w:t>
      </w:r>
    </w:p>
    <w:p w:rsidR="00BA1532" w:rsidRPr="001910DE" w:rsidRDefault="00BA1532" w:rsidP="00BA1532">
      <w:pPr>
        <w:jc w:val="both"/>
        <w:rPr>
          <w:b/>
          <w:color w:val="000000"/>
        </w:rPr>
      </w:pPr>
      <w:r>
        <w:rPr>
          <w:b/>
          <w:color w:val="000000"/>
        </w:rPr>
        <w:t>18</w:t>
      </w:r>
      <w:r w:rsidRPr="001910DE">
        <w:rPr>
          <w:b/>
          <w:color w:val="000000"/>
        </w:rPr>
        <w:t>. Oznamovacia povinnosť obchodníka – prevádzkareň</w:t>
      </w:r>
      <w:r>
        <w:rPr>
          <w:b/>
          <w:color w:val="000000"/>
        </w:rPr>
        <w:t xml:space="preserve"> a zoznam dodávateľov</w:t>
      </w:r>
    </w:p>
    <w:p w:rsidR="00BA1532" w:rsidRDefault="00BA1532" w:rsidP="00BA1532">
      <w:pPr>
        <w:tabs>
          <w:tab w:val="left" w:pos="709"/>
          <w:tab w:val="left" w:pos="851"/>
        </w:tabs>
        <w:spacing w:before="240" w:line="252" w:lineRule="auto"/>
        <w:jc w:val="both"/>
      </w:pPr>
      <w:r w:rsidRPr="001910DE">
        <w:rPr>
          <w:color w:val="000000"/>
        </w:rPr>
        <w:t>Regulácia dotknutým subjektom zvyšuje náklady. Držiteľ povolenia na obchodovanie s </w:t>
      </w:r>
      <w:r>
        <w:rPr>
          <w:color w:val="000000"/>
        </w:rPr>
        <w:t>I</w:t>
      </w:r>
      <w:r w:rsidRPr="001910DE">
        <w:rPr>
          <w:color w:val="000000"/>
        </w:rPr>
        <w:t xml:space="preserve">TV </w:t>
      </w:r>
      <w:r w:rsidRPr="001910DE">
        <w:t>je povinný</w:t>
      </w:r>
      <w:r>
        <w:t xml:space="preserve"> </w:t>
      </w:r>
      <w:r w:rsidRPr="00006A16">
        <w:t xml:space="preserve">oznámiť colnému úradu </w:t>
      </w:r>
      <w:r>
        <w:t>každú zmenu adresy umiestnenia prevádzkarne, ak nie je totožná</w:t>
      </w:r>
      <w:r w:rsidRPr="00006A16">
        <w:t xml:space="preserve"> so sídlom alebo s trvalým pobytom </w:t>
      </w:r>
      <w:r>
        <w:t xml:space="preserve">subjektu a </w:t>
      </w:r>
      <w:r w:rsidRPr="00006A16">
        <w:t xml:space="preserve">zoznam dodávateľov </w:t>
      </w:r>
      <w:r>
        <w:t>ITV.</w:t>
      </w:r>
    </w:p>
    <w:p w:rsidR="00BA1532" w:rsidRDefault="00BA1532" w:rsidP="00BA1532">
      <w:pPr>
        <w:jc w:val="both"/>
        <w:rPr>
          <w:shd w:val="clear" w:color="auto" w:fill="FFFFFF"/>
        </w:rPr>
      </w:pPr>
      <w:r w:rsidRPr="00DE25ED">
        <w:rPr>
          <w:shd w:val="clear" w:color="auto" w:fill="FFFFFF"/>
        </w:rPr>
        <w:t xml:space="preserve">Predmetná regulácia pre dotknuté subjekty predstavuje administratívny vplyv. </w:t>
      </w:r>
      <w:r w:rsidRPr="003B75A5">
        <w:t>Počet dotknutých subjektov</w:t>
      </w:r>
      <w:r>
        <w:t xml:space="preserve"> odhaduje MF SR vo výške 5 % z celkového počtu 450 subjektov podnikajúcich s tabakovými výrobkami – 23 subjektov  (výpočet v regulácii č. 1)</w:t>
      </w:r>
      <w:r w:rsidRPr="00DE25ED">
        <w:rPr>
          <w:shd w:val="clear" w:color="auto" w:fill="FFFFFF"/>
        </w:rPr>
        <w:t xml:space="preserve">. Náklady </w:t>
      </w:r>
      <w:r w:rsidRPr="00DE25ED">
        <w:rPr>
          <w:shd w:val="clear" w:color="auto" w:fill="FFFFFF"/>
        </w:rPr>
        <w:lastRenderedPageBreak/>
        <w:t xml:space="preserve">regulácie boli určené ako administratívne. Pri kvantifikácii bol zvolený postup na základe alternatívy č. 2. Frekvencia plnenia bola určená </w:t>
      </w:r>
      <w:r>
        <w:rPr>
          <w:shd w:val="clear" w:color="auto" w:fill="FFFFFF"/>
        </w:rPr>
        <w:t>nepravidelne</w:t>
      </w:r>
      <w:r w:rsidRPr="00DE25ED">
        <w:rPr>
          <w:shd w:val="clear" w:color="auto" w:fill="FFFFFF"/>
        </w:rPr>
        <w:t xml:space="preserve"> pri od</w:t>
      </w:r>
      <w:r>
        <w:rPr>
          <w:shd w:val="clear" w:color="auto" w:fill="FFFFFF"/>
        </w:rPr>
        <w:t>hadovanom počte subjektov, ktoré budú musieť oznámiť zmenu.</w:t>
      </w:r>
      <w:r w:rsidRPr="00DE25ED">
        <w:rPr>
          <w:shd w:val="clear" w:color="auto" w:fill="FFFFFF"/>
        </w:rPr>
        <w:t xml:space="preserve"> Na základe výpočtu Kalkulačky nákladov na podnikateľské prostredie sa v súvislosti s touto reguláciou predpokladá </w:t>
      </w:r>
      <w:r>
        <w:rPr>
          <w:shd w:val="clear" w:color="auto" w:fill="FFFFFF"/>
        </w:rPr>
        <w:t>suma</w:t>
      </w:r>
      <w:r w:rsidRPr="00DE25ED">
        <w:rPr>
          <w:shd w:val="clear" w:color="auto" w:fill="FFFFFF"/>
        </w:rPr>
        <w:t xml:space="preserve"> administratívnych nákladov na podnikateľské prostredie (IN) vo výške </w:t>
      </w:r>
      <w:r>
        <w:rPr>
          <w:shd w:val="clear" w:color="auto" w:fill="FFFFFF"/>
        </w:rPr>
        <w:t>140</w:t>
      </w:r>
      <w:r w:rsidRPr="00DE25ED">
        <w:rPr>
          <w:shd w:val="clear" w:color="auto" w:fill="FFFFFF"/>
        </w:rPr>
        <w:t xml:space="preserve"> Eur.</w:t>
      </w:r>
    </w:p>
    <w:p w:rsidR="00BA1532" w:rsidRPr="008E4A1C" w:rsidRDefault="00BA1532" w:rsidP="00BA1532">
      <w:pPr>
        <w:jc w:val="both"/>
        <w:rPr>
          <w:color w:val="000000"/>
        </w:rPr>
      </w:pPr>
    </w:p>
    <w:p w:rsidR="00BA1532" w:rsidRPr="001F1B43" w:rsidRDefault="00BA1532" w:rsidP="00BA1532">
      <w:pPr>
        <w:jc w:val="both"/>
        <w:rPr>
          <w:rFonts w:eastAsia="Calibri"/>
          <w:b/>
          <w:bCs/>
          <w:i/>
          <w:u w:val="single"/>
        </w:rPr>
      </w:pPr>
      <w:r>
        <w:rPr>
          <w:rFonts w:eastAsia="Calibri"/>
          <w:b/>
          <w:bCs/>
          <w:i/>
          <w:u w:val="single"/>
        </w:rPr>
        <w:t>3.1.4 Odôvodnenie</w:t>
      </w:r>
      <w:r w:rsidRPr="00804BC8">
        <w:rPr>
          <w:rFonts w:eastAsia="Calibri"/>
          <w:b/>
          <w:bCs/>
          <w:i/>
          <w:u w:val="single"/>
        </w:rPr>
        <w:t xml:space="preserve"> </w:t>
      </w:r>
      <w:proofErr w:type="spellStart"/>
      <w:r w:rsidRPr="00804BC8">
        <w:rPr>
          <w:rFonts w:eastAsia="Calibri"/>
          <w:b/>
          <w:bCs/>
          <w:i/>
          <w:u w:val="single"/>
        </w:rPr>
        <w:t>goldplating</w:t>
      </w:r>
      <w:r>
        <w:rPr>
          <w:rFonts w:eastAsia="Calibri"/>
          <w:b/>
          <w:bCs/>
          <w:i/>
          <w:u w:val="single"/>
        </w:rPr>
        <w:t>u</w:t>
      </w:r>
      <w:proofErr w:type="spellEnd"/>
      <w:r>
        <w:rPr>
          <w:rFonts w:eastAsia="Calibri"/>
          <w:b/>
          <w:bCs/>
          <w:i/>
          <w:u w:val="single"/>
        </w:rPr>
        <w:t xml:space="preserve"> </w:t>
      </w:r>
      <w:r w:rsidRPr="00804BC8">
        <w:rPr>
          <w:rFonts w:eastAsia="Calibri"/>
          <w:b/>
          <w:bCs/>
          <w:i/>
          <w:u w:val="single"/>
        </w:rPr>
        <w:t xml:space="preserve">podľa bodu 4 časti III </w:t>
      </w:r>
      <w:r>
        <w:rPr>
          <w:rFonts w:eastAsia="Calibri"/>
          <w:b/>
          <w:bCs/>
          <w:i/>
          <w:u w:val="single"/>
        </w:rPr>
        <w:t>jednotnej metodiky a ďalšie d</w:t>
      </w:r>
      <w:r w:rsidRPr="001F1B43">
        <w:rPr>
          <w:rFonts w:eastAsia="Calibri"/>
          <w:b/>
          <w:bCs/>
          <w:i/>
          <w:u w:val="single"/>
        </w:rPr>
        <w:t>oplňujúce informácie</w:t>
      </w:r>
      <w:r>
        <w:rPr>
          <w:rStyle w:val="Odkaznapoznmkupodiarou"/>
          <w:rFonts w:eastAsia="Calibri"/>
          <w:b/>
          <w:bCs/>
          <w:i/>
          <w:u w:val="single"/>
        </w:rPr>
        <w:footnoteReference w:id="2"/>
      </w:r>
      <w:r w:rsidRPr="001F1B43">
        <w:rPr>
          <w:rFonts w:eastAsia="Calibri"/>
          <w:b/>
          <w:bCs/>
          <w:i/>
          <w:u w:val="single"/>
        </w:rPr>
        <w:t xml:space="preserve"> </w:t>
      </w:r>
    </w:p>
    <w:p w:rsidR="00BA1532" w:rsidRPr="000C5419" w:rsidRDefault="00BA1532" w:rsidP="00BA1532">
      <w:pPr>
        <w:jc w:val="both"/>
        <w:rPr>
          <w:rFonts w:eastAsia="Calibri"/>
          <w:bCs/>
          <w:i/>
          <w:iCs/>
          <w:color w:val="000000"/>
        </w:rPr>
      </w:pPr>
      <w:r w:rsidRPr="000C5419">
        <w:rPr>
          <w:rFonts w:eastAsia="Calibri"/>
          <w:bCs/>
          <w:i/>
          <w:iCs/>
          <w:color w:val="000000"/>
        </w:rPr>
        <w:t xml:space="preserve">Požadované informácie </w:t>
      </w:r>
      <w:r>
        <w:rPr>
          <w:rFonts w:eastAsia="Calibri"/>
          <w:bCs/>
          <w:i/>
          <w:iCs/>
          <w:color w:val="000000"/>
        </w:rPr>
        <w:t>uveďte</w:t>
      </w:r>
      <w:r w:rsidRPr="000C5419">
        <w:rPr>
          <w:rFonts w:eastAsia="Calibri"/>
          <w:bCs/>
          <w:i/>
          <w:iCs/>
          <w:color w:val="000000"/>
        </w:rPr>
        <w:t xml:space="preserve"> osobitne ku každému identifikovanému </w:t>
      </w:r>
      <w:proofErr w:type="spellStart"/>
      <w:r w:rsidRPr="000C5419">
        <w:rPr>
          <w:rFonts w:eastAsia="Calibri"/>
          <w:bCs/>
          <w:i/>
          <w:iCs/>
          <w:color w:val="000000"/>
        </w:rPr>
        <w:t>goldplatingu</w:t>
      </w:r>
      <w:proofErr w:type="spellEnd"/>
      <w:r w:rsidRPr="000C5419">
        <w:rPr>
          <w:rFonts w:eastAsia="Calibri"/>
          <w:bCs/>
          <w:i/>
          <w:iCs/>
          <w:color w:val="000000"/>
        </w:rPr>
        <w:t xml:space="preserve"> (ku každej hodnotenej regulácii s </w:t>
      </w:r>
      <w:proofErr w:type="spellStart"/>
      <w:r w:rsidRPr="000C5419">
        <w:rPr>
          <w:rFonts w:eastAsia="Calibri"/>
          <w:bCs/>
          <w:i/>
          <w:iCs/>
          <w:color w:val="000000"/>
        </w:rPr>
        <w:t>goldplatingom</w:t>
      </w:r>
      <w:proofErr w:type="spellEnd"/>
      <w:r w:rsidRPr="000C5419">
        <w:rPr>
          <w:rFonts w:eastAsia="Calibri"/>
          <w:bCs/>
          <w:i/>
          <w:iCs/>
          <w:color w:val="000000"/>
        </w:rPr>
        <w:t xml:space="preserve"> osobitne). </w:t>
      </w:r>
    </w:p>
    <w:p w:rsidR="00BA1532" w:rsidRPr="000C5419" w:rsidRDefault="00BA1532" w:rsidP="00BA1532">
      <w:pPr>
        <w:jc w:val="both"/>
        <w:rPr>
          <w:rFonts w:eastAsia="Calibri"/>
          <w:bCs/>
          <w:i/>
          <w:iCs/>
          <w:color w:val="000000"/>
        </w:rPr>
      </w:pPr>
      <w:r>
        <w:rPr>
          <w:rFonts w:eastAsia="Calibri"/>
          <w:bCs/>
          <w:i/>
          <w:iCs/>
          <w:color w:val="000000"/>
        </w:rPr>
        <w:t>Uveďte o</w:t>
      </w:r>
      <w:r w:rsidRPr="004239D1">
        <w:rPr>
          <w:rFonts w:eastAsia="Calibri"/>
          <w:bCs/>
          <w:i/>
          <w:iCs/>
          <w:color w:val="000000"/>
        </w:rPr>
        <w:t xml:space="preserve">dôvodnenie </w:t>
      </w:r>
      <w:proofErr w:type="spellStart"/>
      <w:r w:rsidRPr="004239D1">
        <w:rPr>
          <w:rFonts w:eastAsia="Calibri"/>
          <w:bCs/>
          <w:i/>
          <w:iCs/>
          <w:color w:val="000000"/>
        </w:rPr>
        <w:t>goldplatingu</w:t>
      </w:r>
      <w:proofErr w:type="spellEnd"/>
      <w:r w:rsidRPr="004239D1">
        <w:rPr>
          <w:rFonts w:eastAsia="Calibri"/>
          <w:bCs/>
          <w:i/>
          <w:iCs/>
          <w:color w:val="000000"/>
        </w:rPr>
        <w:t xml:space="preserve"> </w:t>
      </w:r>
      <w:r>
        <w:rPr>
          <w:rFonts w:eastAsia="Calibri"/>
          <w:bCs/>
          <w:i/>
          <w:iCs/>
          <w:color w:val="000000"/>
        </w:rPr>
        <w:t xml:space="preserve">z hľadiska </w:t>
      </w:r>
      <w:r w:rsidRPr="004239D1">
        <w:rPr>
          <w:rFonts w:eastAsia="Calibri"/>
          <w:bCs/>
          <w:i/>
          <w:iCs/>
          <w:color w:val="000000"/>
        </w:rPr>
        <w:t>jeho nespochybniteľnej nevyhnutnosti.</w:t>
      </w:r>
      <w:r>
        <w:rPr>
          <w:rFonts w:eastAsia="Calibri"/>
          <w:bCs/>
          <w:i/>
          <w:iCs/>
          <w:color w:val="000000"/>
        </w:rPr>
        <w:t xml:space="preserve"> Odôvodnenie doložte dôkladným hodnotením prínosov a nákladov. </w:t>
      </w:r>
      <w:r w:rsidRPr="005D39D8">
        <w:rPr>
          <w:rFonts w:eastAsia="Calibri"/>
          <w:bCs/>
          <w:i/>
          <w:iCs/>
          <w:color w:val="000000"/>
        </w:rPr>
        <w:t>Uveďte zvážené alternatívne riešenia.</w:t>
      </w:r>
      <w:r>
        <w:rPr>
          <w:rFonts w:eastAsia="Calibri"/>
          <w:bCs/>
          <w:i/>
          <w:iCs/>
          <w:color w:val="000000"/>
        </w:rPr>
        <w:t>.</w:t>
      </w:r>
    </w:p>
    <w:p w:rsidR="00BA1532" w:rsidRPr="000C5419" w:rsidRDefault="00BA1532" w:rsidP="00BA1532">
      <w:pPr>
        <w:jc w:val="both"/>
        <w:rPr>
          <w:rFonts w:eastAsia="Calibri"/>
          <w:bCs/>
          <w:i/>
          <w:iCs/>
          <w:color w:val="000000"/>
        </w:rPr>
      </w:pPr>
      <w:r>
        <w:rPr>
          <w:rFonts w:eastAsia="Calibri"/>
          <w:bCs/>
          <w:i/>
          <w:iCs/>
          <w:color w:val="000000"/>
        </w:rPr>
        <w:t xml:space="preserve">Zároveň uveďte </w:t>
      </w:r>
      <w:r w:rsidRPr="00284B8C">
        <w:rPr>
          <w:rFonts w:eastAsia="Calibri"/>
          <w:bCs/>
          <w:i/>
          <w:iCs/>
          <w:color w:val="000000"/>
        </w:rPr>
        <w:t>konkrétne informácie súvisiace s </w:t>
      </w:r>
      <w:r>
        <w:rPr>
          <w:rFonts w:eastAsia="Calibri"/>
          <w:bCs/>
          <w:i/>
          <w:iCs/>
          <w:color w:val="000000"/>
        </w:rPr>
        <w:t>kategóriou</w:t>
      </w:r>
      <w:r w:rsidRPr="00284B8C">
        <w:rPr>
          <w:rFonts w:eastAsia="Calibri"/>
          <w:bCs/>
          <w:i/>
          <w:iCs/>
          <w:color w:val="000000"/>
        </w:rPr>
        <w:t xml:space="preserve"> </w:t>
      </w:r>
      <w:proofErr w:type="spellStart"/>
      <w:r w:rsidRPr="00284B8C">
        <w:rPr>
          <w:rFonts w:eastAsia="Calibri"/>
          <w:bCs/>
          <w:i/>
          <w:iCs/>
          <w:color w:val="000000"/>
        </w:rPr>
        <w:t>goldplatingu</w:t>
      </w:r>
      <w:proofErr w:type="spellEnd"/>
      <w:r>
        <w:rPr>
          <w:rFonts w:eastAsia="Calibri"/>
          <w:bCs/>
          <w:i/>
          <w:iCs/>
          <w:color w:val="000000"/>
        </w:rPr>
        <w:t xml:space="preserve"> podľa jednotnej metodiky</w:t>
      </w:r>
      <w:r w:rsidRPr="00284B8C">
        <w:rPr>
          <w:rFonts w:eastAsia="Calibri"/>
          <w:bCs/>
          <w:i/>
          <w:iCs/>
          <w:color w:val="000000"/>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eastAsia="Calibri"/>
          <w:bCs/>
          <w:i/>
          <w:iCs/>
          <w:color w:val="000000"/>
        </w:rPr>
        <w:t xml:space="preserve"> požiadavky. </w:t>
      </w:r>
    </w:p>
    <w:p w:rsidR="00BA1532" w:rsidRDefault="00BA1532" w:rsidP="00BA1532">
      <w:pPr>
        <w:jc w:val="both"/>
        <w:rPr>
          <w:rFonts w:eastAsia="Calibri"/>
          <w:b/>
        </w:rPr>
      </w:pPr>
      <w:r w:rsidRPr="00F244DC">
        <w:rPr>
          <w:rFonts w:eastAsia="Calibri"/>
          <w:bCs/>
          <w:i/>
          <w:iCs/>
        </w:rPr>
        <w:t xml:space="preserve">Využitie </w:t>
      </w:r>
      <w:proofErr w:type="spellStart"/>
      <w:r w:rsidRPr="00F244DC">
        <w:rPr>
          <w:rFonts w:eastAsia="Calibri"/>
          <w:bCs/>
          <w:i/>
          <w:iCs/>
        </w:rPr>
        <w:t>goldplatingu</w:t>
      </w:r>
      <w:proofErr w:type="spellEnd"/>
      <w:r w:rsidRPr="00F244DC">
        <w:rPr>
          <w:rFonts w:eastAsia="Calibri"/>
          <w:bCs/>
          <w:i/>
          <w:iCs/>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eastAsia="Calibri"/>
          <w:bCs/>
          <w:i/>
          <w:iCs/>
        </w:rPr>
        <w:t>goldplatingu</w:t>
      </w:r>
      <w:proofErr w:type="spellEnd"/>
      <w:r w:rsidRPr="00F244DC">
        <w:rPr>
          <w:rFonts w:eastAsia="Calibri"/>
          <w:bCs/>
          <w:i/>
          <w:iCs/>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BA1532" w:rsidRDefault="00BA1532" w:rsidP="00BA1532">
      <w:pPr>
        <w:jc w:val="both"/>
        <w:rPr>
          <w:rFonts w:eastAsia="Calibri"/>
          <w:b/>
        </w:rPr>
      </w:pPr>
    </w:p>
    <w:p w:rsidR="00BA1532" w:rsidRPr="001F1B43" w:rsidRDefault="00BA1532" w:rsidP="00BA1532">
      <w:pPr>
        <w:jc w:val="both"/>
        <w:rPr>
          <w:rFonts w:eastAsia="Calibri"/>
          <w:b/>
        </w:rPr>
      </w:pPr>
      <w:r w:rsidRPr="001F1B43">
        <w:rPr>
          <w:rFonts w:eastAsia="Calibri"/>
          <w:b/>
        </w:rPr>
        <w:t>3.2 Vyhodnotenie konzultácií s podnikateľskými subjektmi pred predbežným pripomienkovým konaním</w:t>
      </w:r>
    </w:p>
    <w:p w:rsidR="00BA1532" w:rsidRPr="00D8247C" w:rsidRDefault="00BA1532" w:rsidP="00BA1532">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eastAsia="Calibri"/>
          <w:i/>
        </w:rPr>
        <w:t>link</w:t>
      </w:r>
      <w:proofErr w:type="spellEnd"/>
      <w:r w:rsidRPr="00D8247C">
        <w:rPr>
          <w:rFonts w:eastAsia="Calibri"/>
          <w:i/>
        </w:rPr>
        <w:t xml:space="preserve"> na webovú stránku, na ktorej boli konzultácie zverejnené. </w:t>
      </w:r>
    </w:p>
    <w:p w:rsidR="00BA1532" w:rsidRPr="00D8247C" w:rsidRDefault="00BA1532" w:rsidP="00BA1532">
      <w:pPr>
        <w:jc w:val="both"/>
        <w:rPr>
          <w:rFonts w:eastAsia="Calibri"/>
          <w:i/>
        </w:rPr>
      </w:pPr>
      <w:r w:rsidRPr="00D8247C">
        <w:rPr>
          <w:rFonts w:eastAsia="Calibri"/>
          <w:i/>
        </w:rPr>
        <w:t xml:space="preserve">Uveďte hlavné body konzultácií a ich závery. </w:t>
      </w:r>
    </w:p>
    <w:p w:rsidR="00BA1532" w:rsidRPr="00D8247C" w:rsidRDefault="00BA1532" w:rsidP="00BA1532">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BA1532" w:rsidRPr="00D8247C" w:rsidRDefault="00BA1532" w:rsidP="00BA1532">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rsidR="00BA1532" w:rsidRDefault="00BA1532" w:rsidP="00BA1532">
      <w:pPr>
        <w:jc w:val="both"/>
        <w:rPr>
          <w:rFonts w:eastAsia="Calibri"/>
          <w:i/>
        </w:rPr>
      </w:pPr>
    </w:p>
    <w:p w:rsidR="00BA1532" w:rsidRPr="007E1E29" w:rsidRDefault="00BA1532" w:rsidP="00BA1532">
      <w:pPr>
        <w:pStyle w:val="Normlnywebov"/>
        <w:jc w:val="both"/>
      </w:pPr>
      <w:r w:rsidRPr="007E1E29">
        <w:t>Verejnosť bola o príprave návrhu zákona informovaná prostredníctvom predbežnej informácie č. PI/2023/190 zverejnenej v informačnom systéme verejnej správy Slov-Lex (internetová stránka www.slov-lex.sk) od 4.7.2023, s termínom ukončenia pripomienkového konania dňa 17.7.2023. K predbežnej informácii boli zaslané podnety 5 subjektov.</w:t>
      </w:r>
    </w:p>
    <w:p w:rsidR="00BA1532" w:rsidRPr="007E1E29" w:rsidRDefault="00BA1532" w:rsidP="00BA1532">
      <w:pPr>
        <w:jc w:val="both"/>
      </w:pPr>
      <w:r w:rsidRPr="007E1E29">
        <w:lastRenderedPageBreak/>
        <w:t xml:space="preserve">K predbežnej informácii boli uskutočnené verejné diskusie s Inštitútom ekonomických a spoločenských analýz (INESS), Ministerstvom hospodárstva SR, </w:t>
      </w:r>
      <w:proofErr w:type="spellStart"/>
      <w:r w:rsidRPr="007E1E29">
        <w:t>AmCham</w:t>
      </w:r>
      <w:proofErr w:type="spellEnd"/>
      <w:r w:rsidRPr="007E1E29">
        <w:t xml:space="preserve"> Slovakia, </w:t>
      </w:r>
      <w:proofErr w:type="spellStart"/>
      <w:r w:rsidRPr="007E1E29">
        <w:t>Imperial</w:t>
      </w:r>
      <w:proofErr w:type="spellEnd"/>
      <w:r w:rsidRPr="007E1E29">
        <w:t xml:space="preserve"> </w:t>
      </w:r>
      <w:proofErr w:type="spellStart"/>
      <w:r w:rsidRPr="007E1E29">
        <w:t>Tobacco</w:t>
      </w:r>
      <w:proofErr w:type="spellEnd"/>
      <w:r w:rsidRPr="007E1E29">
        <w:t xml:space="preserve"> Slovakia a.s. (ITS), </w:t>
      </w:r>
      <w:proofErr w:type="spellStart"/>
      <w:r w:rsidRPr="007E1E29">
        <w:t>Philip</w:t>
      </w:r>
      <w:proofErr w:type="spellEnd"/>
      <w:r w:rsidRPr="007E1E29">
        <w:t xml:space="preserve"> Morris International (PMI) a Inštitútom moderného spotrebiteľa (IMS) v auguste 2023, ktoré sa primárne týkali úprave výšky sadzieb a nastavenia daňového kalendára pre klasické tabakové výrobky. Z týchto diskusií vzišli požiadavky na nastavenie zdanenia nových nikotínových výrobkov. V nadväznosti na augustové konzultácie boli následne uskutočnené verejné diskusie s Asociáciou distribútorov tabakových výrobkov Slovenska, GGT a.s., </w:t>
      </w:r>
      <w:proofErr w:type="spellStart"/>
      <w:r w:rsidRPr="007E1E29">
        <w:t>Mirage</w:t>
      </w:r>
      <w:proofErr w:type="spellEnd"/>
      <w:r w:rsidRPr="007E1E29">
        <w:t xml:space="preserve"> Distribútor SK s.r.o., Zväz obchodu SR, Potravinárska komora Slovenska, </w:t>
      </w:r>
      <w:proofErr w:type="spellStart"/>
      <w:r w:rsidRPr="007E1E29">
        <w:t>Geco</w:t>
      </w:r>
      <w:proofErr w:type="spellEnd"/>
      <w:r w:rsidRPr="007E1E29">
        <w:t xml:space="preserve"> tabak a Continental </w:t>
      </w:r>
      <w:proofErr w:type="spellStart"/>
      <w:r w:rsidRPr="007E1E29">
        <w:t>Tobacco</w:t>
      </w:r>
      <w:proofErr w:type="spellEnd"/>
      <w:r w:rsidRPr="007E1E29">
        <w:t xml:space="preserve"> Slovakia s.r.o. dňa 30.11.2023 a so Slovenským združením pre značkové výrobky, PMI, ITS,  Japan </w:t>
      </w:r>
      <w:proofErr w:type="spellStart"/>
      <w:r w:rsidRPr="007E1E29">
        <w:t>Tobacco</w:t>
      </w:r>
      <w:proofErr w:type="spellEnd"/>
      <w:r w:rsidRPr="007E1E29">
        <w:t xml:space="preserve"> International (JTI) a British American </w:t>
      </w:r>
      <w:proofErr w:type="spellStart"/>
      <w:r w:rsidRPr="007E1E29">
        <w:t>Tobacco</w:t>
      </w:r>
      <w:proofErr w:type="spellEnd"/>
      <w:r w:rsidRPr="007E1E29">
        <w:t xml:space="preserve"> (BAT) dňa 1.12.2023.</w:t>
      </w:r>
    </w:p>
    <w:p w:rsidR="00BA1532" w:rsidRPr="007E1E29" w:rsidRDefault="00BA1532" w:rsidP="00BA1532">
      <w:pPr>
        <w:pStyle w:val="Obyajntext"/>
        <w:jc w:val="both"/>
        <w:rPr>
          <w:rFonts w:ascii="Times New Roman" w:hAnsi="Times New Roman" w:cs="Times New Roman"/>
          <w:sz w:val="24"/>
          <w:szCs w:val="24"/>
        </w:rPr>
      </w:pPr>
    </w:p>
    <w:p w:rsidR="00BA1532" w:rsidRPr="007E1E29" w:rsidRDefault="00BA1532" w:rsidP="00BA1532">
      <w:pPr>
        <w:pStyle w:val="Obyajntext"/>
        <w:jc w:val="both"/>
        <w:rPr>
          <w:rFonts w:ascii="Times New Roman" w:hAnsi="Times New Roman" w:cs="Times New Roman"/>
          <w:sz w:val="24"/>
          <w:szCs w:val="24"/>
        </w:rPr>
      </w:pPr>
      <w:r w:rsidRPr="007E1E29">
        <w:rPr>
          <w:rFonts w:ascii="Times New Roman" w:hAnsi="Times New Roman" w:cs="Times New Roman"/>
          <w:sz w:val="24"/>
          <w:szCs w:val="24"/>
        </w:rPr>
        <w:t>Diskusia k 30.11.2023 a 1.12.2023:</w:t>
      </w:r>
    </w:p>
    <w:p w:rsidR="00BA1532" w:rsidRPr="007E1E29" w:rsidRDefault="00BA1532" w:rsidP="00BA1532">
      <w:pPr>
        <w:pStyle w:val="Obyajntext"/>
        <w:jc w:val="both"/>
        <w:rPr>
          <w:rFonts w:ascii="Times New Roman" w:hAnsi="Times New Roman" w:cs="Times New Roman"/>
          <w:sz w:val="24"/>
          <w:szCs w:val="24"/>
        </w:rPr>
      </w:pPr>
      <w:r w:rsidRPr="007E1E29">
        <w:rPr>
          <w:rFonts w:ascii="Times New Roman" w:hAnsi="Times New Roman" w:cs="Times New Roman"/>
          <w:sz w:val="24"/>
          <w:szCs w:val="24"/>
        </w:rPr>
        <w:t xml:space="preserve">Hlavnou témou diskusie bolo podrobnejšie oboznámenie sa zo zámermi MF SR v súvislosti s novo pripravovaným iniciatívnym legislatívnym návrhom MF SR a vyjadrenie zástupcov subjektov podnikajúcich na trhu s takýmito výrobkami. </w:t>
      </w:r>
    </w:p>
    <w:p w:rsidR="00BA1532" w:rsidRPr="007E1E29" w:rsidRDefault="00BA1532" w:rsidP="00BA1532">
      <w:pPr>
        <w:pStyle w:val="Obyajntext"/>
        <w:jc w:val="both"/>
        <w:rPr>
          <w:rFonts w:ascii="Times New Roman" w:hAnsi="Times New Roman" w:cs="Times New Roman"/>
          <w:bCs/>
          <w:sz w:val="24"/>
          <w:szCs w:val="24"/>
        </w:rPr>
      </w:pPr>
    </w:p>
    <w:p w:rsidR="00BA1532" w:rsidRPr="007E1E29" w:rsidRDefault="00BA1532" w:rsidP="00BA1532">
      <w:pPr>
        <w:pStyle w:val="Obyajntext"/>
        <w:jc w:val="both"/>
        <w:rPr>
          <w:rFonts w:ascii="Times New Roman" w:hAnsi="Times New Roman" w:cs="Times New Roman"/>
          <w:sz w:val="24"/>
          <w:szCs w:val="24"/>
        </w:rPr>
      </w:pPr>
      <w:r w:rsidRPr="007E1E29">
        <w:rPr>
          <w:rFonts w:ascii="Times New Roman" w:hAnsi="Times New Roman" w:cs="Times New Roman"/>
          <w:bCs/>
          <w:sz w:val="24"/>
          <w:szCs w:val="24"/>
        </w:rPr>
        <w:t>Zástupcovia MF SR uviedli,</w:t>
      </w:r>
      <w:r w:rsidRPr="007E1E29">
        <w:rPr>
          <w:rFonts w:ascii="Times New Roman" w:hAnsi="Times New Roman" w:cs="Times New Roman"/>
          <w:sz w:val="24"/>
          <w:szCs w:val="24"/>
        </w:rPr>
        <w:t xml:space="preserve"> že počas druhej polovice leta sa uskutočnili konzultácie so subjektami, ktoré MF SR zaslali vyjadrenia k predbežnej informácii publikovanej na portáli SLOV-Lex k návrhu zákona ktorým sa mení a dopĺňa zákon č. 106/2004 Z. z. V rámci týchto konzultácií boli zo strany subjektov vznesené požiadavky o riešenie situácie s takými produktami na trhu, ktoré aktuálne nespadajú pod zákon č. 106/2004 </w:t>
      </w:r>
      <w:proofErr w:type="spellStart"/>
      <w:r w:rsidRPr="007E1E29">
        <w:rPr>
          <w:rFonts w:ascii="Times New Roman" w:hAnsi="Times New Roman" w:cs="Times New Roman"/>
          <w:sz w:val="24"/>
          <w:szCs w:val="24"/>
        </w:rPr>
        <w:t>Z.z</w:t>
      </w:r>
      <w:proofErr w:type="spellEnd"/>
      <w:r w:rsidRPr="007E1E29">
        <w:rPr>
          <w:rFonts w:ascii="Times New Roman" w:hAnsi="Times New Roman" w:cs="Times New Roman"/>
          <w:sz w:val="24"/>
          <w:szCs w:val="24"/>
        </w:rPr>
        <w:t>, a to z dôvodu, že v súčasnosti veľa členských štátov EÚ už zdaňuje elektronické cigarety a nikotínové vrecúška, čím sa kontroluje podnikanie a trh s nimi, eliminujú sa pochybní podnikatelia a výrobky a zároveň sa tým zvýši ochrana spotrebiteľa.</w:t>
      </w:r>
    </w:p>
    <w:p w:rsidR="00BA1532" w:rsidRPr="007E1E29" w:rsidRDefault="00BA1532" w:rsidP="00BA1532">
      <w:pPr>
        <w:pStyle w:val="Obyajntext"/>
        <w:jc w:val="both"/>
        <w:rPr>
          <w:rFonts w:ascii="Times New Roman" w:hAnsi="Times New Roman" w:cs="Times New Roman"/>
          <w:sz w:val="24"/>
          <w:szCs w:val="24"/>
        </w:rPr>
      </w:pPr>
    </w:p>
    <w:p w:rsidR="00BA1532" w:rsidRPr="007E1E29" w:rsidRDefault="00BA1532" w:rsidP="00BA1532">
      <w:pPr>
        <w:pStyle w:val="Obyajntext"/>
        <w:jc w:val="both"/>
        <w:rPr>
          <w:rFonts w:ascii="Times New Roman" w:hAnsi="Times New Roman" w:cs="Times New Roman"/>
          <w:bCs/>
          <w:sz w:val="24"/>
          <w:szCs w:val="24"/>
        </w:rPr>
      </w:pPr>
      <w:r w:rsidRPr="007E1E29">
        <w:rPr>
          <w:rFonts w:ascii="Times New Roman" w:hAnsi="Times New Roman" w:cs="Times New Roman"/>
          <w:bCs/>
          <w:sz w:val="24"/>
          <w:szCs w:val="24"/>
        </w:rPr>
        <w:t xml:space="preserve">V programovom vyhlásení novej vlády SR je zakotvený boj s negatívnymi </w:t>
      </w:r>
      <w:proofErr w:type="spellStart"/>
      <w:r w:rsidRPr="007E1E29">
        <w:rPr>
          <w:rFonts w:ascii="Times New Roman" w:hAnsi="Times New Roman" w:cs="Times New Roman"/>
          <w:bCs/>
          <w:sz w:val="24"/>
          <w:szCs w:val="24"/>
        </w:rPr>
        <w:t>externalitami</w:t>
      </w:r>
      <w:proofErr w:type="spellEnd"/>
      <w:r w:rsidRPr="007E1E29">
        <w:rPr>
          <w:rFonts w:ascii="Times New Roman" w:hAnsi="Times New Roman" w:cs="Times New Roman"/>
          <w:bCs/>
          <w:sz w:val="24"/>
          <w:szCs w:val="24"/>
        </w:rPr>
        <w:t xml:space="preserve"> ako takými. Zástupcovia MF SR by uvítali, ak by sa pozvané subjekty podelili so svojimi informáciami a skúsenosťami v tomto segmente, keďže MF SR disponuje iba minimálnymi informáciami a dátami. Tieto by sa následne využili pri príprave legislatívneho návrhu. MF SR očakávalo publikovanie návrhu KOM, kde mala byť ustanovená harmonizovaná úprava týkajúca sa týchto výrobkov, na ktorú sme chceli nadviazať v národnej legislatíve, no k publikovaniu nového návrhu smernice však nedôjde ani v prvom polroku 2024.</w:t>
      </w:r>
    </w:p>
    <w:p w:rsidR="00BA1532" w:rsidRPr="007E1E29" w:rsidRDefault="00BA1532" w:rsidP="00BA1532">
      <w:pPr>
        <w:pStyle w:val="Obyajntext"/>
        <w:jc w:val="both"/>
        <w:rPr>
          <w:rFonts w:ascii="Times New Roman" w:hAnsi="Times New Roman" w:cs="Times New Roman"/>
          <w:bCs/>
          <w:sz w:val="24"/>
          <w:szCs w:val="24"/>
        </w:rPr>
      </w:pPr>
    </w:p>
    <w:p w:rsidR="00BA1532" w:rsidRPr="007E1E29" w:rsidRDefault="00BA1532" w:rsidP="00BA1532">
      <w:pPr>
        <w:pStyle w:val="Obyajntext"/>
        <w:jc w:val="both"/>
        <w:rPr>
          <w:rFonts w:ascii="Times New Roman" w:hAnsi="Times New Roman" w:cs="Times New Roman"/>
          <w:bCs/>
          <w:sz w:val="24"/>
          <w:szCs w:val="24"/>
        </w:rPr>
      </w:pPr>
      <w:r w:rsidRPr="007E1E29">
        <w:rPr>
          <w:rFonts w:ascii="Times New Roman" w:hAnsi="Times New Roman" w:cs="Times New Roman"/>
          <w:bCs/>
          <w:sz w:val="24"/>
          <w:szCs w:val="24"/>
        </w:rPr>
        <w:t xml:space="preserve">Prvotný zámer MF SR je zákaz predaja týchto produktov pre mladších ako 18 rokov, zdaňovanie nikotínových aj </w:t>
      </w:r>
      <w:proofErr w:type="spellStart"/>
      <w:r w:rsidRPr="007E1E29">
        <w:rPr>
          <w:rFonts w:ascii="Times New Roman" w:hAnsi="Times New Roman" w:cs="Times New Roman"/>
          <w:bCs/>
          <w:sz w:val="24"/>
          <w:szCs w:val="24"/>
        </w:rPr>
        <w:t>beznikotínových</w:t>
      </w:r>
      <w:proofErr w:type="spellEnd"/>
      <w:r w:rsidRPr="007E1E29">
        <w:rPr>
          <w:rFonts w:ascii="Times New Roman" w:hAnsi="Times New Roman" w:cs="Times New Roman"/>
          <w:bCs/>
          <w:sz w:val="24"/>
          <w:szCs w:val="24"/>
        </w:rPr>
        <w:t xml:space="preserve"> elektronických cigariet na ml obsahu.  Nie je ešte zrejmé, či a ako sa budú tieto produkty označovať. V tejto chvíli nie je zámerom vyhlásiť nejaký produkt z tejto kategórie menej škodlivým oproti klasickým cigaretám.</w:t>
      </w:r>
    </w:p>
    <w:p w:rsidR="00BA1532" w:rsidRPr="007E1E29" w:rsidRDefault="00BA1532" w:rsidP="00BA1532">
      <w:pPr>
        <w:pStyle w:val="Obyajntext"/>
        <w:jc w:val="both"/>
        <w:rPr>
          <w:rFonts w:ascii="Times New Roman" w:hAnsi="Times New Roman" w:cs="Times New Roman"/>
          <w:bCs/>
          <w:sz w:val="24"/>
          <w:szCs w:val="24"/>
        </w:rPr>
      </w:pPr>
    </w:p>
    <w:p w:rsidR="00BA1532" w:rsidRPr="007E1E29" w:rsidRDefault="00BA1532" w:rsidP="00BA1532">
      <w:pPr>
        <w:pStyle w:val="Obyajntext"/>
        <w:jc w:val="both"/>
        <w:rPr>
          <w:rFonts w:ascii="Times New Roman" w:hAnsi="Times New Roman" w:cs="Times New Roman"/>
          <w:bCs/>
          <w:sz w:val="24"/>
          <w:szCs w:val="24"/>
        </w:rPr>
      </w:pPr>
      <w:r w:rsidRPr="007E1E29">
        <w:rPr>
          <w:rFonts w:ascii="Times New Roman" w:hAnsi="Times New Roman" w:cs="Times New Roman"/>
          <w:bCs/>
          <w:sz w:val="24"/>
          <w:szCs w:val="24"/>
        </w:rPr>
        <w:t>Zástupcovia MF SR uviedli, že sa to stále mení, ale chcel sa, aby takýto legislatívny návrh prešiel štandardným legislatívnym procesom. Nevieme to však garantovať, keďže je možné, že rozhodnutie o tom bude možno politické. V takom prípade vieme upozorniť len na prípadné technické, resp. aplikačné problémy s tým spojené. Rokovanie NR SR sa začína 6. decembra 2023. Legislatíva by sa mala prijímať k 1. januáru/1. júlu (výnimka TV s februárom).</w:t>
      </w:r>
    </w:p>
    <w:p w:rsidR="00BA1532" w:rsidRPr="007E1E29" w:rsidRDefault="00BA1532" w:rsidP="00BA1532">
      <w:pPr>
        <w:pStyle w:val="Obyajntext"/>
        <w:jc w:val="both"/>
        <w:rPr>
          <w:rFonts w:ascii="Times New Roman" w:hAnsi="Times New Roman" w:cs="Times New Roman"/>
          <w:bCs/>
          <w:sz w:val="24"/>
          <w:szCs w:val="24"/>
        </w:rPr>
      </w:pPr>
    </w:p>
    <w:p w:rsidR="00B3448D" w:rsidRDefault="00B3448D" w:rsidP="00BA1532">
      <w:pPr>
        <w:pStyle w:val="Obyajntext"/>
        <w:jc w:val="both"/>
        <w:rPr>
          <w:rFonts w:ascii="Times New Roman" w:hAnsi="Times New Roman" w:cs="Times New Roman"/>
          <w:bCs/>
          <w:sz w:val="24"/>
          <w:szCs w:val="24"/>
        </w:rPr>
      </w:pPr>
    </w:p>
    <w:p w:rsidR="00F33D01" w:rsidRDefault="00F33D01" w:rsidP="00BA1532">
      <w:pPr>
        <w:pStyle w:val="Obyajntext"/>
        <w:jc w:val="both"/>
        <w:rPr>
          <w:rFonts w:ascii="Times New Roman" w:hAnsi="Times New Roman" w:cs="Times New Roman"/>
          <w:bCs/>
          <w:sz w:val="24"/>
          <w:szCs w:val="24"/>
        </w:rPr>
      </w:pPr>
    </w:p>
    <w:p w:rsidR="00F33D01" w:rsidRDefault="00F33D01" w:rsidP="00BA1532">
      <w:pPr>
        <w:pStyle w:val="Obyajntext"/>
        <w:jc w:val="both"/>
        <w:rPr>
          <w:rFonts w:ascii="Times New Roman" w:hAnsi="Times New Roman" w:cs="Times New Roman"/>
          <w:bCs/>
          <w:sz w:val="24"/>
          <w:szCs w:val="24"/>
        </w:rPr>
      </w:pPr>
    </w:p>
    <w:p w:rsidR="00B3448D" w:rsidRDefault="00B3448D" w:rsidP="00BA1532">
      <w:pPr>
        <w:pStyle w:val="Obyajntext"/>
        <w:jc w:val="both"/>
        <w:rPr>
          <w:rFonts w:ascii="Times New Roman" w:hAnsi="Times New Roman" w:cs="Times New Roman"/>
          <w:bCs/>
          <w:sz w:val="24"/>
          <w:szCs w:val="24"/>
        </w:rPr>
      </w:pPr>
    </w:p>
    <w:p w:rsidR="00B3448D" w:rsidRDefault="00B3448D" w:rsidP="00BA1532">
      <w:pPr>
        <w:pStyle w:val="Obyajntext"/>
        <w:jc w:val="both"/>
        <w:rPr>
          <w:rFonts w:ascii="Times New Roman" w:hAnsi="Times New Roman" w:cs="Times New Roman"/>
          <w:bCs/>
          <w:sz w:val="24"/>
          <w:szCs w:val="24"/>
        </w:rPr>
      </w:pPr>
    </w:p>
    <w:p w:rsidR="00BA1532" w:rsidRPr="007E1E29" w:rsidRDefault="00BA1532" w:rsidP="00BA1532">
      <w:pPr>
        <w:pStyle w:val="Obyajntext"/>
        <w:jc w:val="both"/>
        <w:rPr>
          <w:rFonts w:ascii="Times New Roman" w:hAnsi="Times New Roman" w:cs="Times New Roman"/>
          <w:bCs/>
          <w:sz w:val="24"/>
          <w:szCs w:val="24"/>
        </w:rPr>
      </w:pPr>
      <w:r w:rsidRPr="007E1E29">
        <w:rPr>
          <w:rFonts w:ascii="Times New Roman" w:hAnsi="Times New Roman" w:cs="Times New Roman"/>
          <w:bCs/>
          <w:sz w:val="24"/>
          <w:szCs w:val="24"/>
        </w:rPr>
        <w:lastRenderedPageBreak/>
        <w:t xml:space="preserve">Závery </w:t>
      </w:r>
    </w:p>
    <w:p w:rsidR="00BA1532" w:rsidRPr="007E1E29" w:rsidRDefault="00BA1532" w:rsidP="00BA1532">
      <w:pPr>
        <w:pStyle w:val="Obyajntext"/>
        <w:jc w:val="both"/>
        <w:rPr>
          <w:rFonts w:ascii="Times New Roman" w:hAnsi="Times New Roman" w:cs="Times New Roman"/>
          <w:bCs/>
          <w:sz w:val="24"/>
          <w:szCs w:val="24"/>
        </w:rPr>
      </w:pPr>
    </w:p>
    <w:p w:rsidR="00BA1532" w:rsidRPr="007E1E29" w:rsidRDefault="00BA1532" w:rsidP="00BA1532">
      <w:pPr>
        <w:pStyle w:val="Obyajntext"/>
        <w:numPr>
          <w:ilvl w:val="0"/>
          <w:numId w:val="20"/>
        </w:numPr>
        <w:jc w:val="both"/>
        <w:rPr>
          <w:rFonts w:ascii="Times New Roman" w:hAnsi="Times New Roman" w:cs="Times New Roman"/>
          <w:bCs/>
          <w:sz w:val="24"/>
          <w:szCs w:val="24"/>
        </w:rPr>
      </w:pPr>
      <w:r w:rsidRPr="007E1E29">
        <w:rPr>
          <w:rFonts w:ascii="Times New Roman" w:hAnsi="Times New Roman" w:cs="Times New Roman"/>
          <w:bCs/>
          <w:sz w:val="24"/>
          <w:szCs w:val="24"/>
        </w:rPr>
        <w:t>Zúčastnení vítajú iniciatívu MF SR diskutovať so subjektami podnikajúcimi na trhu v danom segmente o novej legislatíve týkajúcej sa zdaňovania iných ako tabakových výrobkov.</w:t>
      </w:r>
    </w:p>
    <w:p w:rsidR="00BA1532" w:rsidRPr="007E1E29" w:rsidRDefault="00BA1532" w:rsidP="00BA1532">
      <w:pPr>
        <w:pStyle w:val="Obyajntext"/>
        <w:numPr>
          <w:ilvl w:val="0"/>
          <w:numId w:val="20"/>
        </w:numPr>
        <w:jc w:val="both"/>
        <w:rPr>
          <w:rFonts w:ascii="Times New Roman" w:hAnsi="Times New Roman" w:cs="Times New Roman"/>
          <w:bCs/>
          <w:sz w:val="24"/>
          <w:szCs w:val="24"/>
        </w:rPr>
      </w:pPr>
      <w:r w:rsidRPr="007E1E29">
        <w:rPr>
          <w:rFonts w:ascii="Times New Roman" w:hAnsi="Times New Roman" w:cs="Times New Roman"/>
          <w:bCs/>
          <w:sz w:val="24"/>
          <w:szCs w:val="24"/>
        </w:rPr>
        <w:t>Panuje všeobecná zhoda na zavedení zdaňovania elektronických cigariet a nikotínových vrecúšok v štandardnom legislatívnom procese s dostatočným časovým rámcom na dopredaj.</w:t>
      </w:r>
    </w:p>
    <w:p w:rsidR="00BA1532" w:rsidRPr="007E1E29" w:rsidRDefault="00BA1532" w:rsidP="00BA1532">
      <w:pPr>
        <w:pStyle w:val="Obyajntext"/>
        <w:numPr>
          <w:ilvl w:val="0"/>
          <w:numId w:val="20"/>
        </w:numPr>
        <w:jc w:val="both"/>
        <w:rPr>
          <w:rFonts w:ascii="Times New Roman" w:hAnsi="Times New Roman" w:cs="Times New Roman"/>
          <w:bCs/>
          <w:sz w:val="24"/>
          <w:szCs w:val="24"/>
        </w:rPr>
      </w:pPr>
      <w:r w:rsidRPr="007E1E29">
        <w:rPr>
          <w:rFonts w:ascii="Times New Roman" w:hAnsi="Times New Roman" w:cs="Times New Roman"/>
          <w:bCs/>
          <w:sz w:val="24"/>
          <w:szCs w:val="24"/>
        </w:rPr>
        <w:t xml:space="preserve">Otázka označovania takýchto produktov nie je ešte vyriešená. </w:t>
      </w:r>
    </w:p>
    <w:p w:rsidR="00BA1532" w:rsidRPr="007E1E29" w:rsidRDefault="00BA1532" w:rsidP="00BA1532">
      <w:pPr>
        <w:pStyle w:val="Obyajntext"/>
        <w:numPr>
          <w:ilvl w:val="0"/>
          <w:numId w:val="20"/>
        </w:numPr>
        <w:jc w:val="both"/>
        <w:rPr>
          <w:rFonts w:ascii="Times New Roman" w:hAnsi="Times New Roman" w:cs="Times New Roman"/>
          <w:bCs/>
          <w:sz w:val="24"/>
          <w:szCs w:val="24"/>
        </w:rPr>
      </w:pPr>
      <w:r w:rsidRPr="007E1E29">
        <w:rPr>
          <w:rFonts w:ascii="Times New Roman" w:hAnsi="Times New Roman" w:cs="Times New Roman"/>
          <w:bCs/>
          <w:sz w:val="24"/>
          <w:szCs w:val="24"/>
        </w:rPr>
        <w:t xml:space="preserve">Je potrebné riešiť riziká spojené s predajom výrobkov prostredníctvom on </w:t>
      </w:r>
      <w:proofErr w:type="spellStart"/>
      <w:r w:rsidRPr="007E1E29">
        <w:rPr>
          <w:rFonts w:ascii="Times New Roman" w:hAnsi="Times New Roman" w:cs="Times New Roman"/>
          <w:bCs/>
          <w:sz w:val="24"/>
          <w:szCs w:val="24"/>
        </w:rPr>
        <w:t>line</w:t>
      </w:r>
      <w:proofErr w:type="spellEnd"/>
      <w:r w:rsidRPr="007E1E29">
        <w:rPr>
          <w:rFonts w:ascii="Times New Roman" w:hAnsi="Times New Roman" w:cs="Times New Roman"/>
          <w:bCs/>
          <w:sz w:val="24"/>
          <w:szCs w:val="24"/>
        </w:rPr>
        <w:t xml:space="preserve"> predaja, príp. automatov.</w:t>
      </w:r>
    </w:p>
    <w:p w:rsidR="00BA1532" w:rsidRPr="007E1E29" w:rsidRDefault="00BA1532" w:rsidP="00BA1532">
      <w:pPr>
        <w:pStyle w:val="Obyajntext"/>
        <w:numPr>
          <w:ilvl w:val="0"/>
          <w:numId w:val="20"/>
        </w:numPr>
        <w:jc w:val="both"/>
        <w:rPr>
          <w:rFonts w:ascii="Times New Roman" w:hAnsi="Times New Roman" w:cs="Times New Roman"/>
          <w:bCs/>
          <w:sz w:val="24"/>
          <w:szCs w:val="24"/>
        </w:rPr>
      </w:pPr>
      <w:r w:rsidRPr="007E1E29">
        <w:rPr>
          <w:rFonts w:ascii="Times New Roman" w:hAnsi="Times New Roman" w:cs="Times New Roman"/>
          <w:bCs/>
          <w:sz w:val="24"/>
          <w:szCs w:val="24"/>
        </w:rPr>
        <w:t>Zúčastnení vítajú, že zavedením režimu obchodovania s touto kategóriu výrobkov dôjde k eliminácii nepoctivých podnikateľov a pochybných výrobkov.</w:t>
      </w:r>
    </w:p>
    <w:p w:rsidR="00BA1532" w:rsidRPr="007E1E29" w:rsidRDefault="00BA1532" w:rsidP="00BA1532">
      <w:pPr>
        <w:pStyle w:val="Obyajntext"/>
        <w:numPr>
          <w:ilvl w:val="0"/>
          <w:numId w:val="20"/>
        </w:numPr>
        <w:jc w:val="both"/>
        <w:rPr>
          <w:rFonts w:ascii="Times New Roman" w:hAnsi="Times New Roman" w:cs="Times New Roman"/>
          <w:bCs/>
          <w:sz w:val="24"/>
          <w:szCs w:val="24"/>
        </w:rPr>
      </w:pPr>
      <w:r w:rsidRPr="007E1E29">
        <w:rPr>
          <w:rFonts w:ascii="Times New Roman" w:hAnsi="Times New Roman" w:cs="Times New Roman"/>
          <w:bCs/>
          <w:sz w:val="24"/>
          <w:szCs w:val="24"/>
        </w:rPr>
        <w:t>MF SR si dovoľuje zúčastnených požiadať o spoluprácu – dodanie všetkých potrebných vyjadrení, podkladov, skúseností z iných krajín a dostupných dát potrebných na správne nastavenie príslušnej  legislatívy.</w:t>
      </w:r>
    </w:p>
    <w:p w:rsidR="00BA1532" w:rsidRPr="007E1E29" w:rsidRDefault="00BA1532" w:rsidP="00BA1532">
      <w:pPr>
        <w:pStyle w:val="Obyajntext"/>
        <w:ind w:left="360"/>
        <w:jc w:val="both"/>
        <w:rPr>
          <w:rFonts w:ascii="Times New Roman" w:hAnsi="Times New Roman" w:cs="Times New Roman"/>
          <w:bCs/>
          <w:sz w:val="24"/>
          <w:szCs w:val="24"/>
        </w:rPr>
      </w:pPr>
    </w:p>
    <w:p w:rsidR="00BA1532" w:rsidRPr="007E1E29" w:rsidRDefault="00BA1532" w:rsidP="00BA1532">
      <w:pPr>
        <w:pStyle w:val="Obyajntext"/>
        <w:jc w:val="both"/>
        <w:rPr>
          <w:rFonts w:ascii="Times New Roman" w:hAnsi="Times New Roman" w:cs="Times New Roman"/>
          <w:bCs/>
          <w:sz w:val="24"/>
          <w:szCs w:val="24"/>
        </w:rPr>
      </w:pPr>
      <w:r w:rsidRPr="007E1E29">
        <w:rPr>
          <w:rFonts w:ascii="Times New Roman" w:hAnsi="Times New Roman" w:cs="Times New Roman"/>
          <w:bCs/>
          <w:sz w:val="24"/>
          <w:szCs w:val="24"/>
        </w:rPr>
        <w:t>SZZV poďakovalo a uvítalo takúto príležitosť. Uviedli, že momentálne ich členovia predstavujú 98% celkového trhu. Dovoľujú si zároveň upozorniť na zaslaný list MF SR zo 17. novembra 2023, Zástupcovia MF SR príjem tohto listu potvrdili. SZZV si rovnako dovoľuje upozorniť na to, že v prípade, že dôjde k zvyšovaniu sadzby dane z tabakových výrobkov už začiatkom roka 2024 z dôvodu konsolidácie verejných financií, budú takmer s istotou zaznamenané nielen problémy s objednávaním KZ ale aj výpadky výrobkov na trhu s mesačným výpadkom na dani cca 80 mil. EUR, čo bude mať vplyv na očakávané výnosy zo spotrebnej dane z tabakových výrobkov.</w:t>
      </w:r>
    </w:p>
    <w:p w:rsidR="00BA1532" w:rsidRPr="007E1E29" w:rsidRDefault="00BA1532" w:rsidP="00BA1532">
      <w:pPr>
        <w:pStyle w:val="Obyajntext"/>
        <w:jc w:val="both"/>
        <w:rPr>
          <w:rFonts w:ascii="Times New Roman" w:hAnsi="Times New Roman" w:cs="Times New Roman"/>
          <w:bCs/>
          <w:sz w:val="24"/>
          <w:szCs w:val="24"/>
        </w:rPr>
      </w:pPr>
    </w:p>
    <w:p w:rsidR="00BA1532" w:rsidRPr="007E1E29" w:rsidRDefault="00BA1532" w:rsidP="00BA1532">
      <w:pPr>
        <w:pStyle w:val="Obyajntext"/>
        <w:jc w:val="both"/>
        <w:rPr>
          <w:rFonts w:ascii="Times New Roman" w:hAnsi="Times New Roman" w:cs="Times New Roman"/>
          <w:bCs/>
          <w:sz w:val="24"/>
          <w:szCs w:val="24"/>
        </w:rPr>
      </w:pPr>
      <w:r w:rsidRPr="007E1E29">
        <w:rPr>
          <w:rFonts w:ascii="Times New Roman" w:hAnsi="Times New Roman" w:cs="Times New Roman"/>
          <w:bCs/>
          <w:sz w:val="24"/>
          <w:szCs w:val="24"/>
        </w:rPr>
        <w:t xml:space="preserve">Podľa vyjadrenia zúčastnených implementácia zdaňovania nových – iných ako tabakových výrobkov by bola za všetkých vhodná počnúc januárom 2025. </w:t>
      </w:r>
    </w:p>
    <w:p w:rsidR="00BA1532" w:rsidRPr="00D8247C" w:rsidRDefault="00BA1532" w:rsidP="00BA1532">
      <w:pPr>
        <w:jc w:val="both"/>
        <w:rPr>
          <w:rFonts w:eastAsia="Calibri"/>
          <w:i/>
        </w:rPr>
      </w:pPr>
    </w:p>
    <w:p w:rsidR="00BA1532" w:rsidRPr="001F1B43" w:rsidRDefault="00BA1532" w:rsidP="00BA1532">
      <w:pPr>
        <w:jc w:val="both"/>
        <w:rPr>
          <w:rFonts w:eastAsia="Calibri"/>
          <w:b/>
        </w:rPr>
      </w:pPr>
      <w:bookmarkStart w:id="2" w:name="_Hlk47698091"/>
      <w:r w:rsidRPr="001F1B43">
        <w:rPr>
          <w:rFonts w:eastAsia="Calibri"/>
          <w:b/>
        </w:rPr>
        <w:t>3.3 Vplyvy na konkurencieschopnosť a produktivitu</w:t>
      </w:r>
    </w:p>
    <w:bookmarkEnd w:id="2"/>
    <w:p w:rsidR="00BA1532" w:rsidRPr="00D8247C" w:rsidRDefault="00BA1532" w:rsidP="00BA1532">
      <w:pPr>
        <w:jc w:val="both"/>
        <w:rPr>
          <w:rFonts w:eastAsia="Calibri"/>
          <w:i/>
        </w:rPr>
      </w:pPr>
      <w:r w:rsidRPr="00D8247C">
        <w:rPr>
          <w:rFonts w:eastAsia="Calibri"/>
          <w:i/>
        </w:rPr>
        <w:t xml:space="preserve">Dochádza k vytvoreniu resp. k zmene bariér na trhu? </w:t>
      </w:r>
    </w:p>
    <w:p w:rsidR="00BA1532" w:rsidRPr="00D8247C" w:rsidRDefault="00BA1532" w:rsidP="00BA1532">
      <w:pPr>
        <w:jc w:val="both"/>
        <w:rPr>
          <w:rFonts w:eastAsia="Calibri"/>
          <w:i/>
        </w:rPr>
      </w:pPr>
      <w:r w:rsidRPr="00D8247C">
        <w:rPr>
          <w:rFonts w:eastAsia="Calibri"/>
          <w:i/>
        </w:rPr>
        <w:t xml:space="preserve">Bude sa s niektorými podnikmi alebo produktmi zaobchádzať v porovnateľnej situácii rôzne (napr. špeciálne režimy pre </w:t>
      </w:r>
      <w:proofErr w:type="spellStart"/>
      <w:r w:rsidRPr="00D8247C">
        <w:rPr>
          <w:rFonts w:eastAsia="Calibri"/>
          <w:i/>
        </w:rPr>
        <w:t>mikro</w:t>
      </w:r>
      <w:proofErr w:type="spellEnd"/>
      <w:r w:rsidRPr="00D8247C">
        <w:rPr>
          <w:rFonts w:eastAsia="Calibri"/>
          <w:i/>
        </w:rPr>
        <w:t xml:space="preserve">, malé a stredné podniky tzv. MSP)? </w:t>
      </w:r>
    </w:p>
    <w:p w:rsidR="00BA1532" w:rsidRPr="00D8247C" w:rsidRDefault="00BA1532" w:rsidP="00BA1532">
      <w:pPr>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rsidR="00BA1532" w:rsidRDefault="00BA1532" w:rsidP="00BA1532">
      <w:pPr>
        <w:jc w:val="both"/>
        <w:rPr>
          <w:rFonts w:eastAsia="Calibri"/>
          <w:i/>
        </w:rPr>
      </w:pPr>
      <w:r w:rsidRPr="00D8247C">
        <w:rPr>
          <w:rFonts w:eastAsia="Calibri"/>
          <w:i/>
        </w:rPr>
        <w:t xml:space="preserve">Ovplyvní dostupnosť základných zdrojov (financie, pracovná sila, suroviny, mechanizmy, energie atď.)? </w:t>
      </w:r>
    </w:p>
    <w:p w:rsidR="00BA1532" w:rsidRDefault="00BA1532" w:rsidP="00BA1532">
      <w:pPr>
        <w:jc w:val="both"/>
        <w:rPr>
          <w:rFonts w:eastAsia="Calibri"/>
          <w:i/>
        </w:rPr>
      </w:pPr>
      <w:r>
        <w:rPr>
          <w:rFonts w:eastAsia="Calibri"/>
          <w:i/>
        </w:rPr>
        <w:t>Ovplyvňuje zmena regulácie inovácie, vedu a výskum?</w:t>
      </w:r>
    </w:p>
    <w:p w:rsidR="00BA1532" w:rsidRPr="00D8247C" w:rsidRDefault="00BA1532" w:rsidP="00BA1532">
      <w:pPr>
        <w:jc w:val="both"/>
        <w:rPr>
          <w:rFonts w:eastAsia="Calibri"/>
          <w:i/>
        </w:rPr>
      </w:pPr>
      <w:r>
        <w:rPr>
          <w:rFonts w:eastAsia="Calibri"/>
          <w:i/>
        </w:rPr>
        <w:t xml:space="preserve">Ak bol identifikovaný </w:t>
      </w:r>
      <w:proofErr w:type="spellStart"/>
      <w:r>
        <w:rPr>
          <w:rFonts w:eastAsia="Calibri"/>
          <w:i/>
        </w:rPr>
        <w:t>goldplating</w:t>
      </w:r>
      <w:proofErr w:type="spellEnd"/>
      <w:r>
        <w:rPr>
          <w:rFonts w:eastAsia="Calibri"/>
          <w:i/>
        </w:rPr>
        <w:t>, prispieva k zníženiu konkurencieschopnosti a produktivity? Akým spôsobom?</w:t>
      </w:r>
    </w:p>
    <w:p w:rsidR="00BA1532" w:rsidRPr="00D8247C" w:rsidRDefault="00BA1532" w:rsidP="00BA1532">
      <w:pPr>
        <w:jc w:val="both"/>
        <w:rPr>
          <w:rFonts w:eastAsia="Calibri"/>
          <w:i/>
        </w:rPr>
      </w:pPr>
      <w:r w:rsidRPr="00D8247C">
        <w:rPr>
          <w:rFonts w:eastAsia="Calibri"/>
          <w:i/>
          <w:iCs/>
        </w:rPr>
        <w:t>Ako prispieva zmena regulácie k cieľu Slovenska mať najlepšie podnikateľské prostredie spomedzi susediacich krajín EÚ?</w:t>
      </w:r>
    </w:p>
    <w:p w:rsidR="00BA1532" w:rsidRPr="00D8247C" w:rsidRDefault="00BA1532" w:rsidP="00BA1532">
      <w:pPr>
        <w:jc w:val="both"/>
        <w:rPr>
          <w:rFonts w:eastAsia="Calibri"/>
          <w:i/>
        </w:rPr>
      </w:pPr>
    </w:p>
    <w:p w:rsidR="00BA1532" w:rsidRPr="00D8247C" w:rsidRDefault="00BA1532" w:rsidP="00BA1532">
      <w:pPr>
        <w:jc w:val="both"/>
        <w:rPr>
          <w:rFonts w:eastAsia="Calibri"/>
          <w:b/>
          <w:i/>
        </w:rPr>
      </w:pPr>
      <w:r w:rsidRPr="00D8247C">
        <w:rPr>
          <w:rFonts w:eastAsia="Calibri"/>
          <w:b/>
          <w:i/>
        </w:rPr>
        <w:t>Konkurencieschopnosť:</w:t>
      </w:r>
    </w:p>
    <w:p w:rsidR="00BA1532" w:rsidRPr="00D8247C" w:rsidRDefault="00BA1532" w:rsidP="00BA1532">
      <w:pPr>
        <w:jc w:val="both"/>
        <w:rPr>
          <w:rFonts w:eastAsia="Calibri"/>
          <w:i/>
        </w:rPr>
      </w:pPr>
      <w:r w:rsidRPr="00D8247C">
        <w:rPr>
          <w:rFonts w:eastAsia="Calibri"/>
          <w:i/>
        </w:rPr>
        <w:t>Na základe uvedených odpovedí zaškrtnite a popíšte, či materiál konkurencieschopnosť:</w:t>
      </w:r>
    </w:p>
    <w:p w:rsidR="00BA1532" w:rsidRDefault="00870C88" w:rsidP="00BA1532">
      <w:pPr>
        <w:jc w:val="both"/>
        <w:rPr>
          <w:rFonts w:eastAsia="Calibri"/>
          <w:i/>
        </w:rPr>
      </w:pPr>
      <w:sdt>
        <w:sdtPr>
          <w:rPr>
            <w:rFonts w:eastAsia="Calibri"/>
            <w:i/>
          </w:rPr>
          <w:id w:val="798576880"/>
        </w:sdtPr>
        <w:sdtEndPr/>
        <w:sdtContent>
          <w:sdt>
            <w:sdtPr>
              <w:rPr>
                <w:rFonts w:eastAsia="Calibri"/>
                <w:i/>
              </w:rPr>
              <w:id w:val="1729873660"/>
            </w:sdtPr>
            <w:sdtEndPr/>
            <w:sdtContent>
              <w:r w:rsidR="00BA1532" w:rsidRPr="00DA2D4F">
                <w:rPr>
                  <w:rFonts w:ascii="Segoe UI Symbol" w:eastAsia="MS Gothic" w:hAnsi="Segoe UI Symbol" w:cs="Segoe UI Symbol"/>
                  <w:i/>
                  <w:lang w:val="en-US"/>
                </w:rPr>
                <w:t>☒</w:t>
              </w:r>
            </w:sdtContent>
          </w:sdt>
        </w:sdtContent>
      </w:sdt>
      <w:r w:rsidR="00BA1532" w:rsidRPr="00D8247C">
        <w:rPr>
          <w:rFonts w:eastAsia="Calibri"/>
          <w:i/>
        </w:rPr>
        <w:t xml:space="preserve"> zvyšuje  </w:t>
      </w:r>
      <w:r w:rsidR="00BA1532" w:rsidRPr="00D8247C">
        <w:rPr>
          <w:rFonts w:eastAsia="Calibri"/>
          <w:i/>
        </w:rPr>
        <w:tab/>
      </w:r>
      <w:sdt>
        <w:sdtPr>
          <w:rPr>
            <w:rFonts w:eastAsia="Calibri"/>
            <w:i/>
          </w:rPr>
          <w:id w:val="410579887"/>
        </w:sdtPr>
        <w:sdtEndPr/>
        <w:sdtContent>
          <w:sdt>
            <w:sdtPr>
              <w:rPr>
                <w:rFonts w:eastAsia="Calibri"/>
                <w:i/>
              </w:rPr>
              <w:id w:val="-80300261"/>
            </w:sdtPr>
            <w:sdtEndPr/>
            <w:sdtContent>
              <w:r w:rsidR="00BA1532" w:rsidRPr="00D8247C">
                <w:rPr>
                  <w:rFonts w:ascii="Segoe UI Symbol" w:eastAsia="Calibri" w:hAnsi="Segoe UI Symbol" w:cs="Segoe UI Symbol"/>
                  <w:i/>
                </w:rPr>
                <w:t>☐</w:t>
              </w:r>
            </w:sdtContent>
          </w:sdt>
        </w:sdtContent>
      </w:sdt>
      <w:r w:rsidR="00BA1532" w:rsidRPr="00D8247C">
        <w:rPr>
          <w:rFonts w:eastAsia="Calibri"/>
          <w:i/>
        </w:rPr>
        <w:t xml:space="preserve"> nemení</w:t>
      </w:r>
      <w:r w:rsidR="00BA1532" w:rsidRPr="00D8247C">
        <w:rPr>
          <w:rFonts w:eastAsia="Calibri"/>
          <w:i/>
        </w:rPr>
        <w:tab/>
      </w:r>
      <w:sdt>
        <w:sdtPr>
          <w:rPr>
            <w:rFonts w:eastAsia="Calibri"/>
            <w:i/>
          </w:rPr>
          <w:id w:val="-474604883"/>
        </w:sdtPr>
        <w:sdtEndPr/>
        <w:sdtContent>
          <w:sdt>
            <w:sdtPr>
              <w:rPr>
                <w:rFonts w:eastAsia="Calibri"/>
                <w:i/>
              </w:rPr>
              <w:id w:val="-1706551548"/>
            </w:sdtPr>
            <w:sdtEndPr/>
            <w:sdtContent>
              <w:r w:rsidR="00BA1532" w:rsidRPr="00D8247C">
                <w:rPr>
                  <w:rFonts w:ascii="Segoe UI Symbol" w:eastAsia="Calibri" w:hAnsi="Segoe UI Symbol" w:cs="Segoe UI Symbol"/>
                  <w:i/>
                </w:rPr>
                <w:t>☐</w:t>
              </w:r>
            </w:sdtContent>
          </w:sdt>
        </w:sdtContent>
      </w:sdt>
      <w:r w:rsidR="00BA1532" w:rsidRPr="00D8247C">
        <w:rPr>
          <w:rFonts w:eastAsia="Calibri"/>
          <w:i/>
        </w:rPr>
        <w:t xml:space="preserve"> znižuje</w:t>
      </w:r>
    </w:p>
    <w:p w:rsidR="00BA1532" w:rsidRDefault="00BA1532" w:rsidP="00BA1532">
      <w:pPr>
        <w:jc w:val="both"/>
      </w:pPr>
    </w:p>
    <w:p w:rsidR="00BA1532" w:rsidRPr="00F4695B" w:rsidRDefault="00BA1532" w:rsidP="00BA1532">
      <w:pPr>
        <w:jc w:val="both"/>
        <w:rPr>
          <w:rFonts w:eastAsia="Calibri"/>
        </w:rPr>
      </w:pPr>
      <w:r w:rsidRPr="00F4695B">
        <w:t>Zdanením bezdymových tabakových výrobkov a výrobkov súvisiacich s tabakovými výrobkami sa zabezpečia rovnaké podmienky na trhu. Zároveň sa zavádza systém povolení na obchodovanie s týmito výrobkami.</w:t>
      </w:r>
    </w:p>
    <w:p w:rsidR="00BA1532" w:rsidRPr="00B2254A" w:rsidRDefault="00BA1532" w:rsidP="00BA1532">
      <w:pPr>
        <w:jc w:val="both"/>
        <w:rPr>
          <w:rFonts w:eastAsia="Calibri"/>
        </w:rPr>
      </w:pPr>
      <w:r w:rsidRPr="00F4695B">
        <w:rPr>
          <w:rFonts w:eastAsia="Calibri"/>
        </w:rPr>
        <w:lastRenderedPageBreak/>
        <w:t>Nedochádza k vytvoreniu bariér pre vstup na trh pre nových platiteľov dane alebo</w:t>
      </w:r>
      <w:r>
        <w:rPr>
          <w:rFonts w:eastAsia="Calibri"/>
        </w:rPr>
        <w:t xml:space="preserve"> exportérov</w:t>
      </w:r>
      <w:r w:rsidRPr="00B2254A">
        <w:rPr>
          <w:rFonts w:eastAsia="Calibri"/>
        </w:rPr>
        <w:t>. Návrhom zákona zavádzané povinností nijakým spôsobom nezasahujú do oblastí upravujúcich podmienky, ktoré musia byť splnené, aby mohla tuzemská zdaniteľná osoba v tuzemsku podnikať.</w:t>
      </w:r>
    </w:p>
    <w:p w:rsidR="00BA1532" w:rsidRDefault="00BA1532" w:rsidP="00BA1532">
      <w:pPr>
        <w:jc w:val="both"/>
        <w:rPr>
          <w:rFonts w:eastAsia="Calibri"/>
        </w:rPr>
      </w:pPr>
      <w:r w:rsidRPr="00B2254A">
        <w:rPr>
          <w:rFonts w:eastAsia="Calibri"/>
        </w:rPr>
        <w:t>Návrh zákona nepredpokladá ani vplyv na vyvolanie cezhraničných investícií. Rovnako sa predmetným návrhom zákona neovplyvní cena alebo dostupnosť základných zdrojov a ani prístup k financiám.</w:t>
      </w:r>
    </w:p>
    <w:p w:rsidR="00BA1532" w:rsidRDefault="00BA1532" w:rsidP="00BA1532">
      <w:pPr>
        <w:jc w:val="both"/>
        <w:rPr>
          <w:rFonts w:eastAsia="Calibri"/>
          <w:i/>
        </w:rPr>
      </w:pPr>
      <w:r>
        <w:rPr>
          <w:rFonts w:eastAsia="Calibri"/>
        </w:rPr>
        <w:t>Regulácia neovplyvňuje ani inovácie, vedu a výskum.</w:t>
      </w:r>
    </w:p>
    <w:p w:rsidR="00BA1532" w:rsidRPr="00D8247C" w:rsidRDefault="00BA1532" w:rsidP="00BA1532">
      <w:pPr>
        <w:jc w:val="both"/>
        <w:rPr>
          <w:rFonts w:eastAsia="Calibri"/>
          <w:i/>
        </w:rPr>
      </w:pPr>
    </w:p>
    <w:p w:rsidR="00BA1532" w:rsidRPr="00D8247C" w:rsidRDefault="00BA1532" w:rsidP="00BA1532">
      <w:pPr>
        <w:jc w:val="both"/>
        <w:rPr>
          <w:rFonts w:eastAsia="Calibri"/>
          <w:b/>
          <w:i/>
        </w:rPr>
      </w:pPr>
      <w:r w:rsidRPr="00D8247C">
        <w:rPr>
          <w:rFonts w:eastAsia="Calibri"/>
          <w:b/>
          <w:i/>
        </w:rPr>
        <w:t>Produktivita:</w:t>
      </w:r>
    </w:p>
    <w:p w:rsidR="00BA1532" w:rsidRPr="00D8247C" w:rsidRDefault="00BA1532" w:rsidP="00BA1532">
      <w:pPr>
        <w:jc w:val="both"/>
        <w:rPr>
          <w:rFonts w:eastAsia="Calibri"/>
          <w:i/>
        </w:rPr>
      </w:pPr>
      <w:r w:rsidRPr="00D8247C">
        <w:rPr>
          <w:rFonts w:eastAsia="Calibri"/>
          <w:i/>
        </w:rPr>
        <w:t xml:space="preserve">Aký má materiál vplyv na zmenu pomeru medzi produkciou podnikov a ich nákladmi? </w:t>
      </w:r>
    </w:p>
    <w:p w:rsidR="00BA1532" w:rsidRDefault="00BA1532" w:rsidP="00BA1532">
      <w:pPr>
        <w:jc w:val="both"/>
        <w:rPr>
          <w:rFonts w:eastAsia="Calibri"/>
          <w:i/>
        </w:rPr>
      </w:pPr>
    </w:p>
    <w:p w:rsidR="00BA1532" w:rsidRDefault="00BA1532" w:rsidP="00BA1532">
      <w:pPr>
        <w:jc w:val="both"/>
        <w:rPr>
          <w:rFonts w:eastAsia="Calibri"/>
          <w:i/>
        </w:rPr>
      </w:pPr>
      <w:r w:rsidRPr="00931B8D">
        <w:rPr>
          <w:rFonts w:eastAsia="Calibri"/>
        </w:rPr>
        <w:t>Materiál nemá vplyv na zmenu pomeru medzi produkciou podnikov a ich nákladmi.</w:t>
      </w:r>
    </w:p>
    <w:p w:rsidR="00BA1532" w:rsidRPr="00D8247C" w:rsidRDefault="00BA1532" w:rsidP="00BA1532">
      <w:pPr>
        <w:jc w:val="both"/>
        <w:rPr>
          <w:rFonts w:eastAsia="Calibri"/>
          <w:i/>
        </w:rPr>
      </w:pPr>
    </w:p>
    <w:p w:rsidR="00BA1532" w:rsidRPr="00D8247C" w:rsidRDefault="00BA1532" w:rsidP="00BA1532">
      <w:pPr>
        <w:jc w:val="both"/>
        <w:rPr>
          <w:rFonts w:eastAsia="Calibri"/>
          <w:i/>
        </w:rPr>
      </w:pPr>
      <w:r w:rsidRPr="00D8247C">
        <w:rPr>
          <w:rFonts w:eastAsia="Calibri"/>
          <w:i/>
        </w:rPr>
        <w:t>Na základe uvedenej odpovede zaškrtnite a popíšte, či materiál produktivitu:</w:t>
      </w:r>
    </w:p>
    <w:p w:rsidR="00BA1532" w:rsidRPr="00D8247C" w:rsidRDefault="00870C88" w:rsidP="00BA1532">
      <w:pPr>
        <w:jc w:val="both"/>
        <w:rPr>
          <w:rFonts w:eastAsia="Calibri"/>
          <w:i/>
        </w:rPr>
      </w:pPr>
      <w:sdt>
        <w:sdtPr>
          <w:rPr>
            <w:rFonts w:eastAsia="Calibri"/>
            <w:i/>
          </w:rPr>
          <w:id w:val="-1545903528"/>
        </w:sdtPr>
        <w:sdtEndPr/>
        <w:sdtContent>
          <w:sdt>
            <w:sdtPr>
              <w:rPr>
                <w:rFonts w:eastAsia="Calibri"/>
                <w:i/>
              </w:rPr>
              <w:id w:val="825715010"/>
            </w:sdtPr>
            <w:sdtEndPr/>
            <w:sdtContent>
              <w:r w:rsidR="00BA1532" w:rsidRPr="00D8247C">
                <w:rPr>
                  <w:rFonts w:ascii="Segoe UI Symbol" w:eastAsia="Calibri" w:hAnsi="Segoe UI Symbol" w:cs="Segoe UI Symbol"/>
                  <w:i/>
                </w:rPr>
                <w:t>☐</w:t>
              </w:r>
            </w:sdtContent>
          </w:sdt>
        </w:sdtContent>
      </w:sdt>
      <w:r w:rsidR="00BA1532" w:rsidRPr="00D8247C">
        <w:rPr>
          <w:rFonts w:eastAsia="Calibri"/>
          <w:i/>
        </w:rPr>
        <w:t xml:space="preserve"> zvyšuje  </w:t>
      </w:r>
      <w:sdt>
        <w:sdtPr>
          <w:rPr>
            <w:rFonts w:eastAsia="Calibri"/>
            <w:i/>
          </w:rPr>
          <w:id w:val="-353966921"/>
          <w:showingPlcHdr/>
        </w:sdtPr>
        <w:sdtEndPr/>
        <w:sdtContent>
          <w:r w:rsidR="00BA1532">
            <w:rPr>
              <w:rFonts w:eastAsia="Calibri"/>
              <w:i/>
            </w:rPr>
            <w:t xml:space="preserve">     </w:t>
          </w:r>
        </w:sdtContent>
      </w:sdt>
      <w:r w:rsidR="00BA1532" w:rsidRPr="00D8247C">
        <w:rPr>
          <w:rFonts w:eastAsia="Calibri"/>
          <w:i/>
        </w:rPr>
        <w:t xml:space="preserve"> </w:t>
      </w:r>
      <w:r w:rsidR="00BA1532">
        <w:rPr>
          <w:rFonts w:eastAsia="Calibri"/>
          <w:i/>
        </w:rPr>
        <w:t xml:space="preserve"> </w:t>
      </w:r>
      <w:sdt>
        <w:sdtPr>
          <w:rPr>
            <w:rFonts w:eastAsia="Calibri"/>
            <w:i/>
          </w:rPr>
          <w:id w:val="1491204807"/>
        </w:sdtPr>
        <w:sdtEndPr/>
        <w:sdtContent>
          <w:sdt>
            <w:sdtPr>
              <w:rPr>
                <w:rFonts w:eastAsia="Calibri"/>
                <w:i/>
              </w:rPr>
              <w:id w:val="50964675"/>
            </w:sdtPr>
            <w:sdtEndPr/>
            <w:sdtContent>
              <w:r w:rsidR="00BA1532" w:rsidRPr="00DA2D4F">
                <w:rPr>
                  <w:rFonts w:ascii="Segoe UI Symbol" w:eastAsia="MS Gothic" w:hAnsi="Segoe UI Symbol" w:cs="Segoe UI Symbol"/>
                  <w:i/>
                  <w:lang w:val="en-US"/>
                </w:rPr>
                <w:t>☒</w:t>
              </w:r>
              <w:r w:rsidR="00BA1532">
                <w:rPr>
                  <w:rFonts w:ascii="Segoe UI Symbol" w:eastAsia="MS Gothic" w:hAnsi="Segoe UI Symbol" w:cs="Segoe UI Symbol"/>
                  <w:i/>
                  <w:lang w:val="en-US"/>
                </w:rPr>
                <w:t xml:space="preserve"> </w:t>
              </w:r>
            </w:sdtContent>
          </w:sdt>
        </w:sdtContent>
      </w:sdt>
      <w:r w:rsidR="00BA1532" w:rsidRPr="00D8247C">
        <w:rPr>
          <w:rFonts w:eastAsia="Calibri"/>
          <w:i/>
        </w:rPr>
        <w:t xml:space="preserve"> nemení</w:t>
      </w:r>
      <w:r w:rsidR="00BA1532" w:rsidRPr="00D8247C">
        <w:rPr>
          <w:rFonts w:eastAsia="Calibri"/>
          <w:i/>
        </w:rPr>
        <w:tab/>
      </w:r>
      <w:sdt>
        <w:sdtPr>
          <w:rPr>
            <w:rFonts w:eastAsia="Calibri"/>
            <w:i/>
          </w:rPr>
          <w:id w:val="-1457723544"/>
        </w:sdtPr>
        <w:sdtEndPr/>
        <w:sdtContent>
          <w:sdt>
            <w:sdtPr>
              <w:rPr>
                <w:rFonts w:eastAsia="Calibri"/>
                <w:i/>
              </w:rPr>
              <w:id w:val="-623767955"/>
            </w:sdtPr>
            <w:sdtEndPr/>
            <w:sdtContent>
              <w:r w:rsidR="00BA1532" w:rsidRPr="00D8247C">
                <w:rPr>
                  <w:rFonts w:ascii="Segoe UI Symbol" w:eastAsia="Calibri" w:hAnsi="Segoe UI Symbol" w:cs="Segoe UI Symbol"/>
                  <w:i/>
                </w:rPr>
                <w:t>☐</w:t>
              </w:r>
            </w:sdtContent>
          </w:sdt>
        </w:sdtContent>
      </w:sdt>
      <w:r w:rsidR="00BA1532" w:rsidRPr="00D8247C">
        <w:rPr>
          <w:rFonts w:eastAsia="Calibri"/>
          <w:i/>
        </w:rPr>
        <w:t xml:space="preserve"> znižuje</w:t>
      </w:r>
    </w:p>
    <w:p w:rsidR="00BA1532" w:rsidRPr="00D8247C" w:rsidRDefault="00BA1532" w:rsidP="00BA1532">
      <w:pPr>
        <w:jc w:val="both"/>
        <w:rPr>
          <w:rFonts w:eastAsia="Calibri"/>
          <w:i/>
        </w:rPr>
      </w:pPr>
    </w:p>
    <w:p w:rsidR="00BA1532" w:rsidRPr="001F1B43" w:rsidRDefault="00BA1532" w:rsidP="00BA1532">
      <w:pPr>
        <w:jc w:val="both"/>
        <w:rPr>
          <w:rFonts w:eastAsia="Calibri"/>
          <w:b/>
        </w:rPr>
      </w:pPr>
      <w:r w:rsidRPr="001F1B43">
        <w:rPr>
          <w:rFonts w:eastAsia="Calibri"/>
          <w:b/>
        </w:rPr>
        <w:t xml:space="preserve">3.4  Iné vplyvy na podnikateľské prostredie </w:t>
      </w:r>
    </w:p>
    <w:p w:rsidR="00BA1532" w:rsidRDefault="00BA1532" w:rsidP="00BA1532">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rsidR="00BA1532" w:rsidRDefault="00BA1532" w:rsidP="00BA1532">
      <w:pPr>
        <w:pStyle w:val="Odsekzoznamu"/>
        <w:numPr>
          <w:ilvl w:val="0"/>
          <w:numId w:val="19"/>
        </w:numPr>
        <w:spacing w:after="0" w:line="254" w:lineRule="auto"/>
        <w:jc w:val="both"/>
        <w:rPr>
          <w:rFonts w:ascii="Times New Roman" w:eastAsia="Calibri" w:hAnsi="Times New Roman"/>
          <w:i/>
          <w:sz w:val="24"/>
          <w:szCs w:val="24"/>
        </w:rPr>
      </w:pPr>
      <w:r>
        <w:rPr>
          <w:rFonts w:ascii="Times New Roman" w:eastAsia="Calibri" w:hAnsi="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BA1532" w:rsidRDefault="00BA1532" w:rsidP="00BA1532">
      <w:pPr>
        <w:pStyle w:val="Odsekzoznamu"/>
        <w:numPr>
          <w:ilvl w:val="0"/>
          <w:numId w:val="19"/>
        </w:numPr>
        <w:spacing w:after="0" w:line="254" w:lineRule="auto"/>
        <w:jc w:val="both"/>
        <w:rPr>
          <w:rFonts w:ascii="Times New Roman" w:eastAsia="Calibri" w:hAnsi="Times New Roman"/>
          <w:i/>
          <w:sz w:val="24"/>
          <w:szCs w:val="24"/>
        </w:rPr>
      </w:pPr>
      <w:r>
        <w:rPr>
          <w:rFonts w:ascii="Times New Roman" w:eastAsia="Calibri" w:hAnsi="Times New Roman"/>
          <w:i/>
          <w:sz w:val="24"/>
          <w:szCs w:val="24"/>
        </w:rPr>
        <w:t>regulované ceny podľa zákona č. 18/1996 Z. z. o cenách;</w:t>
      </w:r>
    </w:p>
    <w:p w:rsidR="00BA1532" w:rsidRPr="00F244DC" w:rsidRDefault="00BA1532" w:rsidP="00BA1532">
      <w:pPr>
        <w:pStyle w:val="Odsekzoznamu"/>
        <w:numPr>
          <w:ilvl w:val="0"/>
          <w:numId w:val="19"/>
        </w:numPr>
        <w:spacing w:after="0" w:line="254" w:lineRule="auto"/>
        <w:jc w:val="both"/>
        <w:rPr>
          <w:rFonts w:ascii="Times New Roman" w:eastAsia="Calibri" w:hAnsi="Times New Roman"/>
          <w:i/>
          <w:sz w:val="24"/>
          <w:szCs w:val="24"/>
        </w:rPr>
      </w:pPr>
      <w:r>
        <w:rPr>
          <w:rFonts w:ascii="Times New Roman" w:eastAsia="Calibri" w:hAnsi="Times New Roman"/>
          <w:i/>
          <w:sz w:val="24"/>
          <w:szCs w:val="24"/>
        </w:rPr>
        <w:t xml:space="preserve">iné </w:t>
      </w:r>
      <w:r w:rsidRPr="00F244DC">
        <w:rPr>
          <w:rFonts w:ascii="Times New Roman" w:eastAsia="Calibri" w:hAnsi="Times New Roman"/>
          <w:i/>
          <w:sz w:val="24"/>
          <w:szCs w:val="24"/>
        </w:rPr>
        <w:t>vplyvy, ktoré predpokladá materiál, ale nemožno ich zaradiť do častí 3.1 a 3.3.,</w:t>
      </w:r>
    </w:p>
    <w:p w:rsidR="00BA1532" w:rsidRPr="00F244DC" w:rsidRDefault="00BA1532" w:rsidP="00BA1532">
      <w:pPr>
        <w:pStyle w:val="Odsekzoznamu"/>
        <w:numPr>
          <w:ilvl w:val="0"/>
          <w:numId w:val="19"/>
        </w:numPr>
        <w:spacing w:after="0" w:line="254" w:lineRule="auto"/>
        <w:jc w:val="both"/>
        <w:rPr>
          <w:rFonts w:ascii="Times New Roman" w:eastAsia="Calibri" w:hAnsi="Times New Roman"/>
          <w:i/>
          <w:sz w:val="24"/>
          <w:szCs w:val="24"/>
        </w:rPr>
      </w:pPr>
      <w:r w:rsidRPr="00F244DC">
        <w:rPr>
          <w:rFonts w:ascii="Times New Roman" w:eastAsia="Calibri" w:hAnsi="Times New Roman"/>
          <w:i/>
          <w:sz w:val="24"/>
          <w:szCs w:val="24"/>
        </w:rPr>
        <w:t xml:space="preserve">iné vplyvy podľa písm. a) až c), ktoré sú </w:t>
      </w:r>
      <w:proofErr w:type="spellStart"/>
      <w:r w:rsidRPr="00F244DC">
        <w:rPr>
          <w:rFonts w:ascii="Times New Roman" w:eastAsia="Calibri" w:hAnsi="Times New Roman"/>
          <w:i/>
          <w:sz w:val="24"/>
          <w:szCs w:val="24"/>
        </w:rPr>
        <w:t>goldplatingom</w:t>
      </w:r>
      <w:proofErr w:type="spellEnd"/>
      <w:r w:rsidRPr="00F244DC">
        <w:rPr>
          <w:rFonts w:ascii="Times New Roman" w:eastAsia="Calibri" w:hAnsi="Times New Roman"/>
          <w:i/>
          <w:sz w:val="24"/>
          <w:szCs w:val="24"/>
        </w:rPr>
        <w:t>.</w:t>
      </w:r>
    </w:p>
    <w:p w:rsidR="00BA1532" w:rsidRDefault="00BA1532" w:rsidP="00BA1532">
      <w:pPr>
        <w:jc w:val="center"/>
        <w:rPr>
          <w:b/>
          <w:sz w:val="28"/>
          <w:szCs w:val="28"/>
        </w:rPr>
      </w:pPr>
    </w:p>
    <w:p w:rsidR="00BA1532" w:rsidRPr="007471CD" w:rsidRDefault="00BA1532" w:rsidP="00BA1532">
      <w:pPr>
        <w:rPr>
          <w:shd w:val="clear" w:color="auto" w:fill="FFFFFF"/>
        </w:rPr>
      </w:pPr>
      <w:r>
        <w:rPr>
          <w:shd w:val="clear" w:color="auto" w:fill="FFFFFF"/>
        </w:rPr>
        <w:t>19</w:t>
      </w:r>
      <w:r w:rsidRPr="00395869">
        <w:rPr>
          <w:shd w:val="clear" w:color="auto" w:fill="FFFFFF"/>
        </w:rPr>
        <w:t>.</w:t>
      </w:r>
      <w:r w:rsidRPr="007471CD">
        <w:rPr>
          <w:shd w:val="clear" w:color="auto" w:fill="FFFFFF"/>
        </w:rPr>
        <w:t xml:space="preserve"> Sankcia pre obchodníkov a distribútorov BTV a ITV</w:t>
      </w:r>
    </w:p>
    <w:p w:rsidR="00BA1532" w:rsidRPr="007471CD" w:rsidRDefault="00BA1532" w:rsidP="00BA1532">
      <w:pPr>
        <w:rPr>
          <w:b/>
        </w:rPr>
      </w:pPr>
      <w:r w:rsidRPr="007471CD">
        <w:rPr>
          <w:shd w:val="clear" w:color="auto" w:fill="FFFFFF"/>
        </w:rPr>
        <w:t xml:space="preserve">Zmena regulácie dotknutým subjektom zvyšuje náklady. </w:t>
      </w:r>
      <w:r w:rsidRPr="007471CD">
        <w:t xml:space="preserve">Návrh zákona definuje nový správny delikt pre subjekt, ktorý obchoduje alebo distribuuje bezdymový tabakový výrobok alebo výrobok súvisiaci s tabakovými výrobkami bez príslušného povolenia. </w:t>
      </w:r>
      <w:r>
        <w:t xml:space="preserve">Za tento správny delikt bude možné uložiť sankciu podľa § 41 ods. 2 písm. c) zákona č. 106/2004 Z. z. Nakoľko nie je možné prognózovať správanie podnikateľov, nie je taktiež možné kvantifikovať negatívny vplyv na podnikateľské prostredie v súvislosti s týmto deliktom. </w:t>
      </w:r>
    </w:p>
    <w:p w:rsidR="00BA1532" w:rsidRDefault="00BA1532" w:rsidP="00BA1532">
      <w:pPr>
        <w:jc w:val="center"/>
        <w:rPr>
          <w:b/>
          <w:sz w:val="28"/>
          <w:szCs w:val="28"/>
        </w:rPr>
      </w:pPr>
    </w:p>
    <w:p w:rsidR="00BA1532" w:rsidRPr="00A738C0" w:rsidRDefault="00BA1532" w:rsidP="00BA1532">
      <w:pPr>
        <w:rPr>
          <w:color w:val="000000" w:themeColor="text1"/>
        </w:rPr>
      </w:pPr>
    </w:p>
    <w:p w:rsidR="00BA1532" w:rsidRDefault="00BA1532" w:rsidP="00BA1532"/>
    <w:p w:rsidR="00BA1532" w:rsidRDefault="00BA1532"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3448D" w:rsidRDefault="00B3448D" w:rsidP="00BA1532"/>
    <w:p w:rsidR="00BA1532" w:rsidRDefault="00BA1532" w:rsidP="00BA1532"/>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BA1532" w:rsidRPr="005C4B9C" w:rsidTr="005277C1">
        <w:trPr>
          <w:trHeight w:val="20"/>
        </w:trPr>
        <w:tc>
          <w:tcPr>
            <w:tcW w:w="9371" w:type="dxa"/>
            <w:gridSpan w:val="6"/>
            <w:shd w:val="clear" w:color="auto" w:fill="BFBFBF"/>
            <w:vAlign w:val="center"/>
          </w:tcPr>
          <w:p w:rsidR="00BA1532" w:rsidRPr="005C4B9C" w:rsidRDefault="00BA1532" w:rsidP="005277C1">
            <w:pPr>
              <w:jc w:val="center"/>
              <w:rPr>
                <w:b/>
                <w:bCs/>
                <w:sz w:val="28"/>
                <w:szCs w:val="28"/>
              </w:rPr>
            </w:pPr>
            <w:r w:rsidRPr="005C4B9C">
              <w:rPr>
                <w:b/>
                <w:bCs/>
                <w:sz w:val="28"/>
                <w:szCs w:val="28"/>
              </w:rPr>
              <w:lastRenderedPageBreak/>
              <w:t>Analýza vplyvov na informatizáciu spoločnosti</w:t>
            </w:r>
          </w:p>
          <w:p w:rsidR="00BA1532" w:rsidRPr="005C4B9C" w:rsidRDefault="00BA1532" w:rsidP="005277C1">
            <w:pPr>
              <w:jc w:val="center"/>
              <w:rPr>
                <w:b/>
                <w:i/>
                <w:iCs/>
                <w:sz w:val="2"/>
              </w:rPr>
            </w:pPr>
          </w:p>
        </w:tc>
      </w:tr>
      <w:tr w:rsidR="00BA1532" w:rsidRPr="005C4B9C" w:rsidTr="005277C1">
        <w:trPr>
          <w:trHeight w:val="20"/>
        </w:trPr>
        <w:tc>
          <w:tcPr>
            <w:tcW w:w="9371" w:type="dxa"/>
            <w:gridSpan w:val="6"/>
            <w:shd w:val="clear" w:color="auto" w:fill="BFBFBF"/>
            <w:vAlign w:val="center"/>
          </w:tcPr>
          <w:p w:rsidR="00BA1532" w:rsidRPr="00F14E8D" w:rsidRDefault="00BA1532" w:rsidP="005277C1">
            <w:pPr>
              <w:jc w:val="center"/>
              <w:rPr>
                <w:b/>
                <w:bCs/>
              </w:rPr>
            </w:pPr>
            <w:r w:rsidRPr="00F14E8D">
              <w:rPr>
                <w:b/>
                <w:bCs/>
              </w:rPr>
              <w:t>Budovanie základných pilierov informatizácie</w:t>
            </w:r>
          </w:p>
        </w:tc>
      </w:tr>
      <w:tr w:rsidR="00BA1532" w:rsidRPr="005C4B9C" w:rsidTr="005277C1">
        <w:trPr>
          <w:trHeight w:val="681"/>
        </w:trPr>
        <w:tc>
          <w:tcPr>
            <w:tcW w:w="3956" w:type="dxa"/>
            <w:shd w:val="clear" w:color="auto" w:fill="C0C0C0"/>
            <w:vAlign w:val="center"/>
          </w:tcPr>
          <w:p w:rsidR="00BA1532" w:rsidRPr="00F4692C" w:rsidRDefault="00BA1532" w:rsidP="005277C1">
            <w:pPr>
              <w:jc w:val="center"/>
              <w:rPr>
                <w:b/>
              </w:rPr>
            </w:pPr>
            <w:r w:rsidRPr="00F4692C">
              <w:rPr>
                <w:b/>
              </w:rPr>
              <w:t>Biznis vrstva</w:t>
            </w:r>
          </w:p>
        </w:tc>
        <w:tc>
          <w:tcPr>
            <w:tcW w:w="1446" w:type="dxa"/>
            <w:shd w:val="clear" w:color="auto" w:fill="C0C0C0"/>
            <w:vAlign w:val="center"/>
          </w:tcPr>
          <w:p w:rsidR="00BA1532" w:rsidRPr="00F4692C" w:rsidRDefault="00BA1532" w:rsidP="005277C1">
            <w:pPr>
              <w:jc w:val="center"/>
              <w:rPr>
                <w:b/>
              </w:rPr>
            </w:pPr>
            <w:r w:rsidRPr="00F4692C">
              <w:rPr>
                <w:b/>
              </w:rPr>
              <w:t>A – nová služba</w:t>
            </w:r>
          </w:p>
          <w:p w:rsidR="00BA1532" w:rsidRPr="00F4692C" w:rsidRDefault="00BA1532" w:rsidP="005277C1">
            <w:pPr>
              <w:jc w:val="center"/>
              <w:rPr>
                <w:i/>
                <w:iCs/>
              </w:rPr>
            </w:pPr>
            <w:r w:rsidRPr="00F4692C">
              <w:rPr>
                <w:b/>
              </w:rPr>
              <w:t>B – zmena služby</w:t>
            </w:r>
            <w:r>
              <w:rPr>
                <w:b/>
              </w:rPr>
              <w:br/>
              <w:t xml:space="preserve"> C-zvýšené používanie služby</w:t>
            </w:r>
          </w:p>
        </w:tc>
        <w:tc>
          <w:tcPr>
            <w:tcW w:w="1134" w:type="dxa"/>
            <w:shd w:val="clear" w:color="auto" w:fill="C0C0C0"/>
            <w:vAlign w:val="center"/>
          </w:tcPr>
          <w:p w:rsidR="00BA1532" w:rsidRPr="00F4692C" w:rsidRDefault="00BA1532" w:rsidP="005277C1">
            <w:r w:rsidRPr="00F4692C">
              <w:rPr>
                <w:b/>
              </w:rPr>
              <w:t>Kód koncovej služby</w:t>
            </w:r>
          </w:p>
        </w:tc>
        <w:tc>
          <w:tcPr>
            <w:tcW w:w="1276" w:type="dxa"/>
            <w:gridSpan w:val="2"/>
            <w:shd w:val="clear" w:color="auto" w:fill="C0C0C0"/>
            <w:vAlign w:val="center"/>
          </w:tcPr>
          <w:p w:rsidR="00BA1532" w:rsidRPr="00F4692C" w:rsidRDefault="00BA1532" w:rsidP="005277C1">
            <w:pPr>
              <w:rPr>
                <w:i/>
                <w:iCs/>
              </w:rPr>
            </w:pPr>
            <w:r w:rsidRPr="00F4692C">
              <w:rPr>
                <w:b/>
              </w:rPr>
              <w:t>Názov koncovej služby</w:t>
            </w:r>
          </w:p>
        </w:tc>
        <w:tc>
          <w:tcPr>
            <w:tcW w:w="1559" w:type="dxa"/>
            <w:shd w:val="clear" w:color="auto" w:fill="C0C0C0"/>
          </w:tcPr>
          <w:p w:rsidR="00BA1532" w:rsidRPr="00F4692C" w:rsidRDefault="00BA1532" w:rsidP="005277C1">
            <w:pPr>
              <w:rPr>
                <w:b/>
              </w:rPr>
            </w:pPr>
            <w:r w:rsidRPr="00F4692C">
              <w:rPr>
                <w:b/>
              </w:rPr>
              <w:t>Úroveň elektronizácie</w:t>
            </w:r>
            <w:r>
              <w:rPr>
                <w:b/>
              </w:rPr>
              <w:t xml:space="preserve"> – pre C odhad počtu podaní</w:t>
            </w:r>
          </w:p>
        </w:tc>
      </w:tr>
      <w:tr w:rsidR="00BA1532" w:rsidRPr="005C4B9C" w:rsidTr="005277C1">
        <w:trPr>
          <w:trHeight w:val="20"/>
        </w:trPr>
        <w:tc>
          <w:tcPr>
            <w:tcW w:w="3956" w:type="dxa"/>
          </w:tcPr>
          <w:p w:rsidR="00BA1532" w:rsidRPr="0021424E" w:rsidRDefault="00BA1532" w:rsidP="005277C1">
            <w:r w:rsidRPr="005C4B9C">
              <w:rPr>
                <w:b/>
              </w:rPr>
              <w:t>6.1.</w:t>
            </w:r>
            <w:r w:rsidRPr="005C4B9C">
              <w:t xml:space="preserve"> Predpokladá predložený návrh zmenu existujúcich </w:t>
            </w:r>
            <w:r>
              <w:t>koncových</w:t>
            </w:r>
            <w:r w:rsidRPr="005C4B9C">
              <w:t xml:space="preserve"> služieb verejnej správy </w:t>
            </w:r>
            <w:r>
              <w:t>,</w:t>
            </w:r>
            <w:r w:rsidRPr="005C4B9C">
              <w:t>vytvorenie nových služieb</w:t>
            </w:r>
            <w:r>
              <w:t xml:space="preserve"> pre občana alebo podnikateľa alebo má vplyv na zvýšené používanie existujúcich služieb</w:t>
            </w:r>
            <w:r w:rsidRPr="005C4B9C">
              <w:t>?</w:t>
            </w:r>
          </w:p>
        </w:tc>
        <w:tc>
          <w:tcPr>
            <w:tcW w:w="1446" w:type="dxa"/>
          </w:tcPr>
          <w:p w:rsidR="00BA1532" w:rsidRPr="005C4B9C" w:rsidRDefault="00BA1532" w:rsidP="005277C1">
            <w:pPr>
              <w:jc w:val="center"/>
              <w:rPr>
                <w:b/>
              </w:rPr>
            </w:pPr>
          </w:p>
        </w:tc>
        <w:tc>
          <w:tcPr>
            <w:tcW w:w="1134" w:type="dxa"/>
          </w:tcPr>
          <w:p w:rsidR="00BA1532" w:rsidRPr="005C4B9C" w:rsidRDefault="00BA1532" w:rsidP="005277C1">
            <w:pPr>
              <w:jc w:val="center"/>
              <w:rPr>
                <w:b/>
              </w:rPr>
            </w:pPr>
          </w:p>
        </w:tc>
        <w:tc>
          <w:tcPr>
            <w:tcW w:w="1276" w:type="dxa"/>
            <w:gridSpan w:val="2"/>
          </w:tcPr>
          <w:p w:rsidR="00BA1532" w:rsidRPr="005C4B9C" w:rsidRDefault="00BA1532" w:rsidP="005277C1">
            <w:pPr>
              <w:jc w:val="both"/>
              <w:rPr>
                <w:b/>
              </w:rPr>
            </w:pPr>
          </w:p>
        </w:tc>
        <w:tc>
          <w:tcPr>
            <w:tcW w:w="1559" w:type="dxa"/>
          </w:tcPr>
          <w:p w:rsidR="00BA1532" w:rsidRPr="005C4B9C" w:rsidRDefault="00BA1532" w:rsidP="005277C1">
            <w:pPr>
              <w:rPr>
                <w:b/>
                <w:i/>
              </w:rPr>
            </w:pPr>
          </w:p>
        </w:tc>
      </w:tr>
      <w:tr w:rsidR="00BA1532" w:rsidRPr="005C4B9C" w:rsidTr="005277C1">
        <w:trPr>
          <w:trHeight w:val="20"/>
        </w:trPr>
        <w:tc>
          <w:tcPr>
            <w:tcW w:w="3956" w:type="dxa"/>
            <w:shd w:val="clear" w:color="auto" w:fill="C0C0C0"/>
            <w:vAlign w:val="center"/>
          </w:tcPr>
          <w:p w:rsidR="00BA1532" w:rsidRPr="00F4692C" w:rsidRDefault="00BA1532" w:rsidP="005277C1">
            <w:pPr>
              <w:jc w:val="center"/>
              <w:rPr>
                <w:b/>
              </w:rPr>
            </w:pPr>
            <w:r w:rsidRPr="00F4692C">
              <w:rPr>
                <w:b/>
              </w:rPr>
              <w:t>Aplikačná a technologická vrstva</w:t>
            </w:r>
          </w:p>
        </w:tc>
        <w:tc>
          <w:tcPr>
            <w:tcW w:w="1446" w:type="dxa"/>
            <w:shd w:val="clear" w:color="auto" w:fill="C0C0C0"/>
          </w:tcPr>
          <w:p w:rsidR="00BA1532" w:rsidRPr="00F4692C" w:rsidRDefault="00BA1532" w:rsidP="005277C1">
            <w:pPr>
              <w:jc w:val="center"/>
              <w:rPr>
                <w:b/>
              </w:rPr>
            </w:pPr>
            <w:r w:rsidRPr="00F4692C">
              <w:rPr>
                <w:b/>
              </w:rPr>
              <w:t>A – nový systém</w:t>
            </w:r>
          </w:p>
          <w:p w:rsidR="00BA1532" w:rsidRPr="00F4692C" w:rsidRDefault="00BA1532" w:rsidP="005277C1">
            <w:pPr>
              <w:jc w:val="center"/>
              <w:rPr>
                <w:b/>
              </w:rPr>
            </w:pPr>
            <w:r w:rsidRPr="00F4692C">
              <w:rPr>
                <w:b/>
              </w:rPr>
              <w:t>B – zmena systému</w:t>
            </w:r>
          </w:p>
        </w:tc>
        <w:tc>
          <w:tcPr>
            <w:tcW w:w="1134" w:type="dxa"/>
            <w:shd w:val="clear" w:color="auto" w:fill="C0C0C0"/>
            <w:vAlign w:val="center"/>
          </w:tcPr>
          <w:p w:rsidR="00BA1532" w:rsidRPr="00F4692C" w:rsidRDefault="00BA1532" w:rsidP="005277C1">
            <w:pPr>
              <w:jc w:val="center"/>
              <w:rPr>
                <w:b/>
              </w:rPr>
            </w:pPr>
            <w:r w:rsidRPr="00F4692C">
              <w:rPr>
                <w:b/>
              </w:rPr>
              <w:t>Kód systému</w:t>
            </w:r>
          </w:p>
        </w:tc>
        <w:tc>
          <w:tcPr>
            <w:tcW w:w="1276" w:type="dxa"/>
            <w:gridSpan w:val="2"/>
            <w:shd w:val="clear" w:color="auto" w:fill="C0C0C0"/>
            <w:vAlign w:val="center"/>
          </w:tcPr>
          <w:p w:rsidR="00BA1532" w:rsidRPr="00F4692C" w:rsidRDefault="00BA1532" w:rsidP="005277C1">
            <w:pPr>
              <w:jc w:val="center"/>
              <w:rPr>
                <w:b/>
              </w:rPr>
            </w:pPr>
            <w:r w:rsidRPr="00F4692C">
              <w:rPr>
                <w:b/>
              </w:rPr>
              <w:t>Názov systému</w:t>
            </w:r>
          </w:p>
        </w:tc>
        <w:tc>
          <w:tcPr>
            <w:tcW w:w="1559" w:type="dxa"/>
            <w:shd w:val="clear" w:color="auto" w:fill="C0C0C0"/>
            <w:vAlign w:val="center"/>
          </w:tcPr>
          <w:p w:rsidR="00BA1532" w:rsidRPr="00F4692C" w:rsidRDefault="00BA1532" w:rsidP="005277C1">
            <w:pPr>
              <w:jc w:val="center"/>
              <w:rPr>
                <w:b/>
              </w:rPr>
            </w:pPr>
            <w:r w:rsidRPr="00F4692C">
              <w:rPr>
                <w:b/>
              </w:rPr>
              <w:t xml:space="preserve">Vo vládnom </w:t>
            </w:r>
            <w:proofErr w:type="spellStart"/>
            <w:r w:rsidRPr="00F4692C">
              <w:rPr>
                <w:b/>
              </w:rPr>
              <w:t>cloude</w:t>
            </w:r>
            <w:proofErr w:type="spellEnd"/>
            <w:r w:rsidRPr="00F4692C">
              <w:rPr>
                <w:b/>
              </w:rPr>
              <w:t xml:space="preserve"> – áno / nie</w:t>
            </w:r>
          </w:p>
        </w:tc>
      </w:tr>
      <w:tr w:rsidR="00BA1532" w:rsidRPr="005C4B9C" w:rsidTr="005277C1">
        <w:trPr>
          <w:trHeight w:val="20"/>
        </w:trPr>
        <w:tc>
          <w:tcPr>
            <w:tcW w:w="3956" w:type="dxa"/>
          </w:tcPr>
          <w:p w:rsidR="00BA1532" w:rsidRPr="005C4B9C" w:rsidRDefault="00BA1532" w:rsidP="005277C1">
            <w:r w:rsidRPr="005C4B9C">
              <w:rPr>
                <w:b/>
              </w:rPr>
              <w:t>6.2.</w:t>
            </w:r>
            <w:r w:rsidRPr="005C4B9C">
              <w:t xml:space="preserve"> Predpokladá predložený návrh zmenu existujúceho alebo vytvorenie nového informačného systému verejnej správy?</w:t>
            </w:r>
            <w:r>
              <w:t xml:space="preserve"> Predpokladá správca umiestnenie informačného systému vo vládnom </w:t>
            </w:r>
            <w:proofErr w:type="spellStart"/>
            <w:r>
              <w:t>cloude</w:t>
            </w:r>
            <w:proofErr w:type="spellEnd"/>
            <w:r>
              <w:t>?</w:t>
            </w:r>
          </w:p>
        </w:tc>
        <w:tc>
          <w:tcPr>
            <w:tcW w:w="1446" w:type="dxa"/>
            <w:vAlign w:val="center"/>
          </w:tcPr>
          <w:p w:rsidR="00BA1532" w:rsidRPr="008D3339" w:rsidRDefault="00BA1532" w:rsidP="005277C1">
            <w:pPr>
              <w:jc w:val="center"/>
              <w:rPr>
                <w:iCs/>
              </w:rPr>
            </w:pPr>
            <w:r w:rsidRPr="008D3339">
              <w:rPr>
                <w:iCs/>
              </w:rPr>
              <w:t>B</w:t>
            </w:r>
          </w:p>
        </w:tc>
        <w:tc>
          <w:tcPr>
            <w:tcW w:w="1134" w:type="dxa"/>
            <w:vAlign w:val="center"/>
          </w:tcPr>
          <w:p w:rsidR="00BA1532" w:rsidRPr="008D3339" w:rsidRDefault="00BA1532" w:rsidP="005277C1">
            <w:pPr>
              <w:jc w:val="center"/>
              <w:rPr>
                <w:iCs/>
              </w:rPr>
            </w:pPr>
            <w:r w:rsidRPr="008D3339">
              <w:rPr>
                <w:iCs/>
              </w:rPr>
              <w:t>isvs_7213</w:t>
            </w:r>
          </w:p>
        </w:tc>
        <w:tc>
          <w:tcPr>
            <w:tcW w:w="1276" w:type="dxa"/>
            <w:gridSpan w:val="2"/>
            <w:vAlign w:val="center"/>
          </w:tcPr>
          <w:p w:rsidR="00BA1532" w:rsidRPr="008D3339" w:rsidRDefault="00BA1532" w:rsidP="005277C1">
            <w:pPr>
              <w:jc w:val="center"/>
              <w:rPr>
                <w:iCs/>
              </w:rPr>
            </w:pPr>
            <w:r w:rsidRPr="008D3339">
              <w:rPr>
                <w:iCs/>
              </w:rPr>
              <w:t>Portál finančnej správy (PFS)</w:t>
            </w:r>
          </w:p>
        </w:tc>
        <w:tc>
          <w:tcPr>
            <w:tcW w:w="1559" w:type="dxa"/>
            <w:vAlign w:val="center"/>
          </w:tcPr>
          <w:p w:rsidR="00BA1532" w:rsidRPr="008D3339" w:rsidRDefault="00BA1532" w:rsidP="005277C1">
            <w:pPr>
              <w:jc w:val="center"/>
              <w:rPr>
                <w:iCs/>
              </w:rPr>
            </w:pPr>
            <w:r w:rsidRPr="008D3339">
              <w:rPr>
                <w:iCs/>
              </w:rPr>
              <w:t>nie</w:t>
            </w:r>
          </w:p>
        </w:tc>
      </w:tr>
      <w:tr w:rsidR="00BA1532" w:rsidRPr="005C4B9C" w:rsidTr="005277C1">
        <w:trPr>
          <w:trHeight w:val="20"/>
        </w:trPr>
        <w:tc>
          <w:tcPr>
            <w:tcW w:w="3956" w:type="dxa"/>
          </w:tcPr>
          <w:p w:rsidR="00BA1532" w:rsidRPr="005C4B9C" w:rsidRDefault="00BA1532" w:rsidP="005277C1">
            <w:pPr>
              <w:rPr>
                <w:b/>
              </w:rPr>
            </w:pPr>
          </w:p>
        </w:tc>
        <w:tc>
          <w:tcPr>
            <w:tcW w:w="1446" w:type="dxa"/>
            <w:vAlign w:val="center"/>
          </w:tcPr>
          <w:p w:rsidR="00BA1532" w:rsidRPr="008D3339" w:rsidRDefault="00BA1532" w:rsidP="005277C1">
            <w:pPr>
              <w:jc w:val="center"/>
              <w:rPr>
                <w:iCs/>
              </w:rPr>
            </w:pPr>
            <w:r w:rsidRPr="008D3339">
              <w:rPr>
                <w:iCs/>
              </w:rPr>
              <w:t>B</w:t>
            </w:r>
          </w:p>
        </w:tc>
        <w:tc>
          <w:tcPr>
            <w:tcW w:w="1134" w:type="dxa"/>
            <w:vAlign w:val="center"/>
          </w:tcPr>
          <w:p w:rsidR="00BA1532" w:rsidRPr="008D3339" w:rsidRDefault="00BA1532" w:rsidP="005277C1">
            <w:pPr>
              <w:jc w:val="center"/>
              <w:rPr>
                <w:iCs/>
              </w:rPr>
            </w:pPr>
            <w:r w:rsidRPr="008D3339">
              <w:rPr>
                <w:iCs/>
              </w:rPr>
              <w:t>isvs_7205</w:t>
            </w:r>
          </w:p>
        </w:tc>
        <w:tc>
          <w:tcPr>
            <w:tcW w:w="1276" w:type="dxa"/>
            <w:gridSpan w:val="2"/>
            <w:vAlign w:val="center"/>
          </w:tcPr>
          <w:p w:rsidR="00BA1532" w:rsidRPr="008D3339" w:rsidRDefault="00BA1532" w:rsidP="005277C1">
            <w:pPr>
              <w:jc w:val="center"/>
              <w:rPr>
                <w:iCs/>
              </w:rPr>
            </w:pPr>
            <w:r w:rsidRPr="008D3339">
              <w:rPr>
                <w:iCs/>
              </w:rPr>
              <w:t>Systém správy nepriamych daní (</w:t>
            </w:r>
            <w:proofErr w:type="spellStart"/>
            <w:r w:rsidRPr="008D3339">
              <w:rPr>
                <w:iCs/>
              </w:rPr>
              <w:t>SySNeD</w:t>
            </w:r>
            <w:proofErr w:type="spellEnd"/>
            <w:r w:rsidRPr="008D3339">
              <w:rPr>
                <w:iCs/>
              </w:rPr>
              <w:t>)</w:t>
            </w:r>
          </w:p>
        </w:tc>
        <w:tc>
          <w:tcPr>
            <w:tcW w:w="1559" w:type="dxa"/>
            <w:vAlign w:val="center"/>
          </w:tcPr>
          <w:p w:rsidR="00BA1532" w:rsidRPr="008D3339" w:rsidRDefault="00BA1532" w:rsidP="005277C1">
            <w:pPr>
              <w:jc w:val="center"/>
              <w:rPr>
                <w:iCs/>
              </w:rPr>
            </w:pPr>
            <w:r w:rsidRPr="008D3339">
              <w:rPr>
                <w:iCs/>
              </w:rPr>
              <w:t>nie</w:t>
            </w:r>
          </w:p>
        </w:tc>
      </w:tr>
      <w:tr w:rsidR="00BA1532" w:rsidRPr="005C4B9C" w:rsidTr="005277C1">
        <w:trPr>
          <w:trHeight w:val="20"/>
        </w:trPr>
        <w:tc>
          <w:tcPr>
            <w:tcW w:w="3956" w:type="dxa"/>
          </w:tcPr>
          <w:p w:rsidR="00BA1532" w:rsidRPr="005C4B9C" w:rsidRDefault="00BA1532" w:rsidP="005277C1">
            <w:pPr>
              <w:rPr>
                <w:b/>
              </w:rPr>
            </w:pPr>
          </w:p>
        </w:tc>
        <w:tc>
          <w:tcPr>
            <w:tcW w:w="1446" w:type="dxa"/>
            <w:vAlign w:val="center"/>
          </w:tcPr>
          <w:p w:rsidR="00BA1532" w:rsidRPr="008D3339" w:rsidRDefault="00BA1532" w:rsidP="005277C1">
            <w:pPr>
              <w:jc w:val="center"/>
              <w:rPr>
                <w:iCs/>
              </w:rPr>
            </w:pPr>
            <w:r>
              <w:rPr>
                <w:iCs/>
              </w:rPr>
              <w:t>B</w:t>
            </w:r>
          </w:p>
        </w:tc>
        <w:tc>
          <w:tcPr>
            <w:tcW w:w="1134" w:type="dxa"/>
            <w:vAlign w:val="center"/>
          </w:tcPr>
          <w:p w:rsidR="00BA1532" w:rsidRPr="008D3339" w:rsidRDefault="00BA1532" w:rsidP="005277C1">
            <w:pPr>
              <w:jc w:val="center"/>
              <w:rPr>
                <w:iCs/>
              </w:rPr>
            </w:pPr>
            <w:r>
              <w:rPr>
                <w:iCs/>
              </w:rPr>
              <w:t>isvs_7151</w:t>
            </w:r>
          </w:p>
        </w:tc>
        <w:tc>
          <w:tcPr>
            <w:tcW w:w="1276" w:type="dxa"/>
            <w:gridSpan w:val="2"/>
            <w:vAlign w:val="center"/>
          </w:tcPr>
          <w:p w:rsidR="00BA1532" w:rsidRPr="008D3339" w:rsidRDefault="00BA1532" w:rsidP="005277C1">
            <w:pPr>
              <w:jc w:val="center"/>
              <w:rPr>
                <w:iCs/>
              </w:rPr>
            </w:pPr>
            <w:r>
              <w:rPr>
                <w:iCs/>
              </w:rPr>
              <w:t>Informačný systém kontrolné známky (ISKZ)</w:t>
            </w:r>
          </w:p>
        </w:tc>
        <w:tc>
          <w:tcPr>
            <w:tcW w:w="1559" w:type="dxa"/>
            <w:vAlign w:val="center"/>
          </w:tcPr>
          <w:p w:rsidR="00BA1532" w:rsidRPr="008D3339" w:rsidRDefault="00BA1532" w:rsidP="005277C1">
            <w:pPr>
              <w:jc w:val="center"/>
              <w:rPr>
                <w:iCs/>
              </w:rPr>
            </w:pPr>
            <w:r>
              <w:rPr>
                <w:iCs/>
              </w:rPr>
              <w:t>nie</w:t>
            </w:r>
          </w:p>
        </w:tc>
      </w:tr>
      <w:tr w:rsidR="00BA1532" w:rsidRPr="005C4B9C" w:rsidTr="005277C1">
        <w:trPr>
          <w:trHeight w:val="20"/>
        </w:trPr>
        <w:tc>
          <w:tcPr>
            <w:tcW w:w="3956" w:type="dxa"/>
            <w:shd w:val="clear" w:color="auto" w:fill="BFBFBF"/>
            <w:vAlign w:val="center"/>
          </w:tcPr>
          <w:p w:rsidR="00BA1532" w:rsidRPr="00F4692C" w:rsidRDefault="00BA1532" w:rsidP="005277C1">
            <w:pPr>
              <w:spacing w:line="20" w:lineRule="atLeast"/>
              <w:ind w:hanging="55"/>
              <w:jc w:val="center"/>
              <w:rPr>
                <w:b/>
              </w:rPr>
            </w:pPr>
            <w:r w:rsidRPr="00F4692C">
              <w:rPr>
                <w:b/>
              </w:rPr>
              <w:t>Financovanie procesu informatizácie</w:t>
            </w:r>
          </w:p>
        </w:tc>
        <w:tc>
          <w:tcPr>
            <w:tcW w:w="1446" w:type="dxa"/>
            <w:shd w:val="clear" w:color="auto" w:fill="BFBFBF"/>
            <w:vAlign w:val="center"/>
          </w:tcPr>
          <w:p w:rsidR="00BA1532" w:rsidRPr="00F4692C" w:rsidRDefault="00BA1532" w:rsidP="005277C1">
            <w:pPr>
              <w:jc w:val="center"/>
              <w:rPr>
                <w:b/>
                <w:i/>
                <w:iCs/>
              </w:rPr>
            </w:pPr>
            <w:r w:rsidRPr="00F4692C">
              <w:rPr>
                <w:b/>
              </w:rPr>
              <w:t>Rezortná úroveň</w:t>
            </w:r>
          </w:p>
        </w:tc>
        <w:tc>
          <w:tcPr>
            <w:tcW w:w="1984" w:type="dxa"/>
            <w:gridSpan w:val="2"/>
            <w:shd w:val="clear" w:color="auto" w:fill="BFBFBF"/>
            <w:vAlign w:val="center"/>
          </w:tcPr>
          <w:p w:rsidR="00BA1532" w:rsidRPr="00F4692C" w:rsidRDefault="00BA1532" w:rsidP="005277C1">
            <w:pPr>
              <w:jc w:val="center"/>
              <w:rPr>
                <w:b/>
                <w:i/>
                <w:iCs/>
              </w:rPr>
            </w:pPr>
            <w:r w:rsidRPr="00F4692C">
              <w:rPr>
                <w:b/>
              </w:rPr>
              <w:t>Nadrezortná úroveň</w:t>
            </w:r>
          </w:p>
          <w:p w:rsidR="00BA1532" w:rsidRPr="00F4692C" w:rsidRDefault="00BA1532" w:rsidP="005277C1">
            <w:pPr>
              <w:jc w:val="center"/>
              <w:rPr>
                <w:b/>
              </w:rPr>
            </w:pPr>
          </w:p>
        </w:tc>
        <w:tc>
          <w:tcPr>
            <w:tcW w:w="1985" w:type="dxa"/>
            <w:gridSpan w:val="2"/>
            <w:shd w:val="clear" w:color="auto" w:fill="BFBFBF"/>
            <w:vAlign w:val="center"/>
          </w:tcPr>
          <w:p w:rsidR="00BA1532" w:rsidRPr="00F4692C" w:rsidRDefault="00BA1532" w:rsidP="005277C1">
            <w:pPr>
              <w:rPr>
                <w:b/>
              </w:rPr>
            </w:pPr>
            <w:r w:rsidRPr="00F4692C">
              <w:rPr>
                <w:b/>
              </w:rPr>
              <w:t>A - z prostriedkov EÚ   B - z ďalších zdrojov financovania</w:t>
            </w:r>
          </w:p>
        </w:tc>
      </w:tr>
      <w:tr w:rsidR="00BA1532" w:rsidRPr="005C4B9C" w:rsidTr="005277C1">
        <w:trPr>
          <w:trHeight w:val="20"/>
        </w:trPr>
        <w:tc>
          <w:tcPr>
            <w:tcW w:w="3956" w:type="dxa"/>
            <w:tcBorders>
              <w:bottom w:val="single" w:sz="4" w:space="0" w:color="auto"/>
            </w:tcBorders>
          </w:tcPr>
          <w:p w:rsidR="00BA1532" w:rsidRPr="005C4B9C" w:rsidRDefault="00BA1532" w:rsidP="005277C1">
            <w:pPr>
              <w:jc w:val="both"/>
            </w:pPr>
            <w:r w:rsidRPr="005C4B9C">
              <w:rPr>
                <w:b/>
              </w:rPr>
              <w:t>6.3.</w:t>
            </w:r>
            <w:r w:rsidRPr="005C4B9C">
              <w:t xml:space="preserve"> Vyžaduje si proces informatizácie  finančné investície?</w:t>
            </w:r>
          </w:p>
          <w:p w:rsidR="00BA1532" w:rsidRPr="005C4B9C" w:rsidRDefault="00BA1532" w:rsidP="005277C1">
            <w:pPr>
              <w:spacing w:line="20" w:lineRule="atLeast"/>
              <w:jc w:val="both"/>
            </w:pPr>
            <w:r w:rsidRPr="005C4B9C">
              <w:rPr>
                <w:i/>
                <w:iCs/>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rsidR="00BA1532" w:rsidRPr="00A85894" w:rsidRDefault="00BA1532" w:rsidP="005277C1">
            <w:pPr>
              <w:jc w:val="center"/>
              <w:rPr>
                <w:iCs/>
              </w:rPr>
            </w:pPr>
            <w:r w:rsidRPr="00A85894">
              <w:rPr>
                <w:iCs/>
              </w:rPr>
              <w:t>X</w:t>
            </w:r>
          </w:p>
        </w:tc>
        <w:tc>
          <w:tcPr>
            <w:tcW w:w="1984" w:type="dxa"/>
            <w:gridSpan w:val="2"/>
            <w:tcBorders>
              <w:bottom w:val="single" w:sz="4" w:space="0" w:color="auto"/>
            </w:tcBorders>
          </w:tcPr>
          <w:p w:rsidR="00BA1532" w:rsidRPr="005C4B9C" w:rsidRDefault="00BA1532" w:rsidP="005277C1">
            <w:pPr>
              <w:rPr>
                <w:i/>
                <w:iCs/>
              </w:rPr>
            </w:pPr>
          </w:p>
        </w:tc>
        <w:tc>
          <w:tcPr>
            <w:tcW w:w="1985" w:type="dxa"/>
            <w:gridSpan w:val="2"/>
            <w:tcBorders>
              <w:bottom w:val="single" w:sz="4" w:space="0" w:color="auto"/>
            </w:tcBorders>
          </w:tcPr>
          <w:p w:rsidR="00BA1532" w:rsidRPr="005C4B9C" w:rsidRDefault="00BA1532" w:rsidP="005277C1">
            <w:pPr>
              <w:rPr>
                <w:i/>
                <w:iCs/>
              </w:rPr>
            </w:pPr>
          </w:p>
        </w:tc>
      </w:tr>
      <w:tr w:rsidR="00BA1532" w:rsidRPr="005C4B9C" w:rsidTr="005277C1">
        <w:trPr>
          <w:trHeight w:val="20"/>
        </w:trPr>
        <w:tc>
          <w:tcPr>
            <w:tcW w:w="9371" w:type="dxa"/>
            <w:gridSpan w:val="6"/>
            <w:shd w:val="pct25" w:color="auto" w:fill="auto"/>
          </w:tcPr>
          <w:p w:rsidR="00BA1532" w:rsidRPr="00F14E8D" w:rsidRDefault="00BA1532" w:rsidP="005277C1">
            <w:pPr>
              <w:spacing w:line="20" w:lineRule="atLeast"/>
              <w:ind w:hanging="55"/>
              <w:jc w:val="center"/>
              <w:rPr>
                <w:i/>
                <w:iCs/>
                <w:highlight w:val="darkGray"/>
              </w:rPr>
            </w:pPr>
            <w:r w:rsidRPr="00F14E8D">
              <w:rPr>
                <w:b/>
              </w:rPr>
              <w:t>Zjednodušenie prístupu ku konaniu a odstraňovanie byrokracie</w:t>
            </w:r>
          </w:p>
        </w:tc>
      </w:tr>
      <w:tr w:rsidR="00BA1532" w:rsidRPr="005C4B9C" w:rsidTr="005277C1">
        <w:trPr>
          <w:trHeight w:val="20"/>
        </w:trPr>
        <w:tc>
          <w:tcPr>
            <w:tcW w:w="9371" w:type="dxa"/>
            <w:gridSpan w:val="6"/>
            <w:shd w:val="pct25" w:color="auto" w:fill="auto"/>
          </w:tcPr>
          <w:p w:rsidR="00BA1532" w:rsidRPr="00F4692C" w:rsidRDefault="00BA1532" w:rsidP="005277C1">
            <w:pPr>
              <w:spacing w:line="20" w:lineRule="atLeast"/>
              <w:ind w:hanging="55"/>
              <w:jc w:val="center"/>
              <w:rPr>
                <w:b/>
              </w:rPr>
            </w:pPr>
            <w:r>
              <w:rPr>
                <w:b/>
              </w:rPr>
              <w:lastRenderedPageBreak/>
              <w:t>Elektronické konanie</w:t>
            </w:r>
          </w:p>
        </w:tc>
      </w:tr>
      <w:tr w:rsidR="00BA1532" w:rsidRPr="005C4B9C" w:rsidTr="005277C1">
        <w:trPr>
          <w:trHeight w:val="20"/>
        </w:trPr>
        <w:tc>
          <w:tcPr>
            <w:tcW w:w="3956" w:type="dxa"/>
          </w:tcPr>
          <w:p w:rsidR="00BA1532" w:rsidRPr="005C4B9C" w:rsidRDefault="00BA1532" w:rsidP="005277C1">
            <w:pPr>
              <w:jc w:val="both"/>
              <w:rPr>
                <w:b/>
              </w:rPr>
            </w:pPr>
            <w:r>
              <w:rPr>
                <w:b/>
              </w:rPr>
              <w:t xml:space="preserve">6.4.1. </w:t>
            </w:r>
            <w:r w:rsidRPr="00FA16FE">
              <w:t xml:space="preserve">Predpokladá predložený návrh </w:t>
            </w:r>
            <w:r>
              <w:t>vedenie konania o právach, právom chránených záujmoch alebo povinnostiach fyzických osôb a právnických osôb</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1051428338"/>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200025544"/>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shd w:val="clear" w:color="auto" w:fill="auto"/>
          </w:tcPr>
          <w:p w:rsidR="00BA1532" w:rsidRPr="001762F6" w:rsidRDefault="00BA1532" w:rsidP="005277C1">
            <w:pPr>
              <w:jc w:val="both"/>
            </w:pPr>
            <w:r w:rsidRPr="001762F6">
              <w:rPr>
                <w:iCs/>
              </w:rPr>
              <w:t xml:space="preserve">Konanie o </w:t>
            </w:r>
            <w:r w:rsidRPr="001762F6">
              <w:t xml:space="preserve">žiadosti o vydanie povolenia na obchodovanie s bezdymovým tabakovým výrobkom podľa § 19aa ods. </w:t>
            </w:r>
            <w:r>
              <w:t>7</w:t>
            </w:r>
            <w:r w:rsidRPr="001762F6">
              <w:t xml:space="preserve"> návrhu zákona.</w:t>
            </w:r>
          </w:p>
          <w:p w:rsidR="00BA1532" w:rsidRPr="001762F6" w:rsidRDefault="00BA1532" w:rsidP="005277C1">
            <w:pPr>
              <w:jc w:val="both"/>
            </w:pPr>
            <w:r w:rsidRPr="001762F6">
              <w:t>Konanie o žiadosti o vydanie povolenia na distribúciu bezdymového tabakového výrobku podľa § 19aa ods. 1</w:t>
            </w:r>
            <w:r>
              <w:t>7</w:t>
            </w:r>
            <w:r w:rsidRPr="001762F6">
              <w:t xml:space="preserve"> návrhu zákona.</w:t>
            </w:r>
          </w:p>
          <w:p w:rsidR="00BA1532" w:rsidRPr="001762F6" w:rsidRDefault="00BA1532" w:rsidP="005277C1">
            <w:pPr>
              <w:jc w:val="both"/>
            </w:pPr>
            <w:r w:rsidRPr="001762F6">
              <w:t xml:space="preserve">Konanie o žiadosti o vydanie povolenia na obchodovanie s výrobkom súvisiacim s tabakovými výrobkami podľa § 19ab ods. </w:t>
            </w:r>
            <w:r>
              <w:t>8</w:t>
            </w:r>
            <w:r w:rsidRPr="001762F6">
              <w:t xml:space="preserve"> návrhu zákona.</w:t>
            </w:r>
          </w:p>
          <w:p w:rsidR="00BA1532" w:rsidRPr="001762F6" w:rsidRDefault="00BA1532" w:rsidP="005277C1">
            <w:pPr>
              <w:jc w:val="both"/>
            </w:pPr>
            <w:r w:rsidRPr="001762F6">
              <w:t>Konanie o žiadosti o vydanie povolenia na distribúciu výrobku súvisiaceho s tabakovými výrobkami podľa § 19ab ods. 1</w:t>
            </w:r>
            <w:r>
              <w:t>9</w:t>
            </w:r>
            <w:r w:rsidRPr="001762F6">
              <w:t xml:space="preserve"> návrhu zákona.</w:t>
            </w:r>
          </w:p>
          <w:p w:rsidR="00BA1532" w:rsidRPr="001762F6" w:rsidRDefault="00BA1532" w:rsidP="005277C1"/>
          <w:p w:rsidR="00BA1532" w:rsidRPr="002424C7" w:rsidRDefault="00BA1532" w:rsidP="005277C1">
            <w:pPr>
              <w:rPr>
                <w:iCs/>
              </w:rPr>
            </w:pPr>
          </w:p>
        </w:tc>
      </w:tr>
      <w:tr w:rsidR="00BA1532" w:rsidRPr="005C4B9C" w:rsidTr="005277C1">
        <w:trPr>
          <w:trHeight w:val="20"/>
        </w:trPr>
        <w:tc>
          <w:tcPr>
            <w:tcW w:w="3956" w:type="dxa"/>
          </w:tcPr>
          <w:p w:rsidR="00BA1532" w:rsidRPr="005C4B9C" w:rsidRDefault="00BA1532" w:rsidP="005277C1">
            <w:pPr>
              <w:jc w:val="both"/>
              <w:rPr>
                <w:b/>
              </w:rPr>
            </w:pPr>
            <w:r>
              <w:rPr>
                <w:b/>
              </w:rPr>
              <w:t xml:space="preserve">6.4.2. </w:t>
            </w:r>
            <w:r>
              <w:t>Je dané konanie možné v celku vykonať elektronicky</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945843635"/>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31386459"/>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shd w:val="clear" w:color="auto" w:fill="auto"/>
          </w:tcPr>
          <w:p w:rsidR="00BA1532" w:rsidRPr="005C4B9C" w:rsidRDefault="00BA1532" w:rsidP="005277C1">
            <w:pPr>
              <w:rPr>
                <w:i/>
                <w:iCs/>
              </w:rPr>
            </w:pPr>
          </w:p>
        </w:tc>
      </w:tr>
      <w:tr w:rsidR="00BA1532" w:rsidRPr="005C4B9C" w:rsidTr="005277C1">
        <w:trPr>
          <w:trHeight w:val="20"/>
        </w:trPr>
        <w:tc>
          <w:tcPr>
            <w:tcW w:w="3956" w:type="dxa"/>
          </w:tcPr>
          <w:p w:rsidR="00BA1532" w:rsidRPr="005C4B9C" w:rsidRDefault="00BA1532" w:rsidP="005277C1">
            <w:pPr>
              <w:jc w:val="both"/>
              <w:rPr>
                <w:b/>
              </w:rPr>
            </w:pPr>
            <w:r>
              <w:rPr>
                <w:b/>
              </w:rPr>
              <w:t xml:space="preserve">6.4.3. </w:t>
            </w:r>
            <w:r>
              <w:t>Je úprava konania kompatibilná s inštitútmi zákona o e-</w:t>
            </w:r>
            <w:proofErr w:type="spellStart"/>
            <w:r>
              <w:t>Governmente</w:t>
            </w:r>
            <w:proofErr w:type="spellEnd"/>
            <w:r>
              <w:t xml:space="preserve"> a je na dané konanie zákon o e-</w:t>
            </w:r>
            <w:proofErr w:type="spellStart"/>
            <w:r>
              <w:t>Governmente</w:t>
            </w:r>
            <w:proofErr w:type="spellEnd"/>
            <w:r>
              <w:t xml:space="preserv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812871524"/>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441276830"/>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shd w:val="clear" w:color="auto" w:fill="auto"/>
          </w:tcPr>
          <w:p w:rsidR="00BA1532" w:rsidRPr="005C4B9C" w:rsidRDefault="00BA1532" w:rsidP="005277C1">
            <w:pPr>
              <w:rPr>
                <w:i/>
                <w:iCs/>
              </w:rPr>
            </w:pPr>
          </w:p>
        </w:tc>
      </w:tr>
      <w:tr w:rsidR="00BA1532" w:rsidRPr="005C4B9C" w:rsidTr="005277C1">
        <w:trPr>
          <w:trHeight w:val="20"/>
        </w:trPr>
        <w:tc>
          <w:tcPr>
            <w:tcW w:w="9371" w:type="dxa"/>
            <w:gridSpan w:val="6"/>
            <w:shd w:val="clear" w:color="auto" w:fill="BFBFBF" w:themeFill="background1" w:themeFillShade="BF"/>
          </w:tcPr>
          <w:p w:rsidR="00BA1532" w:rsidRPr="00F4692C" w:rsidRDefault="00BA1532" w:rsidP="005277C1">
            <w:pPr>
              <w:spacing w:line="20" w:lineRule="atLeast"/>
              <w:ind w:hanging="55"/>
              <w:jc w:val="center"/>
              <w:rPr>
                <w:i/>
                <w:iCs/>
              </w:rPr>
            </w:pPr>
            <w:r w:rsidRPr="00F4692C">
              <w:rPr>
                <w:b/>
              </w:rPr>
              <w:t>Zásada „jedenkrát a dosť“</w:t>
            </w:r>
          </w:p>
        </w:tc>
      </w:tr>
      <w:tr w:rsidR="00BA1532" w:rsidRPr="005C4B9C" w:rsidTr="005277C1">
        <w:trPr>
          <w:trHeight w:val="20"/>
        </w:trPr>
        <w:tc>
          <w:tcPr>
            <w:tcW w:w="3956" w:type="dxa"/>
          </w:tcPr>
          <w:p w:rsidR="00BA1532" w:rsidRPr="005C4B9C" w:rsidRDefault="00BA1532" w:rsidP="005277C1">
            <w:pPr>
              <w:jc w:val="both"/>
              <w:rPr>
                <w:b/>
              </w:rPr>
            </w:pPr>
            <w:r>
              <w:rPr>
                <w:b/>
              </w:rPr>
              <w:t xml:space="preserve">6.5.1. </w:t>
            </w:r>
            <w:r w:rsidRPr="00F14E8D">
              <w:rPr>
                <w:bCs/>
              </w:rPr>
              <w:t>Predpokladá predložený návrh predklada</w:t>
            </w:r>
            <w:r>
              <w:rPr>
                <w:bCs/>
              </w:rPr>
              <w:t>nie</w:t>
            </w:r>
            <w:r w:rsidRPr="00F14E8D">
              <w:rPr>
                <w:bCs/>
              </w:rPr>
              <w:t xml:space="preserve"> dokument</w:t>
            </w:r>
            <w:r>
              <w:rPr>
                <w:bCs/>
              </w:rPr>
              <w:t>ov</w:t>
            </w:r>
            <w:r w:rsidRPr="00F14E8D">
              <w:rPr>
                <w:bCs/>
              </w:rPr>
              <w:t>, informáci</w:t>
            </w:r>
            <w:r>
              <w:rPr>
                <w:bCs/>
              </w:rPr>
              <w:t>í</w:t>
            </w:r>
            <w:r w:rsidRPr="00F14E8D">
              <w:rPr>
                <w:bCs/>
              </w:rPr>
              <w:t xml:space="preserve"> alebo preukazova</w:t>
            </w:r>
            <w:r>
              <w:rPr>
                <w:bCs/>
              </w:rPr>
              <w:t>nie</w:t>
            </w:r>
            <w:r w:rsidRPr="00F14E8D">
              <w:rPr>
                <w:bCs/>
              </w:rPr>
              <w:t xml:space="preserve"> skutočnost</w:t>
            </w:r>
            <w:r>
              <w:rPr>
                <w:bCs/>
              </w:rPr>
              <w:t>í</w:t>
            </w:r>
            <w:r w:rsidRPr="00F14E8D">
              <w:rPr>
                <w:bCs/>
              </w:rPr>
              <w:t xml:space="preserve">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43339831"/>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79453833"/>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tcPr>
          <w:p w:rsidR="00BA1532" w:rsidRPr="00542A60" w:rsidRDefault="00BA1532" w:rsidP="005277C1">
            <w:pPr>
              <w:tabs>
                <w:tab w:val="left" w:pos="709"/>
              </w:tabs>
              <w:spacing w:before="240" w:line="252" w:lineRule="auto"/>
              <w:jc w:val="both"/>
            </w:pPr>
            <w:r w:rsidRPr="00542A60">
              <w:t>Jednotlivé žiadosti o vydanie povolení musia obsahovať najmä adresy umiestnenia prevádzkarní žiadateľa,</w:t>
            </w:r>
            <w:r>
              <w:t xml:space="preserve"> presné označenie výrobku </w:t>
            </w:r>
            <w:r w:rsidRPr="00542A60">
              <w:t>a zoznam dodávateľov. Prílohou týchto žiadostí je aj doklad preukazujúci oprávnenie na podnikanie nie starší ako 30 dní alebo jeho úradne osvedčená kópia, ak je žiadateľom osoba, ktorá nemá sídlo alebo trvalý pobyt na daňovom území.</w:t>
            </w:r>
          </w:p>
          <w:p w:rsidR="00BA1532" w:rsidRPr="005C4B9C" w:rsidRDefault="00BA1532" w:rsidP="005277C1">
            <w:pPr>
              <w:spacing w:line="20" w:lineRule="atLeast"/>
              <w:jc w:val="both"/>
              <w:rPr>
                <w:i/>
                <w:iCs/>
              </w:rPr>
            </w:pPr>
          </w:p>
        </w:tc>
      </w:tr>
      <w:tr w:rsidR="00BA1532" w:rsidRPr="005C4B9C" w:rsidTr="005277C1">
        <w:trPr>
          <w:trHeight w:val="20"/>
        </w:trPr>
        <w:tc>
          <w:tcPr>
            <w:tcW w:w="3956" w:type="dxa"/>
          </w:tcPr>
          <w:p w:rsidR="00BA1532" w:rsidRPr="005C4B9C" w:rsidRDefault="00BA1532" w:rsidP="005277C1">
            <w:pPr>
              <w:jc w:val="both"/>
              <w:rPr>
                <w:b/>
              </w:rPr>
            </w:pPr>
            <w:r>
              <w:rPr>
                <w:b/>
              </w:rPr>
              <w:t xml:space="preserve">6.5.2. </w:t>
            </w:r>
            <w:r w:rsidRPr="00F14E8D">
              <w:rPr>
                <w:bCs/>
              </w:rPr>
              <w:t xml:space="preserve">Predpokladá predložený návrh, aby </w:t>
            </w:r>
            <w:r>
              <w:rPr>
                <w:bCs/>
              </w:rPr>
              <w:t>sa</w:t>
            </w:r>
            <w:r w:rsidRPr="00F14E8D">
              <w:rPr>
                <w:bCs/>
              </w:rPr>
              <w:t xml:space="preserve"> predkladal</w:t>
            </w:r>
            <w:r>
              <w:rPr>
                <w:bCs/>
              </w:rPr>
              <w:t>i</w:t>
            </w:r>
            <w:r w:rsidRPr="00F14E8D">
              <w:rPr>
                <w:bCs/>
              </w:rPr>
              <w:t xml:space="preserve"> údaje, ktoré sa nachádzajú v zákonom ustanovenej evidencii</w:t>
            </w:r>
            <w:r>
              <w:rPr>
                <w:bCs/>
              </w:rPr>
              <w:t xml:space="preserve"> vedenej orgánom, ktorý konanie vedie alebo iným orgánom</w:t>
            </w:r>
            <w:r w:rsidRPr="00F14E8D">
              <w:rPr>
                <w:bCs/>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450372319"/>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617261598"/>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tcPr>
          <w:p w:rsidR="00BA1532" w:rsidRPr="00542A60" w:rsidRDefault="00BA1532" w:rsidP="005277C1">
            <w:pPr>
              <w:rPr>
                <w:iCs/>
              </w:rPr>
            </w:pPr>
            <w:r w:rsidRPr="00542A60">
              <w:rPr>
                <w:iCs/>
              </w:rPr>
              <w:t>Živnostenský register.</w:t>
            </w:r>
          </w:p>
        </w:tc>
      </w:tr>
      <w:tr w:rsidR="00BA1532" w:rsidRPr="005C4B9C" w:rsidTr="005277C1">
        <w:trPr>
          <w:trHeight w:val="20"/>
        </w:trPr>
        <w:tc>
          <w:tcPr>
            <w:tcW w:w="3956" w:type="dxa"/>
          </w:tcPr>
          <w:p w:rsidR="00BA1532" w:rsidRPr="005C4B9C" w:rsidRDefault="00BA1532" w:rsidP="005277C1">
            <w:pPr>
              <w:jc w:val="both"/>
              <w:rPr>
                <w:b/>
              </w:rPr>
            </w:pPr>
            <w:r>
              <w:rPr>
                <w:b/>
              </w:rPr>
              <w:t xml:space="preserve">6.5.3. </w:t>
            </w:r>
            <w:r w:rsidRPr="00FA16FE">
              <w:t xml:space="preserve">Budú údaje poskytované režimom podľa zákona č. 177/2018 </w:t>
            </w:r>
            <w:proofErr w:type="spellStart"/>
            <w:r w:rsidRPr="00FA16FE">
              <w:t>Z.z</w:t>
            </w:r>
            <w:proofErr w:type="spellEnd"/>
            <w:r w:rsidRPr="00FA16FE">
              <w:t xml:space="preserve">. v znení neskorších predpisov alebo iným obdobným spôsobom, ktorý </w:t>
            </w:r>
            <w:r w:rsidRPr="00FA16FE">
              <w:lastRenderedPageBreak/>
              <w:t>zabezpečí, aby si údaje orgán</w:t>
            </w:r>
            <w:r>
              <w:t>, ktorý konanie vedie,</w:t>
            </w:r>
            <w:r w:rsidRPr="00FA16FE">
              <w:t xml:space="preserve"> získaval </w:t>
            </w:r>
            <w:r>
              <w:t>z úradnej moci</w:t>
            </w:r>
            <w:r w:rsidRPr="00FA16FE">
              <w:t xml:space="preserve"> a nemuseli mu byť predkladané</w:t>
            </w:r>
            <w:r>
              <w:t xml:space="preserve"> </w:t>
            </w:r>
            <w:r>
              <w:rPr>
                <w:bCs/>
              </w:rPr>
              <w:t xml:space="preserve">subjektom súkromného práva, </w:t>
            </w:r>
            <w:r w:rsidRPr="001E754E">
              <w:rPr>
                <w:bCs/>
              </w:rPr>
              <w:t>navrhovateľ</w:t>
            </w:r>
            <w:r>
              <w:rPr>
                <w:bCs/>
              </w:rPr>
              <w:t xml:space="preserve">om, </w:t>
            </w:r>
            <w:r w:rsidRPr="001E754E">
              <w:rPr>
                <w:bCs/>
              </w:rPr>
              <w:t>žiadateľ</w:t>
            </w:r>
            <w:r>
              <w:rPr>
                <w:bCs/>
              </w:rPr>
              <w:t>om, účastníkom konania (ďalej len „účastník konania“)</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2115887386"/>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1730609562"/>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tcPr>
          <w:p w:rsidR="00BA1532" w:rsidRPr="00542A60" w:rsidRDefault="00BA1532" w:rsidP="005277C1">
            <w:pPr>
              <w:rPr>
                <w:iCs/>
              </w:rPr>
            </w:pPr>
            <w:r>
              <w:rPr>
                <w:iCs/>
              </w:rPr>
              <w:t xml:space="preserve">Môže ísť </w:t>
            </w:r>
            <w:r w:rsidRPr="00542A60">
              <w:rPr>
                <w:iCs/>
              </w:rPr>
              <w:t>o zahraničné podnikateľské subjekty.</w:t>
            </w:r>
          </w:p>
        </w:tc>
      </w:tr>
      <w:tr w:rsidR="00BA1532" w:rsidRPr="005C4B9C" w:rsidTr="005277C1">
        <w:trPr>
          <w:trHeight w:val="20"/>
        </w:trPr>
        <w:tc>
          <w:tcPr>
            <w:tcW w:w="3956" w:type="dxa"/>
            <w:tcBorders>
              <w:bottom w:val="single" w:sz="4" w:space="0" w:color="auto"/>
            </w:tcBorders>
          </w:tcPr>
          <w:p w:rsidR="00BA1532" w:rsidRPr="005C4B9C" w:rsidRDefault="00BA1532" w:rsidP="005277C1">
            <w:pPr>
              <w:jc w:val="both"/>
              <w:rPr>
                <w:b/>
              </w:rPr>
            </w:pPr>
            <w:r>
              <w:rPr>
                <w:b/>
              </w:rPr>
              <w:t xml:space="preserve">6.5.4. </w:t>
            </w:r>
            <w:r w:rsidRPr="00FC10E0">
              <w:t xml:space="preserve">Ak </w:t>
            </w:r>
            <w:r>
              <w:t xml:space="preserve">si orgán, ktorý konanie vedie, údaje nebude získavať z úradnej moci ale mu budú predkladané účastníkom konania, </w:t>
            </w:r>
            <w:r w:rsidRPr="00FC10E0">
              <w:t xml:space="preserve">je v návrhu upravené prechodné obdobie, po ktorého uplynutí </w:t>
            </w:r>
            <w:r w:rsidRPr="00FA16FE">
              <w:t>si údaje orgán</w:t>
            </w:r>
            <w:r>
              <w:t>, ktorý konanie vedie, bude získavať z úradnej moci</w:t>
            </w:r>
            <w:r w:rsidRPr="00FC10E0">
              <w:t>?</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2088412960"/>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439767500"/>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tcBorders>
              <w:bottom w:val="single" w:sz="4" w:space="0" w:color="auto"/>
            </w:tcBorders>
          </w:tcPr>
          <w:p w:rsidR="00BA1532" w:rsidRPr="005C4B9C" w:rsidRDefault="00BA1532" w:rsidP="005277C1">
            <w:pPr>
              <w:rPr>
                <w:i/>
                <w:iCs/>
              </w:rPr>
            </w:pPr>
          </w:p>
        </w:tc>
      </w:tr>
      <w:tr w:rsidR="00BA1532" w:rsidRPr="005C4B9C" w:rsidTr="005277C1">
        <w:trPr>
          <w:trHeight w:val="20"/>
        </w:trPr>
        <w:tc>
          <w:tcPr>
            <w:tcW w:w="9371" w:type="dxa"/>
            <w:gridSpan w:val="6"/>
            <w:shd w:val="pct25" w:color="auto" w:fill="auto"/>
          </w:tcPr>
          <w:p w:rsidR="00BA1532" w:rsidRPr="00F4692C" w:rsidRDefault="00BA1532" w:rsidP="005277C1">
            <w:pPr>
              <w:spacing w:line="20" w:lineRule="atLeast"/>
              <w:ind w:hanging="55"/>
              <w:jc w:val="center"/>
              <w:rPr>
                <w:i/>
                <w:iCs/>
              </w:rPr>
            </w:pPr>
            <w:r w:rsidRPr="00F4692C">
              <w:rPr>
                <w:b/>
              </w:rPr>
              <w:t>Výmena údajov medzi orgánmi verejnej moci</w:t>
            </w:r>
          </w:p>
        </w:tc>
      </w:tr>
      <w:tr w:rsidR="00BA1532" w:rsidRPr="005C4B9C" w:rsidTr="005277C1">
        <w:trPr>
          <w:trHeight w:val="20"/>
        </w:trPr>
        <w:tc>
          <w:tcPr>
            <w:tcW w:w="3956" w:type="dxa"/>
          </w:tcPr>
          <w:p w:rsidR="00BA1532" w:rsidRPr="005C4B9C" w:rsidRDefault="00BA1532" w:rsidP="005277C1">
            <w:pPr>
              <w:jc w:val="both"/>
              <w:rPr>
                <w:b/>
              </w:rPr>
            </w:pPr>
            <w:r>
              <w:rPr>
                <w:b/>
              </w:rPr>
              <w:t xml:space="preserve">6.6.1. </w:t>
            </w:r>
            <w:r>
              <w:t>Predpokladá predložený návrh zriadenie novej evidencie údajov alebo upravuje vedenie evidencie údajov</w:t>
            </w:r>
            <w:r w:rsidRPr="00FC10E0">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581141114"/>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561481988"/>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tcPr>
          <w:p w:rsidR="00BA1532" w:rsidRPr="005E7F8B" w:rsidRDefault="00BA1532" w:rsidP="005277C1">
            <w:pPr>
              <w:rPr>
                <w:iCs/>
              </w:rPr>
            </w:pPr>
            <w:r w:rsidRPr="005E7F8B">
              <w:rPr>
                <w:iCs/>
              </w:rPr>
              <w:t>Evidencia obchodníkov a distribútorov.</w:t>
            </w:r>
          </w:p>
        </w:tc>
      </w:tr>
      <w:tr w:rsidR="00BA1532" w:rsidRPr="005C4B9C" w:rsidTr="005277C1">
        <w:trPr>
          <w:trHeight w:val="20"/>
        </w:trPr>
        <w:tc>
          <w:tcPr>
            <w:tcW w:w="3956" w:type="dxa"/>
          </w:tcPr>
          <w:p w:rsidR="00BA1532" w:rsidRPr="005C4B9C" w:rsidRDefault="00BA1532" w:rsidP="005277C1">
            <w:pPr>
              <w:jc w:val="both"/>
              <w:rPr>
                <w:b/>
              </w:rPr>
            </w:pPr>
            <w:r>
              <w:rPr>
                <w:b/>
              </w:rPr>
              <w:t xml:space="preserve">6.6.2. </w:t>
            </w:r>
            <w: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r w:rsidRPr="00FC10E0">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1434169894"/>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1288507644"/>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tcPr>
          <w:p w:rsidR="00BA1532" w:rsidRPr="005C4B9C" w:rsidRDefault="00BA1532" w:rsidP="005277C1">
            <w:pPr>
              <w:rPr>
                <w:i/>
                <w:iCs/>
              </w:rPr>
            </w:pPr>
          </w:p>
        </w:tc>
      </w:tr>
      <w:tr w:rsidR="00BA1532" w:rsidRPr="005C4B9C" w:rsidTr="005277C1">
        <w:trPr>
          <w:trHeight w:val="20"/>
        </w:trPr>
        <w:tc>
          <w:tcPr>
            <w:tcW w:w="3956" w:type="dxa"/>
          </w:tcPr>
          <w:p w:rsidR="00BA1532" w:rsidRPr="005C4B9C" w:rsidRDefault="00BA1532" w:rsidP="005277C1">
            <w:pPr>
              <w:jc w:val="both"/>
              <w:rPr>
                <w:b/>
              </w:rPr>
            </w:pPr>
            <w:r>
              <w:rPr>
                <w:b/>
              </w:rPr>
              <w:t xml:space="preserve">6.6.3. </w:t>
            </w:r>
            <w:r>
              <w:t>Je zabezpečené poskytovanie údajov z evidencie elektronicky a automatizovaným spôsobom</w:t>
            </w:r>
            <w:r w:rsidRPr="00FC10E0">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1355335144"/>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116884503"/>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tcPr>
          <w:p w:rsidR="00BA1532" w:rsidRPr="005C4B9C" w:rsidRDefault="00BA1532" w:rsidP="005277C1">
            <w:pPr>
              <w:rPr>
                <w:i/>
                <w:iCs/>
              </w:rPr>
            </w:pPr>
          </w:p>
        </w:tc>
      </w:tr>
      <w:tr w:rsidR="00BA1532" w:rsidRPr="005C4B9C" w:rsidTr="005277C1">
        <w:trPr>
          <w:trHeight w:val="20"/>
        </w:trPr>
        <w:tc>
          <w:tcPr>
            <w:tcW w:w="3956" w:type="dxa"/>
          </w:tcPr>
          <w:p w:rsidR="00BA1532" w:rsidRPr="005C4B9C" w:rsidRDefault="00BA1532" w:rsidP="005277C1">
            <w:pPr>
              <w:jc w:val="both"/>
              <w:rPr>
                <w:b/>
              </w:rPr>
            </w:pPr>
            <w:r>
              <w:rPr>
                <w:b/>
              </w:rPr>
              <w:t xml:space="preserve">6.6.4. </w:t>
            </w:r>
            <w:r>
              <w:t xml:space="preserve">Je na poskytovanie údajov z evidencie využitý režim podľa zákona č. </w:t>
            </w:r>
            <w:r w:rsidRPr="00FA16FE">
              <w:t xml:space="preserve">177/2018 </w:t>
            </w:r>
            <w:proofErr w:type="spellStart"/>
            <w:r w:rsidRPr="00FA16FE">
              <w:t>Z.z</w:t>
            </w:r>
            <w:proofErr w:type="spellEnd"/>
            <w:r w:rsidRPr="00FA16FE">
              <w:t>. v znení neskorších predpisov</w:t>
            </w:r>
            <w: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295379826"/>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MS Mincho" w:eastAsia="MS Mincho" w:hAnsi="MS Mincho" w:cs="MS Mincho" w:hint="eastAsia"/>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1689520971"/>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Nie</w:t>
                  </w:r>
                </w:p>
              </w:tc>
            </w:tr>
          </w:tbl>
          <w:p w:rsidR="00BA1532" w:rsidRPr="00FA16FE" w:rsidRDefault="00BA1532" w:rsidP="005277C1"/>
        </w:tc>
        <w:tc>
          <w:tcPr>
            <w:tcW w:w="3969" w:type="dxa"/>
            <w:gridSpan w:val="4"/>
          </w:tcPr>
          <w:p w:rsidR="00BA1532" w:rsidRPr="005C4B9C" w:rsidRDefault="00BA1532" w:rsidP="005277C1">
            <w:pPr>
              <w:rPr>
                <w:i/>
                <w:iCs/>
              </w:rPr>
            </w:pPr>
          </w:p>
        </w:tc>
      </w:tr>
      <w:tr w:rsidR="00BA1532" w:rsidRPr="005C4B9C" w:rsidTr="005277C1">
        <w:trPr>
          <w:trHeight w:val="20"/>
        </w:trPr>
        <w:tc>
          <w:tcPr>
            <w:tcW w:w="9371" w:type="dxa"/>
            <w:gridSpan w:val="6"/>
            <w:shd w:val="clear" w:color="auto" w:fill="A6A6A6" w:themeFill="background1" w:themeFillShade="A6"/>
          </w:tcPr>
          <w:p w:rsidR="00BA1532" w:rsidRPr="00FA16FE" w:rsidRDefault="00BA1532" w:rsidP="005277C1">
            <w:pPr>
              <w:spacing w:line="20" w:lineRule="atLeast"/>
              <w:ind w:hanging="55"/>
              <w:jc w:val="center"/>
              <w:rPr>
                <w:i/>
                <w:iCs/>
              </w:rPr>
            </w:pPr>
            <w:r>
              <w:rPr>
                <w:b/>
              </w:rPr>
              <w:t>Referenčné údaje</w:t>
            </w:r>
          </w:p>
        </w:tc>
      </w:tr>
      <w:tr w:rsidR="00BA1532" w:rsidRPr="005C4B9C" w:rsidTr="005277C1">
        <w:trPr>
          <w:trHeight w:val="20"/>
        </w:trPr>
        <w:tc>
          <w:tcPr>
            <w:tcW w:w="3956" w:type="dxa"/>
          </w:tcPr>
          <w:p w:rsidR="00BA1532" w:rsidRPr="00F14E8D" w:rsidRDefault="00BA1532" w:rsidP="005277C1">
            <w:pPr>
              <w:jc w:val="both"/>
            </w:pPr>
            <w:r w:rsidRPr="002003D2">
              <w:rPr>
                <w:b/>
                <w:bCs/>
              </w:rPr>
              <w:t>6.</w:t>
            </w:r>
            <w:r w:rsidRPr="00556083">
              <w:rPr>
                <w:b/>
                <w:bCs/>
              </w:rPr>
              <w:t>7.1</w:t>
            </w:r>
            <w:r w:rsidRPr="00867E33">
              <w:rPr>
                <w:b/>
                <w:bCs/>
              </w:rPr>
              <w:t>.</w:t>
            </w:r>
            <w:r w:rsidRPr="00F14E8D">
              <w:t xml:space="preserve"> Predpokladá predložený návrh zriadenie novej evidencie údajov</w:t>
            </w:r>
            <w:r>
              <w:t xml:space="preserve"> alebo upravuje vedenie evidencie údajov</w:t>
            </w:r>
            <w:r w:rsidRPr="00F14E8D">
              <w:t xml:space="preserve">, </w:t>
            </w:r>
            <w:r>
              <w:t>ktoré budú navrhnuté na zaradenie</w:t>
            </w:r>
            <w:r w:rsidRPr="00F14E8D">
              <w:t xml:space="preserve"> do </w:t>
            </w:r>
            <w:r>
              <w:t>z</w:t>
            </w:r>
            <w:r w:rsidRPr="00F14E8D">
              <w:t xml:space="preserve">oznamu referenčných údajov </w:t>
            </w:r>
            <w:r>
              <w:t>podľa</w:t>
            </w:r>
            <w:r w:rsidRPr="00F14E8D">
              <w:t xml:space="preserve"> § 51 zákona č. 305/20</w:t>
            </w:r>
            <w:r>
              <w:t>1</w:t>
            </w:r>
            <w:r w:rsidRPr="00F14E8D">
              <w:t xml:space="preserve">3 </w:t>
            </w:r>
            <w:proofErr w:type="spellStart"/>
            <w:r w:rsidRPr="00F14E8D">
              <w:t>Z.z</w:t>
            </w:r>
            <w:proofErr w:type="spellEnd"/>
            <w:r w:rsidRPr="00F14E8D">
              <w:t>. o e-</w:t>
            </w:r>
            <w:proofErr w:type="spellStart"/>
            <w:r w:rsidRPr="00F14E8D">
              <w:t>Governmente</w:t>
            </w:r>
            <w:proofErr w:type="spellEnd"/>
            <w:r w:rsidRPr="00F14E8D">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sdt>
                <w:sdtPr>
                  <w:id w:val="-677810283"/>
                  <w14:checkbox>
                    <w14:checked w14:val="0"/>
                    <w14:checkedState w14:val="2612" w14:font="MS Gothic"/>
                    <w14:uncheckedState w14:val="2610" w14:font="MS Gothic"/>
                  </w14:checkbox>
                </w:sdtPr>
                <w:sdtEndPr/>
                <w:sdtContent>
                  <w:tc>
                    <w:tcPr>
                      <w:tcW w:w="436" w:type="dxa"/>
                    </w:tcPr>
                    <w:p w:rsidR="00BA1532" w:rsidRPr="00F04CCD" w:rsidRDefault="00BA1532" w:rsidP="005277C1">
                      <w:pPr>
                        <w:jc w:val="center"/>
                      </w:pPr>
                      <w:r w:rsidRPr="00F04CCD">
                        <w:rPr>
                          <w:rFonts w:ascii="Segoe UI Symbol" w:eastAsia="MS Mincho" w:hAnsi="Segoe UI Symbol" w:cs="Segoe UI Symbol"/>
                        </w:rPr>
                        <w:t>☐</w:t>
                      </w:r>
                    </w:p>
                  </w:tc>
                </w:sdtContent>
              </w:sdt>
              <w:tc>
                <w:tcPr>
                  <w:tcW w:w="8545" w:type="dxa"/>
                </w:tcPr>
                <w:p w:rsidR="00BA1532" w:rsidRPr="00F04CCD" w:rsidRDefault="00BA1532" w:rsidP="005277C1">
                  <w:pPr>
                    <w:rPr>
                      <w:b/>
                    </w:rPr>
                  </w:pPr>
                  <w:r>
                    <w:rPr>
                      <w:b/>
                    </w:rPr>
                    <w:t>Áno</w:t>
                  </w:r>
                </w:p>
              </w:tc>
            </w:tr>
            <w:tr w:rsidR="00BA1532" w:rsidRPr="00F04CCD" w:rsidTr="005277C1">
              <w:sdt>
                <w:sdtPr>
                  <w:id w:val="-159857975"/>
                  <w14:checkbox>
                    <w14:checked w14:val="1"/>
                    <w14:checkedState w14:val="2612" w14:font="MS Gothic"/>
                    <w14:uncheckedState w14:val="2610" w14:font="MS Gothic"/>
                  </w14:checkbox>
                </w:sdtPr>
                <w:sdtEndPr/>
                <w:sdtContent>
                  <w:tc>
                    <w:tcPr>
                      <w:tcW w:w="436" w:type="dxa"/>
                    </w:tcPr>
                    <w:p w:rsidR="00BA1532" w:rsidRPr="00F04CCD" w:rsidRDefault="00BA1532" w:rsidP="005277C1">
                      <w:pPr>
                        <w:jc w:val="center"/>
                      </w:pPr>
                      <w:r>
                        <w:rPr>
                          <w:rFonts w:ascii="MS Gothic" w:eastAsia="MS Gothic" w:hAnsi="MS Gothic" w:hint="eastAsia"/>
                        </w:rPr>
                        <w:t>☒</w:t>
                      </w:r>
                    </w:p>
                  </w:tc>
                </w:sdtContent>
              </w:sdt>
              <w:tc>
                <w:tcPr>
                  <w:tcW w:w="8545" w:type="dxa"/>
                </w:tcPr>
                <w:p w:rsidR="00BA1532" w:rsidRPr="00F04CCD" w:rsidRDefault="00BA1532" w:rsidP="005277C1">
                  <w:pPr>
                    <w:rPr>
                      <w:b/>
                    </w:rPr>
                  </w:pPr>
                  <w:r>
                    <w:rPr>
                      <w:b/>
                    </w:rPr>
                    <w:t>Nie</w:t>
                  </w:r>
                </w:p>
              </w:tc>
            </w:tr>
          </w:tbl>
          <w:p w:rsidR="00BA1532" w:rsidRDefault="00BA1532" w:rsidP="005277C1">
            <w:pPr>
              <w:jc w:val="center"/>
            </w:pPr>
          </w:p>
        </w:tc>
        <w:tc>
          <w:tcPr>
            <w:tcW w:w="3969" w:type="dxa"/>
            <w:gridSpan w:val="4"/>
          </w:tcPr>
          <w:p w:rsidR="00BA1532" w:rsidRPr="00FA16FE" w:rsidRDefault="00BA1532" w:rsidP="005277C1">
            <w:pPr>
              <w:rPr>
                <w:i/>
                <w:iCs/>
              </w:rPr>
            </w:pPr>
          </w:p>
        </w:tc>
      </w:tr>
      <w:tr w:rsidR="00BA1532" w:rsidRPr="005C4B9C" w:rsidTr="005277C1">
        <w:trPr>
          <w:trHeight w:val="20"/>
        </w:trPr>
        <w:tc>
          <w:tcPr>
            <w:tcW w:w="3956" w:type="dxa"/>
          </w:tcPr>
          <w:p w:rsidR="00BA1532" w:rsidRPr="00F14E8D" w:rsidRDefault="00BA1532" w:rsidP="005277C1">
            <w:pPr>
              <w:jc w:val="both"/>
            </w:pPr>
            <w:r w:rsidRPr="002003D2">
              <w:rPr>
                <w:b/>
                <w:bCs/>
              </w:rPr>
              <w:t>6.</w:t>
            </w:r>
            <w:r w:rsidRPr="001E754E">
              <w:rPr>
                <w:b/>
                <w:bCs/>
              </w:rPr>
              <w:t>7.</w:t>
            </w:r>
            <w:r>
              <w:rPr>
                <w:b/>
                <w:bCs/>
              </w:rPr>
              <w:t>2</w:t>
            </w:r>
            <w:r w:rsidRPr="001E754E">
              <w:rPr>
                <w:b/>
                <w:bCs/>
              </w:rPr>
              <w:t>.</w:t>
            </w:r>
            <w:r w:rsidRPr="001E754E">
              <w:t xml:space="preserve"> </w:t>
            </w:r>
            <w:r>
              <w:t>Kedy je plánované zaradenie údajov z evidencie do zoznamu referenčných údajov podľa</w:t>
            </w:r>
            <w:r w:rsidRPr="001E754E">
              <w:t xml:space="preserve"> § 51 zákona č. 305/20</w:t>
            </w:r>
            <w:r>
              <w:t>1</w:t>
            </w:r>
            <w:r w:rsidRPr="001E754E">
              <w:t xml:space="preserve">3 </w:t>
            </w:r>
            <w:proofErr w:type="spellStart"/>
            <w:r w:rsidRPr="001E754E">
              <w:t>Z.z</w:t>
            </w:r>
            <w:proofErr w:type="spellEnd"/>
            <w:r w:rsidRPr="001E754E">
              <w:t>. o e-</w:t>
            </w:r>
            <w:proofErr w:type="spellStart"/>
            <w:r w:rsidRPr="001E754E">
              <w:t>Governmente</w:t>
            </w:r>
            <w:proofErr w:type="spellEnd"/>
            <w:r w:rsidRPr="001E754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A1532" w:rsidRPr="00F04CCD" w:rsidTr="005277C1">
              <w:tc>
                <w:tcPr>
                  <w:tcW w:w="436" w:type="dxa"/>
                </w:tcPr>
                <w:p w:rsidR="00BA1532" w:rsidRPr="00F04CCD" w:rsidRDefault="00BA1532" w:rsidP="005277C1">
                  <w:pPr>
                    <w:jc w:val="center"/>
                  </w:pPr>
                </w:p>
              </w:tc>
              <w:tc>
                <w:tcPr>
                  <w:tcW w:w="8545" w:type="dxa"/>
                </w:tcPr>
                <w:p w:rsidR="00BA1532" w:rsidRPr="00F04CCD" w:rsidRDefault="00BA1532" w:rsidP="005277C1">
                  <w:pPr>
                    <w:rPr>
                      <w:b/>
                    </w:rPr>
                  </w:pPr>
                </w:p>
              </w:tc>
            </w:tr>
            <w:tr w:rsidR="00BA1532" w:rsidRPr="00F04CCD" w:rsidTr="005277C1">
              <w:tc>
                <w:tcPr>
                  <w:tcW w:w="436" w:type="dxa"/>
                </w:tcPr>
                <w:p w:rsidR="00BA1532" w:rsidRPr="00F04CCD" w:rsidRDefault="00BA1532" w:rsidP="005277C1">
                  <w:pPr>
                    <w:jc w:val="center"/>
                  </w:pPr>
                </w:p>
              </w:tc>
              <w:tc>
                <w:tcPr>
                  <w:tcW w:w="8545" w:type="dxa"/>
                </w:tcPr>
                <w:p w:rsidR="00BA1532" w:rsidRPr="00F04CCD" w:rsidRDefault="00BA1532" w:rsidP="005277C1">
                  <w:pPr>
                    <w:rPr>
                      <w:b/>
                    </w:rPr>
                  </w:pPr>
                </w:p>
              </w:tc>
            </w:tr>
          </w:tbl>
          <w:p w:rsidR="00BA1532" w:rsidRDefault="00BA1532" w:rsidP="005277C1">
            <w:pPr>
              <w:jc w:val="center"/>
            </w:pPr>
          </w:p>
        </w:tc>
        <w:tc>
          <w:tcPr>
            <w:tcW w:w="3969" w:type="dxa"/>
            <w:gridSpan w:val="4"/>
          </w:tcPr>
          <w:p w:rsidR="00BA1532" w:rsidRPr="00FA16FE" w:rsidRDefault="00BA1532" w:rsidP="005277C1">
            <w:pPr>
              <w:rPr>
                <w:i/>
                <w:iCs/>
              </w:rPr>
            </w:pPr>
          </w:p>
        </w:tc>
      </w:tr>
    </w:tbl>
    <w:p w:rsidR="00BA1532" w:rsidRPr="00852496" w:rsidRDefault="00BA1532" w:rsidP="00BA1532">
      <w:pPr>
        <w:jc w:val="both"/>
        <w:rPr>
          <w:b/>
          <w:bCs/>
          <w:i/>
          <w:highlight w:val="yellow"/>
        </w:rPr>
      </w:pPr>
    </w:p>
    <w:p w:rsidR="00BA1532" w:rsidRDefault="00BA1532" w:rsidP="00BA1532"/>
    <w:p w:rsidR="00BA1532" w:rsidRDefault="00BA1532" w:rsidP="00BA1532"/>
    <w:p w:rsidR="00BA1532" w:rsidRPr="00217CA8" w:rsidRDefault="00BA1532" w:rsidP="00BA1532">
      <w:pPr>
        <w:pStyle w:val="Nzov"/>
      </w:pPr>
      <w:r w:rsidRPr="00217CA8">
        <w:lastRenderedPageBreak/>
        <w:t>DOLOŽKA  ZLUČITEĽNOSTI</w:t>
      </w:r>
    </w:p>
    <w:p w:rsidR="00BA1532" w:rsidRPr="00217CA8" w:rsidRDefault="00BA1532" w:rsidP="00BA1532">
      <w:pPr>
        <w:pStyle w:val="Nzov"/>
      </w:pPr>
      <w:r w:rsidRPr="00217CA8">
        <w:t>návrhu zákona s právom Európskej únie</w:t>
      </w:r>
    </w:p>
    <w:p w:rsidR="00BA1532" w:rsidRPr="00217CA8" w:rsidRDefault="00BA1532" w:rsidP="00BA1532">
      <w:pPr>
        <w:pStyle w:val="Zkladntext1"/>
        <w:tabs>
          <w:tab w:val="left" w:pos="284"/>
        </w:tabs>
        <w:spacing w:before="120"/>
        <w:rPr>
          <w:b/>
          <w:bCs/>
          <w:color w:val="auto"/>
          <w:sz w:val="24"/>
          <w:szCs w:val="24"/>
        </w:rPr>
      </w:pPr>
      <w:r w:rsidRPr="00217CA8">
        <w:rPr>
          <w:b/>
          <w:bCs/>
          <w:color w:val="auto"/>
          <w:sz w:val="24"/>
          <w:szCs w:val="24"/>
        </w:rPr>
        <w:t>1.</w:t>
      </w:r>
      <w:r w:rsidRPr="00217CA8">
        <w:rPr>
          <w:b/>
          <w:bCs/>
          <w:color w:val="auto"/>
          <w:sz w:val="24"/>
          <w:szCs w:val="24"/>
        </w:rPr>
        <w:tab/>
        <w:t xml:space="preserve">Navrhovateľ zákona: </w:t>
      </w:r>
    </w:p>
    <w:p w:rsidR="00BA1532" w:rsidRPr="00217CA8" w:rsidRDefault="00BA1532" w:rsidP="00BA1532">
      <w:pPr>
        <w:pStyle w:val="Zkladntext1"/>
        <w:spacing w:before="120"/>
        <w:ind w:left="284"/>
        <w:jc w:val="both"/>
        <w:rPr>
          <w:color w:val="auto"/>
          <w:sz w:val="24"/>
          <w:szCs w:val="24"/>
        </w:rPr>
      </w:pPr>
      <w:r w:rsidRPr="00071DA5">
        <w:rPr>
          <w:color w:val="auto"/>
          <w:sz w:val="24"/>
          <w:szCs w:val="24"/>
        </w:rPr>
        <w:t>Vláda</w:t>
      </w:r>
      <w:r w:rsidRPr="0007442C">
        <w:rPr>
          <w:color w:val="auto"/>
          <w:sz w:val="24"/>
          <w:szCs w:val="24"/>
        </w:rPr>
        <w:t xml:space="preserve"> Slovenskej republiky.</w:t>
      </w:r>
    </w:p>
    <w:p w:rsidR="00BA1532" w:rsidRPr="00217CA8" w:rsidRDefault="00BA1532" w:rsidP="00BA1532">
      <w:pPr>
        <w:pStyle w:val="Zkladntext1"/>
        <w:numPr>
          <w:ilvl w:val="0"/>
          <w:numId w:val="22"/>
        </w:numPr>
        <w:tabs>
          <w:tab w:val="clear" w:pos="360"/>
          <w:tab w:val="left" w:pos="284"/>
        </w:tabs>
        <w:spacing w:before="120" w:after="120"/>
        <w:ind w:left="0" w:firstLine="0"/>
        <w:jc w:val="both"/>
        <w:rPr>
          <w:b/>
          <w:bCs/>
          <w:color w:val="auto"/>
          <w:sz w:val="24"/>
          <w:szCs w:val="24"/>
        </w:rPr>
      </w:pPr>
      <w:r w:rsidRPr="00217CA8">
        <w:rPr>
          <w:b/>
          <w:bCs/>
          <w:color w:val="auto"/>
          <w:sz w:val="24"/>
          <w:szCs w:val="24"/>
        </w:rPr>
        <w:t xml:space="preserve">Názov návrhu zákona: </w:t>
      </w:r>
    </w:p>
    <w:p w:rsidR="00BA1532" w:rsidRPr="00FB1EB6" w:rsidRDefault="00BA1532" w:rsidP="00BA1532">
      <w:pPr>
        <w:pStyle w:val="Zkladntext0"/>
        <w:ind w:left="284"/>
        <w:jc w:val="both"/>
        <w:rPr>
          <w:rFonts w:ascii="Times New Roman" w:hAnsi="Times New Roman" w:cs="Times New Roman"/>
          <w:color w:val="auto"/>
        </w:rPr>
      </w:pPr>
      <w:r w:rsidRPr="00FB1EB6">
        <w:rPr>
          <w:rFonts w:ascii="Times New Roman" w:hAnsi="Times New Roman" w:cs="Times New Roman"/>
          <w:color w:val="auto"/>
        </w:rPr>
        <w:t>Návrh zákona, ktorým sa mení a dopĺňa zákon č. 106/2004 Z. z. o spotrebnej dani z tabakových výrobkov v znení neskorších predpisov.</w:t>
      </w:r>
    </w:p>
    <w:p w:rsidR="00BA1532" w:rsidRPr="00217CA8" w:rsidRDefault="00BA1532" w:rsidP="00BA1532">
      <w:pPr>
        <w:pStyle w:val="Zkladntext1"/>
        <w:numPr>
          <w:ilvl w:val="0"/>
          <w:numId w:val="22"/>
        </w:numPr>
        <w:tabs>
          <w:tab w:val="clear" w:pos="360"/>
          <w:tab w:val="left" w:pos="284"/>
        </w:tabs>
        <w:spacing w:before="120" w:after="120"/>
        <w:ind w:left="0" w:firstLine="0"/>
        <w:jc w:val="both"/>
        <w:rPr>
          <w:b/>
          <w:bCs/>
          <w:color w:val="auto"/>
          <w:sz w:val="24"/>
          <w:szCs w:val="24"/>
        </w:rPr>
      </w:pPr>
      <w:r w:rsidRPr="00217CA8">
        <w:rPr>
          <w:b/>
          <w:bCs/>
          <w:color w:val="auto"/>
          <w:sz w:val="24"/>
          <w:szCs w:val="24"/>
        </w:rPr>
        <w:t xml:space="preserve">Predmet návrhu zákona </w:t>
      </w:r>
      <w:r w:rsidRPr="00217CA8">
        <w:rPr>
          <w:b/>
          <w:color w:val="auto"/>
          <w:sz w:val="24"/>
          <w:szCs w:val="24"/>
        </w:rPr>
        <w:t>je upravený v práve Európskej únie:</w:t>
      </w:r>
    </w:p>
    <w:p w:rsidR="00BA1532" w:rsidRPr="00217CA8" w:rsidRDefault="00BA1532" w:rsidP="00BA1532">
      <w:pPr>
        <w:pStyle w:val="Zkladntext1"/>
        <w:numPr>
          <w:ilvl w:val="0"/>
          <w:numId w:val="24"/>
        </w:numPr>
        <w:spacing w:after="120"/>
        <w:rPr>
          <w:b/>
          <w:color w:val="auto"/>
          <w:sz w:val="24"/>
          <w:szCs w:val="24"/>
        </w:rPr>
      </w:pPr>
      <w:r w:rsidRPr="00217CA8">
        <w:rPr>
          <w:b/>
          <w:color w:val="auto"/>
          <w:sz w:val="24"/>
          <w:szCs w:val="24"/>
        </w:rPr>
        <w:t>Primárne právo:</w:t>
      </w:r>
    </w:p>
    <w:p w:rsidR="00BA1532" w:rsidRPr="00217CA8" w:rsidRDefault="00BA1532" w:rsidP="00BA1532">
      <w:pPr>
        <w:pStyle w:val="Zkladntext1"/>
        <w:numPr>
          <w:ilvl w:val="0"/>
          <w:numId w:val="21"/>
        </w:numPr>
        <w:spacing w:after="120"/>
        <w:ind w:left="658" w:hanging="357"/>
        <w:jc w:val="both"/>
        <w:rPr>
          <w:color w:val="auto"/>
          <w:sz w:val="24"/>
          <w:szCs w:val="24"/>
        </w:rPr>
      </w:pPr>
      <w:r w:rsidRPr="00217CA8">
        <w:rPr>
          <w:color w:val="auto"/>
          <w:sz w:val="24"/>
          <w:szCs w:val="24"/>
        </w:rPr>
        <w:t>čl. 106, 110 až 113 a čl. 355 Zmluvy o fungovaní Európskej únie (</w:t>
      </w:r>
      <w:r w:rsidRPr="00217CA8">
        <w:rPr>
          <w:rStyle w:val="awspan1"/>
          <w:color w:val="auto"/>
        </w:rPr>
        <w:t>Ú. v. EÚ C 202, 7.6.2016) v platnom znení</w:t>
      </w:r>
      <w:r w:rsidRPr="00217CA8">
        <w:rPr>
          <w:color w:val="auto"/>
          <w:sz w:val="24"/>
          <w:szCs w:val="24"/>
        </w:rPr>
        <w:t xml:space="preserve">, </w:t>
      </w:r>
    </w:p>
    <w:p w:rsidR="00BA1532" w:rsidRPr="00217CA8" w:rsidRDefault="00BA1532" w:rsidP="00BA1532">
      <w:pPr>
        <w:pStyle w:val="Zkladntext1"/>
        <w:numPr>
          <w:ilvl w:val="0"/>
          <w:numId w:val="21"/>
        </w:numPr>
        <w:spacing w:after="120"/>
        <w:rPr>
          <w:color w:val="auto"/>
          <w:sz w:val="24"/>
          <w:szCs w:val="24"/>
        </w:rPr>
      </w:pPr>
      <w:r w:rsidRPr="00217CA8">
        <w:rPr>
          <w:color w:val="auto"/>
          <w:sz w:val="24"/>
          <w:szCs w:val="24"/>
        </w:rPr>
        <w:t>čl. 52 Zmluvy o Európskej únii (</w:t>
      </w:r>
      <w:r w:rsidRPr="00217CA8">
        <w:rPr>
          <w:rStyle w:val="awspan1"/>
          <w:color w:val="auto"/>
        </w:rPr>
        <w:t>Ú. v. EÚ C 202, 7.6.2016) v platnom znení</w:t>
      </w:r>
      <w:r w:rsidRPr="00217CA8">
        <w:rPr>
          <w:color w:val="auto"/>
          <w:sz w:val="24"/>
          <w:szCs w:val="24"/>
        </w:rPr>
        <w:t>.</w:t>
      </w:r>
    </w:p>
    <w:p w:rsidR="00BA1532" w:rsidRPr="00217CA8" w:rsidRDefault="00BA1532" w:rsidP="00BA1532">
      <w:pPr>
        <w:pStyle w:val="Zarkazkladnhotextu"/>
        <w:numPr>
          <w:ilvl w:val="0"/>
          <w:numId w:val="24"/>
        </w:numPr>
        <w:jc w:val="both"/>
      </w:pPr>
      <w:r w:rsidRPr="00217CA8">
        <w:rPr>
          <w:b/>
          <w:bCs/>
          <w:iCs/>
        </w:rPr>
        <w:t>Sekundárne právo:</w:t>
      </w:r>
    </w:p>
    <w:p w:rsidR="00BA1532" w:rsidRPr="00217CA8" w:rsidRDefault="00BA1532" w:rsidP="00BA1532">
      <w:pPr>
        <w:numPr>
          <w:ilvl w:val="0"/>
          <w:numId w:val="21"/>
        </w:numPr>
        <w:spacing w:before="120" w:after="120"/>
        <w:jc w:val="both"/>
        <w:rPr>
          <w:rStyle w:val="Zvraznenie"/>
          <w:i w:val="0"/>
          <w:iCs w:val="0"/>
        </w:rPr>
      </w:pPr>
      <w:r w:rsidRPr="00217CA8">
        <w:rPr>
          <w:rStyle w:val="Zvraznenie"/>
        </w:rPr>
        <w:t xml:space="preserve">smernica Rady (EÚ) </w:t>
      </w:r>
      <w:r w:rsidRPr="00217CA8">
        <w:rPr>
          <w:rStyle w:val="Zvraznenie"/>
          <w:u w:val="single"/>
        </w:rPr>
        <w:t>2020/262</w:t>
      </w:r>
      <w:r w:rsidRPr="00217CA8">
        <w:rPr>
          <w:rStyle w:val="Zvraznenie"/>
        </w:rPr>
        <w:t xml:space="preserve"> z 19. decembra 2019, ktorou sa ustanovuje všeobecný systém spotrebných daní (prepracované znenie) (</w:t>
      </w:r>
      <w:r w:rsidRPr="00217CA8">
        <w:rPr>
          <w:iCs/>
          <w:shd w:val="clear" w:color="auto" w:fill="FFFFFF"/>
        </w:rPr>
        <w:t>Ú. v. EÚ L 58, 27.2.2020)</w:t>
      </w:r>
      <w:r>
        <w:rPr>
          <w:iCs/>
          <w:shd w:val="clear" w:color="auto" w:fill="FFFFFF"/>
        </w:rPr>
        <w:t xml:space="preserve"> v platnom znení</w:t>
      </w:r>
      <w:r w:rsidRPr="00217CA8">
        <w:rPr>
          <w:rStyle w:val="Zvraznenie"/>
        </w:rPr>
        <w:t xml:space="preserve">, gestor: </w:t>
      </w:r>
      <w:r>
        <w:rPr>
          <w:rStyle w:val="Zvraznenie"/>
        </w:rPr>
        <w:t>MF SR</w:t>
      </w:r>
      <w:r w:rsidRPr="00217CA8">
        <w:rPr>
          <w:rStyle w:val="Zvraznenie"/>
        </w:rPr>
        <w:t>,</w:t>
      </w:r>
    </w:p>
    <w:p w:rsidR="00BA1532" w:rsidRPr="00217CA8" w:rsidRDefault="00BA1532" w:rsidP="00BA1532">
      <w:pPr>
        <w:numPr>
          <w:ilvl w:val="0"/>
          <w:numId w:val="21"/>
        </w:numPr>
        <w:spacing w:after="120"/>
        <w:jc w:val="both"/>
        <w:rPr>
          <w:rStyle w:val="Zvraznenie"/>
          <w:i w:val="0"/>
          <w:iCs w:val="0"/>
        </w:rPr>
      </w:pPr>
      <w:r w:rsidRPr="00217CA8">
        <w:t xml:space="preserve">smernica Rady </w:t>
      </w:r>
      <w:r w:rsidRPr="00217CA8">
        <w:rPr>
          <w:u w:val="single"/>
        </w:rPr>
        <w:t>2011/64/EÚ</w:t>
      </w:r>
      <w:r w:rsidRPr="00217CA8">
        <w:t xml:space="preserve"> </w:t>
      </w:r>
      <w:r w:rsidRPr="00217CA8">
        <w:rPr>
          <w:rStyle w:val="Siln"/>
        </w:rPr>
        <w:t xml:space="preserve">z 21. júna 2011 o štruktúre a sadzbách spotrebnej dane </w:t>
      </w:r>
      <w:r w:rsidRPr="00217CA8">
        <w:rPr>
          <w:rStyle w:val="Siln"/>
        </w:rPr>
        <w:br/>
        <w:t>z tabakových výrobkov (kodifikované znenie)</w:t>
      </w:r>
      <w:r w:rsidRPr="00217CA8">
        <w:t xml:space="preserve"> (</w:t>
      </w:r>
      <w:r w:rsidRPr="00217CA8">
        <w:rPr>
          <w:rStyle w:val="Zvraznenie"/>
        </w:rPr>
        <w:t>Ú. v. EÚ L 176, 5.7. 2011), gestor: MF SR,</w:t>
      </w:r>
    </w:p>
    <w:p w:rsidR="00BA1532" w:rsidRPr="00217CA8" w:rsidRDefault="00BA1532" w:rsidP="00BA1532">
      <w:pPr>
        <w:numPr>
          <w:ilvl w:val="0"/>
          <w:numId w:val="21"/>
        </w:numPr>
        <w:spacing w:after="120"/>
        <w:ind w:left="658" w:hanging="357"/>
        <w:jc w:val="both"/>
        <w:rPr>
          <w:i/>
        </w:rPr>
      </w:pPr>
      <w:r w:rsidRPr="00217CA8">
        <w:t xml:space="preserve">smernica Rady </w:t>
      </w:r>
      <w:r w:rsidRPr="00217CA8">
        <w:rPr>
          <w:u w:val="single"/>
        </w:rPr>
        <w:t>2007/74/ES</w:t>
      </w:r>
      <w:r w:rsidRPr="00217CA8">
        <w:t xml:space="preserve"> z 20. decembra 2007 o oslobodení tovaru, ktorý dovážajú osoby cestujúce z tretích krajín, od dane z pridanej hodnoty a spotrebnej dane (Ú. v. EÚ L  346,</w:t>
      </w:r>
      <w:r w:rsidRPr="00217CA8">
        <w:br/>
        <w:t xml:space="preserve">29. 12. 2007), </w:t>
      </w:r>
      <w:r w:rsidRPr="00217CA8">
        <w:rPr>
          <w:rStyle w:val="Zvraznenie"/>
          <w:noProof/>
        </w:rPr>
        <w:t xml:space="preserve">gestor: </w:t>
      </w:r>
      <w:r w:rsidRPr="00217CA8">
        <w:rPr>
          <w:noProof/>
        </w:rPr>
        <w:t>MF SR</w:t>
      </w:r>
      <w:r>
        <w:rPr>
          <w:noProof/>
        </w:rPr>
        <w:t>.</w:t>
      </w:r>
    </w:p>
    <w:p w:rsidR="00BA1532" w:rsidRPr="00217CA8" w:rsidRDefault="00BA1532" w:rsidP="00BA1532">
      <w:pPr>
        <w:pStyle w:val="Zkladntext"/>
        <w:ind w:left="681" w:hanging="397"/>
        <w:jc w:val="both"/>
        <w:rPr>
          <w:b/>
        </w:rPr>
      </w:pPr>
      <w:r w:rsidRPr="00217CA8">
        <w:rPr>
          <w:b/>
        </w:rPr>
        <w:t>c)</w:t>
      </w:r>
      <w:r w:rsidRPr="00217CA8">
        <w:rPr>
          <w:b/>
        </w:rPr>
        <w:tab/>
        <w:t>Judikatúra Súdneho dvora Európskej únie:</w:t>
      </w:r>
    </w:p>
    <w:p w:rsidR="00BA1532" w:rsidRPr="00217CA8" w:rsidRDefault="00BA1532" w:rsidP="00BA1532">
      <w:pPr>
        <w:pStyle w:val="Zkladntext"/>
        <w:numPr>
          <w:ilvl w:val="0"/>
          <w:numId w:val="21"/>
        </w:numPr>
        <w:autoSpaceDE w:val="0"/>
        <w:autoSpaceDN w:val="0"/>
        <w:jc w:val="both"/>
      </w:pPr>
      <w:r w:rsidRPr="00217CA8">
        <w:rPr>
          <w:bCs/>
        </w:rPr>
        <w:t xml:space="preserve">rozhodnutie Súdneho dvora (druhá komora) vo veci C - 140/05, </w:t>
      </w:r>
      <w:proofErr w:type="spellStart"/>
      <w:r w:rsidRPr="00217CA8">
        <w:rPr>
          <w:bCs/>
        </w:rPr>
        <w:t>Amalia</w:t>
      </w:r>
      <w:proofErr w:type="spellEnd"/>
      <w:r w:rsidRPr="00217CA8">
        <w:rPr>
          <w:bCs/>
        </w:rPr>
        <w:t xml:space="preserve"> </w:t>
      </w:r>
      <w:proofErr w:type="spellStart"/>
      <w:r w:rsidRPr="00217CA8">
        <w:rPr>
          <w:bCs/>
        </w:rPr>
        <w:t>Valeško</w:t>
      </w:r>
      <w:proofErr w:type="spellEnd"/>
      <w:r w:rsidRPr="00217CA8">
        <w:rPr>
          <w:bCs/>
        </w:rPr>
        <w:t xml:space="preserve"> proti </w:t>
      </w:r>
      <w:proofErr w:type="spellStart"/>
      <w:r w:rsidRPr="00217CA8">
        <w:rPr>
          <w:bCs/>
        </w:rPr>
        <w:t>Zollamt</w:t>
      </w:r>
      <w:proofErr w:type="spellEnd"/>
      <w:r w:rsidRPr="00217CA8">
        <w:rPr>
          <w:bCs/>
        </w:rPr>
        <w:t xml:space="preserve"> </w:t>
      </w:r>
      <w:proofErr w:type="spellStart"/>
      <w:r w:rsidRPr="00217CA8">
        <w:rPr>
          <w:bCs/>
        </w:rPr>
        <w:t>Klagenfurt</w:t>
      </w:r>
      <w:proofErr w:type="spellEnd"/>
      <w:r w:rsidRPr="00217CA8">
        <w:rPr>
          <w:bCs/>
        </w:rPr>
        <w:t>, [2006].</w:t>
      </w:r>
    </w:p>
    <w:p w:rsidR="00BA1532" w:rsidRPr="00217CA8" w:rsidRDefault="00BA1532" w:rsidP="00BA1532">
      <w:pPr>
        <w:pStyle w:val="Zkladntext"/>
        <w:autoSpaceDE w:val="0"/>
        <w:autoSpaceDN w:val="0"/>
        <w:ind w:left="660"/>
        <w:jc w:val="both"/>
      </w:pPr>
      <w:r w:rsidRPr="00217CA8">
        <w:rPr>
          <w:bCs/>
        </w:rPr>
        <w:t>Výrok rozhodnutia:</w:t>
      </w:r>
    </w:p>
    <w:p w:rsidR="00BA1532" w:rsidRPr="00217CA8" w:rsidRDefault="00BA1532" w:rsidP="00BA1532">
      <w:pPr>
        <w:pStyle w:val="c08dispositif"/>
        <w:spacing w:after="240" w:afterAutospacing="0"/>
        <w:ind w:left="660"/>
        <w:jc w:val="both"/>
        <w:rPr>
          <w:bCs/>
        </w:rPr>
      </w:pPr>
      <w:r w:rsidRPr="00217CA8">
        <w:rPr>
          <w:bCs/>
        </w:rPr>
        <w:t>1. Bod 6 ods. 2 prílohy XIII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sa má vykladať tak, že mu neodporuje to, aby Rakúska republika prechodne zachovala svoju právnu úpravu týkajúcu sa oslobodenia od spotrebnej dane obmedzeného na 25 kusov pre cigarety pochádzajúce zo Slovinska, dovezené na územie Rakúskej republiky v osobnej batožine cestujúcich, ktorí majú bydlisko v Rakúskej republike a vstupujú priamo na jej územie cez pozemnú hranicu alebo vnútrozemské vody tohto členského štátu.</w:t>
      </w:r>
    </w:p>
    <w:p w:rsidR="00BA1532" w:rsidRPr="00217CA8" w:rsidRDefault="00BA1532" w:rsidP="00BA1532">
      <w:pPr>
        <w:pStyle w:val="c08dispositif"/>
        <w:spacing w:after="240" w:afterAutospacing="0"/>
        <w:ind w:left="660"/>
        <w:jc w:val="both"/>
        <w:rPr>
          <w:bCs/>
        </w:rPr>
      </w:pPr>
      <w:r w:rsidRPr="00217CA8">
        <w:rPr>
          <w:bCs/>
        </w:rPr>
        <w:t xml:space="preserve">2.      Články 23 ES, 25 ES a 26 ES sa majú vykladať tak, že im neodporuje vnútroštátna právna úprava, akou je právna úprava sporná v konaní vo veci samej, podľa ktorej je oslobodenie od spotrebnej dane obmedzené na 25 kusov pre cigarety dovážané v osobnej batožine cestujúcich pri vstupe na územie Rakúskej republiky z niektorých iných členských štátov, najmä Slovinskej republiky, bez ohľadu na skutočnosť, že v dôsledku </w:t>
      </w:r>
      <w:r w:rsidRPr="00217CA8">
        <w:rPr>
          <w:bCs/>
        </w:rPr>
        <w:lastRenderedPageBreak/>
        <w:t xml:space="preserve">posledného rozšírenia Únie sa už toto obmedzené oslobodenie od spotrebnej dane neuplatňuje na žiadny tretí štát s jedinou výnimkou švajčiarskeho slobodného colného pásma </w:t>
      </w:r>
      <w:proofErr w:type="spellStart"/>
      <w:r w:rsidRPr="00217CA8">
        <w:rPr>
          <w:bCs/>
        </w:rPr>
        <w:t>Samnauntal</w:t>
      </w:r>
      <w:proofErr w:type="spellEnd"/>
      <w:r w:rsidRPr="00217CA8">
        <w:rPr>
          <w:bCs/>
        </w:rPr>
        <w:t xml:space="preserve"> a že pri dovozoch cigariet pochádzajúcich z tretích krajín sa vo všeobecnosti oslobodenie od spotrebnej dane vzťahuje na 200 kusov.</w:t>
      </w:r>
    </w:p>
    <w:p w:rsidR="00BA1532" w:rsidRPr="00217CA8" w:rsidRDefault="00BA1532" w:rsidP="00BA1532">
      <w:pPr>
        <w:pStyle w:val="Zkladntext"/>
        <w:numPr>
          <w:ilvl w:val="0"/>
          <w:numId w:val="21"/>
        </w:numPr>
        <w:autoSpaceDE w:val="0"/>
        <w:autoSpaceDN w:val="0"/>
        <w:jc w:val="both"/>
        <w:rPr>
          <w:rStyle w:val="Zvraznenie"/>
          <w:i w:val="0"/>
          <w:iCs w:val="0"/>
        </w:rPr>
      </w:pPr>
      <w:r w:rsidRPr="00217CA8">
        <w:rPr>
          <w:bCs/>
        </w:rPr>
        <w:t xml:space="preserve">rozhodnutie Súdneho dvora (prvá komora) vo veci C - 64/15, BP </w:t>
      </w:r>
      <w:proofErr w:type="spellStart"/>
      <w:r w:rsidRPr="00217CA8">
        <w:rPr>
          <w:bCs/>
        </w:rPr>
        <w:t>Europa</w:t>
      </w:r>
      <w:proofErr w:type="spellEnd"/>
      <w:r w:rsidRPr="00217CA8">
        <w:rPr>
          <w:bCs/>
        </w:rPr>
        <w:t xml:space="preserve"> SE proti </w:t>
      </w:r>
      <w:proofErr w:type="spellStart"/>
      <w:r w:rsidRPr="00217CA8">
        <w:rPr>
          <w:bCs/>
        </w:rPr>
        <w:t>Hauptzollamt</w:t>
      </w:r>
      <w:proofErr w:type="spellEnd"/>
      <w:r w:rsidRPr="00217CA8">
        <w:rPr>
          <w:bCs/>
        </w:rPr>
        <w:t xml:space="preserve"> Hamburg</w:t>
      </w:r>
      <w:r w:rsidRPr="00217CA8">
        <w:rPr>
          <w:bCs/>
        </w:rPr>
        <w:noBreakHyphen/>
      </w:r>
      <w:proofErr w:type="spellStart"/>
      <w:r w:rsidRPr="00217CA8">
        <w:rPr>
          <w:bCs/>
        </w:rPr>
        <w:t>Stadt</w:t>
      </w:r>
      <w:proofErr w:type="spellEnd"/>
      <w:r w:rsidRPr="00217CA8">
        <w:rPr>
          <w:bCs/>
        </w:rPr>
        <w:t>, [</w:t>
      </w:r>
      <w:r w:rsidRPr="00217CA8">
        <w:rPr>
          <w:rStyle w:val="Zvraznenie"/>
        </w:rPr>
        <w:t>2016].</w:t>
      </w:r>
    </w:p>
    <w:p w:rsidR="00BA1532" w:rsidRPr="000C66F6" w:rsidRDefault="00BA1532" w:rsidP="00BA1532">
      <w:pPr>
        <w:pStyle w:val="Zkladntext"/>
        <w:autoSpaceDE w:val="0"/>
        <w:autoSpaceDN w:val="0"/>
        <w:ind w:left="660"/>
        <w:jc w:val="both"/>
      </w:pPr>
      <w:r w:rsidRPr="00217CA8">
        <w:rPr>
          <w:bCs/>
        </w:rPr>
        <w:t>Výrok rozhodnutia:</w:t>
      </w:r>
    </w:p>
    <w:p w:rsidR="00BA1532" w:rsidRPr="00217CA8" w:rsidRDefault="00BA1532" w:rsidP="00BA1532">
      <w:pPr>
        <w:pStyle w:val="c08dispositif"/>
        <w:tabs>
          <w:tab w:val="left" w:pos="993"/>
        </w:tabs>
        <w:spacing w:after="240" w:afterAutospacing="0"/>
        <w:ind w:left="660"/>
        <w:jc w:val="both"/>
        <w:rPr>
          <w:bCs/>
        </w:rPr>
      </w:pPr>
      <w:r w:rsidRPr="00217CA8">
        <w:rPr>
          <w:bCs/>
        </w:rPr>
        <w:t>1.      Článok 20 ods. 2 smernice Rady </w:t>
      </w:r>
      <w:bookmarkStart w:id="3" w:name="ctx46"/>
      <w:r w:rsidRPr="00217CA8">
        <w:rPr>
          <w:bCs/>
        </w:rPr>
        <w:t>2008/118</w:t>
      </w:r>
      <w:bookmarkEnd w:id="3"/>
      <w:r w:rsidRPr="00217CA8">
        <w:rPr>
          <w:bCs/>
        </w:rPr>
        <w:t>/ES zo 16. decembra 2008 o všeobecnom systéme spotrebných daní a o zrušení smernice 92/12/EHS sa má vykladať v tom zmysle, že preprava tovaru podliehajúceho spotrebnej dani v režime pozastavenia dane v zmysle tohto ustanovenia v situácii, ako je situácia v konaní vo veci samej, končí v čase, keď príjemca tohto tovaru pri ukončení úplnej vykládky dopravného prostriedku obsahujúceho predmetný tovar konštatuje, že chýba určité množstvo tohto tovaru v porovnaní s množstvom, ktoré sa mu malo dodať.</w:t>
      </w:r>
    </w:p>
    <w:p w:rsidR="00BA1532" w:rsidRPr="00217CA8" w:rsidRDefault="00BA1532" w:rsidP="00BA1532">
      <w:pPr>
        <w:pStyle w:val="c08dispositif"/>
        <w:tabs>
          <w:tab w:val="left" w:pos="993"/>
        </w:tabs>
        <w:spacing w:after="240" w:afterAutospacing="0"/>
        <w:ind w:left="660"/>
        <w:jc w:val="both"/>
        <w:rPr>
          <w:bCs/>
        </w:rPr>
      </w:pPr>
      <w:r w:rsidRPr="00217CA8">
        <w:rPr>
          <w:bCs/>
        </w:rPr>
        <w:t>2.      Spojené ustanovenia článku 7 ods. 2 písm. a) a článku 10 ods. 2 smernice </w:t>
      </w:r>
      <w:bookmarkStart w:id="4" w:name="ctx47"/>
      <w:r w:rsidRPr="00217CA8">
        <w:rPr>
          <w:bCs/>
        </w:rPr>
        <w:t>2008/118</w:t>
      </w:r>
      <w:bookmarkEnd w:id="4"/>
      <w:r w:rsidRPr="00217CA8">
        <w:rPr>
          <w:bCs/>
        </w:rPr>
        <w:t> sa majú vykladať v tom zmysle, že:</w:t>
      </w:r>
    </w:p>
    <w:p w:rsidR="00BA1532" w:rsidRPr="00217CA8" w:rsidRDefault="00BA1532" w:rsidP="00BA1532">
      <w:pPr>
        <w:pStyle w:val="c31dispositiftiretlong"/>
        <w:spacing w:after="240" w:afterAutospacing="0"/>
        <w:ind w:left="660"/>
        <w:jc w:val="both"/>
        <w:rPr>
          <w:bCs/>
        </w:rPr>
      </w:pPr>
      <w:r w:rsidRPr="00217CA8">
        <w:rPr>
          <w:bCs/>
        </w:rPr>
        <w:t>–        situácie, ktoré upravujú, sa odlišujú od situácie upravenej článkom 7 ods. 4 tejto smernice a</w:t>
      </w:r>
    </w:p>
    <w:p w:rsidR="00BA1532" w:rsidRPr="00217CA8" w:rsidRDefault="00BA1532" w:rsidP="00BA1532">
      <w:pPr>
        <w:pStyle w:val="c31dispositiftiretlong"/>
        <w:spacing w:after="240" w:afterAutospacing="0"/>
        <w:ind w:left="660"/>
        <w:jc w:val="both"/>
        <w:rPr>
          <w:bCs/>
        </w:rPr>
      </w:pPr>
      <w:r w:rsidRPr="00217CA8">
        <w:rPr>
          <w:bCs/>
        </w:rPr>
        <w:t>–        okolnosť, že vnútroštátne ustanovenie preberajúce článok 10 ods. 2 smernice </w:t>
      </w:r>
      <w:bookmarkStart w:id="5" w:name="ctx48"/>
      <w:r w:rsidRPr="00217CA8">
        <w:rPr>
          <w:bCs/>
        </w:rPr>
        <w:t>2008/118</w:t>
      </w:r>
      <w:bookmarkEnd w:id="5"/>
      <w:r w:rsidRPr="00217CA8">
        <w:rPr>
          <w:bCs/>
        </w:rPr>
        <w:t>, ako je ustanovenie sporné v konaní vo veci samej, výslovne neuvádza, že nezrovnalosť, ktorú toto ustanovenie smernice upravuje, musí mať za následok uvedenie predmetného tovaru do daňového voľného obehu, nemôže brániť uplatneniu tohto vnútroštátneho ustanovenia pri konštatovaní chýbajúceho množstva, pri ktorom sa nevyhnutne predpokladá takéto uvedenie do daňového voľného obehu.</w:t>
      </w:r>
    </w:p>
    <w:p w:rsidR="00BA1532" w:rsidRPr="00217CA8" w:rsidRDefault="00BA1532" w:rsidP="00BA1532">
      <w:pPr>
        <w:pStyle w:val="c08dispositif"/>
        <w:numPr>
          <w:ilvl w:val="0"/>
          <w:numId w:val="25"/>
        </w:numPr>
        <w:tabs>
          <w:tab w:val="clear" w:pos="360"/>
          <w:tab w:val="left" w:pos="1134"/>
        </w:tabs>
        <w:spacing w:after="240" w:afterAutospacing="0"/>
        <w:ind w:left="709" w:firstLine="0"/>
        <w:jc w:val="both"/>
        <w:rPr>
          <w:bCs/>
        </w:rPr>
      </w:pPr>
      <w:r w:rsidRPr="00217CA8">
        <w:rPr>
          <w:bCs/>
        </w:rPr>
        <w:t>Článok 10 ods. 4 smernice </w:t>
      </w:r>
      <w:bookmarkStart w:id="6" w:name="ctx49"/>
      <w:r w:rsidRPr="00217CA8">
        <w:rPr>
          <w:bCs/>
        </w:rPr>
        <w:t>2008/118</w:t>
      </w:r>
      <w:bookmarkEnd w:id="6"/>
      <w:r w:rsidRPr="00217CA8">
        <w:rPr>
          <w:bCs/>
        </w:rPr>
        <w:t> sa má vykladať v tom zmysle, že sa uplatňuje, nielen keď na miesto určenia nedorazí všetok tovar prepravovaný v režime pozastavenia dane, alebo tiež v prípade, ak na miesto určenia nedorazí len časť tohto tovaru.</w:t>
      </w:r>
    </w:p>
    <w:p w:rsidR="00BA1532" w:rsidRPr="00217CA8" w:rsidRDefault="00BA1532" w:rsidP="00BA1532">
      <w:pPr>
        <w:pStyle w:val="Zkladntext"/>
        <w:numPr>
          <w:ilvl w:val="0"/>
          <w:numId w:val="21"/>
        </w:numPr>
        <w:autoSpaceDE w:val="0"/>
        <w:autoSpaceDN w:val="0"/>
        <w:jc w:val="both"/>
        <w:rPr>
          <w:rStyle w:val="Zvraznenie"/>
          <w:i w:val="0"/>
          <w:iCs w:val="0"/>
        </w:rPr>
      </w:pPr>
      <w:r w:rsidRPr="00217CA8">
        <w:rPr>
          <w:bCs/>
        </w:rPr>
        <w:t xml:space="preserve">rozhodnutie Súdneho dvora (prvá komora) vo veci </w:t>
      </w:r>
      <w:r w:rsidRPr="00217CA8">
        <w:t>C</w:t>
      </w:r>
      <w:r w:rsidRPr="00217CA8">
        <w:noBreakHyphen/>
        <w:t>165/13</w:t>
      </w:r>
      <w:r w:rsidRPr="00217CA8">
        <w:rPr>
          <w:bCs/>
        </w:rPr>
        <w:t xml:space="preserve">, Stanislav </w:t>
      </w:r>
      <w:proofErr w:type="spellStart"/>
      <w:r w:rsidRPr="00217CA8">
        <w:rPr>
          <w:bCs/>
        </w:rPr>
        <w:t>Gross</w:t>
      </w:r>
      <w:proofErr w:type="spellEnd"/>
      <w:r w:rsidRPr="00217CA8">
        <w:rPr>
          <w:bCs/>
        </w:rPr>
        <w:t xml:space="preserve"> proti </w:t>
      </w:r>
      <w:proofErr w:type="spellStart"/>
      <w:r w:rsidRPr="00217CA8">
        <w:rPr>
          <w:bCs/>
        </w:rPr>
        <w:t>Hauptzollamt</w:t>
      </w:r>
      <w:proofErr w:type="spellEnd"/>
      <w:r w:rsidRPr="00217CA8">
        <w:rPr>
          <w:bCs/>
        </w:rPr>
        <w:t xml:space="preserve"> </w:t>
      </w:r>
      <w:proofErr w:type="spellStart"/>
      <w:r w:rsidRPr="00217CA8">
        <w:rPr>
          <w:bCs/>
        </w:rPr>
        <w:t>Braunschweig</w:t>
      </w:r>
      <w:proofErr w:type="spellEnd"/>
      <w:r w:rsidRPr="00217CA8">
        <w:rPr>
          <w:bCs/>
        </w:rPr>
        <w:t>, [</w:t>
      </w:r>
      <w:r w:rsidRPr="00217CA8">
        <w:rPr>
          <w:rStyle w:val="Zvraznenie"/>
        </w:rPr>
        <w:t>2014].</w:t>
      </w:r>
    </w:p>
    <w:p w:rsidR="00BA1532" w:rsidRPr="00217CA8" w:rsidRDefault="00BA1532" w:rsidP="00BA1532">
      <w:pPr>
        <w:pStyle w:val="Zkladntext"/>
        <w:autoSpaceDE w:val="0"/>
        <w:autoSpaceDN w:val="0"/>
        <w:ind w:left="660"/>
        <w:jc w:val="both"/>
      </w:pPr>
      <w:r w:rsidRPr="00217CA8">
        <w:rPr>
          <w:bCs/>
        </w:rPr>
        <w:t>Výrok rozhodnutia:</w:t>
      </w:r>
    </w:p>
    <w:p w:rsidR="00BA1532" w:rsidRDefault="00BA1532" w:rsidP="00BA1532">
      <w:pPr>
        <w:pStyle w:val="c08dispositif"/>
        <w:spacing w:after="240" w:afterAutospacing="0"/>
        <w:ind w:left="709"/>
        <w:jc w:val="both"/>
        <w:rPr>
          <w:bCs/>
        </w:rPr>
      </w:pPr>
      <w:r w:rsidRPr="00217CA8">
        <w:rPr>
          <w:bCs/>
        </w:rPr>
        <w:t>Článok 9 ods. 1 smernice Rady 92/12/EHS z 25. februára 1992 o všeobecných systémoch pre výrobky podliehajúce spotrebnej dani a o vlastníctve, pohybe a monitorovaní takýchto výrobkov, zmenenej a doplnenej smernicou Rady 92/108/EHS zo 14. decembra 1992, v spojení s článkom 7 tejto smernice sa má vykladať v tom zmysle, že toto ustanovenie umožňuje, aby členský štát označil za platiteľa spotrebnej dane osobu, ktorá má v držbe na daňovom území tohto štátu na komerčné účely výrobky podliehajúce spotrebnej dani uvoľnené na spotrebu v inom členskom štáte, za okolností, akými sú okolnosti sporu vo veci samej, aj keď táto osoba nebola v členskom štáte určenia prvým držiteľom týchto výrobkov.</w:t>
      </w:r>
    </w:p>
    <w:p w:rsidR="00B3448D" w:rsidRPr="00217CA8" w:rsidRDefault="00B3448D" w:rsidP="00BA1532">
      <w:pPr>
        <w:pStyle w:val="c08dispositif"/>
        <w:spacing w:after="240" w:afterAutospacing="0"/>
        <w:ind w:left="709"/>
        <w:jc w:val="both"/>
        <w:rPr>
          <w:bCs/>
        </w:rPr>
      </w:pPr>
    </w:p>
    <w:p w:rsidR="00BA1532" w:rsidRPr="00217CA8" w:rsidRDefault="00BA1532" w:rsidP="00BA1532">
      <w:pPr>
        <w:pStyle w:val="Zkladntext1"/>
        <w:tabs>
          <w:tab w:val="left" w:pos="284"/>
        </w:tabs>
        <w:spacing w:before="120" w:after="120"/>
        <w:ind w:left="3"/>
        <w:jc w:val="both"/>
        <w:rPr>
          <w:b/>
          <w:bCs/>
          <w:color w:val="auto"/>
          <w:sz w:val="24"/>
          <w:szCs w:val="24"/>
        </w:rPr>
      </w:pPr>
      <w:r w:rsidRPr="00217CA8">
        <w:rPr>
          <w:b/>
          <w:bCs/>
          <w:color w:val="auto"/>
          <w:sz w:val="24"/>
          <w:szCs w:val="24"/>
        </w:rPr>
        <w:lastRenderedPageBreak/>
        <w:t>4.</w:t>
      </w:r>
      <w:r w:rsidRPr="00217CA8">
        <w:rPr>
          <w:b/>
          <w:bCs/>
          <w:color w:val="auto"/>
          <w:sz w:val="24"/>
          <w:szCs w:val="24"/>
        </w:rPr>
        <w:tab/>
        <w:t>Záväzky Slovenskej republiky vo vzťahu k Európskej únii:</w:t>
      </w:r>
    </w:p>
    <w:p w:rsidR="00BA1532" w:rsidRPr="00E03BA6" w:rsidRDefault="00BA1532" w:rsidP="00BA1532">
      <w:pPr>
        <w:pStyle w:val="Odsekzoznamu"/>
        <w:numPr>
          <w:ilvl w:val="1"/>
          <w:numId w:val="23"/>
        </w:numPr>
        <w:spacing w:line="259" w:lineRule="auto"/>
        <w:jc w:val="both"/>
        <w:rPr>
          <w:rFonts w:ascii="Times New Roman" w:hAnsi="Times New Roman"/>
          <w:bCs/>
          <w:sz w:val="24"/>
          <w:szCs w:val="24"/>
          <w:lang w:eastAsia="sk-SK"/>
        </w:rPr>
      </w:pPr>
      <w:r w:rsidRPr="00E03BA6">
        <w:rPr>
          <w:rFonts w:ascii="Times New Roman" w:hAnsi="Times New Roman"/>
          <w:bCs/>
          <w:sz w:val="24"/>
          <w:szCs w:val="24"/>
          <w:lang w:eastAsia="sk-SK"/>
        </w:rPr>
        <w:t>Lehota na prebratie smernice 2011/64/EÚ: ide o kodifikované znenie. Termín prebratia bol do 1. januára 2011. Termín prevzatia bol splnený.</w:t>
      </w:r>
    </w:p>
    <w:p w:rsidR="00BA1532" w:rsidRPr="00E03BA6" w:rsidRDefault="00BA1532" w:rsidP="00BA1532">
      <w:pPr>
        <w:pStyle w:val="Odsekzoznamu"/>
        <w:jc w:val="both"/>
        <w:rPr>
          <w:rFonts w:ascii="Times New Roman" w:hAnsi="Times New Roman"/>
          <w:bCs/>
          <w:sz w:val="24"/>
          <w:szCs w:val="24"/>
          <w:lang w:eastAsia="sk-SK"/>
        </w:rPr>
      </w:pPr>
    </w:p>
    <w:p w:rsidR="00BA1532" w:rsidRPr="00E03BA6" w:rsidRDefault="00BA1532" w:rsidP="00BA1532">
      <w:pPr>
        <w:pStyle w:val="Odsekzoznamu"/>
        <w:numPr>
          <w:ilvl w:val="1"/>
          <w:numId w:val="23"/>
        </w:numPr>
        <w:spacing w:line="259" w:lineRule="auto"/>
        <w:jc w:val="both"/>
        <w:rPr>
          <w:rFonts w:ascii="Times New Roman" w:hAnsi="Times New Roman"/>
          <w:sz w:val="24"/>
          <w:szCs w:val="24"/>
          <w:lang w:eastAsia="sk-SK"/>
        </w:rPr>
      </w:pPr>
      <w:r w:rsidRPr="00E03BA6">
        <w:rPr>
          <w:rFonts w:ascii="Times New Roman" w:hAnsi="Times New Roman"/>
          <w:sz w:val="24"/>
          <w:szCs w:val="24"/>
        </w:rPr>
        <w:t>Proti SR nebolo začaté konanie v rámci „EÚ Pilot“, ani nebol začatý postup Európskej komisie, alebo konanie Súdneho dvora Európskej únie proti Slovenskej republike podľa čl. 258 až 260 Zmluvy o fungovaní Európskej únie v platnom znení.</w:t>
      </w:r>
      <w:r w:rsidRPr="00E03BA6">
        <w:rPr>
          <w:rFonts w:ascii="Times New Roman" w:hAnsi="Times New Roman"/>
          <w:sz w:val="24"/>
          <w:szCs w:val="24"/>
          <w:lang w:eastAsia="sk-SK"/>
        </w:rPr>
        <w:t xml:space="preserve">  </w:t>
      </w:r>
    </w:p>
    <w:p w:rsidR="00BA1532" w:rsidRPr="00FB1EB6" w:rsidRDefault="00BA1532" w:rsidP="00BA1532">
      <w:pPr>
        <w:pStyle w:val="Zkladntext0"/>
        <w:numPr>
          <w:ilvl w:val="1"/>
          <w:numId w:val="23"/>
        </w:numPr>
        <w:autoSpaceDE/>
        <w:autoSpaceDN/>
        <w:spacing w:after="120"/>
        <w:jc w:val="both"/>
        <w:rPr>
          <w:rFonts w:ascii="Times New Roman" w:hAnsi="Times New Roman" w:cs="Times New Roman"/>
          <w:i/>
          <w:color w:val="auto"/>
        </w:rPr>
      </w:pPr>
      <w:r w:rsidRPr="00FB1EB6">
        <w:rPr>
          <w:rFonts w:ascii="Times New Roman" w:hAnsi="Times New Roman" w:cs="Times New Roman"/>
          <w:bCs/>
          <w:i/>
          <w:color w:val="auto"/>
        </w:rPr>
        <w:t>Smernica 2011/64/EÚ</w:t>
      </w:r>
      <w:r w:rsidRPr="00FB1EB6">
        <w:rPr>
          <w:rFonts w:ascii="Times New Roman" w:hAnsi="Times New Roman" w:cs="Times New Roman"/>
          <w:i/>
          <w:color w:val="auto"/>
        </w:rPr>
        <w:t xml:space="preserve"> bola prebratá do zákona č. 106/2004 Z. z. o spotrebnej dani z tabakových výrobkov v znení neskorších predpisov. </w:t>
      </w:r>
    </w:p>
    <w:p w:rsidR="00BA1532" w:rsidRPr="00FB1EB6" w:rsidRDefault="00BA1532" w:rsidP="00BA1532">
      <w:pPr>
        <w:pStyle w:val="Zkladntext0"/>
        <w:spacing w:after="120"/>
        <w:ind w:left="720"/>
        <w:jc w:val="both"/>
        <w:rPr>
          <w:rFonts w:ascii="Times New Roman" w:hAnsi="Times New Roman" w:cs="Times New Roman"/>
          <w:i/>
          <w:color w:val="auto"/>
        </w:rPr>
      </w:pPr>
      <w:r w:rsidRPr="00FB1EB6">
        <w:rPr>
          <w:rFonts w:ascii="Times New Roman" w:hAnsi="Times New Roman" w:cs="Times New Roman"/>
          <w:i/>
          <w:color w:val="auto"/>
        </w:rPr>
        <w:t xml:space="preserve">Smernica 2007/74/ES bola prebratá </w:t>
      </w:r>
      <w:r w:rsidRPr="00FB1EB6">
        <w:rPr>
          <w:rStyle w:val="Zvraznenie"/>
          <w:rFonts w:ascii="Times New Roman" w:hAnsi="Times New Roman" w:cs="Times New Roman"/>
          <w:i w:val="0"/>
        </w:rPr>
        <w:t>do zákona č. 98/2004 Z. z. o spotrebnej dani z minerálneho oleja v znení neskorších predpisov, zákona č. 106/2004 Z. z. o spotrebnej dani z tabakových výrobkov v znení neskorších predpisov a zákona č. 530/2011 Z. z. o spotrebnej dani z alkoholických výrobkov v znení neskorších predpisov.</w:t>
      </w:r>
      <w:r w:rsidRPr="00FB1EB6">
        <w:rPr>
          <w:rFonts w:ascii="Times New Roman" w:hAnsi="Times New Roman" w:cs="Times New Roman"/>
          <w:i/>
          <w:color w:val="auto"/>
        </w:rPr>
        <w:t xml:space="preserve"> </w:t>
      </w:r>
    </w:p>
    <w:p w:rsidR="00BA1532" w:rsidRPr="00FB1EB6" w:rsidRDefault="00BA1532" w:rsidP="00BA1532">
      <w:pPr>
        <w:pStyle w:val="Zkladntext0"/>
        <w:spacing w:after="120"/>
        <w:ind w:left="720"/>
        <w:jc w:val="both"/>
        <w:rPr>
          <w:rStyle w:val="Zvraznenie"/>
          <w:rFonts w:ascii="Times New Roman" w:hAnsi="Times New Roman" w:cs="Times New Roman"/>
          <w:i w:val="0"/>
          <w:iCs w:val="0"/>
        </w:rPr>
      </w:pPr>
      <w:r w:rsidRPr="00FB1EB6">
        <w:rPr>
          <w:rFonts w:ascii="Times New Roman" w:hAnsi="Times New Roman" w:cs="Times New Roman"/>
          <w:i/>
          <w:color w:val="auto"/>
        </w:rPr>
        <w:t xml:space="preserve">Smernica </w:t>
      </w:r>
      <w:r w:rsidRPr="00FB1EB6">
        <w:rPr>
          <w:rStyle w:val="Zvraznenie"/>
          <w:rFonts w:ascii="Times New Roman" w:hAnsi="Times New Roman" w:cs="Times New Roman"/>
          <w:i w:val="0"/>
        </w:rPr>
        <w:t>2020/262/EÚ bola prebratá do zákona č. 98/2004 Z. z. o spotrebnej dani z minerálneho oleja v znení neskorších predpisov, zákona č. 106/2004 Z. z. o spotrebnej dani z tabakových výrobkov v znení neskorších predpisov, zákona č. 530/2011 Z. z. o spotrebnej dani z alkoholických výrobkov v znení neskorších predpisov a zákona č. 609/2007 Z. z. o spotrebnej dani z elektriny, uhlia a zemného plynu a o zmene a doplnení zákona č. 98/2004 Z. z. o spotrebnej dani z minerálneho oleja v znení neskorších predpisov v znení neskorších predpisov.</w:t>
      </w:r>
    </w:p>
    <w:p w:rsidR="00BA1532" w:rsidRPr="00217CA8" w:rsidRDefault="00BA1532" w:rsidP="00BA1532">
      <w:pPr>
        <w:pStyle w:val="Zkladntext1"/>
        <w:tabs>
          <w:tab w:val="left" w:pos="284"/>
        </w:tabs>
        <w:spacing w:before="120"/>
        <w:ind w:firstLine="11"/>
        <w:jc w:val="both"/>
        <w:rPr>
          <w:b/>
          <w:color w:val="auto"/>
          <w:sz w:val="24"/>
          <w:szCs w:val="24"/>
        </w:rPr>
      </w:pPr>
      <w:r w:rsidRPr="00217CA8">
        <w:rPr>
          <w:b/>
          <w:color w:val="auto"/>
          <w:sz w:val="24"/>
          <w:szCs w:val="24"/>
        </w:rPr>
        <w:t>5.</w:t>
      </w:r>
      <w:r w:rsidRPr="00217CA8">
        <w:rPr>
          <w:b/>
          <w:color w:val="auto"/>
          <w:sz w:val="24"/>
          <w:szCs w:val="24"/>
        </w:rPr>
        <w:tab/>
        <w:t>Návrh zákona je zlučiteľný s právom Európskej únie:</w:t>
      </w:r>
    </w:p>
    <w:p w:rsidR="00BA1532" w:rsidRPr="00D15A50" w:rsidRDefault="00BA1532" w:rsidP="00BA1532">
      <w:pPr>
        <w:pStyle w:val="Zkladntext1"/>
        <w:spacing w:before="120"/>
        <w:ind w:left="284"/>
        <w:jc w:val="both"/>
        <w:rPr>
          <w:color w:val="auto"/>
          <w:sz w:val="24"/>
          <w:szCs w:val="24"/>
        </w:rPr>
      </w:pPr>
      <w:r w:rsidRPr="00071DA5">
        <w:rPr>
          <w:color w:val="auto"/>
          <w:sz w:val="24"/>
          <w:szCs w:val="24"/>
        </w:rPr>
        <w:t>a) Úplne</w:t>
      </w:r>
      <w:r w:rsidRPr="00217CA8">
        <w:rPr>
          <w:color w:val="auto"/>
          <w:sz w:val="24"/>
          <w:szCs w:val="24"/>
        </w:rPr>
        <w:t>.</w:t>
      </w:r>
    </w:p>
    <w:p w:rsidR="00BA1532" w:rsidRPr="00D15A50" w:rsidRDefault="00BA1532" w:rsidP="00BA1532">
      <w:pPr>
        <w:pStyle w:val="dka"/>
        <w:spacing w:before="120"/>
        <w:ind w:left="284"/>
        <w:jc w:val="both"/>
        <w:rPr>
          <w:color w:val="auto"/>
          <w:sz w:val="24"/>
          <w:szCs w:val="24"/>
        </w:rPr>
      </w:pPr>
    </w:p>
    <w:p w:rsidR="00BA1532" w:rsidRPr="00D15A50" w:rsidRDefault="00BA1532" w:rsidP="00BA1532"/>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Default="00BA1532" w:rsidP="00BA1532">
      <w:pPr>
        <w:jc w:val="both"/>
        <w:rPr>
          <w:b/>
          <w:color w:val="000000"/>
        </w:rPr>
      </w:pPr>
    </w:p>
    <w:p w:rsidR="00BA1532" w:rsidRPr="00BA1532" w:rsidRDefault="00BA1532" w:rsidP="00BA1532">
      <w:pPr>
        <w:jc w:val="both"/>
        <w:rPr>
          <w:b/>
          <w:color w:val="000000"/>
        </w:rPr>
      </w:pPr>
      <w:r w:rsidRPr="00BA1532">
        <w:rPr>
          <w:b/>
          <w:color w:val="000000"/>
        </w:rPr>
        <w:lastRenderedPageBreak/>
        <w:t>B. Osobitná časť</w:t>
      </w:r>
    </w:p>
    <w:p w:rsidR="00BA1532" w:rsidRPr="00BA1532" w:rsidRDefault="00BA1532" w:rsidP="00BA1532">
      <w:pPr>
        <w:jc w:val="both"/>
        <w:rPr>
          <w:bCs/>
        </w:rPr>
      </w:pPr>
    </w:p>
    <w:p w:rsidR="00BA1532" w:rsidRPr="00BA1532" w:rsidRDefault="00BA1532" w:rsidP="00BA1532">
      <w:pPr>
        <w:jc w:val="both"/>
        <w:rPr>
          <w:b/>
          <w:bCs/>
        </w:rPr>
      </w:pPr>
      <w:r w:rsidRPr="00BA1532">
        <w:rPr>
          <w:b/>
          <w:bCs/>
        </w:rPr>
        <w:t>K článku I</w:t>
      </w:r>
    </w:p>
    <w:p w:rsidR="00BA1532" w:rsidRPr="00BA1532" w:rsidRDefault="00BA1532" w:rsidP="00BA1532">
      <w:pPr>
        <w:tabs>
          <w:tab w:val="left" w:pos="360"/>
        </w:tabs>
        <w:jc w:val="both"/>
      </w:pPr>
    </w:p>
    <w:p w:rsidR="00BA1532" w:rsidRPr="00BA1532" w:rsidRDefault="00BA1532" w:rsidP="00BA1532">
      <w:pPr>
        <w:autoSpaceDE w:val="0"/>
        <w:autoSpaceDN w:val="0"/>
        <w:adjustRightInd w:val="0"/>
        <w:jc w:val="both"/>
        <w:rPr>
          <w:b/>
          <w:bCs/>
        </w:rPr>
      </w:pPr>
      <w:r w:rsidRPr="00BA1532">
        <w:rPr>
          <w:b/>
          <w:bCs/>
        </w:rPr>
        <w:t>K bodu 1</w:t>
      </w:r>
    </w:p>
    <w:p w:rsidR="00BA1532" w:rsidRPr="00BA1532" w:rsidRDefault="00BA1532" w:rsidP="00BA1532">
      <w:pPr>
        <w:tabs>
          <w:tab w:val="left" w:pos="709"/>
        </w:tabs>
        <w:autoSpaceDE w:val="0"/>
        <w:autoSpaceDN w:val="0"/>
        <w:adjustRightInd w:val="0"/>
        <w:ind w:firstLine="708"/>
        <w:jc w:val="both"/>
        <w:rPr>
          <w:bCs/>
        </w:rPr>
      </w:pPr>
      <w:r w:rsidRPr="00BA1532">
        <w:rPr>
          <w:bCs/>
        </w:rPr>
        <w:t>Navrhovanou úpravou sa rozširuje predmet úpravy zákona nielen o tabakovú surovinu, ktorá už bola súčasťou zákona pred navrhovanými zmenami ale aj o bezdymový tabakový výrobok, ktorú už bol rovnako upravený v zákone a bude nanovo v návrhu zákona upravený z dôvodu veľkého počtu navrhovaných zmien a tiež novo upravovaný výrobok súvisiaci s tabakovými výrobkami.</w:t>
      </w:r>
    </w:p>
    <w:p w:rsidR="00BA1532" w:rsidRPr="00BA1532" w:rsidRDefault="00BA1532" w:rsidP="00BA1532">
      <w:pPr>
        <w:autoSpaceDE w:val="0"/>
        <w:autoSpaceDN w:val="0"/>
        <w:adjustRightInd w:val="0"/>
        <w:jc w:val="both"/>
        <w:rPr>
          <w:b/>
          <w:bCs/>
        </w:rPr>
      </w:pPr>
    </w:p>
    <w:p w:rsidR="00BA1532" w:rsidRPr="00BA1532" w:rsidRDefault="00BA1532" w:rsidP="00BA1532">
      <w:pPr>
        <w:autoSpaceDE w:val="0"/>
        <w:autoSpaceDN w:val="0"/>
        <w:adjustRightInd w:val="0"/>
        <w:jc w:val="both"/>
        <w:rPr>
          <w:b/>
          <w:bCs/>
        </w:rPr>
      </w:pPr>
      <w:r w:rsidRPr="00BA1532">
        <w:rPr>
          <w:b/>
          <w:bCs/>
        </w:rPr>
        <w:t>K bodu 2</w:t>
      </w:r>
    </w:p>
    <w:p w:rsidR="00BA1532" w:rsidRPr="00BA1532" w:rsidRDefault="00BA1532" w:rsidP="00BA1532">
      <w:pPr>
        <w:autoSpaceDE w:val="0"/>
        <w:autoSpaceDN w:val="0"/>
        <w:adjustRightInd w:val="0"/>
        <w:jc w:val="both"/>
      </w:pPr>
      <w:r w:rsidRPr="00BA1532">
        <w:rPr>
          <w:b/>
          <w:bCs/>
        </w:rPr>
        <w:tab/>
      </w:r>
      <w:r w:rsidRPr="00BA1532">
        <w:rPr>
          <w:bCs/>
        </w:rPr>
        <w:t xml:space="preserve">Legislatívno-technická úprava ustanovenia súvisiaca so skutočnosťou, že ak výrobok neobsahuje tabak a je určený na účely podľa osobitného predpisu, ktorým je zákon </w:t>
      </w:r>
      <w:r w:rsidRPr="00BA1532">
        <w:rPr>
          <w:color w:val="000000"/>
        </w:rPr>
        <w:t>o liekoch a zdravotníckych pomôckach</w:t>
      </w:r>
      <w:r w:rsidRPr="00BA1532">
        <w:t>, nepovažuje sa za tabakový výrobok v zmysle zákona o spotrebnej dani z tabakových výrobkov.</w:t>
      </w:r>
    </w:p>
    <w:p w:rsidR="00BA1532" w:rsidRPr="00BA1532" w:rsidRDefault="00BA1532" w:rsidP="00BA1532">
      <w:pPr>
        <w:autoSpaceDE w:val="0"/>
        <w:autoSpaceDN w:val="0"/>
        <w:adjustRightInd w:val="0"/>
        <w:jc w:val="both"/>
        <w:rPr>
          <w:bCs/>
        </w:rPr>
      </w:pPr>
    </w:p>
    <w:p w:rsidR="00BA1532" w:rsidRPr="00BA1532" w:rsidRDefault="00BA1532" w:rsidP="00BA1532">
      <w:pPr>
        <w:autoSpaceDE w:val="0"/>
        <w:autoSpaceDN w:val="0"/>
        <w:adjustRightInd w:val="0"/>
        <w:jc w:val="both"/>
        <w:rPr>
          <w:b/>
          <w:bCs/>
        </w:rPr>
      </w:pPr>
      <w:r w:rsidRPr="00BA1532">
        <w:rPr>
          <w:b/>
          <w:bCs/>
        </w:rPr>
        <w:t>K bodu 3</w:t>
      </w:r>
    </w:p>
    <w:p w:rsidR="00BA1532" w:rsidRPr="00BA1532" w:rsidRDefault="00BA1532" w:rsidP="00BA1532">
      <w:pPr>
        <w:autoSpaceDE w:val="0"/>
        <w:autoSpaceDN w:val="0"/>
        <w:adjustRightInd w:val="0"/>
        <w:jc w:val="both"/>
        <w:rPr>
          <w:bCs/>
        </w:rPr>
      </w:pPr>
      <w:r w:rsidRPr="00BA1532">
        <w:rPr>
          <w:bCs/>
        </w:rPr>
        <w:tab/>
        <w:t>Legislatívno-technická úprava poznámky pod čiarou v súvislosti s novým zákonom o liekoch a zdravotníckych pomôckach.</w:t>
      </w:r>
    </w:p>
    <w:p w:rsidR="00BA1532" w:rsidRPr="00BA1532" w:rsidRDefault="00BA1532" w:rsidP="00BA1532">
      <w:pPr>
        <w:autoSpaceDE w:val="0"/>
        <w:autoSpaceDN w:val="0"/>
        <w:adjustRightInd w:val="0"/>
        <w:jc w:val="both"/>
        <w:rPr>
          <w:bCs/>
        </w:rPr>
      </w:pPr>
    </w:p>
    <w:p w:rsidR="00BA1532" w:rsidRPr="00BA1532" w:rsidRDefault="00BA1532" w:rsidP="00BA1532">
      <w:pPr>
        <w:autoSpaceDE w:val="0"/>
        <w:autoSpaceDN w:val="0"/>
        <w:adjustRightInd w:val="0"/>
        <w:jc w:val="both"/>
        <w:rPr>
          <w:b/>
          <w:bCs/>
        </w:rPr>
      </w:pPr>
      <w:r w:rsidRPr="00BA1532">
        <w:rPr>
          <w:b/>
          <w:bCs/>
        </w:rPr>
        <w:t>K bodu 4</w:t>
      </w:r>
    </w:p>
    <w:p w:rsidR="00BA1532" w:rsidRPr="00BA1532" w:rsidRDefault="00BA1532" w:rsidP="00BA1532">
      <w:pPr>
        <w:jc w:val="both"/>
        <w:rPr>
          <w:bCs/>
        </w:rPr>
      </w:pPr>
      <w:r w:rsidRPr="00BA1532">
        <w:rPr>
          <w:bCs/>
        </w:rPr>
        <w:tab/>
        <w:t>Navrhovaná zmena predstavuje rozšírenie predmetu dane o všetky neharmonizované predmety dane, ktorými sú tabaková surovina, bezdymový tabakový výrobok a o výrobok súvisiaci s tabakovými výrobkami.</w:t>
      </w:r>
    </w:p>
    <w:p w:rsidR="00BA1532" w:rsidRPr="00BA1532" w:rsidRDefault="00BA1532" w:rsidP="00BA1532">
      <w:pPr>
        <w:jc w:val="both"/>
        <w:rPr>
          <w:bCs/>
        </w:rPr>
      </w:pPr>
    </w:p>
    <w:p w:rsidR="00BA1532" w:rsidRPr="00BA1532" w:rsidRDefault="00BA1532" w:rsidP="00BA1532">
      <w:pPr>
        <w:autoSpaceDE w:val="0"/>
        <w:autoSpaceDN w:val="0"/>
        <w:adjustRightInd w:val="0"/>
        <w:jc w:val="both"/>
        <w:rPr>
          <w:b/>
          <w:bCs/>
        </w:rPr>
      </w:pPr>
      <w:r w:rsidRPr="00BA1532">
        <w:rPr>
          <w:b/>
          <w:bCs/>
        </w:rPr>
        <w:t>K bodu 5</w:t>
      </w:r>
    </w:p>
    <w:p w:rsidR="00BA1532" w:rsidRPr="00BA1532" w:rsidRDefault="00BA1532" w:rsidP="00BA1532">
      <w:pPr>
        <w:tabs>
          <w:tab w:val="left" w:pos="567"/>
        </w:tabs>
        <w:ind w:firstLine="567"/>
        <w:jc w:val="both"/>
        <w:rPr>
          <w:bCs/>
        </w:rPr>
      </w:pPr>
      <w:r w:rsidRPr="00BA1532">
        <w:rPr>
          <w:bCs/>
        </w:rPr>
        <w:t>Navrhovanou úpravou sa v rámci daňového kalendára upravuje sadzba dane z tabaku, špecifická časť kombinovanej sadzby dane z cigariet a minimálna sadzba dane z cigariet, a to s účinnosťou od 1. februára 2028.</w:t>
      </w:r>
    </w:p>
    <w:p w:rsidR="00BA1532" w:rsidRPr="00BA1532" w:rsidRDefault="00BA1532" w:rsidP="00BA1532">
      <w:pPr>
        <w:tabs>
          <w:tab w:val="left" w:pos="567"/>
        </w:tabs>
        <w:ind w:firstLine="567"/>
        <w:jc w:val="both"/>
        <w:rPr>
          <w:bCs/>
        </w:rPr>
      </w:pPr>
    </w:p>
    <w:p w:rsidR="00BA1532" w:rsidRPr="00BA1532" w:rsidRDefault="00BA1532" w:rsidP="00BA1532">
      <w:pPr>
        <w:autoSpaceDE w:val="0"/>
        <w:autoSpaceDN w:val="0"/>
        <w:adjustRightInd w:val="0"/>
        <w:jc w:val="both"/>
        <w:rPr>
          <w:b/>
          <w:bCs/>
        </w:rPr>
      </w:pPr>
      <w:r w:rsidRPr="00BA1532">
        <w:rPr>
          <w:b/>
          <w:bCs/>
        </w:rPr>
        <w:t>K bodu 6</w:t>
      </w:r>
    </w:p>
    <w:p w:rsidR="00BA1532" w:rsidRPr="00BA1532" w:rsidRDefault="00BA1532" w:rsidP="00BA1532">
      <w:pPr>
        <w:ind w:firstLine="567"/>
        <w:jc w:val="both"/>
        <w:rPr>
          <w:bCs/>
        </w:rPr>
      </w:pPr>
      <w:r w:rsidRPr="00BA1532">
        <w:rPr>
          <w:bCs/>
        </w:rPr>
        <w:t>Legislatívno-technická úprava znaku platnosti sadzby dane súvisiaca s doterajšou zdaňovaním bezdymového tabakového výrobku a zavedením zdaňovania výrobkov súvisiacich s tabakovými výrobkami.</w:t>
      </w:r>
    </w:p>
    <w:p w:rsidR="00BA1532" w:rsidRPr="00BA1532" w:rsidRDefault="00BA1532" w:rsidP="00BA1532">
      <w:pPr>
        <w:jc w:val="both"/>
        <w:rPr>
          <w:bCs/>
        </w:rPr>
      </w:pPr>
    </w:p>
    <w:p w:rsidR="00BA1532" w:rsidRPr="00BA1532" w:rsidRDefault="00BA1532" w:rsidP="00BA1532">
      <w:pPr>
        <w:autoSpaceDE w:val="0"/>
        <w:autoSpaceDN w:val="0"/>
        <w:adjustRightInd w:val="0"/>
        <w:jc w:val="both"/>
        <w:rPr>
          <w:b/>
          <w:bCs/>
        </w:rPr>
      </w:pPr>
      <w:r w:rsidRPr="00BA1532">
        <w:rPr>
          <w:b/>
          <w:bCs/>
        </w:rPr>
        <w:t>K bodu 7</w:t>
      </w:r>
    </w:p>
    <w:p w:rsidR="00BA1532" w:rsidRPr="00BA1532" w:rsidRDefault="00BA1532" w:rsidP="00BA1532">
      <w:pPr>
        <w:jc w:val="both"/>
        <w:rPr>
          <w:bCs/>
        </w:rPr>
      </w:pPr>
      <w:r w:rsidRPr="00BA1532">
        <w:rPr>
          <w:bCs/>
        </w:rPr>
        <w:tab/>
        <w:t>Navrhovanou úpravou sa rozširuje, resp. mení okruh odberateľov kontrolných známok na označovanie spotrebiteľského balenia bezdymového tabakového výrobku a výrobku súvisiaceho s tabakovými výrobkami o distribútora bezdymového tabakového výrobku a distribútora výrobku súvisiaceho s tabakovými výrobkami, ktorí v rámci podnikania na daňovom území môžu tieto výrobky dovážať z územia tretích štátov alebo ich prijímať z územia iného členského štátu Európskej únie.</w:t>
      </w:r>
    </w:p>
    <w:p w:rsidR="00BA1532" w:rsidRPr="00BA1532" w:rsidRDefault="00BA1532" w:rsidP="00BA1532">
      <w:pPr>
        <w:jc w:val="both"/>
        <w:rPr>
          <w:bCs/>
        </w:rPr>
      </w:pPr>
    </w:p>
    <w:p w:rsidR="00BA1532" w:rsidRPr="00BA1532" w:rsidRDefault="00BA1532" w:rsidP="00BA1532">
      <w:pPr>
        <w:jc w:val="both"/>
        <w:rPr>
          <w:b/>
          <w:bCs/>
        </w:rPr>
      </w:pPr>
      <w:r w:rsidRPr="00BA1532">
        <w:rPr>
          <w:b/>
          <w:bCs/>
        </w:rPr>
        <w:t>K bodu 8</w:t>
      </w:r>
    </w:p>
    <w:p w:rsidR="00BA1532" w:rsidRPr="00BA1532" w:rsidRDefault="00BA1532" w:rsidP="00BA1532">
      <w:pPr>
        <w:jc w:val="both"/>
        <w:rPr>
          <w:bCs/>
        </w:rPr>
      </w:pPr>
      <w:r w:rsidRPr="00BA1532">
        <w:rPr>
          <w:b/>
          <w:bCs/>
        </w:rPr>
        <w:tab/>
      </w:r>
      <w:r w:rsidRPr="00BA1532">
        <w:rPr>
          <w:bCs/>
        </w:rPr>
        <w:t>Stanovuje sa a dopĺňa sa množstvo bezdymového tabakového výrobku a výrobku súvisiaceho s tabakovými výrobkami, na ktoré sa nevzťahuje povinnosť označovania kontrolnou známkou, ak je zaslané fyzickou osobou z tretích štátov fyzickej osobe na daňové územie v príležitostných malých zásielkach neobchodného charakteru a je určené na jej osobnú spotrebu.</w:t>
      </w:r>
    </w:p>
    <w:p w:rsidR="00BA1532" w:rsidRPr="00BA1532" w:rsidRDefault="00BA1532" w:rsidP="00BA1532">
      <w:pPr>
        <w:jc w:val="both"/>
        <w:rPr>
          <w:b/>
          <w:bCs/>
        </w:rPr>
      </w:pPr>
      <w:r w:rsidRPr="00BA1532">
        <w:rPr>
          <w:b/>
          <w:bCs/>
        </w:rPr>
        <w:lastRenderedPageBreak/>
        <w:t>K bodu 9</w:t>
      </w:r>
    </w:p>
    <w:p w:rsidR="00BA1532" w:rsidRPr="00BA1532" w:rsidRDefault="00BA1532" w:rsidP="00BA1532">
      <w:pPr>
        <w:jc w:val="both"/>
        <w:rPr>
          <w:bCs/>
        </w:rPr>
      </w:pPr>
      <w:r w:rsidRPr="00BA1532">
        <w:rPr>
          <w:bCs/>
        </w:rPr>
        <w:tab/>
        <w:t>Legislatívno-technická úprava súvisiaca s úpravou v § 4 odseku 8, a to rozšírenie predmetu dane o všetky neharmonizované predmety dane, ktorými sú tabaková surovina, bezdymový tabakový výrobok a výrobok súvisiaci s tabakovými výrobkami.</w:t>
      </w:r>
    </w:p>
    <w:p w:rsidR="00BA1532" w:rsidRPr="00BA1532" w:rsidRDefault="00BA1532" w:rsidP="00BA1532">
      <w:pPr>
        <w:jc w:val="both"/>
        <w:rPr>
          <w:bCs/>
        </w:rPr>
      </w:pPr>
    </w:p>
    <w:p w:rsidR="00BA1532" w:rsidRPr="00BA1532" w:rsidRDefault="00BA1532" w:rsidP="00BA1532">
      <w:pPr>
        <w:jc w:val="both"/>
        <w:rPr>
          <w:bCs/>
        </w:rPr>
      </w:pPr>
      <w:r w:rsidRPr="00BA1532">
        <w:rPr>
          <w:b/>
          <w:bCs/>
        </w:rPr>
        <w:t>K bodom 10 a 11</w:t>
      </w:r>
    </w:p>
    <w:p w:rsidR="00BA1532" w:rsidRPr="00BA1532" w:rsidRDefault="00BA1532" w:rsidP="00BA1532">
      <w:pPr>
        <w:jc w:val="both"/>
        <w:rPr>
          <w:bCs/>
          <w:shd w:val="clear" w:color="auto" w:fill="FFFFFF"/>
        </w:rPr>
      </w:pPr>
      <w:r w:rsidRPr="00BA1532">
        <w:rPr>
          <w:bCs/>
        </w:rPr>
        <w:tab/>
        <w:t>Požiadavka na legislatívnu zmenu vyplývajúca z aplikačnej praxe. V minulosti sa vyskytli prípady, keď sa tabaková surovina zničila držiteľom povolenia na obchodovanie s tabakovou surovinou ako oslobodená od dane, a to bez prítomnosti správcu dane, pričom toto nebolo možné overiť a tým existovalo riziko, že takáto surovina nebola v skutočnosti zničená. Doterajšie znenie zákona neumožňovalo vyrubenie dane zo zisteného chýbajúceho množstva tabakovej suroviny. Predmetná situácia vytvárala v aplikačnej praxi</w:t>
      </w:r>
      <w:r w:rsidRPr="00BA1532">
        <w:rPr>
          <w:bCs/>
          <w:shd w:val="clear" w:color="auto" w:fill="FFFFFF"/>
        </w:rPr>
        <w:t xml:space="preserve"> (aj vzhľadom na odhaľovanie nelegálnych výrobní tabakových výrobkov na daňovom území orgánmi finančnej správy) neželaný precedens, keďže chýbajúce množstvo nezdanenej tabakovej suroviny, ktorá sa na daňovom území preukázateľne nachádzala, mohla byť použitá na nelegálnu výrobu tabakových výrobkov.</w:t>
      </w:r>
    </w:p>
    <w:p w:rsidR="00BA1532" w:rsidRPr="00BA1532" w:rsidRDefault="00BA1532" w:rsidP="00BA1532">
      <w:pPr>
        <w:jc w:val="both"/>
        <w:rPr>
          <w:bCs/>
          <w:shd w:val="clear" w:color="auto" w:fill="FFFFFF"/>
        </w:rPr>
      </w:pPr>
    </w:p>
    <w:p w:rsidR="00BA1532" w:rsidRPr="00BA1532" w:rsidRDefault="00BA1532" w:rsidP="00BA1532">
      <w:pPr>
        <w:jc w:val="both"/>
        <w:rPr>
          <w:bCs/>
        </w:rPr>
      </w:pPr>
      <w:r w:rsidRPr="00BA1532">
        <w:rPr>
          <w:b/>
          <w:bCs/>
        </w:rPr>
        <w:t>K bodu 12</w:t>
      </w:r>
    </w:p>
    <w:p w:rsidR="00BA1532" w:rsidRPr="00BA1532" w:rsidRDefault="00BA1532" w:rsidP="00BA1532">
      <w:pPr>
        <w:ind w:firstLine="708"/>
        <w:jc w:val="both"/>
        <w:rPr>
          <w:bCs/>
        </w:rPr>
      </w:pPr>
      <w:r w:rsidRPr="00BA1532">
        <w:rPr>
          <w:bCs/>
        </w:rPr>
        <w:t>Legislatívno-technická úprava súvisiaca s tým, že v nie každom členskom štáte Európskej únie je tabaková surovina predmetom dane.</w:t>
      </w:r>
    </w:p>
    <w:p w:rsidR="00BA1532" w:rsidRPr="00BA1532" w:rsidRDefault="00BA1532" w:rsidP="00BA1532">
      <w:pPr>
        <w:jc w:val="both"/>
        <w:rPr>
          <w:bCs/>
        </w:rPr>
      </w:pPr>
    </w:p>
    <w:p w:rsidR="00BA1532" w:rsidRPr="00BA1532" w:rsidRDefault="00BA1532" w:rsidP="00BA1532">
      <w:pPr>
        <w:jc w:val="both"/>
        <w:rPr>
          <w:bCs/>
        </w:rPr>
      </w:pPr>
      <w:r w:rsidRPr="00BA1532">
        <w:rPr>
          <w:b/>
          <w:bCs/>
        </w:rPr>
        <w:t>K bodu 13</w:t>
      </w:r>
    </w:p>
    <w:p w:rsidR="00BA1532" w:rsidRPr="00BA1532" w:rsidRDefault="00BA1532" w:rsidP="00BA1532">
      <w:pPr>
        <w:ind w:firstLine="708"/>
        <w:jc w:val="both"/>
        <w:rPr>
          <w:bCs/>
        </w:rPr>
      </w:pPr>
      <w:r w:rsidRPr="00BA1532">
        <w:rPr>
          <w:bCs/>
        </w:rPr>
        <w:t>Legislatívno-technická úprava ustanovenia.</w:t>
      </w:r>
    </w:p>
    <w:p w:rsidR="00BA1532" w:rsidRPr="00BA1532" w:rsidRDefault="00BA1532" w:rsidP="00BA1532">
      <w:pPr>
        <w:jc w:val="both"/>
        <w:rPr>
          <w:bCs/>
        </w:rPr>
      </w:pPr>
    </w:p>
    <w:p w:rsidR="00BA1532" w:rsidRPr="00BA1532" w:rsidRDefault="00BA1532" w:rsidP="00BA1532">
      <w:pPr>
        <w:jc w:val="both"/>
        <w:rPr>
          <w:bCs/>
        </w:rPr>
      </w:pPr>
      <w:r w:rsidRPr="00BA1532">
        <w:rPr>
          <w:b/>
          <w:bCs/>
        </w:rPr>
        <w:t>K bodom 14 a 15</w:t>
      </w:r>
    </w:p>
    <w:p w:rsidR="00BA1532" w:rsidRPr="00BA1532" w:rsidRDefault="00BA1532" w:rsidP="00BA1532">
      <w:pPr>
        <w:jc w:val="both"/>
        <w:rPr>
          <w:bCs/>
        </w:rPr>
      </w:pPr>
      <w:r w:rsidRPr="00BA1532">
        <w:rPr>
          <w:bCs/>
        </w:rPr>
        <w:tab/>
      </w:r>
      <w:r w:rsidRPr="00BA1532">
        <w:rPr>
          <w:color w:val="000000"/>
        </w:rPr>
        <w:t xml:space="preserve">Rozšírenie predmetu dane o výrobky súvisiace s tabakovými výrobkami je neharmonizovaná úprava. Spotreba týchto tzv. nových, inovatívnych, výrobkov každým rokom na našom daňovom území narastá, pričom alarmujúcim faktom je, že je tomu tak v čoraz mladších vekových skupinách. Ich narastajúca spotreba znamená, že sa stávajú </w:t>
      </w:r>
      <w:proofErr w:type="spellStart"/>
      <w:r w:rsidRPr="00BA1532">
        <w:rPr>
          <w:color w:val="000000"/>
        </w:rPr>
        <w:t>substitútmi</w:t>
      </w:r>
      <w:proofErr w:type="spellEnd"/>
      <w:r w:rsidRPr="00BA1532">
        <w:rPr>
          <w:color w:val="000000"/>
        </w:rPr>
        <w:t xml:space="preserve"> klasických tabakových výrobkov. Užívanie týchto produktov nie je často spojené s vedomím potencionálne existujúcich zdravotných rizík v širokej verejnosti. Obaly týchto produktov môžu byť niekedy ľahko zameniteľné s produktami ako napr. žuvačky. Ochutené príchute takýchto výrobkov sú pre podstatnú časť užívateľov atraktívnym a rozhodujúcim faktorom pre ich užívanie.</w:t>
      </w:r>
      <w:r w:rsidRPr="00BA1532">
        <w:rPr>
          <w:bCs/>
        </w:rPr>
        <w:t xml:space="preserve"> Navrhovaná úprava vzhľadom na uvedené, zavádza</w:t>
      </w:r>
      <w:r w:rsidRPr="00BA1532">
        <w:rPr>
          <w:color w:val="000000"/>
        </w:rPr>
        <w:t xml:space="preserve"> kontrolu pohybu výrobkov súvisiacich s tabakovými výrobkami a bezdymových tabakových výrobkov</w:t>
      </w:r>
      <w:r w:rsidRPr="00BA1532">
        <w:rPr>
          <w:bCs/>
        </w:rPr>
        <w:t xml:space="preserve"> prostredníctvom systému povolení na obchodovanie</w:t>
      </w:r>
      <w:r w:rsidRPr="00BA1532">
        <w:rPr>
          <w:color w:val="000000"/>
        </w:rPr>
        <w:t>, resp. evidencii obchodníkov – predajcov a distribútorov – platiteľov dane</w:t>
      </w:r>
      <w:r w:rsidRPr="00BA1532">
        <w:rPr>
          <w:bCs/>
        </w:rPr>
        <w:t xml:space="preserve"> s bezdymovým tabakovým výrobkom a výrobkom súvisiacim s tabakovými výrobkami (ktorým sa rozumie náplň do elektronickej cigarety,</w:t>
      </w:r>
      <w:r w:rsidRPr="00BA1532">
        <w:rPr>
          <w:rFonts w:ascii="Times" w:hAnsi="Times" w:cs="Times"/>
        </w:rPr>
        <w:t xml:space="preserve"> vrátane jednorazovej elektronickej cigarety</w:t>
      </w:r>
      <w:r w:rsidRPr="00BA1532">
        <w:rPr>
          <w:bCs/>
        </w:rPr>
        <w:t>, nikotínové vrecúško alebo iný nikotínový výrobok). Súčasťou navrhovaných ustanovení je definícia bezdymového tabakového výrobku a výrobku súvisiaceho s tabakovými výrobkami na účely zákona o spotrebnej dani z tabakových výrobkov a zároveň ustanovenie toho, čo sa za bezdymový tabakový výrobok nepovažuje. O povolenie na obchodovanie alebo o povolenie na distribúciu s týmito výrobkami, ak sú určené na účely podľa osobitného predpisu (z</w:t>
      </w:r>
      <w:r w:rsidRPr="00BA1532">
        <w:rPr>
          <w:color w:val="000000"/>
        </w:rPr>
        <w:t>ákon o liekoch a zdravotníckych pomôckach</w:t>
      </w:r>
      <w:r w:rsidRPr="00BA1532">
        <w:rPr>
          <w:bCs/>
        </w:rPr>
        <w:t xml:space="preserve">, ako napr. nikotínové žuvačky alebo nikotínové </w:t>
      </w:r>
      <w:proofErr w:type="spellStart"/>
      <w:r w:rsidRPr="00BA1532">
        <w:rPr>
          <w:bCs/>
        </w:rPr>
        <w:t>náplaste</w:t>
      </w:r>
      <w:proofErr w:type="spellEnd"/>
      <w:r w:rsidRPr="00BA1532">
        <w:rPr>
          <w:bCs/>
        </w:rPr>
        <w:t>, nebude povinná požiadať napr. lekáreň. Zavádza sa pojem obchodovanie s bezdymovým tabakovým výrobkom, resp. s výrobkom súvisiacim s tabakovými výrobkami, predaj prostredníctvom prostriedkov komunikácie na diaľku a  čo sa považuje za distribúciu bezdymového tabakového výrobku a distribúciu výrobku súvisiaceho s tabakovými výrobkami.</w:t>
      </w:r>
    </w:p>
    <w:p w:rsidR="00BA1532" w:rsidRPr="00BA1532" w:rsidRDefault="00BA1532" w:rsidP="00BA1532">
      <w:pPr>
        <w:ind w:firstLine="708"/>
        <w:jc w:val="both"/>
        <w:rPr>
          <w:bCs/>
        </w:rPr>
      </w:pPr>
      <w:r w:rsidRPr="00BA1532">
        <w:rPr>
          <w:bCs/>
        </w:rPr>
        <w:lastRenderedPageBreak/>
        <w:t xml:space="preserve"> Ustanovenia stanovujú náležitosti žiadosti o povolenie na obchodovanie a povolenie na distribúciu, prílohu k žiadosti a aké podmienky má spĺňať žiadateľ o vydanie povolenia. </w:t>
      </w:r>
    </w:p>
    <w:p w:rsidR="00BA1532" w:rsidRPr="00BA1532" w:rsidRDefault="00BA1532" w:rsidP="00BA1532">
      <w:pPr>
        <w:ind w:firstLine="708"/>
        <w:jc w:val="both"/>
        <w:rPr>
          <w:bCs/>
        </w:rPr>
      </w:pPr>
      <w:r w:rsidRPr="00BA1532">
        <w:rPr>
          <w:bCs/>
        </w:rPr>
        <w:t xml:space="preserve">V prípade, že žiadateľ je už v zmysle zákona registrovaný alebo evidovaný ako daňový subjekt a je teda pod dohľadom a správou colného úradu, podá si len žiadosť, pričom k žiadosti nemusí priložiť prílohu a ani dokladovanie podmienok stanovených zákonom pre tento druh evidencie. Ak žiadateľ žiada o povolenie na obchodovanie s bezdymovým tabakovým výrobkom a zároveň aj o povolenie na obchodovanie s výrobkom súvisiacim s tabakovými výrobkami (čo platí rovnako aj pre povolenie na distribúciu), podá si dve žiadosti, avšak prílohu k žiadosti a dokladovanie splnenia zákonom stanovených podmienok dokladuje len raz. </w:t>
      </w:r>
      <w:r w:rsidRPr="00BA1532">
        <w:rPr>
          <w:rFonts w:ascii="Times" w:hAnsi="Times" w:cs="Times"/>
          <w:bCs/>
        </w:rPr>
        <w:t>Ak osoba, ktorá chce v rámci podnikania na daňovom území obchodovať s bezdymovým tabakovým výrobkom alebo obchodovať s výrobkom súvisiacim s tabakovými výrobkami, má nejaké prevádzkarne, kde sa budú tieto výrobky predávať na konečnú spotrebu alebo skladovať, zaregistruje ich všetky jednou podanou žiadosťou a rovnako tak plní za tieto všetky prevádzkarne aj oznamovacie povinnosti. Ak ide o samostatné právnické osoby, žiadosť sa podáva za každú z nich samostatne. Rovnaký postup sa uplatní aj pri žiadosti o distribúciu bezdymového tabakového výrobku alebo pri žiadosti o distribúciu výrobku súvisiaceho s tabakovými výrobkami.</w:t>
      </w:r>
    </w:p>
    <w:p w:rsidR="00BA1532" w:rsidRPr="00BA1532" w:rsidRDefault="00BA1532" w:rsidP="00BA1532">
      <w:pPr>
        <w:ind w:firstLine="708"/>
        <w:jc w:val="both"/>
        <w:rPr>
          <w:bCs/>
        </w:rPr>
      </w:pPr>
      <w:r w:rsidRPr="00BA1532">
        <w:rPr>
          <w:bCs/>
        </w:rPr>
        <w:t>Ustanovenia upravujú aj oznamovaciu povinnosť, zánik a odňatie povolenia na obchodovanie a distribúciu, povinnosti distribútora, základ a sadzbu dane bezdymového tabakového výrobku a výrobku súvisiaceho s tabakovými výrobkami, vznik daňovej povinnosti a platiteľa dane, podanie daňového priznania, vrátenie dane, oslobodenie od dane a dovoz. Tieto inštitúty vychádzajú z obdobných inštitútov používaných pri správe klasických tabakových výrobkov z dôvodu, že sú zaužívané a daňovým subjektom známe.</w:t>
      </w:r>
    </w:p>
    <w:p w:rsidR="00BA1532" w:rsidRPr="00BA1532" w:rsidRDefault="00BA1532" w:rsidP="00BA1532">
      <w:pPr>
        <w:jc w:val="both"/>
        <w:rPr>
          <w:bCs/>
        </w:rPr>
      </w:pPr>
      <w:r w:rsidRPr="00BA1532">
        <w:rPr>
          <w:bCs/>
        </w:rPr>
        <w:tab/>
        <w:t>Navrhuje sa tiež ustanoviť sadzbu dane z bezdymového tabakového výrobku k 1. februáru 2028 a sadzbu dane z bezdymového tabakového výrobku, ktorým je žuvací tabak a šnupavý tabak, k 1. februáru 2027. Súčasne sa navrhuje zaviesť aj sadzbu dane pre výrobky súvisiace s tabakovými výrobkami k 1. februáru 2027 ako súčasť daňového kalendára.</w:t>
      </w:r>
    </w:p>
    <w:p w:rsidR="00BA1532" w:rsidRPr="00BA1532" w:rsidRDefault="00BA1532" w:rsidP="00BA1532">
      <w:pPr>
        <w:jc w:val="both"/>
        <w:rPr>
          <w:bCs/>
        </w:rPr>
      </w:pPr>
    </w:p>
    <w:p w:rsidR="00BA1532" w:rsidRPr="00BA1532" w:rsidRDefault="00BA1532" w:rsidP="00BA1532">
      <w:pPr>
        <w:jc w:val="both"/>
        <w:rPr>
          <w:b/>
          <w:bCs/>
        </w:rPr>
      </w:pPr>
      <w:r w:rsidRPr="00BA1532">
        <w:rPr>
          <w:b/>
          <w:bCs/>
        </w:rPr>
        <w:t>K bodu 16</w:t>
      </w:r>
    </w:p>
    <w:p w:rsidR="00BA1532" w:rsidRPr="00BA1532" w:rsidRDefault="00BA1532" w:rsidP="00BA1532">
      <w:pPr>
        <w:jc w:val="both"/>
        <w:rPr>
          <w:bCs/>
        </w:rPr>
      </w:pPr>
      <w:r w:rsidRPr="00BA1532">
        <w:rPr>
          <w:bCs/>
        </w:rPr>
        <w:tab/>
        <w:t>Zosúladenie ustanovenia s rovnakým ustanovením v ostatných zákonoch o spotrebných daniach. Navrhuje sa upraviť zánik povolenia doplnením, že povolenie prijímať tabakové výrobky z iného členského štátu v pozastavení dane zaniká, ak oprávnený príjemca prijme celé množstvo tabakových výrobkov, ktoré má uvedené v povolení prijímať tabakové výrobky z iného členského štátu v pozastavení dane.</w:t>
      </w:r>
    </w:p>
    <w:p w:rsidR="00BA1532" w:rsidRPr="00BA1532" w:rsidRDefault="00BA1532" w:rsidP="00BA1532">
      <w:pPr>
        <w:jc w:val="both"/>
        <w:rPr>
          <w:b/>
          <w:bCs/>
        </w:rPr>
      </w:pPr>
    </w:p>
    <w:p w:rsidR="00BA1532" w:rsidRPr="00BA1532" w:rsidRDefault="00BA1532" w:rsidP="00BA1532">
      <w:pPr>
        <w:jc w:val="both"/>
        <w:rPr>
          <w:b/>
          <w:bCs/>
        </w:rPr>
      </w:pPr>
      <w:r w:rsidRPr="00BA1532">
        <w:rPr>
          <w:b/>
          <w:bCs/>
        </w:rPr>
        <w:t>K bodom 17 až 19</w:t>
      </w:r>
    </w:p>
    <w:p w:rsidR="00BA1532" w:rsidRPr="00BA1532" w:rsidRDefault="00BA1532" w:rsidP="00BA1532">
      <w:pPr>
        <w:jc w:val="both"/>
        <w:rPr>
          <w:bCs/>
        </w:rPr>
      </w:pPr>
      <w:r w:rsidRPr="00BA1532">
        <w:rPr>
          <w:b/>
          <w:bCs/>
        </w:rPr>
        <w:tab/>
      </w:r>
      <w:proofErr w:type="spellStart"/>
      <w:r w:rsidRPr="00BA1532">
        <w:rPr>
          <w:bCs/>
        </w:rPr>
        <w:t>Legislatívno</w:t>
      </w:r>
      <w:proofErr w:type="spellEnd"/>
      <w:r w:rsidRPr="00BA1532">
        <w:rPr>
          <w:bCs/>
        </w:rPr>
        <w:t xml:space="preserve"> – technická úprava súvisiaca s novým predmetom dane – výrobkom súvisiacim s tabakovými výrobkami.</w:t>
      </w:r>
    </w:p>
    <w:p w:rsidR="00BA1532" w:rsidRPr="00BA1532" w:rsidRDefault="00BA1532" w:rsidP="00BA1532">
      <w:pPr>
        <w:jc w:val="both"/>
        <w:rPr>
          <w:bCs/>
        </w:rPr>
      </w:pPr>
    </w:p>
    <w:p w:rsidR="00BA1532" w:rsidRPr="00BA1532" w:rsidRDefault="00BA1532" w:rsidP="00BA1532">
      <w:pPr>
        <w:jc w:val="both"/>
        <w:rPr>
          <w:b/>
          <w:bCs/>
        </w:rPr>
      </w:pPr>
      <w:r w:rsidRPr="00BA1532">
        <w:rPr>
          <w:b/>
          <w:bCs/>
        </w:rPr>
        <w:t>K bodom 20 a 21</w:t>
      </w:r>
    </w:p>
    <w:p w:rsidR="00BA1532" w:rsidRPr="00BA1532" w:rsidRDefault="00BA1532" w:rsidP="00BA1532">
      <w:pPr>
        <w:jc w:val="both"/>
        <w:rPr>
          <w:bCs/>
        </w:rPr>
      </w:pPr>
      <w:r w:rsidRPr="00BA1532">
        <w:rPr>
          <w:b/>
          <w:bCs/>
        </w:rPr>
        <w:tab/>
      </w:r>
      <w:r w:rsidRPr="00BA1532">
        <w:rPr>
          <w:bCs/>
        </w:rPr>
        <w:t>Legislatívno-technická úprava súvisiaca s novým systémom povolení na obchodovanie a distribúciu bezdymového tabakového výrobku a výrobku súvisiaceho s tabakovými výrobkami.</w:t>
      </w:r>
    </w:p>
    <w:p w:rsidR="00BA1532" w:rsidRPr="00BA1532" w:rsidRDefault="00BA1532" w:rsidP="00BA1532">
      <w:pPr>
        <w:jc w:val="both"/>
        <w:rPr>
          <w:bCs/>
        </w:rPr>
      </w:pPr>
    </w:p>
    <w:p w:rsidR="00BA1532" w:rsidRPr="00BA1532" w:rsidRDefault="00BA1532" w:rsidP="00BA1532">
      <w:pPr>
        <w:jc w:val="both"/>
        <w:rPr>
          <w:b/>
          <w:bCs/>
        </w:rPr>
      </w:pPr>
      <w:r w:rsidRPr="00BA1532">
        <w:rPr>
          <w:b/>
          <w:bCs/>
        </w:rPr>
        <w:t>K bodu 22</w:t>
      </w:r>
    </w:p>
    <w:p w:rsidR="00BA1532" w:rsidRPr="00BA1532" w:rsidRDefault="00BA1532" w:rsidP="00BA1532">
      <w:pPr>
        <w:jc w:val="both"/>
        <w:rPr>
          <w:bCs/>
        </w:rPr>
      </w:pPr>
      <w:r w:rsidRPr="00BA1532">
        <w:rPr>
          <w:b/>
          <w:bCs/>
        </w:rPr>
        <w:tab/>
      </w:r>
      <w:r w:rsidRPr="00BA1532">
        <w:rPr>
          <w:bCs/>
        </w:rPr>
        <w:t xml:space="preserve">V súvislosti so zavádzanou úpravou je nutné upraviť aj skutkovú podstatu správneho deliktu za porušenie zákazu predaja bezdymového tabakového výrobku alebo výrobku súvisiaceho s tabakovými výrobkami za cenu nižšiu ako je výška dane pripadajúca na množstvo základu dane v takom výrobku predávanom na konečnú spotrebu a dane z pridanej hodnoty </w:t>
      </w:r>
      <w:r w:rsidRPr="00BA1532">
        <w:rPr>
          <w:bCs/>
        </w:rPr>
        <w:lastRenderedPageBreak/>
        <w:t>pripadajúcej na toto množstvo základu dane, podmienky kúpy podobného výrobku alebo iného tovaru alebo z otvoreného spotrebiteľského balenia alebo mimo tohto balenia po kusoch.</w:t>
      </w:r>
    </w:p>
    <w:p w:rsidR="00BA1532" w:rsidRPr="00BA1532" w:rsidRDefault="00BA1532" w:rsidP="00BA1532">
      <w:pPr>
        <w:jc w:val="both"/>
        <w:rPr>
          <w:bCs/>
        </w:rPr>
      </w:pPr>
    </w:p>
    <w:p w:rsidR="00BA1532" w:rsidRPr="00BA1532" w:rsidRDefault="00BA1532" w:rsidP="00BA1532">
      <w:pPr>
        <w:jc w:val="both"/>
        <w:rPr>
          <w:b/>
          <w:bCs/>
        </w:rPr>
      </w:pPr>
      <w:r w:rsidRPr="00BA1532">
        <w:rPr>
          <w:b/>
          <w:bCs/>
        </w:rPr>
        <w:t>K bodom 23 a 24</w:t>
      </w:r>
    </w:p>
    <w:p w:rsidR="00BA1532" w:rsidRPr="00BA1532" w:rsidRDefault="00BA1532" w:rsidP="00BA1532">
      <w:pPr>
        <w:jc w:val="both"/>
        <w:rPr>
          <w:bCs/>
        </w:rPr>
      </w:pPr>
      <w:r w:rsidRPr="00BA1532">
        <w:rPr>
          <w:b/>
          <w:bCs/>
        </w:rPr>
        <w:tab/>
      </w:r>
      <w:r w:rsidRPr="00BA1532">
        <w:rPr>
          <w:bCs/>
        </w:rPr>
        <w:t>Zavádza sa nová skutková podstata, správny delikt a sankcia až do výšky 50 000 eur za obchodovanie alebo distribúciu bezdymového tabakového výrobku a výrobku súvisiaceho s tabakovými výrobkami bez povolenia na obchodovanie alebo bez povolenie na distribúciu.</w:t>
      </w:r>
    </w:p>
    <w:p w:rsidR="00BA1532" w:rsidRPr="00BA1532" w:rsidRDefault="00BA1532" w:rsidP="00BA1532">
      <w:pPr>
        <w:jc w:val="both"/>
        <w:rPr>
          <w:bCs/>
        </w:rPr>
      </w:pPr>
    </w:p>
    <w:p w:rsidR="00BA1532" w:rsidRPr="00BA1532" w:rsidRDefault="00BA1532" w:rsidP="00BA1532">
      <w:pPr>
        <w:jc w:val="both"/>
        <w:rPr>
          <w:b/>
          <w:bCs/>
        </w:rPr>
      </w:pPr>
      <w:r w:rsidRPr="00BA1532">
        <w:rPr>
          <w:b/>
          <w:bCs/>
        </w:rPr>
        <w:t>K bodu 25</w:t>
      </w:r>
    </w:p>
    <w:p w:rsidR="00BA1532" w:rsidRPr="00BA1532" w:rsidRDefault="00BA1532" w:rsidP="00BA1532">
      <w:pPr>
        <w:ind w:firstLine="708"/>
        <w:jc w:val="both"/>
        <w:rPr>
          <w:b/>
          <w:bCs/>
        </w:rPr>
      </w:pPr>
      <w:r w:rsidRPr="00BA1532">
        <w:rPr>
          <w:bCs/>
        </w:rPr>
        <w:t>V súvislosti so zavádzanou úpravou je nutné upraviť aj skutkovú podstatu priestupku za použitie bezdymového tabakového výrobku alebo výrobku súvisiaceho s tabakovými výrobkami oslobodeného od dane v rámci neobchodného dovozu na daňové územie z územia tretích štátov a prepravy z iného členského štátu na daňové územie fyzickou osobou na svoju osobnú spotrebu na iný ako určený účel.</w:t>
      </w:r>
    </w:p>
    <w:p w:rsidR="00BA1532" w:rsidRPr="00BA1532" w:rsidRDefault="00BA1532" w:rsidP="00BA1532">
      <w:pPr>
        <w:jc w:val="both"/>
        <w:rPr>
          <w:b/>
          <w:bCs/>
        </w:rPr>
      </w:pPr>
    </w:p>
    <w:p w:rsidR="00BA1532" w:rsidRPr="00BA1532" w:rsidRDefault="00BA1532" w:rsidP="00BA1532">
      <w:pPr>
        <w:jc w:val="both"/>
        <w:rPr>
          <w:b/>
          <w:bCs/>
        </w:rPr>
      </w:pPr>
      <w:r w:rsidRPr="00BA1532">
        <w:rPr>
          <w:b/>
          <w:bCs/>
        </w:rPr>
        <w:t>K bodu 26</w:t>
      </w:r>
    </w:p>
    <w:p w:rsidR="00BA1532" w:rsidRPr="00BA1532" w:rsidRDefault="00BA1532" w:rsidP="00BA1532">
      <w:pPr>
        <w:ind w:firstLine="708"/>
        <w:jc w:val="both"/>
        <w:rPr>
          <w:b/>
          <w:bCs/>
        </w:rPr>
      </w:pPr>
      <w:proofErr w:type="spellStart"/>
      <w:r w:rsidRPr="00BA1532">
        <w:rPr>
          <w:bCs/>
        </w:rPr>
        <w:t>Legislatívno</w:t>
      </w:r>
      <w:proofErr w:type="spellEnd"/>
      <w:r w:rsidRPr="00BA1532">
        <w:rPr>
          <w:bCs/>
        </w:rPr>
        <w:t xml:space="preserve"> – technická úprava súvisiaca s novou úpravou,  týkajúca sa postupu colného úradu pri zaradení do evidencie, na ktorý sa použijú ustanovenia osobitného predpisu o registračnom konaní.</w:t>
      </w:r>
    </w:p>
    <w:p w:rsidR="00BA1532" w:rsidRPr="00BA1532" w:rsidRDefault="00BA1532" w:rsidP="00BA1532">
      <w:pPr>
        <w:jc w:val="both"/>
        <w:rPr>
          <w:b/>
          <w:bCs/>
        </w:rPr>
      </w:pPr>
    </w:p>
    <w:p w:rsidR="00BA1532" w:rsidRPr="00BA1532" w:rsidRDefault="00BA1532" w:rsidP="00BA1532">
      <w:pPr>
        <w:jc w:val="both"/>
        <w:rPr>
          <w:b/>
          <w:bCs/>
        </w:rPr>
      </w:pPr>
      <w:r w:rsidRPr="00BA1532">
        <w:rPr>
          <w:b/>
          <w:bCs/>
        </w:rPr>
        <w:t>K bodu 27</w:t>
      </w:r>
    </w:p>
    <w:p w:rsidR="00BA1532" w:rsidRPr="00BA1532" w:rsidRDefault="00BA1532" w:rsidP="00BA1532">
      <w:pPr>
        <w:jc w:val="both"/>
        <w:rPr>
          <w:bCs/>
        </w:rPr>
      </w:pPr>
      <w:r w:rsidRPr="00BA1532">
        <w:rPr>
          <w:b/>
          <w:bCs/>
        </w:rPr>
        <w:tab/>
      </w:r>
      <w:r w:rsidRPr="00BA1532">
        <w:rPr>
          <w:bCs/>
        </w:rPr>
        <w:t>Ustanovenie, ktoré upravuje, proti akým rozhodnutiam colného úradu nemožno podať odvolanie sa rozširuje o vydanie povolenia na obchodovanie s bezdymovým tabakovým výrobkom aj výrobkom súvisiacim s tabakovými výrobkami a aj o povolenia na distribúciu bezdymového tabakového výrobku a povolenie na distribúciu výrobku súvisiaceho s tabakovými výrobkami.</w:t>
      </w:r>
    </w:p>
    <w:p w:rsidR="00BA1532" w:rsidRPr="00BA1532" w:rsidRDefault="00BA1532" w:rsidP="00BA1532">
      <w:pPr>
        <w:autoSpaceDE w:val="0"/>
        <w:autoSpaceDN w:val="0"/>
        <w:adjustRightInd w:val="0"/>
        <w:jc w:val="both"/>
        <w:rPr>
          <w:b/>
          <w:bCs/>
        </w:rPr>
      </w:pPr>
    </w:p>
    <w:p w:rsidR="00BA1532" w:rsidRPr="00BA1532" w:rsidRDefault="00BA1532" w:rsidP="00BA1532">
      <w:pPr>
        <w:autoSpaceDE w:val="0"/>
        <w:autoSpaceDN w:val="0"/>
        <w:adjustRightInd w:val="0"/>
        <w:jc w:val="both"/>
        <w:rPr>
          <w:b/>
          <w:bCs/>
        </w:rPr>
      </w:pPr>
      <w:r w:rsidRPr="00BA1532">
        <w:rPr>
          <w:b/>
          <w:bCs/>
        </w:rPr>
        <w:t>K bodu 28</w:t>
      </w:r>
    </w:p>
    <w:p w:rsidR="00BA1532" w:rsidRPr="00BA1532" w:rsidRDefault="00BA1532" w:rsidP="00BA1532">
      <w:pPr>
        <w:ind w:firstLine="708"/>
        <w:jc w:val="both"/>
        <w:rPr>
          <w:color w:val="000000"/>
        </w:rPr>
      </w:pPr>
      <w:r w:rsidRPr="00BA1532">
        <w:rPr>
          <w:bCs/>
        </w:rPr>
        <w:t>V súvislosti s navrhovanými zmenami sa upravujú prechodné ustanovenia. V záujme toho</w:t>
      </w:r>
      <w:r w:rsidRPr="00BA1532">
        <w:rPr>
          <w:color w:val="000000"/>
        </w:rPr>
        <w:t>, aby bol vytvorený dostatočný časový rámec tak pre colné úrady, ako aj pre podnikateľov obchodujúcich s bezdymovým tabakovým výrobkom alebo s výrobkom súvisiacim s tabakovými výrobkami, ktorí budú naďalej chcieť obchodovať s predmetnými výrobkami, resp. distribuovať tieto výrobky už od 1. februára 2025, požiadať do 31. decembra  colný úrad o vydanie povolenia.</w:t>
      </w:r>
    </w:p>
    <w:p w:rsidR="00BA1532" w:rsidRPr="00BA1532" w:rsidRDefault="00BA1532" w:rsidP="00BA1532">
      <w:pPr>
        <w:ind w:firstLine="708"/>
        <w:jc w:val="both"/>
        <w:rPr>
          <w:color w:val="000000"/>
        </w:rPr>
      </w:pPr>
      <w:r w:rsidRPr="00BA1532">
        <w:rPr>
          <w:bCs/>
        </w:rPr>
        <w:t xml:space="preserve">V prípade, že žiadateľ je už v zmysle zákona registrovaný alebo evidovaný ako daňový subjekt a je teda pod dohľadom a správou colného úradu, podá si len žiadosť, pričom k žiadosti nemusí priložiť prílohu a ani dokladovanie podmienok stanovených zákonom pre tento druh evidencie. Ak žiadateľ žiada o povolenie na obchodovanie s bezdymovým tabakovým výrobkom a zároveň aj o povolenie na obchodovanie s výrobkom súvisiacim s tabakovými výrobkami (čo platí rovnako aj pre povolenie na distribúciu), podá si dve žiadosti, avšak prílohu k žiadosti a dokladovanie splnenia zákonom stanovených podmienok dokladuje len raz. </w:t>
      </w:r>
      <w:r w:rsidRPr="00BA1532">
        <w:rPr>
          <w:rFonts w:ascii="Times" w:hAnsi="Times" w:cs="Times"/>
          <w:bCs/>
        </w:rPr>
        <w:t>Ak osoba, ktorá chce v rámci podnikania na daňovom území obchodovať s bezdymovým tabakovým výrobkom alebo obchodovať s výrobkom súvisiacim s tabakovými výrobkami, má nejaké prevádzkarne, kde sa budú tieto výrobky predávať na konečnú spotrebu alebo skladovať, zaregistruje ich všetky jednou podanou žiadosťou a rovnako tak plní za tieto všetky prevádzkarne aj oznamovacie povinnosti. Ak ide o samostatné právnické osoby, žiadosť sa podáva za každú z nich samostatne. Rovnaký postup sa uplatní aj pri žiadosti o distribúciu bezdymového tabakového výrobku alebo pri žiadosti o distribúciu výrobku súvisiaceho s tabakovými výrobkami.</w:t>
      </w:r>
    </w:p>
    <w:p w:rsidR="00BA1532" w:rsidRPr="00BA1532" w:rsidRDefault="00BA1532" w:rsidP="00BA1532">
      <w:pPr>
        <w:ind w:firstLine="708"/>
        <w:jc w:val="both"/>
        <w:rPr>
          <w:color w:val="000000"/>
        </w:rPr>
      </w:pPr>
      <w:r w:rsidRPr="00BA1532">
        <w:rPr>
          <w:color w:val="000000"/>
        </w:rPr>
        <w:lastRenderedPageBreak/>
        <w:t>Rovnako sa ustanovuje lehota na nahlásenie stavu zásob a presné označenie bezdymového tabakového výrobku, ktorým je žuvací tabak alebo šnupavý tabak a výrobku súvisiaceho s tabakovými výrobkami na sklade budúcim obchodníkom a distribútorom k 31. januáru 2025, a to v lehote do 15. februára 2025.</w:t>
      </w:r>
    </w:p>
    <w:p w:rsidR="00BA1532" w:rsidRPr="00BA1532" w:rsidRDefault="00BA1532" w:rsidP="00BA1532">
      <w:pPr>
        <w:ind w:firstLine="708"/>
        <w:jc w:val="both"/>
        <w:rPr>
          <w:color w:val="000000"/>
        </w:rPr>
      </w:pPr>
      <w:r w:rsidRPr="00BA1532">
        <w:rPr>
          <w:color w:val="000000"/>
        </w:rPr>
        <w:t>Lehota na dopredaj spotrebiteľského balenia bezdymového tabakového výrobku, ktorý pozostáva výlučne alebo čiastočne z inej náplne ako tabak, bezdymového tabakového výrobku ktorým je žuvací a šnupavý tabak a spotrebiteľského balenia výrobku súvisiaceho s tabakovými výrobkami neoznačených kontrolnou známkou a prijatých, dodaných alebo dovozených na daňové územie pred 1. februárom 2025 je do 30. júna 2025.</w:t>
      </w:r>
    </w:p>
    <w:p w:rsidR="00BA1532" w:rsidRPr="00BA1532" w:rsidRDefault="00BA1532" w:rsidP="00BA1532">
      <w:pPr>
        <w:ind w:firstLine="708"/>
        <w:jc w:val="both"/>
        <w:rPr>
          <w:bCs/>
        </w:rPr>
      </w:pPr>
      <w:r w:rsidRPr="00BA1532">
        <w:rPr>
          <w:bCs/>
        </w:rPr>
        <w:t>Súčasne sa k 1. februáru 2026 do 31. januára 2028 navrhuje upraviť sadzbu dane z tabaku, špecifickú časť kombinovanej sadzby dane z cigariet, minimálnu sadzbu dane z cigariet a  sadzbu dane z tabaku v bezdymovom tabakovom výrobku. K 1. februáru 2025 do 31. januára 2027 sa navrhuje zaviesť sadzbu dane pre náplň do elektronickej cigarety, nikotínového vrecúška a iného nikotínového výrobku a zároveň sa zavádza sadzba dane pre bezdymový tabakový výrobok, ktorým je žuvací tabak a šnupavý tabak.</w:t>
      </w:r>
    </w:p>
    <w:p w:rsidR="00BA1532" w:rsidRPr="00BA1532" w:rsidRDefault="00BA1532" w:rsidP="00BA1532">
      <w:pPr>
        <w:ind w:firstLine="708"/>
        <w:jc w:val="both"/>
        <w:rPr>
          <w:bCs/>
        </w:rPr>
      </w:pPr>
      <w:r w:rsidRPr="00BA1532">
        <w:rPr>
          <w:bCs/>
        </w:rPr>
        <w:t>Zároveň sa ustanovujú znaky pre príslušnú sadzbu dane a upravujú sa lehoty na dopredaj zdanených tabakových výrobkov a výrobkov súvisiacich s tabakovými výrobkami pri zmene sadzby dane.</w:t>
      </w:r>
    </w:p>
    <w:p w:rsidR="00BA1532" w:rsidRPr="00BA1532" w:rsidRDefault="00BA1532" w:rsidP="00BA1532">
      <w:pPr>
        <w:jc w:val="both"/>
        <w:rPr>
          <w:b/>
          <w:bCs/>
        </w:rPr>
      </w:pPr>
    </w:p>
    <w:p w:rsidR="00BA1532" w:rsidRPr="00BA1532" w:rsidRDefault="00BA1532" w:rsidP="00BA1532">
      <w:pPr>
        <w:jc w:val="both"/>
        <w:rPr>
          <w:b/>
          <w:bCs/>
        </w:rPr>
      </w:pPr>
      <w:r w:rsidRPr="00BA1532">
        <w:rPr>
          <w:b/>
          <w:bCs/>
        </w:rPr>
        <w:t>K článku II</w:t>
      </w:r>
    </w:p>
    <w:p w:rsidR="00BA1532" w:rsidRPr="00BA1532" w:rsidRDefault="00BA1532" w:rsidP="00BA1532">
      <w:pPr>
        <w:jc w:val="both"/>
      </w:pPr>
      <w:r w:rsidRPr="00BA1532">
        <w:t>Tento zákon nadobúda účinnosť 1. novembra 2024 okrem čl. I bodu 8, § 19aa ods. 1 až 34 prvej až tretej vety v bode 14 a § 19aa ods. 35 až 48 v bode 14, § 19ab ods. 1 až 30 prvej až tretej vety v bode 15 a § 19ab ods. 31 až 51 v bode 15, bodov 17 až 27, ktoré nadobúdajú účinnosť 1. februára 2025, § 19aa ods. 34 štvrtej až siedmej vety v bode 14 a § 19ab ods. 30 štvrtej až siedmej vety v bode 15, ktoré nadobúdajú účinnosť 1. januára 2026.</w:t>
      </w:r>
    </w:p>
    <w:p w:rsidR="00BA1532" w:rsidRPr="00BA1532" w:rsidRDefault="00BA1532" w:rsidP="00BA1532">
      <w:pPr>
        <w:jc w:val="both"/>
        <w:rPr>
          <w:color w:val="000000"/>
        </w:rPr>
      </w:pPr>
    </w:p>
    <w:p w:rsidR="00BA1532" w:rsidRPr="00BA1532" w:rsidRDefault="00BA1532" w:rsidP="00BA1532">
      <w:pPr>
        <w:jc w:val="both"/>
      </w:pPr>
      <w:r w:rsidRPr="00BA1532">
        <w:rPr>
          <w:color w:val="000000"/>
        </w:rPr>
        <w:t xml:space="preserve">Účinnosť ustanovení týkajúca sa neharmonizovaných predmetov zákona, ktorými sú bezdymový tabakový výrobok, vrátane žuvacieho tabaku a šnupavého tabaku, a výrobok súvisiaci s tabakovými výrobkami sa navrhuje 1. februára 2025 najmä z dôvodu </w:t>
      </w:r>
      <w:r w:rsidRPr="00BA1532">
        <w:t>jednotnej účinnosti sadzieb dane s tabakovými výrobkami, ktoré sa od roku 2017 upravujú vždy k 1. februáru navrhovaného obdobia prostredníctvom transparentného a predvídateľného  daňového kalendára. Zmena sadzieb k 1. februáru navrhovaného obdobia zabezpečí vyhnutie sa technickým a  administratívnym problémom na strane podnikateľskej verejnosti spojených so začiatkom kalendárneho roka. Pri diskusiách s podnikateľským subjektami v rámci legislatívneho procesu bola vznesená nutná potreba zákonnej úpravy týchto výrobkov tak, aby sadzba dane bola účinná rovnako ako tomu je pri tabakových výrobkoch. Úprava súvisiaca s centralizovaným colným konaním nadobudne účinnosť 1. januára 2026.</w:t>
      </w:r>
    </w:p>
    <w:p w:rsidR="00BA1532" w:rsidRPr="003B5134" w:rsidRDefault="00BA1532" w:rsidP="00BA1532">
      <w:pPr>
        <w:pStyle w:val="Zkladntext0"/>
        <w:jc w:val="both"/>
        <w:rPr>
          <w:rFonts w:ascii="Times New Roman" w:hAnsi="Times New Roman" w:cs="Times New Roman"/>
        </w:rPr>
      </w:pPr>
    </w:p>
    <w:p w:rsidR="00BA1532" w:rsidRPr="003B5134" w:rsidRDefault="00BA1532" w:rsidP="00BA1532">
      <w:pPr>
        <w:autoSpaceDE w:val="0"/>
        <w:autoSpaceDN w:val="0"/>
        <w:ind w:firstLine="567"/>
        <w:jc w:val="both"/>
        <w:rPr>
          <w:color w:val="000000"/>
        </w:rPr>
      </w:pPr>
      <w:r w:rsidRPr="003B5134">
        <w:rPr>
          <w:color w:val="000000"/>
        </w:rPr>
        <w:t>Schválené vl</w:t>
      </w:r>
      <w:r>
        <w:rPr>
          <w:color w:val="000000"/>
        </w:rPr>
        <w:t>ádou Slovenskej republiky dňa 22</w:t>
      </w:r>
      <w:r w:rsidRPr="003B5134">
        <w:rPr>
          <w:color w:val="000000"/>
        </w:rPr>
        <w:t xml:space="preserve">. </w:t>
      </w:r>
      <w:r>
        <w:rPr>
          <w:color w:val="000000"/>
        </w:rPr>
        <w:t>mája 2024</w:t>
      </w:r>
      <w:r w:rsidRPr="003B5134">
        <w:rPr>
          <w:color w:val="000000"/>
        </w:rPr>
        <w:t>.</w:t>
      </w:r>
    </w:p>
    <w:p w:rsidR="00BA1532" w:rsidRPr="003B5134" w:rsidRDefault="00BA1532" w:rsidP="00BA1532">
      <w:pPr>
        <w:autoSpaceDE w:val="0"/>
        <w:autoSpaceDN w:val="0"/>
        <w:rPr>
          <w:color w:val="000000"/>
        </w:rPr>
      </w:pPr>
    </w:p>
    <w:p w:rsidR="00BA1532" w:rsidRDefault="00BA1532" w:rsidP="00BA1532">
      <w:pPr>
        <w:autoSpaceDE w:val="0"/>
        <w:autoSpaceDN w:val="0"/>
        <w:rPr>
          <w:color w:val="000000"/>
        </w:rPr>
      </w:pPr>
    </w:p>
    <w:p w:rsidR="00BA1532" w:rsidRPr="003B5134" w:rsidRDefault="00BA1532" w:rsidP="00BA1532">
      <w:pPr>
        <w:autoSpaceDE w:val="0"/>
        <w:autoSpaceDN w:val="0"/>
        <w:rPr>
          <w:color w:val="000000"/>
        </w:rPr>
      </w:pPr>
    </w:p>
    <w:p w:rsidR="00BA1532" w:rsidRPr="003B5134" w:rsidRDefault="00BA1532" w:rsidP="00BA1532">
      <w:pPr>
        <w:autoSpaceDE w:val="0"/>
        <w:autoSpaceDN w:val="0"/>
        <w:jc w:val="center"/>
        <w:rPr>
          <w:bCs/>
          <w:color w:val="000000"/>
        </w:rPr>
      </w:pPr>
      <w:r>
        <w:rPr>
          <w:bCs/>
          <w:color w:val="000000"/>
        </w:rPr>
        <w:t>Robert Fico</w:t>
      </w:r>
      <w:r w:rsidRPr="003B5134">
        <w:rPr>
          <w:bCs/>
          <w:color w:val="000000"/>
        </w:rPr>
        <w:t>, v. r.</w:t>
      </w:r>
    </w:p>
    <w:p w:rsidR="00BA1532" w:rsidRPr="003B5134" w:rsidRDefault="00BA1532" w:rsidP="00BA1532">
      <w:pPr>
        <w:autoSpaceDE w:val="0"/>
        <w:autoSpaceDN w:val="0"/>
        <w:jc w:val="center"/>
        <w:rPr>
          <w:color w:val="000000"/>
        </w:rPr>
      </w:pPr>
      <w:r w:rsidRPr="003B5134">
        <w:rPr>
          <w:color w:val="000000"/>
        </w:rPr>
        <w:t>predseda vlády Slovenskej republiky</w:t>
      </w:r>
    </w:p>
    <w:p w:rsidR="00BA1532" w:rsidRPr="003B5134" w:rsidRDefault="00BA1532" w:rsidP="00BA1532">
      <w:pPr>
        <w:autoSpaceDE w:val="0"/>
        <w:autoSpaceDN w:val="0"/>
        <w:jc w:val="both"/>
        <w:rPr>
          <w:color w:val="000000"/>
        </w:rPr>
      </w:pPr>
    </w:p>
    <w:p w:rsidR="00BA1532" w:rsidRDefault="00BA1532" w:rsidP="00BA1532">
      <w:pPr>
        <w:autoSpaceDE w:val="0"/>
        <w:autoSpaceDN w:val="0"/>
        <w:jc w:val="both"/>
        <w:rPr>
          <w:color w:val="000000"/>
        </w:rPr>
      </w:pPr>
    </w:p>
    <w:p w:rsidR="00BA1532" w:rsidRPr="003B5134" w:rsidRDefault="00BA1532" w:rsidP="00BA1532">
      <w:pPr>
        <w:autoSpaceDE w:val="0"/>
        <w:autoSpaceDN w:val="0"/>
        <w:jc w:val="both"/>
        <w:rPr>
          <w:color w:val="000000"/>
        </w:rPr>
      </w:pPr>
    </w:p>
    <w:p w:rsidR="00BA1532" w:rsidRPr="003B5134" w:rsidRDefault="00BA1532" w:rsidP="00BA1532">
      <w:pPr>
        <w:autoSpaceDE w:val="0"/>
        <w:autoSpaceDN w:val="0"/>
        <w:jc w:val="center"/>
        <w:rPr>
          <w:bCs/>
          <w:color w:val="000000"/>
        </w:rPr>
      </w:pPr>
      <w:r>
        <w:rPr>
          <w:bCs/>
          <w:color w:val="000000"/>
        </w:rPr>
        <w:t>Ladislav Kamenický</w:t>
      </w:r>
      <w:r w:rsidRPr="003B5134">
        <w:rPr>
          <w:bCs/>
          <w:color w:val="000000"/>
        </w:rPr>
        <w:t>, v. r.</w:t>
      </w:r>
    </w:p>
    <w:p w:rsidR="00BA1532" w:rsidRPr="005E7F7C" w:rsidRDefault="00BA1532" w:rsidP="00BA1532">
      <w:pPr>
        <w:autoSpaceDE w:val="0"/>
        <w:autoSpaceDN w:val="0"/>
        <w:jc w:val="center"/>
      </w:pPr>
      <w:r w:rsidRPr="003B5134">
        <w:rPr>
          <w:color w:val="000000"/>
        </w:rPr>
        <w:t xml:space="preserve">minister financií </w:t>
      </w:r>
      <w:r>
        <w:t>Slovenskej republiky</w:t>
      </w:r>
    </w:p>
    <w:p w:rsidR="00E836BF" w:rsidRDefault="00E836BF" w:rsidP="001B1696">
      <w:pPr>
        <w:rPr>
          <w:bCs/>
        </w:rPr>
      </w:pPr>
    </w:p>
    <w:sectPr w:rsidR="00E836BF" w:rsidSect="00E204E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32" w:rsidRDefault="00BA1532" w:rsidP="00BA1532">
      <w:r>
        <w:separator/>
      </w:r>
    </w:p>
  </w:endnote>
  <w:endnote w:type="continuationSeparator" w:id="0">
    <w:p w:rsidR="00BA1532" w:rsidRDefault="00BA1532" w:rsidP="00BA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eueHaasGroteskText W02">
    <w:altName w:val="Calibri"/>
    <w:charset w:val="EE"/>
    <w:family w:val="swiss"/>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NeueHaasGroteskDisp W02">
    <w:altName w:val="Calibri"/>
    <w:charset w:val="EE"/>
    <w:family w:val="swiss"/>
    <w:pitch w:val="variable"/>
    <w:sig w:usb0="800000AF" w:usb1="4000204A" w:usb2="00000000" w:usb3="00000000" w:csb0="00000093"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32" w:rsidRDefault="00BA153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BA1532" w:rsidRDefault="00BA153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701432"/>
      <w:docPartObj>
        <w:docPartGallery w:val="Page Numbers (Bottom of Page)"/>
        <w:docPartUnique/>
      </w:docPartObj>
    </w:sdtPr>
    <w:sdtEndPr/>
    <w:sdtContent>
      <w:p w:rsidR="00BA1532" w:rsidRDefault="00BA1532">
        <w:pPr>
          <w:pStyle w:val="Pta"/>
          <w:jc w:val="right"/>
        </w:pPr>
        <w:r>
          <w:fldChar w:fldCharType="begin"/>
        </w:r>
        <w:r>
          <w:instrText>PAGE   \* MERGEFORMAT</w:instrText>
        </w:r>
        <w:r>
          <w:fldChar w:fldCharType="separate"/>
        </w:r>
        <w:r w:rsidR="00870C88">
          <w:rPr>
            <w:noProof/>
          </w:rPr>
          <w:t>20</w:t>
        </w:r>
        <w:r>
          <w:fldChar w:fldCharType="end"/>
        </w:r>
      </w:p>
    </w:sdtContent>
  </w:sdt>
  <w:p w:rsidR="00BA1532" w:rsidRDefault="00BA153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32" w:rsidRDefault="00BA1532">
    <w:pPr>
      <w:pStyle w:val="Pta"/>
      <w:jc w:val="right"/>
    </w:pPr>
    <w:r>
      <w:fldChar w:fldCharType="begin"/>
    </w:r>
    <w:r>
      <w:instrText>PAGE   \* MERGEFORMAT</w:instrText>
    </w:r>
    <w:r>
      <w:fldChar w:fldCharType="separate"/>
    </w:r>
    <w:r>
      <w:rPr>
        <w:noProof/>
      </w:rPr>
      <w:t>0</w:t>
    </w:r>
    <w:r>
      <w:fldChar w:fldCharType="end"/>
    </w:r>
  </w:p>
  <w:p w:rsidR="00BA1532" w:rsidRDefault="00BA153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577948"/>
      <w:docPartObj>
        <w:docPartGallery w:val="Page Numbers (Bottom of Page)"/>
        <w:docPartUnique/>
      </w:docPartObj>
    </w:sdtPr>
    <w:sdtEndPr/>
    <w:sdtContent>
      <w:p w:rsidR="00BA1532" w:rsidRDefault="00BA1532">
        <w:pPr>
          <w:pStyle w:val="Pta"/>
          <w:jc w:val="right"/>
        </w:pPr>
        <w:r>
          <w:fldChar w:fldCharType="begin"/>
        </w:r>
        <w:r>
          <w:instrText xml:space="preserve"> PAGE   \* MERGEFORMAT </w:instrText>
        </w:r>
        <w:r>
          <w:fldChar w:fldCharType="separate"/>
        </w:r>
        <w:r w:rsidR="00870C88">
          <w:rPr>
            <w:noProof/>
          </w:rPr>
          <w:t>24</w:t>
        </w:r>
        <w:r>
          <w:fldChar w:fldCharType="end"/>
        </w:r>
      </w:p>
    </w:sdtContent>
  </w:sdt>
  <w:p w:rsidR="00BA1532" w:rsidRDefault="00BA15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32" w:rsidRDefault="00BA1532" w:rsidP="00BA1532">
      <w:r>
        <w:separator/>
      </w:r>
    </w:p>
  </w:footnote>
  <w:footnote w:type="continuationSeparator" w:id="0">
    <w:p w:rsidR="00BA1532" w:rsidRDefault="00BA1532" w:rsidP="00BA1532">
      <w:r>
        <w:continuationSeparator/>
      </w:r>
    </w:p>
  </w:footnote>
  <w:footnote w:id="1">
    <w:p w:rsidR="00BA1532" w:rsidRPr="000A6B7F" w:rsidRDefault="00BA1532" w:rsidP="00BA1532">
      <w:pPr>
        <w:pStyle w:val="Textpoznmkypodiarou"/>
      </w:pPr>
      <w:r>
        <w:rPr>
          <w:rStyle w:val="Odkaznapoznmkupodiarou"/>
        </w:rPr>
        <w:footnoteRef/>
      </w:r>
      <w:r>
        <w:t xml:space="preserve"> </w:t>
      </w:r>
      <w:r w:rsidRPr="000A6B7F">
        <w:t xml:space="preserve">Definícia </w:t>
      </w:r>
      <w:proofErr w:type="spellStart"/>
      <w:r w:rsidRPr="000A6B7F">
        <w:t>goldplatingu</w:t>
      </w:r>
      <w:proofErr w:type="spellEnd"/>
      <w:r w:rsidRPr="000A6B7F">
        <w:t xml:space="preserve"> </w:t>
      </w:r>
      <w:r w:rsidRPr="00D114ED">
        <w:t>je uvedená v bode 4 časti III. jednotnej metodiky.</w:t>
      </w:r>
    </w:p>
  </w:footnote>
  <w:footnote w:id="2">
    <w:p w:rsidR="00BA1532" w:rsidRPr="00804BC8" w:rsidRDefault="00BA1532" w:rsidP="00BA1532">
      <w:pPr>
        <w:pStyle w:val="Textpoznmkypodiarou"/>
        <w:jc w:val="both"/>
      </w:pPr>
      <w:r w:rsidRPr="0099544D">
        <w:rPr>
          <w:rStyle w:val="Odkaznapoznmkupodiarou"/>
        </w:rPr>
        <w:footnoteRef/>
      </w:r>
      <w:r w:rsidRPr="0099544D">
        <w:t xml:space="preserve"> </w:t>
      </w:r>
      <w:r w:rsidRPr="00804BC8">
        <w:t xml:space="preserve">Informácie sa uvádzajú  iba v prípade, ak sa predkladaným návrhom regulácie vykonáva transpozícia smernice </w:t>
      </w:r>
      <w:r w:rsidRPr="0099544D">
        <w:t>EÚ</w:t>
      </w:r>
      <w:r w:rsidRPr="00804BC8">
        <w:t xml:space="preserve"> a bol identifikovaný </w:t>
      </w:r>
      <w:proofErr w:type="spellStart"/>
      <w:r w:rsidRPr="00804BC8">
        <w:t>goldplating</w:t>
      </w:r>
      <w:proofErr w:type="spellEnd"/>
      <w:r w:rsidRPr="00804BC8">
        <w:t xml:space="preserve"> podľa tabuľky zhody alebo sa vykonáva implementácia nariadenia EÚ s </w:t>
      </w:r>
      <w:proofErr w:type="spellStart"/>
      <w:r w:rsidRPr="00804BC8">
        <w:t>goldplatingom</w:t>
      </w:r>
      <w:proofErr w:type="spellEnd"/>
      <w:r w:rsidRPr="00804BC8">
        <w:t>.</w:t>
      </w:r>
      <w:r>
        <w:t xml:space="preserve"> Informácie sa uvádzajú aj v prípade</w:t>
      </w:r>
      <w:r w:rsidRPr="00CF4D09">
        <w:t xml:space="preserve"> (ak nejde o transpozíciu smernice EÚ alebo implementáciu nariadenia EÚ)</w:t>
      </w:r>
      <w:r>
        <w:t xml:space="preserve">, ak sa predloženým návrhom odstraňuje </w:t>
      </w:r>
      <w:proofErr w:type="spellStart"/>
      <w:r>
        <w:t>goldplating</w:t>
      </w:r>
      <w:proofErr w:type="spellEnd"/>
      <w:r>
        <w:t>, ktorého pôvod je v skoršom zachovaní existujúcej právnej úpravy (existujúcich vnútroštátnych požiadaviek).</w:t>
      </w:r>
    </w:p>
    <w:p w:rsidR="00BA1532" w:rsidRDefault="00BA1532" w:rsidP="00BA1532">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32" w:rsidRDefault="00BA1532" w:rsidP="002B63FD">
    <w:pPr>
      <w:pStyle w:val="Hlavika"/>
      <w:jc w:val="right"/>
      <w:rPr>
        <w:sz w:val="24"/>
        <w:szCs w:val="24"/>
      </w:rPr>
    </w:pPr>
    <w:r>
      <w:rPr>
        <w:sz w:val="24"/>
        <w:szCs w:val="24"/>
      </w:rPr>
      <w:t>Príloha č. 2</w:t>
    </w:r>
  </w:p>
  <w:p w:rsidR="00BA1532" w:rsidRPr="00EB59C8" w:rsidRDefault="00BA1532"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32" w:rsidRPr="0024067A" w:rsidRDefault="00BA1532">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32" w:rsidRPr="000A15AE" w:rsidRDefault="00BA1532" w:rsidP="002B63FD">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32" w:rsidRPr="006045CB" w:rsidRDefault="00BA1532" w:rsidP="00BA1532">
    <w:pPr>
      <w:tabs>
        <w:tab w:val="center" w:pos="4536"/>
        <w:tab w:val="right" w:pos="9072"/>
      </w:tabs>
      <w:jc w:val="center"/>
    </w:pPr>
  </w:p>
  <w:p w:rsidR="00BA1532" w:rsidRPr="006045CB" w:rsidRDefault="00BA1532"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DE2882A"/>
    <w:lvl w:ilvl="0">
      <w:start w:val="1"/>
      <w:numFmt w:val="decimal"/>
      <w:pStyle w:val="Nadpis1"/>
      <w:lvlText w:val="%1."/>
      <w:lvlJc w:val="left"/>
      <w:pPr>
        <w:tabs>
          <w:tab w:val="num" w:pos="0"/>
        </w:tabs>
        <w:ind w:left="720" w:hanging="720"/>
      </w:pPr>
      <w:rPr>
        <w:rFonts w:ascii="Times New Roman" w:hAnsi="Times New Roman" w:cs="Times New Roman" w:hint="default"/>
        <w:b w:val="0"/>
        <w:bCs w:val="0"/>
        <w:i w:val="0"/>
        <w:color w:val="auto"/>
        <w:sz w:val="22"/>
      </w:rPr>
    </w:lvl>
    <w:lvl w:ilvl="1">
      <w:start w:val="1"/>
      <w:numFmt w:val="decimal"/>
      <w:pStyle w:val="Nadpis2"/>
      <w:lvlText w:val="%1.%2"/>
      <w:lvlJc w:val="left"/>
      <w:pPr>
        <w:tabs>
          <w:tab w:val="num" w:pos="0"/>
        </w:tabs>
        <w:ind w:left="720" w:hanging="720"/>
      </w:pPr>
      <w:rPr>
        <w:rFonts w:ascii="Times New Roman" w:hAnsi="Times New Roman" w:cs="Times New Roman" w:hint="default"/>
        <w:b w:val="0"/>
        <w:i w:val="0"/>
        <w:color w:val="auto"/>
        <w:sz w:val="22"/>
      </w:rPr>
    </w:lvl>
    <w:lvl w:ilvl="2">
      <w:start w:val="1"/>
      <w:numFmt w:val="decimal"/>
      <w:pStyle w:val="Nadpis3"/>
      <w:lvlText w:val="%1.%2.%3"/>
      <w:lvlJc w:val="left"/>
      <w:pPr>
        <w:tabs>
          <w:tab w:val="num" w:pos="0"/>
        </w:tabs>
        <w:ind w:left="720" w:hanging="720"/>
      </w:pPr>
      <w:rPr>
        <w:rFonts w:ascii="Times New Roman" w:hAnsi="Times New Roman" w:cs="Times New Roman" w:hint="default"/>
        <w:b w:val="0"/>
        <w:i w:val="0"/>
        <w:color w:val="auto"/>
        <w:sz w:val="22"/>
      </w:rPr>
    </w:lvl>
    <w:lvl w:ilvl="3">
      <w:start w:val="1"/>
      <w:numFmt w:val="decimal"/>
      <w:pStyle w:val="Nadpis4"/>
      <w:lvlText w:val="%1.%2.%3.%4"/>
      <w:lvlJc w:val="left"/>
      <w:pPr>
        <w:tabs>
          <w:tab w:val="num" w:pos="0"/>
        </w:tabs>
        <w:ind w:left="720" w:hanging="720"/>
      </w:pPr>
      <w:rPr>
        <w:rFonts w:ascii="Times New Roman" w:hAnsi="Times New Roman" w:cs="Times New Roman" w:hint="default"/>
        <w:b w:val="0"/>
        <w:i w:val="0"/>
        <w:color w:val="auto"/>
        <w:sz w:val="22"/>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363D9"/>
    <w:multiLevelType w:val="hybridMultilevel"/>
    <w:tmpl w:val="2134313A"/>
    <w:lvl w:ilvl="0" w:tplc="E840912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236482C"/>
    <w:multiLevelType w:val="hybridMultilevel"/>
    <w:tmpl w:val="138C3AC6"/>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5725D0"/>
    <w:multiLevelType w:val="hybridMultilevel"/>
    <w:tmpl w:val="CD3283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64551"/>
    <w:multiLevelType w:val="hybridMultilevel"/>
    <w:tmpl w:val="64662608"/>
    <w:lvl w:ilvl="0" w:tplc="718ECF1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F1604"/>
    <w:multiLevelType w:val="hybridMultilevel"/>
    <w:tmpl w:val="8160D0CC"/>
    <w:lvl w:ilvl="0" w:tplc="EC285C2C">
      <w:numFmt w:val="bullet"/>
      <w:lvlText w:val="–"/>
      <w:lvlJc w:val="left"/>
      <w:pPr>
        <w:ind w:left="927" w:hanging="360"/>
      </w:pPr>
      <w:rPr>
        <w:rFonts w:ascii="Times New Roman" w:eastAsia="Times New Roman" w:hAnsi="Times New Roman" w:hint="default"/>
        <w:color w:val="auto"/>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3D26213A"/>
    <w:multiLevelType w:val="hybridMultilevel"/>
    <w:tmpl w:val="BE14BFD4"/>
    <w:lvl w:ilvl="0" w:tplc="3BFA3EE2">
      <w:numFmt w:val="bullet"/>
      <w:lvlText w:val="-"/>
      <w:lvlJc w:val="left"/>
      <w:pPr>
        <w:ind w:left="720" w:hanging="360"/>
      </w:pPr>
      <w:rPr>
        <w:rFonts w:ascii="Vrinda" w:eastAsia="Times New Roman" w:hAnsi="Vrinda"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40BB08A6"/>
    <w:multiLevelType w:val="hybridMultilevel"/>
    <w:tmpl w:val="9A7024FA"/>
    <w:lvl w:ilvl="0" w:tplc="CCCEB200">
      <w:start w:val="6"/>
      <w:numFmt w:val="bullet"/>
      <w:lvlText w:val="-"/>
      <w:lvlJc w:val="left"/>
      <w:pPr>
        <w:tabs>
          <w:tab w:val="num" w:pos="900"/>
        </w:tabs>
        <w:ind w:left="900" w:hanging="360"/>
      </w:pPr>
      <w:rPr>
        <w:rFonts w:ascii="Times New Roman" w:eastAsia="Times New Roman" w:hAnsi="Times New Roman" w:cs="Times New Roman" w:hint="default"/>
      </w:rPr>
    </w:lvl>
    <w:lvl w:ilvl="1" w:tplc="FDEA91CA">
      <w:start w:val="1"/>
      <w:numFmt w:val="lowerLetter"/>
      <w:lvlText w:val="%2)"/>
      <w:lvlJc w:val="left"/>
      <w:pPr>
        <w:tabs>
          <w:tab w:val="num" w:pos="417"/>
        </w:tabs>
        <w:ind w:left="720" w:hanging="360"/>
      </w:pPr>
      <w:rPr>
        <w:rFonts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3400B7"/>
    <w:multiLevelType w:val="hybridMultilevel"/>
    <w:tmpl w:val="239215D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005939"/>
    <w:multiLevelType w:val="hybridMultilevel"/>
    <w:tmpl w:val="E24C32A0"/>
    <w:lvl w:ilvl="0" w:tplc="43F8F294">
      <w:start w:val="1"/>
      <w:numFmt w:val="decimal"/>
      <w:lvlText w:val="(%1)"/>
      <w:lvlJc w:val="left"/>
      <w:pPr>
        <w:ind w:left="404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EC62A88"/>
    <w:multiLevelType w:val="hybridMultilevel"/>
    <w:tmpl w:val="D64E0B86"/>
    <w:lvl w:ilvl="0" w:tplc="BD22479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08810DE"/>
    <w:multiLevelType w:val="hybridMultilevel"/>
    <w:tmpl w:val="44FCEBE2"/>
    <w:lvl w:ilvl="0" w:tplc="B8866FCC">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21B042D"/>
    <w:multiLevelType w:val="hybridMultilevel"/>
    <w:tmpl w:val="4C501246"/>
    <w:lvl w:ilvl="0" w:tplc="267E25B0">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A6481C"/>
    <w:multiLevelType w:val="hybridMultilevel"/>
    <w:tmpl w:val="1BFE2034"/>
    <w:lvl w:ilvl="0" w:tplc="E228DB96">
      <w:start w:val="3"/>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19" w15:restartNumberingAfterBreak="0">
    <w:nsid w:val="6B625AE5"/>
    <w:multiLevelType w:val="singleLevel"/>
    <w:tmpl w:val="0405000F"/>
    <w:lvl w:ilvl="0">
      <w:start w:val="2"/>
      <w:numFmt w:val="decimal"/>
      <w:lvlText w:val="%1."/>
      <w:lvlJc w:val="left"/>
      <w:pPr>
        <w:tabs>
          <w:tab w:val="num" w:pos="360"/>
        </w:tabs>
        <w:ind w:left="360" w:hanging="360"/>
      </w:pPr>
      <w:rPr>
        <w:rFonts w:hint="default"/>
      </w:rPr>
    </w:lvl>
  </w:abstractNum>
  <w:abstractNum w:abstractNumId="20" w15:restartNumberingAfterBreak="0">
    <w:nsid w:val="6F3C24B4"/>
    <w:multiLevelType w:val="hybridMultilevel"/>
    <w:tmpl w:val="3162F5C2"/>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30A1C02"/>
    <w:multiLevelType w:val="hybridMultilevel"/>
    <w:tmpl w:val="4446A5CA"/>
    <w:lvl w:ilvl="0" w:tplc="F8CA030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6"/>
  </w:num>
  <w:num w:numId="2">
    <w:abstractNumId w:val="8"/>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num>
  <w:num w:numId="6">
    <w:abstractNumId w:val="0"/>
  </w:num>
  <w:num w:numId="7">
    <w:abstractNumId w:val="20"/>
  </w:num>
  <w:num w:numId="8">
    <w:abstractNumId w:val="3"/>
  </w:num>
  <w:num w:numId="9">
    <w:abstractNumId w:val="22"/>
  </w:num>
  <w:num w:numId="10">
    <w:abstractNumId w:val="6"/>
  </w:num>
  <w:num w:numId="11">
    <w:abstractNumId w:val="14"/>
  </w:num>
  <w:num w:numId="12">
    <w:abstractNumId w:val="5"/>
  </w:num>
  <w:num w:numId="13">
    <w:abstractNumId w:val="7"/>
  </w:num>
  <w:num w:numId="14">
    <w:abstractNumId w:val="1"/>
  </w:num>
  <w:num w:numId="15">
    <w:abstractNumId w:val="21"/>
  </w:num>
  <w:num w:numId="16">
    <w:abstractNumId w:val="11"/>
  </w:num>
  <w:num w:numId="17">
    <w:abstractNumId w:val="4"/>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19"/>
  </w:num>
  <w:num w:numId="23">
    <w:abstractNumId w:val="10"/>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78"/>
    <w:rsid w:val="000276A1"/>
    <w:rsid w:val="00040A99"/>
    <w:rsid w:val="000802B7"/>
    <w:rsid w:val="000B75DA"/>
    <w:rsid w:val="000D46E5"/>
    <w:rsid w:val="000E1FE0"/>
    <w:rsid w:val="000E5DCC"/>
    <w:rsid w:val="000F1B27"/>
    <w:rsid w:val="00113413"/>
    <w:rsid w:val="0015661B"/>
    <w:rsid w:val="0018263B"/>
    <w:rsid w:val="00193BCC"/>
    <w:rsid w:val="00197038"/>
    <w:rsid w:val="001B0AFE"/>
    <w:rsid w:val="001B1696"/>
    <w:rsid w:val="001C02F1"/>
    <w:rsid w:val="001C0607"/>
    <w:rsid w:val="001E45C1"/>
    <w:rsid w:val="00204318"/>
    <w:rsid w:val="002129AB"/>
    <w:rsid w:val="00221EC8"/>
    <w:rsid w:val="00222E2A"/>
    <w:rsid w:val="00243E51"/>
    <w:rsid w:val="00294D7D"/>
    <w:rsid w:val="002A33F4"/>
    <w:rsid w:val="002C049C"/>
    <w:rsid w:val="002D4541"/>
    <w:rsid w:val="002D753F"/>
    <w:rsid w:val="002E5523"/>
    <w:rsid w:val="002F142D"/>
    <w:rsid w:val="00353710"/>
    <w:rsid w:val="003608E4"/>
    <w:rsid w:val="003A39C1"/>
    <w:rsid w:val="003E2ED4"/>
    <w:rsid w:val="003E6073"/>
    <w:rsid w:val="00402CF6"/>
    <w:rsid w:val="00403848"/>
    <w:rsid w:val="0041536D"/>
    <w:rsid w:val="004174FB"/>
    <w:rsid w:val="00431A58"/>
    <w:rsid w:val="00442BA2"/>
    <w:rsid w:val="0044533D"/>
    <w:rsid w:val="00455DBE"/>
    <w:rsid w:val="00486429"/>
    <w:rsid w:val="004864C4"/>
    <w:rsid w:val="0049434C"/>
    <w:rsid w:val="004A0D0F"/>
    <w:rsid w:val="004F1B59"/>
    <w:rsid w:val="004F4C20"/>
    <w:rsid w:val="0050587A"/>
    <w:rsid w:val="005346E7"/>
    <w:rsid w:val="00536141"/>
    <w:rsid w:val="00537D6A"/>
    <w:rsid w:val="00541A18"/>
    <w:rsid w:val="00552BA9"/>
    <w:rsid w:val="00575278"/>
    <w:rsid w:val="00591A6A"/>
    <w:rsid w:val="005938ED"/>
    <w:rsid w:val="005C259E"/>
    <w:rsid w:val="005D74CF"/>
    <w:rsid w:val="005F28EF"/>
    <w:rsid w:val="00603C7E"/>
    <w:rsid w:val="00621E58"/>
    <w:rsid w:val="0066487E"/>
    <w:rsid w:val="00691A7F"/>
    <w:rsid w:val="006954A2"/>
    <w:rsid w:val="006E25CA"/>
    <w:rsid w:val="006E5692"/>
    <w:rsid w:val="006E7E8D"/>
    <w:rsid w:val="007115A4"/>
    <w:rsid w:val="00715058"/>
    <w:rsid w:val="007230A2"/>
    <w:rsid w:val="0072795E"/>
    <w:rsid w:val="00730F6D"/>
    <w:rsid w:val="00742FB6"/>
    <w:rsid w:val="00750202"/>
    <w:rsid w:val="0076638E"/>
    <w:rsid w:val="00767BE5"/>
    <w:rsid w:val="00783257"/>
    <w:rsid w:val="00794FA9"/>
    <w:rsid w:val="007A730A"/>
    <w:rsid w:val="007C0663"/>
    <w:rsid w:val="007E1502"/>
    <w:rsid w:val="007E1CC5"/>
    <w:rsid w:val="00810087"/>
    <w:rsid w:val="0081183B"/>
    <w:rsid w:val="008215A5"/>
    <w:rsid w:val="00826B4E"/>
    <w:rsid w:val="0085250D"/>
    <w:rsid w:val="00870C88"/>
    <w:rsid w:val="0088377B"/>
    <w:rsid w:val="00891BF2"/>
    <w:rsid w:val="008A292D"/>
    <w:rsid w:val="008A4369"/>
    <w:rsid w:val="008B029A"/>
    <w:rsid w:val="008B2ED7"/>
    <w:rsid w:val="008B621F"/>
    <w:rsid w:val="008F3892"/>
    <w:rsid w:val="008F54A0"/>
    <w:rsid w:val="008F6329"/>
    <w:rsid w:val="00905728"/>
    <w:rsid w:val="00914EC4"/>
    <w:rsid w:val="00935651"/>
    <w:rsid w:val="009509F4"/>
    <w:rsid w:val="0096632F"/>
    <w:rsid w:val="00971416"/>
    <w:rsid w:val="009C2D64"/>
    <w:rsid w:val="009E065B"/>
    <w:rsid w:val="009F2537"/>
    <w:rsid w:val="00A422CF"/>
    <w:rsid w:val="00A4349A"/>
    <w:rsid w:val="00A541D6"/>
    <w:rsid w:val="00A638D0"/>
    <w:rsid w:val="00A64D2D"/>
    <w:rsid w:val="00A93DCF"/>
    <w:rsid w:val="00A94DF1"/>
    <w:rsid w:val="00AA25A4"/>
    <w:rsid w:val="00AE238A"/>
    <w:rsid w:val="00AE5D0E"/>
    <w:rsid w:val="00AE7CE9"/>
    <w:rsid w:val="00AF3EC1"/>
    <w:rsid w:val="00B3448D"/>
    <w:rsid w:val="00B41057"/>
    <w:rsid w:val="00B71122"/>
    <w:rsid w:val="00B74E58"/>
    <w:rsid w:val="00B761C3"/>
    <w:rsid w:val="00B76DC0"/>
    <w:rsid w:val="00B95BFE"/>
    <w:rsid w:val="00BA1532"/>
    <w:rsid w:val="00BA6541"/>
    <w:rsid w:val="00BC2094"/>
    <w:rsid w:val="00BF517A"/>
    <w:rsid w:val="00C01A7F"/>
    <w:rsid w:val="00C12D3E"/>
    <w:rsid w:val="00C478ED"/>
    <w:rsid w:val="00C5661B"/>
    <w:rsid w:val="00C7152C"/>
    <w:rsid w:val="00C7762C"/>
    <w:rsid w:val="00C82073"/>
    <w:rsid w:val="00CD4B5C"/>
    <w:rsid w:val="00CE6F90"/>
    <w:rsid w:val="00CF64DE"/>
    <w:rsid w:val="00D02428"/>
    <w:rsid w:val="00D26625"/>
    <w:rsid w:val="00D632CD"/>
    <w:rsid w:val="00D9755D"/>
    <w:rsid w:val="00DC07B1"/>
    <w:rsid w:val="00DD70CD"/>
    <w:rsid w:val="00DE2D59"/>
    <w:rsid w:val="00DF441A"/>
    <w:rsid w:val="00DF66E0"/>
    <w:rsid w:val="00E033DA"/>
    <w:rsid w:val="00E204E4"/>
    <w:rsid w:val="00E355FA"/>
    <w:rsid w:val="00E71912"/>
    <w:rsid w:val="00E836BF"/>
    <w:rsid w:val="00EC22D4"/>
    <w:rsid w:val="00EC4246"/>
    <w:rsid w:val="00EE0DC7"/>
    <w:rsid w:val="00EF5366"/>
    <w:rsid w:val="00F007C5"/>
    <w:rsid w:val="00F160DD"/>
    <w:rsid w:val="00F30EE2"/>
    <w:rsid w:val="00F33D01"/>
    <w:rsid w:val="00F47926"/>
    <w:rsid w:val="00F50F39"/>
    <w:rsid w:val="00F67E1D"/>
    <w:rsid w:val="00F728B9"/>
    <w:rsid w:val="00F74A55"/>
    <w:rsid w:val="00F75278"/>
    <w:rsid w:val="00F75A5A"/>
    <w:rsid w:val="00F85286"/>
    <w:rsid w:val="00FA5EF5"/>
    <w:rsid w:val="00FB1EB6"/>
    <w:rsid w:val="00FF43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8FBF3184-809D-4616-AC61-2B88C89A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sz w:val="24"/>
      <w:szCs w:val="24"/>
    </w:rPr>
  </w:style>
  <w:style w:type="paragraph" w:styleId="Nadpis1">
    <w:name w:val="heading 1"/>
    <w:basedOn w:val="Normlny"/>
    <w:next w:val="Normlny"/>
    <w:link w:val="Nadpis1Char"/>
    <w:uiPriority w:val="9"/>
    <w:qFormat/>
    <w:rsid w:val="00403848"/>
    <w:pPr>
      <w:numPr>
        <w:numId w:val="6"/>
      </w:numPr>
      <w:overflowPunct w:val="0"/>
      <w:autoSpaceDE w:val="0"/>
      <w:autoSpaceDN w:val="0"/>
      <w:adjustRightInd w:val="0"/>
      <w:spacing w:line="288" w:lineRule="auto"/>
      <w:jc w:val="both"/>
      <w:textAlignment w:val="baseline"/>
      <w:outlineLvl w:val="0"/>
    </w:pPr>
    <w:rPr>
      <w:kern w:val="28"/>
      <w:sz w:val="22"/>
      <w:szCs w:val="22"/>
      <w:lang w:val="nl-BE"/>
    </w:rPr>
  </w:style>
  <w:style w:type="paragraph" w:styleId="Nadpis2">
    <w:name w:val="heading 2"/>
    <w:basedOn w:val="Normlny"/>
    <w:next w:val="Normlny"/>
    <w:link w:val="Nadpis2Char"/>
    <w:uiPriority w:val="9"/>
    <w:qFormat/>
    <w:rsid w:val="00403848"/>
    <w:pPr>
      <w:numPr>
        <w:ilvl w:val="1"/>
        <w:numId w:val="6"/>
      </w:numPr>
      <w:overflowPunct w:val="0"/>
      <w:autoSpaceDE w:val="0"/>
      <w:autoSpaceDN w:val="0"/>
      <w:adjustRightInd w:val="0"/>
      <w:spacing w:line="288" w:lineRule="auto"/>
      <w:jc w:val="both"/>
      <w:textAlignment w:val="baseline"/>
      <w:outlineLvl w:val="1"/>
    </w:pPr>
    <w:rPr>
      <w:sz w:val="22"/>
      <w:szCs w:val="22"/>
      <w:lang w:val="nl-BE"/>
    </w:rPr>
  </w:style>
  <w:style w:type="paragraph" w:styleId="Nadpis3">
    <w:name w:val="heading 3"/>
    <w:basedOn w:val="Normlny"/>
    <w:next w:val="Normlny"/>
    <w:link w:val="Nadpis3Char"/>
    <w:uiPriority w:val="9"/>
    <w:qFormat/>
    <w:rsid w:val="00403848"/>
    <w:pPr>
      <w:numPr>
        <w:ilvl w:val="2"/>
        <w:numId w:val="6"/>
      </w:numPr>
      <w:overflowPunct w:val="0"/>
      <w:autoSpaceDE w:val="0"/>
      <w:autoSpaceDN w:val="0"/>
      <w:adjustRightInd w:val="0"/>
      <w:spacing w:line="288" w:lineRule="auto"/>
      <w:jc w:val="both"/>
      <w:textAlignment w:val="baseline"/>
      <w:outlineLvl w:val="2"/>
    </w:pPr>
    <w:rPr>
      <w:sz w:val="22"/>
      <w:szCs w:val="22"/>
      <w:lang w:val="nl-BE"/>
    </w:rPr>
  </w:style>
  <w:style w:type="paragraph" w:styleId="Nadpis4">
    <w:name w:val="heading 4"/>
    <w:basedOn w:val="Normlny"/>
    <w:next w:val="Normlny"/>
    <w:link w:val="Nadpis4Char"/>
    <w:uiPriority w:val="9"/>
    <w:qFormat/>
    <w:rsid w:val="00403848"/>
    <w:pPr>
      <w:numPr>
        <w:ilvl w:val="3"/>
        <w:numId w:val="6"/>
      </w:numPr>
      <w:overflowPunct w:val="0"/>
      <w:autoSpaceDE w:val="0"/>
      <w:autoSpaceDN w:val="0"/>
      <w:adjustRightInd w:val="0"/>
      <w:spacing w:line="288" w:lineRule="auto"/>
      <w:jc w:val="both"/>
      <w:textAlignment w:val="baseline"/>
      <w:outlineLvl w:val="3"/>
    </w:pPr>
    <w:rPr>
      <w:sz w:val="22"/>
      <w:szCs w:val="22"/>
      <w:lang w:val="nl-BE"/>
    </w:rPr>
  </w:style>
  <w:style w:type="paragraph" w:styleId="Nadpis5">
    <w:name w:val="heading 5"/>
    <w:basedOn w:val="Normlny"/>
    <w:next w:val="Normlny"/>
    <w:link w:val="Nadpis5Char"/>
    <w:uiPriority w:val="9"/>
    <w:qFormat/>
    <w:rsid w:val="00403848"/>
    <w:pPr>
      <w:numPr>
        <w:ilvl w:val="4"/>
        <w:numId w:val="6"/>
      </w:numPr>
      <w:overflowPunct w:val="0"/>
      <w:autoSpaceDE w:val="0"/>
      <w:autoSpaceDN w:val="0"/>
      <w:adjustRightInd w:val="0"/>
      <w:spacing w:line="288" w:lineRule="auto"/>
      <w:jc w:val="both"/>
      <w:textAlignment w:val="baseline"/>
      <w:outlineLvl w:val="4"/>
    </w:pPr>
    <w:rPr>
      <w:sz w:val="22"/>
      <w:szCs w:val="22"/>
      <w:lang w:val="nl-BE"/>
    </w:rPr>
  </w:style>
  <w:style w:type="paragraph" w:styleId="Nadpis6">
    <w:name w:val="heading 6"/>
    <w:basedOn w:val="Normlny"/>
    <w:next w:val="Normlny"/>
    <w:link w:val="Nadpis6Char"/>
    <w:uiPriority w:val="9"/>
    <w:qFormat/>
    <w:rsid w:val="00403848"/>
    <w:pPr>
      <w:numPr>
        <w:ilvl w:val="5"/>
        <w:numId w:val="6"/>
      </w:numPr>
      <w:overflowPunct w:val="0"/>
      <w:autoSpaceDE w:val="0"/>
      <w:autoSpaceDN w:val="0"/>
      <w:adjustRightInd w:val="0"/>
      <w:spacing w:line="288" w:lineRule="auto"/>
      <w:jc w:val="both"/>
      <w:textAlignment w:val="baseline"/>
      <w:outlineLvl w:val="5"/>
    </w:pPr>
    <w:rPr>
      <w:sz w:val="22"/>
      <w:szCs w:val="22"/>
      <w:lang w:val="nl-BE"/>
    </w:rPr>
  </w:style>
  <w:style w:type="paragraph" w:styleId="Nadpis7">
    <w:name w:val="heading 7"/>
    <w:basedOn w:val="Normlny"/>
    <w:next w:val="Normlny"/>
    <w:link w:val="Nadpis7Char"/>
    <w:uiPriority w:val="9"/>
    <w:qFormat/>
    <w:rsid w:val="00403848"/>
    <w:pPr>
      <w:numPr>
        <w:ilvl w:val="6"/>
        <w:numId w:val="6"/>
      </w:numPr>
      <w:overflowPunct w:val="0"/>
      <w:autoSpaceDE w:val="0"/>
      <w:autoSpaceDN w:val="0"/>
      <w:adjustRightInd w:val="0"/>
      <w:spacing w:line="288" w:lineRule="auto"/>
      <w:jc w:val="both"/>
      <w:textAlignment w:val="baseline"/>
      <w:outlineLvl w:val="6"/>
    </w:pPr>
    <w:rPr>
      <w:sz w:val="22"/>
      <w:szCs w:val="22"/>
      <w:lang w:val="nl-BE"/>
    </w:rPr>
  </w:style>
  <w:style w:type="paragraph" w:styleId="Nadpis8">
    <w:name w:val="heading 8"/>
    <w:basedOn w:val="Normlny"/>
    <w:next w:val="Normlny"/>
    <w:link w:val="Nadpis8Char"/>
    <w:uiPriority w:val="9"/>
    <w:qFormat/>
    <w:rsid w:val="00403848"/>
    <w:pPr>
      <w:numPr>
        <w:ilvl w:val="7"/>
        <w:numId w:val="6"/>
      </w:numPr>
      <w:overflowPunct w:val="0"/>
      <w:autoSpaceDE w:val="0"/>
      <w:autoSpaceDN w:val="0"/>
      <w:adjustRightInd w:val="0"/>
      <w:spacing w:line="288" w:lineRule="auto"/>
      <w:jc w:val="both"/>
      <w:textAlignment w:val="baseline"/>
      <w:outlineLvl w:val="7"/>
    </w:pPr>
    <w:rPr>
      <w:sz w:val="22"/>
      <w:szCs w:val="22"/>
      <w:lang w:val="nl-BE"/>
    </w:rPr>
  </w:style>
  <w:style w:type="paragraph" w:styleId="Nadpis9">
    <w:name w:val="heading 9"/>
    <w:basedOn w:val="Normlny"/>
    <w:next w:val="Normlny"/>
    <w:link w:val="Nadpis9Char"/>
    <w:uiPriority w:val="9"/>
    <w:qFormat/>
    <w:rsid w:val="00403848"/>
    <w:pPr>
      <w:numPr>
        <w:ilvl w:val="8"/>
        <w:numId w:val="6"/>
      </w:numPr>
      <w:overflowPunct w:val="0"/>
      <w:autoSpaceDE w:val="0"/>
      <w:autoSpaceDN w:val="0"/>
      <w:adjustRightInd w:val="0"/>
      <w:spacing w:line="288" w:lineRule="auto"/>
      <w:jc w:val="both"/>
      <w:textAlignment w:val="baseline"/>
      <w:outlineLvl w:val="8"/>
    </w:pPr>
    <w:rPr>
      <w:sz w:val="22"/>
      <w:szCs w:val="22"/>
      <w:lang w:val="nl-B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03848"/>
    <w:rPr>
      <w:rFonts w:cs="Times New Roman"/>
      <w:kern w:val="28"/>
      <w:lang w:val="nl-BE" w:eastAsia="x-none"/>
    </w:rPr>
  </w:style>
  <w:style w:type="character" w:customStyle="1" w:styleId="Nadpis2Char">
    <w:name w:val="Nadpis 2 Char"/>
    <w:basedOn w:val="Predvolenpsmoodseku"/>
    <w:link w:val="Nadpis2"/>
    <w:uiPriority w:val="9"/>
    <w:locked/>
    <w:rsid w:val="00403848"/>
    <w:rPr>
      <w:rFonts w:cs="Times New Roman"/>
      <w:lang w:val="nl-BE" w:eastAsia="x-none"/>
    </w:rPr>
  </w:style>
  <w:style w:type="character" w:customStyle="1" w:styleId="Nadpis3Char">
    <w:name w:val="Nadpis 3 Char"/>
    <w:basedOn w:val="Predvolenpsmoodseku"/>
    <w:link w:val="Nadpis3"/>
    <w:uiPriority w:val="9"/>
    <w:locked/>
    <w:rsid w:val="00403848"/>
    <w:rPr>
      <w:rFonts w:cs="Times New Roman"/>
      <w:lang w:val="nl-BE" w:eastAsia="x-none"/>
    </w:rPr>
  </w:style>
  <w:style w:type="character" w:customStyle="1" w:styleId="Nadpis4Char">
    <w:name w:val="Nadpis 4 Char"/>
    <w:basedOn w:val="Predvolenpsmoodseku"/>
    <w:link w:val="Nadpis4"/>
    <w:uiPriority w:val="9"/>
    <w:locked/>
    <w:rsid w:val="00403848"/>
    <w:rPr>
      <w:rFonts w:cs="Times New Roman"/>
      <w:lang w:val="nl-BE" w:eastAsia="x-none"/>
    </w:rPr>
  </w:style>
  <w:style w:type="character" w:customStyle="1" w:styleId="Nadpis5Char">
    <w:name w:val="Nadpis 5 Char"/>
    <w:basedOn w:val="Predvolenpsmoodseku"/>
    <w:link w:val="Nadpis5"/>
    <w:uiPriority w:val="9"/>
    <w:locked/>
    <w:rsid w:val="00403848"/>
    <w:rPr>
      <w:rFonts w:cs="Times New Roman"/>
      <w:lang w:val="nl-BE" w:eastAsia="x-none"/>
    </w:rPr>
  </w:style>
  <w:style w:type="character" w:customStyle="1" w:styleId="Nadpis6Char">
    <w:name w:val="Nadpis 6 Char"/>
    <w:basedOn w:val="Predvolenpsmoodseku"/>
    <w:link w:val="Nadpis6"/>
    <w:uiPriority w:val="9"/>
    <w:locked/>
    <w:rsid w:val="00403848"/>
    <w:rPr>
      <w:rFonts w:cs="Times New Roman"/>
      <w:lang w:val="nl-BE" w:eastAsia="x-none"/>
    </w:rPr>
  </w:style>
  <w:style w:type="character" w:customStyle="1" w:styleId="Nadpis7Char">
    <w:name w:val="Nadpis 7 Char"/>
    <w:basedOn w:val="Predvolenpsmoodseku"/>
    <w:link w:val="Nadpis7"/>
    <w:uiPriority w:val="9"/>
    <w:locked/>
    <w:rsid w:val="00403848"/>
    <w:rPr>
      <w:rFonts w:cs="Times New Roman"/>
      <w:lang w:val="nl-BE" w:eastAsia="x-none"/>
    </w:rPr>
  </w:style>
  <w:style w:type="character" w:customStyle="1" w:styleId="Nadpis8Char">
    <w:name w:val="Nadpis 8 Char"/>
    <w:basedOn w:val="Predvolenpsmoodseku"/>
    <w:link w:val="Nadpis8"/>
    <w:uiPriority w:val="9"/>
    <w:locked/>
    <w:rsid w:val="00403848"/>
    <w:rPr>
      <w:rFonts w:cs="Times New Roman"/>
      <w:lang w:val="nl-BE" w:eastAsia="x-none"/>
    </w:rPr>
  </w:style>
  <w:style w:type="character" w:customStyle="1" w:styleId="Nadpis9Char">
    <w:name w:val="Nadpis 9 Char"/>
    <w:basedOn w:val="Predvolenpsmoodseku"/>
    <w:link w:val="Nadpis9"/>
    <w:uiPriority w:val="9"/>
    <w:locked/>
    <w:rsid w:val="00403848"/>
    <w:rPr>
      <w:rFonts w:cs="Times New Roman"/>
      <w:lang w:val="nl-BE" w:eastAsia="x-none"/>
    </w:rPr>
  </w:style>
  <w:style w:type="character" w:styleId="Zstupntext">
    <w:name w:val="Placeholder Text"/>
    <w:basedOn w:val="Predvolenpsmoodseku"/>
    <w:uiPriority w:val="99"/>
    <w:semiHidden/>
    <w:rsid w:val="00BC2094"/>
    <w:rPr>
      <w:rFonts w:ascii="Times New Roman" w:hAnsi="Times New Roman" w:cs="Times New Roman"/>
      <w:color w:val="808080"/>
    </w:rPr>
  </w:style>
  <w:style w:type="paragraph" w:styleId="Zkladntext2">
    <w:name w:val="Body Text 2"/>
    <w:basedOn w:val="Normlny"/>
    <w:link w:val="Zkladntext2Char"/>
    <w:uiPriority w:val="99"/>
    <w:rsid w:val="00BC2094"/>
    <w:pPr>
      <w:jc w:val="both"/>
    </w:pPr>
  </w:style>
  <w:style w:type="character" w:customStyle="1" w:styleId="Zkladntext2Char">
    <w:name w:val="Základný text 2 Char"/>
    <w:basedOn w:val="Predvolenpsmoodseku"/>
    <w:link w:val="Zkladntext2"/>
    <w:uiPriority w:val="99"/>
    <w:locked/>
    <w:rsid w:val="00BC2094"/>
    <w:rPr>
      <w:rFonts w:cs="Times New Roman"/>
      <w:sz w:val="24"/>
      <w:szCs w:val="24"/>
    </w:rPr>
  </w:style>
  <w:style w:type="paragraph" w:styleId="Zkladntext">
    <w:name w:val="Body Text"/>
    <w:basedOn w:val="Normlny"/>
    <w:link w:val="ZkladntextChar"/>
    <w:uiPriority w:val="99"/>
    <w:rsid w:val="00BC2094"/>
    <w:pPr>
      <w:spacing w:after="120"/>
    </w:pPr>
  </w:style>
  <w:style w:type="character" w:customStyle="1" w:styleId="ZkladntextChar">
    <w:name w:val="Základný text Char"/>
    <w:basedOn w:val="Predvolenpsmoodseku"/>
    <w:link w:val="Zkladntext"/>
    <w:uiPriority w:val="99"/>
    <w:locked/>
    <w:rsid w:val="00BC2094"/>
    <w:rPr>
      <w:rFonts w:cs="Times New Roman"/>
      <w:sz w:val="24"/>
      <w:szCs w:val="24"/>
    </w:rPr>
  </w:style>
  <w:style w:type="paragraph" w:customStyle="1" w:styleId="CM19">
    <w:name w:val="CM1+9"/>
    <w:basedOn w:val="Normlny"/>
    <w:next w:val="Normlny"/>
    <w:uiPriority w:val="99"/>
    <w:rsid w:val="0044533D"/>
    <w:pPr>
      <w:autoSpaceDE w:val="0"/>
      <w:autoSpaceDN w:val="0"/>
      <w:adjustRightInd w:val="0"/>
    </w:pPr>
    <w:rPr>
      <w:rFonts w:ascii="EUAlbertina" w:hAnsi="EUAlbertina"/>
    </w:rPr>
  </w:style>
  <w:style w:type="paragraph" w:customStyle="1" w:styleId="Default">
    <w:name w:val="Default"/>
    <w:rsid w:val="00C5661B"/>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C5661B"/>
    <w:rPr>
      <w:rFonts w:cs="Times New Roman"/>
      <w:color w:val="auto"/>
    </w:rPr>
  </w:style>
  <w:style w:type="paragraph" w:customStyle="1" w:styleId="CM3">
    <w:name w:val="CM3"/>
    <w:basedOn w:val="Default"/>
    <w:next w:val="Default"/>
    <w:uiPriority w:val="99"/>
    <w:rsid w:val="00C5661B"/>
    <w:rPr>
      <w:rFonts w:cs="Times New Roman"/>
      <w:color w:val="auto"/>
    </w:rPr>
  </w:style>
  <w:style w:type="paragraph" w:customStyle="1" w:styleId="Zkladntext0">
    <w:name w:val="Základní text"/>
    <w:aliases w:val="Základný text Char Char"/>
    <w:uiPriority w:val="99"/>
    <w:rsid w:val="0015661B"/>
    <w:pPr>
      <w:widowControl w:val="0"/>
      <w:autoSpaceDE w:val="0"/>
      <w:autoSpaceDN w:val="0"/>
      <w:spacing w:after="0" w:line="240" w:lineRule="auto"/>
    </w:pPr>
    <w:rPr>
      <w:rFonts w:ascii="Arial Narrow" w:hAnsi="Arial Narrow" w:cs="Arial Narrow"/>
      <w:color w:val="000000"/>
      <w:sz w:val="24"/>
      <w:szCs w:val="24"/>
    </w:rPr>
  </w:style>
  <w:style w:type="paragraph" w:styleId="Textbubliny">
    <w:name w:val="Balloon Text"/>
    <w:basedOn w:val="Normlny"/>
    <w:link w:val="TextbublinyChar"/>
    <w:uiPriority w:val="99"/>
    <w:semiHidden/>
    <w:unhideWhenUsed/>
    <w:rsid w:val="005346E7"/>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346E7"/>
    <w:rPr>
      <w:rFonts w:ascii="Tahoma" w:hAnsi="Tahoma" w:cs="Tahoma"/>
      <w:sz w:val="16"/>
      <w:szCs w:val="16"/>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Dot pt,2"/>
    <w:basedOn w:val="Normlny"/>
    <w:link w:val="OdsekzoznamuChar"/>
    <w:uiPriority w:val="34"/>
    <w:qFormat/>
    <w:rsid w:val="009C2D64"/>
    <w:pPr>
      <w:spacing w:after="160" w:line="256" w:lineRule="auto"/>
      <w:ind w:left="720"/>
      <w:contextualSpacing/>
    </w:pPr>
    <w:rPr>
      <w:rFonts w:ascii="Calibri" w:hAnsi="Calibri"/>
      <w:sz w:val="22"/>
      <w:szCs w:val="22"/>
      <w:lang w:eastAsia="en-US"/>
    </w:rPr>
  </w:style>
  <w:style w:type="paragraph" w:styleId="Bezriadkovania">
    <w:name w:val="No Spacing"/>
    <w:uiPriority w:val="1"/>
    <w:qFormat/>
    <w:rsid w:val="00E836BF"/>
    <w:pPr>
      <w:spacing w:after="0" w:line="240" w:lineRule="auto"/>
    </w:pPr>
    <w:rPr>
      <w:rFonts w:ascii="Calibri" w:hAnsi="Calibri"/>
      <w:lang w:eastAsia="en-US"/>
    </w:rPr>
  </w:style>
  <w:style w:type="character" w:styleId="Hypertextovprepojenie">
    <w:name w:val="Hyperlink"/>
    <w:basedOn w:val="Predvolenpsmoodseku"/>
    <w:uiPriority w:val="99"/>
    <w:rsid w:val="00DC07B1"/>
    <w:rPr>
      <w:rFonts w:cs="Times New Roman"/>
      <w:color w:val="0000FF" w:themeColor="hyperlink"/>
      <w:u w:val="single"/>
    </w:rPr>
  </w:style>
  <w:style w:type="table" w:customStyle="1" w:styleId="Mriekatabuky1">
    <w:name w:val="Mriežka tabuľky1"/>
    <w:basedOn w:val="Normlnatabuka"/>
    <w:next w:val="Mriekatabuky"/>
    <w:uiPriority w:val="59"/>
    <w:rsid w:val="00BA153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BA153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A1532"/>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BA1532"/>
    <w:rPr>
      <w:rFonts w:asciiTheme="minorHAnsi" w:eastAsiaTheme="minorHAnsi" w:hAnsiTheme="minorHAnsi" w:cstheme="minorBidi"/>
      <w:lang w:eastAsia="en-US"/>
    </w:rPr>
  </w:style>
  <w:style w:type="paragraph" w:styleId="Pta">
    <w:name w:val="footer"/>
    <w:basedOn w:val="Normlny"/>
    <w:link w:val="PtaChar"/>
    <w:uiPriority w:val="99"/>
    <w:unhideWhenUsed/>
    <w:rsid w:val="00BA1532"/>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BA1532"/>
    <w:rPr>
      <w:rFonts w:asciiTheme="minorHAnsi" w:eastAsiaTheme="minorHAnsi" w:hAnsiTheme="minorHAnsi" w:cstheme="minorBidi"/>
      <w:lang w:eastAsia="en-US"/>
    </w:rPr>
  </w:style>
  <w:style w:type="character" w:customStyle="1" w:styleId="awspan">
    <w:name w:val="awspan"/>
    <w:basedOn w:val="Predvolenpsmoodseku"/>
    <w:rsid w:val="00BA1532"/>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BA1532"/>
    <w:rPr>
      <w:rFonts w:ascii="Calibri" w:hAnsi="Calibri"/>
      <w:lang w:eastAsia="en-US"/>
    </w:rPr>
  </w:style>
  <w:style w:type="character" w:styleId="Zvraznenie">
    <w:name w:val="Emphasis"/>
    <w:uiPriority w:val="20"/>
    <w:qFormat/>
    <w:rsid w:val="00BA1532"/>
    <w:rPr>
      <w:i/>
      <w:iCs/>
    </w:rPr>
  </w:style>
  <w:style w:type="character" w:styleId="Siln">
    <w:name w:val="Strong"/>
    <w:uiPriority w:val="22"/>
    <w:qFormat/>
    <w:rsid w:val="00BA1532"/>
    <w:rPr>
      <w:b/>
      <w:bCs/>
    </w:rPr>
  </w:style>
  <w:style w:type="character" w:styleId="slostrany">
    <w:name w:val="page number"/>
    <w:basedOn w:val="Predvolenpsmoodseku"/>
    <w:uiPriority w:val="99"/>
    <w:rsid w:val="00BA1532"/>
    <w:rPr>
      <w:rFonts w:cs="Times New Roman"/>
    </w:rPr>
  </w:style>
  <w:style w:type="paragraph" w:styleId="Textpoznmkypodiarou">
    <w:name w:val="footnote text"/>
    <w:aliases w:val="Text poznámky pod čiarou 007,Schriftart: 9 pt,Schriftart: 10 pt,Schriftart: 8 pt,_Poznámka pod čiarou,Footnote Text Char2,Footnote Text Char1 Char,Footnote Text Char2 Char Char,Footnote Text Char1 Char Char Char Char Char Char,f"/>
    <w:basedOn w:val="Normlny"/>
    <w:link w:val="TextpoznmkypodiarouChar"/>
    <w:uiPriority w:val="99"/>
    <w:unhideWhenUsed/>
    <w:qFormat/>
    <w:rsid w:val="00BA1532"/>
    <w:rPr>
      <w:sz w:val="20"/>
      <w:szCs w:val="20"/>
    </w:rPr>
  </w:style>
  <w:style w:type="character" w:customStyle="1" w:styleId="TextpoznmkypodiarouChar">
    <w:name w:val="Text poznámky pod čiarou Char"/>
    <w:aliases w:val="Text poznámky pod čiarou 007 Char,Schriftart: 9 pt Char,Schriftart: 10 pt Char,Schriftart: 8 pt Char,_Poznámka pod čiarou Char,Footnote Text Char2 Char,Footnote Text Char1 Char Char,Footnote Text Char2 Char Char Char,f Char"/>
    <w:basedOn w:val="Predvolenpsmoodseku"/>
    <w:link w:val="Textpoznmkypodiarou"/>
    <w:uiPriority w:val="99"/>
    <w:rsid w:val="00BA1532"/>
    <w:rPr>
      <w:sz w:val="20"/>
      <w:szCs w:val="20"/>
    </w:rPr>
  </w:style>
  <w:style w:type="paragraph" w:customStyle="1" w:styleId="Text">
    <w:name w:val="Text"/>
    <w:basedOn w:val="Normlny"/>
    <w:link w:val="TextChar"/>
    <w:qFormat/>
    <w:rsid w:val="00BA1532"/>
    <w:pPr>
      <w:widowControl w:val="0"/>
      <w:pBdr>
        <w:top w:val="nil"/>
        <w:left w:val="nil"/>
        <w:bottom w:val="nil"/>
        <w:right w:val="nil"/>
        <w:between w:val="nil"/>
        <w:bar w:val="nil"/>
      </w:pBdr>
      <w:spacing w:after="120" w:line="276" w:lineRule="auto"/>
      <w:jc w:val="both"/>
    </w:pPr>
    <w:rPr>
      <w:rFonts w:ascii="NeueHaasGroteskText W02" w:eastAsia="NeueHaasGroteskText W02" w:hAnsi="NeueHaasGroteskText W02" w:cs="NeueHaasGroteskText W02"/>
      <w:color w:val="000000"/>
      <w:sz w:val="20"/>
      <w:szCs w:val="20"/>
      <w:u w:color="000000"/>
      <w:bdr w:val="nil"/>
      <w:lang w:eastAsia="en-US"/>
    </w:rPr>
  </w:style>
  <w:style w:type="character" w:customStyle="1" w:styleId="TextChar">
    <w:name w:val="Text Char"/>
    <w:basedOn w:val="Predvolenpsmoodseku"/>
    <w:link w:val="Text"/>
    <w:rsid w:val="00BA1532"/>
    <w:rPr>
      <w:rFonts w:ascii="NeueHaasGroteskText W02" w:eastAsia="NeueHaasGroteskText W02" w:hAnsi="NeueHaasGroteskText W02" w:cs="NeueHaasGroteskText W02"/>
      <w:color w:val="000000"/>
      <w:sz w:val="20"/>
      <w:szCs w:val="20"/>
      <w:u w:color="000000"/>
      <w:bdr w:val="nil"/>
      <w:lang w:eastAsia="en-US"/>
    </w:rPr>
  </w:style>
  <w:style w:type="paragraph" w:styleId="Normlnywebov">
    <w:name w:val="Normal (Web)"/>
    <w:basedOn w:val="Normlny"/>
    <w:unhideWhenUsed/>
    <w:rsid w:val="00BA1532"/>
  </w:style>
  <w:style w:type="paragraph" w:customStyle="1" w:styleId="gmail-m-1648484718305530482msolistparagraph">
    <w:name w:val="gmail-m_-1648484718305530482msolistparagraph"/>
    <w:basedOn w:val="Normlny"/>
    <w:rsid w:val="00BA1532"/>
    <w:pPr>
      <w:spacing w:before="100" w:beforeAutospacing="1" w:after="100" w:afterAutospacing="1"/>
    </w:pPr>
    <w:rPr>
      <w:rFonts w:ascii="Calibri" w:eastAsiaTheme="minorHAnsi" w:hAnsi="Calibri" w:cs="Calibri"/>
      <w:sz w:val="22"/>
      <w:szCs w:val="22"/>
    </w:rPr>
  </w:style>
  <w:style w:type="character" w:styleId="Odkaznapoznmkupodiarou">
    <w:name w:val="footnote reference"/>
    <w:basedOn w:val="Predvolenpsmoodseku"/>
    <w:uiPriority w:val="99"/>
    <w:unhideWhenUsed/>
    <w:rsid w:val="00BA1532"/>
    <w:rPr>
      <w:vertAlign w:val="superscript"/>
    </w:rPr>
  </w:style>
  <w:style w:type="paragraph" w:styleId="Obyajntext">
    <w:name w:val="Plain Text"/>
    <w:basedOn w:val="Normlny"/>
    <w:link w:val="ObyajntextChar"/>
    <w:uiPriority w:val="99"/>
    <w:unhideWhenUsed/>
    <w:rsid w:val="00BA1532"/>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BA1532"/>
    <w:rPr>
      <w:rFonts w:ascii="Calibri" w:eastAsiaTheme="minorHAnsi" w:hAnsi="Calibri" w:cstheme="minorBidi"/>
      <w:szCs w:val="21"/>
      <w:lang w:eastAsia="en-US"/>
    </w:rPr>
  </w:style>
  <w:style w:type="paragraph" w:styleId="Zarkazkladnhotextu">
    <w:name w:val="Body Text Indent"/>
    <w:basedOn w:val="Normlny"/>
    <w:link w:val="ZarkazkladnhotextuChar"/>
    <w:uiPriority w:val="99"/>
    <w:rsid w:val="00BA1532"/>
    <w:pPr>
      <w:spacing w:after="120"/>
      <w:ind w:left="283"/>
    </w:pPr>
  </w:style>
  <w:style w:type="character" w:customStyle="1" w:styleId="ZarkazkladnhotextuChar">
    <w:name w:val="Zarážka základného textu Char"/>
    <w:basedOn w:val="Predvolenpsmoodseku"/>
    <w:link w:val="Zarkazkladnhotextu"/>
    <w:uiPriority w:val="99"/>
    <w:rsid w:val="00BA1532"/>
    <w:rPr>
      <w:sz w:val="24"/>
      <w:szCs w:val="24"/>
    </w:rPr>
  </w:style>
  <w:style w:type="paragraph" w:customStyle="1" w:styleId="Zkladntext1">
    <w:name w:val="Zkladn text"/>
    <w:rsid w:val="00BA1532"/>
    <w:pPr>
      <w:widowControl w:val="0"/>
      <w:autoSpaceDE w:val="0"/>
      <w:autoSpaceDN w:val="0"/>
      <w:spacing w:after="0" w:line="240" w:lineRule="auto"/>
    </w:pPr>
    <w:rPr>
      <w:color w:val="000000"/>
      <w:sz w:val="20"/>
      <w:szCs w:val="20"/>
    </w:rPr>
  </w:style>
  <w:style w:type="paragraph" w:customStyle="1" w:styleId="dka">
    <w:name w:val="dka"/>
    <w:rsid w:val="00BA1532"/>
    <w:pPr>
      <w:widowControl w:val="0"/>
      <w:autoSpaceDE w:val="0"/>
      <w:autoSpaceDN w:val="0"/>
      <w:spacing w:after="0" w:line="240" w:lineRule="auto"/>
    </w:pPr>
    <w:rPr>
      <w:color w:val="000000"/>
      <w:sz w:val="20"/>
      <w:szCs w:val="20"/>
    </w:rPr>
  </w:style>
  <w:style w:type="paragraph" w:styleId="Nzov">
    <w:name w:val="Title"/>
    <w:basedOn w:val="Normlny"/>
    <w:link w:val="NzovChar"/>
    <w:qFormat/>
    <w:rsid w:val="00BA1532"/>
    <w:pPr>
      <w:autoSpaceDE w:val="0"/>
      <w:autoSpaceDN w:val="0"/>
      <w:jc w:val="center"/>
    </w:pPr>
    <w:rPr>
      <w:b/>
      <w:bCs/>
    </w:rPr>
  </w:style>
  <w:style w:type="character" w:customStyle="1" w:styleId="NzovChar">
    <w:name w:val="Názov Char"/>
    <w:basedOn w:val="Predvolenpsmoodseku"/>
    <w:link w:val="Nzov"/>
    <w:rsid w:val="00BA1532"/>
    <w:rPr>
      <w:b/>
      <w:bCs/>
      <w:sz w:val="24"/>
      <w:szCs w:val="24"/>
    </w:rPr>
  </w:style>
  <w:style w:type="character" w:customStyle="1" w:styleId="awspan1">
    <w:name w:val="awspan1"/>
    <w:rsid w:val="00BA1532"/>
    <w:rPr>
      <w:rFonts w:cs="Times New Roman"/>
      <w:color w:val="000000"/>
      <w:sz w:val="24"/>
      <w:szCs w:val="24"/>
    </w:rPr>
  </w:style>
  <w:style w:type="paragraph" w:customStyle="1" w:styleId="c08dispositif">
    <w:name w:val="c08dispositif"/>
    <w:basedOn w:val="Normlny"/>
    <w:rsid w:val="00BA1532"/>
    <w:pPr>
      <w:spacing w:before="100" w:beforeAutospacing="1" w:after="100" w:afterAutospacing="1"/>
    </w:pPr>
  </w:style>
  <w:style w:type="paragraph" w:customStyle="1" w:styleId="c31dispositiftiretlong">
    <w:name w:val="c31dispositiftiretlong"/>
    <w:basedOn w:val="Normlny"/>
    <w:rsid w:val="00BA15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23533">
      <w:bodyDiv w:val="1"/>
      <w:marLeft w:val="0"/>
      <w:marRight w:val="0"/>
      <w:marTop w:val="0"/>
      <w:marBottom w:val="0"/>
      <w:divBdr>
        <w:top w:val="none" w:sz="0" w:space="0" w:color="auto"/>
        <w:left w:val="none" w:sz="0" w:space="0" w:color="auto"/>
        <w:bottom w:val="none" w:sz="0" w:space="0" w:color="auto"/>
        <w:right w:val="none" w:sz="0" w:space="0" w:color="auto"/>
      </w:divBdr>
    </w:div>
    <w:div w:id="1016343285">
      <w:marLeft w:val="0"/>
      <w:marRight w:val="0"/>
      <w:marTop w:val="0"/>
      <w:marBottom w:val="0"/>
      <w:divBdr>
        <w:top w:val="none" w:sz="0" w:space="0" w:color="auto"/>
        <w:left w:val="none" w:sz="0" w:space="0" w:color="auto"/>
        <w:bottom w:val="none" w:sz="0" w:space="0" w:color="auto"/>
        <w:right w:val="none" w:sz="0" w:space="0" w:color="auto"/>
      </w:divBdr>
    </w:div>
    <w:div w:id="1016343286">
      <w:marLeft w:val="0"/>
      <w:marRight w:val="0"/>
      <w:marTop w:val="0"/>
      <w:marBottom w:val="0"/>
      <w:divBdr>
        <w:top w:val="none" w:sz="0" w:space="0" w:color="auto"/>
        <w:left w:val="none" w:sz="0" w:space="0" w:color="auto"/>
        <w:bottom w:val="none" w:sz="0" w:space="0" w:color="auto"/>
        <w:right w:val="none" w:sz="0" w:space="0" w:color="auto"/>
      </w:divBdr>
    </w:div>
    <w:div w:id="1016343287">
      <w:marLeft w:val="0"/>
      <w:marRight w:val="0"/>
      <w:marTop w:val="0"/>
      <w:marBottom w:val="0"/>
      <w:divBdr>
        <w:top w:val="none" w:sz="0" w:space="0" w:color="auto"/>
        <w:left w:val="none" w:sz="0" w:space="0" w:color="auto"/>
        <w:bottom w:val="none" w:sz="0" w:space="0" w:color="auto"/>
        <w:right w:val="none" w:sz="0" w:space="0" w:color="auto"/>
      </w:divBdr>
    </w:div>
    <w:div w:id="1016343288">
      <w:marLeft w:val="0"/>
      <w:marRight w:val="0"/>
      <w:marTop w:val="0"/>
      <w:marBottom w:val="0"/>
      <w:divBdr>
        <w:top w:val="none" w:sz="0" w:space="0" w:color="auto"/>
        <w:left w:val="none" w:sz="0" w:space="0" w:color="auto"/>
        <w:bottom w:val="none" w:sz="0" w:space="0" w:color="auto"/>
        <w:right w:val="none" w:sz="0" w:space="0" w:color="auto"/>
      </w:divBdr>
    </w:div>
    <w:div w:id="1016343289">
      <w:marLeft w:val="0"/>
      <w:marRight w:val="0"/>
      <w:marTop w:val="0"/>
      <w:marBottom w:val="0"/>
      <w:divBdr>
        <w:top w:val="none" w:sz="0" w:space="0" w:color="auto"/>
        <w:left w:val="none" w:sz="0" w:space="0" w:color="auto"/>
        <w:bottom w:val="none" w:sz="0" w:space="0" w:color="auto"/>
        <w:right w:val="none" w:sz="0" w:space="0" w:color="auto"/>
      </w:divBdr>
    </w:div>
    <w:div w:id="1016343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scslovakia.co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hsr.sk/podnikatelske-prostredie/lepsia-regulacia/regulacne-zatazenie/kalkulacka-nakladov-regulaci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michal.pavlovcik@mfsr.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9C137-AFA0-403F-972C-B1E4152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45</Pages>
  <Words>15546</Words>
  <Characters>95439</Characters>
  <Application>Microsoft Office Word</Application>
  <DocSecurity>0</DocSecurity>
  <Lines>795</Lines>
  <Paragraphs>221</Paragraphs>
  <ScaleCrop>false</ScaleCrop>
  <HeadingPairs>
    <vt:vector size="2" baseType="variant">
      <vt:variant>
        <vt:lpstr>Názov</vt:lpstr>
      </vt:variant>
      <vt:variant>
        <vt:i4>1</vt:i4>
      </vt:variant>
    </vt:vector>
  </HeadingPairs>
  <TitlesOfParts>
    <vt:vector size="1" baseType="lpstr">
      <vt:lpstr>Predkladacia správa</vt:lpstr>
    </vt:vector>
  </TitlesOfParts>
  <Company>MFSR</Company>
  <LinksUpToDate>false</LinksUpToDate>
  <CharactersWithSpaces>110764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subject/>
  <dc:creator>MFSR</dc:creator>
  <cp:keywords/>
  <dc:description/>
  <cp:lastModifiedBy>Fuleova Zuzana</cp:lastModifiedBy>
  <cp:revision>7</cp:revision>
  <cp:lastPrinted>2024-05-21T16:21:00Z</cp:lastPrinted>
  <dcterms:created xsi:type="dcterms:W3CDTF">2024-05-21T12:13:00Z</dcterms:created>
  <dcterms:modified xsi:type="dcterms:W3CDTF">2024-05-21T16:21:00Z</dcterms:modified>
</cp:coreProperties>
</file>