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0BF" w:rsidRPr="00970C0E" w:rsidRDefault="00E510BF" w:rsidP="00970C0E">
      <w:pPr>
        <w:pStyle w:val="Nzov"/>
        <w:spacing w:line="360" w:lineRule="auto"/>
        <w:contextualSpacing/>
        <w:rPr>
          <w:sz w:val="22"/>
          <w:szCs w:val="22"/>
        </w:rPr>
      </w:pPr>
      <w:r w:rsidRPr="00970C0E">
        <w:rPr>
          <w:sz w:val="22"/>
          <w:szCs w:val="22"/>
        </w:rPr>
        <w:t>Dôvodová správa</w:t>
      </w:r>
    </w:p>
    <w:p w:rsidR="00E510BF" w:rsidRPr="00970C0E" w:rsidRDefault="00E510BF" w:rsidP="00970C0E">
      <w:pPr>
        <w:pStyle w:val="Nzov"/>
        <w:spacing w:line="360" w:lineRule="auto"/>
        <w:contextualSpacing/>
        <w:rPr>
          <w:sz w:val="22"/>
          <w:szCs w:val="22"/>
        </w:rPr>
      </w:pPr>
      <w:r w:rsidRPr="00970C0E">
        <w:rPr>
          <w:sz w:val="22"/>
          <w:szCs w:val="22"/>
        </w:rPr>
        <w:t>Osobitná časť</w:t>
      </w:r>
    </w:p>
    <w:p w:rsidR="00E510BF" w:rsidRPr="00970C0E" w:rsidRDefault="00E510BF" w:rsidP="00970C0E">
      <w:pPr>
        <w:pStyle w:val="Nzov"/>
        <w:spacing w:line="360" w:lineRule="auto"/>
        <w:contextualSpacing/>
        <w:rPr>
          <w:sz w:val="22"/>
          <w:szCs w:val="22"/>
        </w:rPr>
      </w:pPr>
      <w:r w:rsidRPr="00970C0E">
        <w:rPr>
          <w:sz w:val="22"/>
          <w:szCs w:val="22"/>
        </w:rPr>
        <w:t>K čl. I</w:t>
      </w:r>
    </w:p>
    <w:p w:rsidR="0066461B" w:rsidRPr="00970C0E" w:rsidRDefault="0066461B" w:rsidP="00970C0E">
      <w:pPr>
        <w:pStyle w:val="Nzov"/>
        <w:spacing w:line="360" w:lineRule="auto"/>
        <w:contextualSpacing/>
        <w:jc w:val="left"/>
        <w:rPr>
          <w:b w:val="0"/>
          <w:sz w:val="22"/>
          <w:szCs w:val="22"/>
        </w:rPr>
      </w:pPr>
      <w:r w:rsidRPr="00970C0E">
        <w:rPr>
          <w:b w:val="0"/>
          <w:sz w:val="22"/>
          <w:szCs w:val="22"/>
        </w:rPr>
        <w:t>K bodu 1 (§ 1 nový odkaz 1aaa)</w:t>
      </w:r>
    </w:p>
    <w:p w:rsidR="0066461B" w:rsidRPr="00970C0E" w:rsidRDefault="00347F00" w:rsidP="00594276">
      <w:pPr>
        <w:spacing w:after="0" w:line="360" w:lineRule="auto"/>
        <w:ind w:firstLine="426"/>
        <w:jc w:val="both"/>
        <w:rPr>
          <w:rFonts w:ascii="Times New Roman" w:hAnsi="Times New Roman"/>
        </w:rPr>
      </w:pPr>
      <w:r>
        <w:rPr>
          <w:rFonts w:ascii="Times New Roman" w:hAnsi="Times New Roman"/>
        </w:rPr>
        <w:t xml:space="preserve">Dopĺňa sa informatívny odkaz </w:t>
      </w:r>
      <w:r w:rsidR="0066461B" w:rsidRPr="00970C0E">
        <w:rPr>
          <w:rFonts w:ascii="Times New Roman" w:hAnsi="Times New Roman"/>
        </w:rPr>
        <w:t xml:space="preserve">na príslušné články </w:t>
      </w:r>
      <w:r>
        <w:rPr>
          <w:rFonts w:ascii="Times New Roman" w:hAnsi="Times New Roman"/>
        </w:rPr>
        <w:t xml:space="preserve">medzinárodných </w:t>
      </w:r>
      <w:r w:rsidR="0066461B" w:rsidRPr="00970C0E">
        <w:rPr>
          <w:rFonts w:ascii="Times New Roman" w:hAnsi="Times New Roman"/>
        </w:rPr>
        <w:t xml:space="preserve">dohovorov </w:t>
      </w:r>
      <w:r>
        <w:rPr>
          <w:rFonts w:ascii="Times New Roman" w:hAnsi="Times New Roman"/>
        </w:rPr>
        <w:t xml:space="preserve">na účel </w:t>
      </w:r>
      <w:r w:rsidR="0066461B" w:rsidRPr="00970C0E">
        <w:rPr>
          <w:rFonts w:ascii="Times New Roman" w:hAnsi="Times New Roman"/>
        </w:rPr>
        <w:t>vymedz</w:t>
      </w:r>
      <w:r>
        <w:rPr>
          <w:rFonts w:ascii="Times New Roman" w:hAnsi="Times New Roman"/>
        </w:rPr>
        <w:t xml:space="preserve">enia </w:t>
      </w:r>
      <w:r w:rsidR="0066461B" w:rsidRPr="00970C0E">
        <w:rPr>
          <w:rFonts w:ascii="Times New Roman" w:hAnsi="Times New Roman"/>
        </w:rPr>
        <w:t>poj</w:t>
      </w:r>
      <w:r>
        <w:rPr>
          <w:rFonts w:ascii="Times New Roman" w:hAnsi="Times New Roman"/>
        </w:rPr>
        <w:t>mov</w:t>
      </w:r>
      <w:r w:rsidR="0066461B" w:rsidRPr="00970C0E">
        <w:rPr>
          <w:rFonts w:ascii="Times New Roman" w:hAnsi="Times New Roman"/>
        </w:rPr>
        <w:t xml:space="preserve"> „dovoz“ a „vývoz“ omamných a psychotropných látok </w:t>
      </w:r>
      <w:r>
        <w:rPr>
          <w:rFonts w:ascii="Times New Roman" w:hAnsi="Times New Roman"/>
        </w:rPr>
        <w:t xml:space="preserve">v rámci </w:t>
      </w:r>
      <w:r w:rsidR="0066461B" w:rsidRPr="00970C0E">
        <w:rPr>
          <w:rFonts w:ascii="Times New Roman" w:hAnsi="Times New Roman"/>
        </w:rPr>
        <w:t>zákona č. 139/1998 Z. z. o omamných látkach, psychotropných látkach a prípravkoch v znení neskorších predpisov (ďalej len „zákon č. 139/1998 Z.</w:t>
      </w:r>
      <w:r w:rsidR="0087313C" w:rsidRPr="00970C0E">
        <w:rPr>
          <w:rFonts w:ascii="Times New Roman" w:hAnsi="Times New Roman"/>
        </w:rPr>
        <w:t xml:space="preserve"> </w:t>
      </w:r>
      <w:r w:rsidR="0066461B" w:rsidRPr="00970C0E">
        <w:rPr>
          <w:rFonts w:ascii="Times New Roman" w:hAnsi="Times New Roman"/>
        </w:rPr>
        <w:t>z.“)</w:t>
      </w:r>
      <w:r w:rsidR="00B57210" w:rsidRPr="00970C0E">
        <w:rPr>
          <w:rFonts w:ascii="Times New Roman" w:hAnsi="Times New Roman"/>
        </w:rPr>
        <w:t>.</w:t>
      </w:r>
    </w:p>
    <w:p w:rsidR="00B57210" w:rsidRPr="00970C0E" w:rsidRDefault="00B57210" w:rsidP="00970C0E">
      <w:pPr>
        <w:spacing w:after="0" w:line="360" w:lineRule="auto"/>
        <w:ind w:firstLine="708"/>
        <w:jc w:val="both"/>
        <w:rPr>
          <w:rFonts w:ascii="Times New Roman" w:hAnsi="Times New Roman"/>
        </w:rPr>
      </w:pPr>
    </w:p>
    <w:p w:rsidR="00B57210" w:rsidRPr="00970C0E" w:rsidRDefault="00B57210" w:rsidP="00970C0E">
      <w:pPr>
        <w:spacing w:after="0" w:line="360" w:lineRule="auto"/>
        <w:jc w:val="both"/>
        <w:rPr>
          <w:rFonts w:ascii="Times New Roman" w:hAnsi="Times New Roman"/>
        </w:rPr>
      </w:pPr>
      <w:r w:rsidRPr="00970C0E">
        <w:rPr>
          <w:rFonts w:ascii="Times New Roman" w:hAnsi="Times New Roman"/>
        </w:rPr>
        <w:t>K bodu 2 (poznámka k odkazu 1ab)</w:t>
      </w:r>
    </w:p>
    <w:p w:rsidR="0066461B" w:rsidRPr="00970C0E" w:rsidRDefault="00B57210" w:rsidP="00594276">
      <w:pPr>
        <w:pStyle w:val="Nzov"/>
        <w:spacing w:line="360" w:lineRule="auto"/>
        <w:ind w:firstLine="426"/>
        <w:contextualSpacing/>
        <w:jc w:val="left"/>
        <w:rPr>
          <w:rFonts w:eastAsia="Calibri"/>
          <w:b w:val="0"/>
          <w:bCs w:val="0"/>
          <w:sz w:val="22"/>
          <w:szCs w:val="22"/>
          <w:lang w:eastAsia="en-US"/>
        </w:rPr>
      </w:pPr>
      <w:r w:rsidRPr="00970C0E">
        <w:rPr>
          <w:rFonts w:eastAsia="Calibri"/>
          <w:b w:val="0"/>
          <w:bCs w:val="0"/>
          <w:sz w:val="22"/>
          <w:szCs w:val="22"/>
          <w:lang w:eastAsia="en-US"/>
        </w:rPr>
        <w:t>Aktualizácia odkazu na nové nariadenie Európskeho parlamentu a Rady (EÚ) 2023/1322 z 27. júna 2023 o Agentúre Európskej únie pre drogy (EUDA).</w:t>
      </w:r>
    </w:p>
    <w:p w:rsidR="00E510BF" w:rsidRPr="00970C0E" w:rsidRDefault="00E510BF" w:rsidP="00970C0E">
      <w:pPr>
        <w:spacing w:after="0" w:line="360" w:lineRule="auto"/>
        <w:jc w:val="both"/>
        <w:rPr>
          <w:rFonts w:ascii="Times New Roman" w:hAnsi="Times New Roman"/>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K bodu </w:t>
      </w:r>
      <w:r w:rsidR="0087313C" w:rsidRPr="00970C0E">
        <w:rPr>
          <w:rFonts w:ascii="Times New Roman" w:hAnsi="Times New Roman"/>
        </w:rPr>
        <w:t>3 až 5</w:t>
      </w:r>
      <w:r w:rsidR="003D11D7">
        <w:rPr>
          <w:rFonts w:ascii="Times New Roman" w:hAnsi="Times New Roman"/>
        </w:rPr>
        <w:t xml:space="preserve"> a bodu 8</w:t>
      </w:r>
      <w:r w:rsidRPr="00970C0E">
        <w:rPr>
          <w:rFonts w:ascii="Times New Roman" w:hAnsi="Times New Roman"/>
        </w:rPr>
        <w:t xml:space="preserve"> (§ 5 ods. 1</w:t>
      </w:r>
      <w:r w:rsidR="003D11D7">
        <w:rPr>
          <w:rFonts w:ascii="Times New Roman" w:hAnsi="Times New Roman"/>
        </w:rPr>
        <w:t xml:space="preserve">, </w:t>
      </w:r>
      <w:r w:rsidRPr="00970C0E">
        <w:rPr>
          <w:rFonts w:ascii="Times New Roman" w:hAnsi="Times New Roman"/>
        </w:rPr>
        <w:t>2</w:t>
      </w:r>
      <w:r w:rsidR="003D11D7">
        <w:rPr>
          <w:rFonts w:ascii="Times New Roman" w:hAnsi="Times New Roman"/>
        </w:rPr>
        <w:t xml:space="preserve"> a 4, § 7 ods. 3</w:t>
      </w:r>
      <w:r w:rsidRPr="00970C0E">
        <w:rPr>
          <w:rFonts w:ascii="Times New Roman" w:hAnsi="Times New Roman"/>
        </w:rPr>
        <w:t>)</w:t>
      </w:r>
      <w:r w:rsidRPr="00970C0E" w:rsidDel="003A4A78">
        <w:rPr>
          <w:rFonts w:ascii="Times New Roman" w:hAnsi="Times New Roman"/>
        </w:rPr>
        <w:t xml:space="preserve"> </w:t>
      </w:r>
    </w:p>
    <w:p w:rsidR="008C30F2" w:rsidRDefault="00E510BF" w:rsidP="00594276">
      <w:pPr>
        <w:spacing w:after="0" w:line="360" w:lineRule="auto"/>
        <w:ind w:firstLine="426"/>
        <w:jc w:val="both"/>
        <w:rPr>
          <w:rFonts w:ascii="Times New Roman" w:hAnsi="Times New Roman"/>
        </w:rPr>
      </w:pPr>
      <w:r w:rsidRPr="00970C0E">
        <w:rPr>
          <w:rFonts w:ascii="Times New Roman" w:hAnsi="Times New Roman"/>
        </w:rPr>
        <w:t>Úprava textácie v § 5 ods. 1, ktorý pojednáva o všeobecných podmienkach zaobchádzania s omamnými a psychotropnými látkami fyzickou osobou z dôvodu prehľadn</w:t>
      </w:r>
      <w:r w:rsidR="00347F00">
        <w:rPr>
          <w:rFonts w:ascii="Times New Roman" w:hAnsi="Times New Roman"/>
        </w:rPr>
        <w:t xml:space="preserve">osti a jednoznačnosti. </w:t>
      </w:r>
    </w:p>
    <w:p w:rsidR="00E510BF" w:rsidRPr="00970C0E" w:rsidRDefault="00DB448A" w:rsidP="00594276">
      <w:pPr>
        <w:spacing w:after="0" w:line="360" w:lineRule="auto"/>
        <w:ind w:firstLine="426"/>
        <w:jc w:val="both"/>
        <w:rPr>
          <w:rFonts w:ascii="Times New Roman" w:hAnsi="Times New Roman"/>
        </w:rPr>
      </w:pPr>
      <w:r>
        <w:rPr>
          <w:rFonts w:ascii="Times New Roman" w:hAnsi="Times New Roman"/>
        </w:rPr>
        <w:t>V zmysle definície zaobchádzania s omamnými a psychotropnými  látkami uvedenej v § 4 ods. 1 je zaobchádzaním činnosť</w:t>
      </w:r>
      <w:r w:rsidRPr="00DB448A">
        <w:rPr>
          <w:rFonts w:ascii="Times New Roman" w:hAnsi="Times New Roman"/>
        </w:rPr>
        <w:t xml:space="preserve"> na základe povolenia, ktoré vydáva ministerstvo</w:t>
      </w:r>
      <w:r>
        <w:rPr>
          <w:rFonts w:ascii="Times New Roman" w:hAnsi="Times New Roman"/>
        </w:rPr>
        <w:t xml:space="preserve"> zdravotníctva. </w:t>
      </w:r>
      <w:r w:rsidR="008C30F2">
        <w:rPr>
          <w:rFonts w:ascii="Times New Roman" w:hAnsi="Times New Roman"/>
        </w:rPr>
        <w:t xml:space="preserve">Bezúhonnosť fyzickej osoby sa </w:t>
      </w:r>
      <w:r>
        <w:rPr>
          <w:rFonts w:ascii="Times New Roman" w:hAnsi="Times New Roman"/>
        </w:rPr>
        <w:t xml:space="preserve">podľa § 5 ods. 1 </w:t>
      </w:r>
      <w:r w:rsidR="008C30F2">
        <w:rPr>
          <w:rFonts w:ascii="Times New Roman" w:hAnsi="Times New Roman"/>
        </w:rPr>
        <w:t>posudzuje u fyzickej osoby, ktorá zaobchádza s omamnými a psychotropnými látkami</w:t>
      </w:r>
      <w:r w:rsidR="00A27864">
        <w:rPr>
          <w:rFonts w:ascii="Times New Roman" w:hAnsi="Times New Roman"/>
        </w:rPr>
        <w:t>- to znamená u fyzickej osoby, ktorá je držiteľom povolenia</w:t>
      </w:r>
      <w:r>
        <w:rPr>
          <w:rFonts w:ascii="Times New Roman" w:hAnsi="Times New Roman"/>
        </w:rPr>
        <w:t xml:space="preserve">. </w:t>
      </w:r>
      <w:r w:rsidR="00347F00">
        <w:rPr>
          <w:rFonts w:ascii="Times New Roman" w:hAnsi="Times New Roman"/>
        </w:rPr>
        <w:t xml:space="preserve">Z postupu </w:t>
      </w:r>
      <w:r w:rsidR="00E510BF" w:rsidRPr="00970C0E">
        <w:rPr>
          <w:rFonts w:ascii="Times New Roman" w:hAnsi="Times New Roman"/>
        </w:rPr>
        <w:t>preuk</w:t>
      </w:r>
      <w:r w:rsidR="00347F00">
        <w:rPr>
          <w:rFonts w:ascii="Times New Roman" w:hAnsi="Times New Roman"/>
        </w:rPr>
        <w:t>azovania</w:t>
      </w:r>
      <w:r w:rsidR="00E510BF" w:rsidRPr="00970C0E">
        <w:rPr>
          <w:rFonts w:ascii="Times New Roman" w:hAnsi="Times New Roman"/>
        </w:rPr>
        <w:t xml:space="preserve"> bezúhonnosti držiteľa povolenia na zaobchádzanie s omamnými a psychotropnými látkami sa </w:t>
      </w:r>
      <w:r w:rsidR="00347F00">
        <w:rPr>
          <w:rFonts w:ascii="Times New Roman" w:hAnsi="Times New Roman"/>
        </w:rPr>
        <w:t xml:space="preserve">vypúšťa </w:t>
      </w:r>
      <w:r w:rsidR="00A90465">
        <w:rPr>
          <w:rFonts w:ascii="Times New Roman" w:hAnsi="Times New Roman"/>
        </w:rPr>
        <w:t xml:space="preserve">duplicitná </w:t>
      </w:r>
      <w:r w:rsidR="00347F00">
        <w:rPr>
          <w:rFonts w:ascii="Times New Roman" w:hAnsi="Times New Roman"/>
        </w:rPr>
        <w:t>úprava, ktorá je predmetom osobitného právneho predpisu</w:t>
      </w:r>
      <w:r w:rsidR="00A90465">
        <w:rPr>
          <w:rFonts w:ascii="Times New Roman" w:hAnsi="Times New Roman"/>
        </w:rPr>
        <w:t xml:space="preserve"> (§ </w:t>
      </w:r>
      <w:r w:rsidR="00347F00">
        <w:rPr>
          <w:rFonts w:ascii="Times New Roman" w:hAnsi="Times New Roman"/>
        </w:rPr>
        <w:t>2</w:t>
      </w:r>
      <w:r w:rsidR="00A90465">
        <w:rPr>
          <w:rFonts w:ascii="Times New Roman" w:hAnsi="Times New Roman"/>
        </w:rPr>
        <w:t>0</w:t>
      </w:r>
      <w:r w:rsidR="00347F00">
        <w:rPr>
          <w:rFonts w:ascii="Times New Roman" w:hAnsi="Times New Roman"/>
        </w:rPr>
        <w:t xml:space="preserve"> zákona č. 192/2023 Z. z. zákona o registri trestov a o zmene a doplnení niektorých zákonov v znení neskorších predpisov</w:t>
      </w:r>
      <w:r w:rsidR="00A90465">
        <w:rPr>
          <w:rFonts w:ascii="Times New Roman" w:hAnsi="Times New Roman"/>
        </w:rPr>
        <w:t>)</w:t>
      </w:r>
      <w:r w:rsidR="00347F00">
        <w:rPr>
          <w:rFonts w:ascii="Times New Roman" w:hAnsi="Times New Roman"/>
        </w:rPr>
        <w:t xml:space="preserve">, </w:t>
      </w:r>
      <w:r w:rsidR="00A90465">
        <w:rPr>
          <w:rFonts w:ascii="Times New Roman" w:hAnsi="Times New Roman"/>
        </w:rPr>
        <w:t xml:space="preserve">a ostanuvší postup sa rovnako </w:t>
      </w:r>
      <w:r w:rsidR="00347F00">
        <w:rPr>
          <w:rFonts w:ascii="Times New Roman" w:hAnsi="Times New Roman"/>
        </w:rPr>
        <w:t xml:space="preserve">v záujme prehľadnosti </w:t>
      </w:r>
      <w:r w:rsidR="00E510BF" w:rsidRPr="00970C0E">
        <w:rPr>
          <w:rFonts w:ascii="Times New Roman" w:hAnsi="Times New Roman"/>
        </w:rPr>
        <w:t>presúva</w:t>
      </w:r>
      <w:r w:rsidR="00347F00">
        <w:rPr>
          <w:rFonts w:ascii="Times New Roman" w:hAnsi="Times New Roman"/>
        </w:rPr>
        <w:t xml:space="preserve"> do ustanovení </w:t>
      </w:r>
      <w:r w:rsidR="00E510BF" w:rsidRPr="00970C0E">
        <w:rPr>
          <w:rFonts w:ascii="Times New Roman" w:hAnsi="Times New Roman"/>
        </w:rPr>
        <w:t>upravujúcich postupy pri podaní žiadosti</w:t>
      </w:r>
      <w:r w:rsidR="00A90465">
        <w:rPr>
          <w:rFonts w:ascii="Times New Roman" w:hAnsi="Times New Roman"/>
        </w:rPr>
        <w:t xml:space="preserve"> o vydanie povolenia</w:t>
      </w:r>
      <w:r w:rsidR="00E510BF" w:rsidRPr="00970C0E">
        <w:rPr>
          <w:rFonts w:ascii="Times New Roman" w:hAnsi="Times New Roman"/>
        </w:rPr>
        <w:t>. (§ 8 ods. 3 písm. d))</w:t>
      </w:r>
      <w:r w:rsidR="003D11D7">
        <w:rPr>
          <w:rFonts w:ascii="Times New Roman" w:hAnsi="Times New Roman"/>
        </w:rPr>
        <w:t xml:space="preserve">. Zároveň sa požiadavky na bezúhonnosť pre konkrétne osoby presúvajú rešpektujúc systematiku zákona. </w:t>
      </w:r>
    </w:p>
    <w:p w:rsidR="00E510BF" w:rsidRPr="00970C0E" w:rsidRDefault="00E510BF" w:rsidP="00970C0E">
      <w:pPr>
        <w:spacing w:after="0" w:line="360" w:lineRule="auto"/>
        <w:jc w:val="both"/>
        <w:rPr>
          <w:rFonts w:ascii="Times New Roman" w:hAnsi="Times New Roman"/>
        </w:rPr>
      </w:pPr>
    </w:p>
    <w:p w:rsidR="00E510BF" w:rsidRPr="00970C0E" w:rsidRDefault="00E510BF" w:rsidP="00970C0E">
      <w:pPr>
        <w:spacing w:after="0" w:line="360" w:lineRule="auto"/>
        <w:jc w:val="both"/>
        <w:rPr>
          <w:rFonts w:ascii="Times New Roman" w:eastAsia="SimSun" w:hAnsi="Times New Roman"/>
          <w:kern w:val="3"/>
        </w:rPr>
      </w:pPr>
      <w:r w:rsidRPr="00970C0E">
        <w:rPr>
          <w:rFonts w:ascii="Times New Roman" w:eastAsia="SimSun" w:hAnsi="Times New Roman"/>
          <w:kern w:val="3"/>
        </w:rPr>
        <w:t xml:space="preserve">K bodu </w:t>
      </w:r>
      <w:r w:rsidR="0087313C" w:rsidRPr="00970C0E">
        <w:rPr>
          <w:rFonts w:ascii="Times New Roman" w:eastAsia="SimSun" w:hAnsi="Times New Roman"/>
          <w:kern w:val="3"/>
        </w:rPr>
        <w:t>6</w:t>
      </w:r>
      <w:r w:rsidRPr="00970C0E">
        <w:rPr>
          <w:rFonts w:ascii="Times New Roman" w:eastAsia="SimSun" w:hAnsi="Times New Roman"/>
          <w:kern w:val="3"/>
        </w:rPr>
        <w:t xml:space="preserve"> (§ 6 ods. 6)</w:t>
      </w:r>
    </w:p>
    <w:p w:rsidR="00E510BF" w:rsidRPr="00970C0E" w:rsidRDefault="00E510BF" w:rsidP="00594276">
      <w:pPr>
        <w:pStyle w:val="Odsekzoznamu"/>
        <w:spacing w:line="360" w:lineRule="auto"/>
        <w:ind w:left="0" w:firstLine="426"/>
        <w:jc w:val="both"/>
        <w:rPr>
          <w:sz w:val="22"/>
          <w:szCs w:val="22"/>
        </w:rPr>
      </w:pPr>
      <w:r w:rsidRPr="00970C0E">
        <w:rPr>
          <w:sz w:val="22"/>
          <w:szCs w:val="22"/>
        </w:rPr>
        <w:t xml:space="preserve">Vzhľadom na skutočnosť, že z aplikačnej praxe prichádzali podnety, z ktorých vyplývala nejednoznačnosť požiadaviek na odbornú spôsobilosť fyzických osôb vykonávajúcich prepravu omamných a psychotropných látok, navrhuje sa úprava textu, z ktorej bude jednoznačne vyplývať, že odborná spôsobilosť fyzickej osoby na prepravu omamných a psychotropných látok sa preukazuje osvedčením osoby vykonávajúcej prepravu o absolvovaní oboznámenia a preverovania. ktoré vykonáva Slovenská zdravotnícka univerzita podľa § 6 ods. 4. Iná odborná spôsobilosť sa u žiadateľa o vydanie povolenia nevyžaduje.  </w:t>
      </w:r>
    </w:p>
    <w:p w:rsidR="001741CC" w:rsidRPr="00970C0E" w:rsidRDefault="001741CC" w:rsidP="00970C0E">
      <w:pPr>
        <w:pStyle w:val="Odsekzoznamu"/>
        <w:spacing w:line="360" w:lineRule="auto"/>
        <w:ind w:left="0" w:firstLine="708"/>
        <w:jc w:val="both"/>
        <w:rPr>
          <w:sz w:val="22"/>
          <w:szCs w:val="22"/>
        </w:rPr>
      </w:pPr>
    </w:p>
    <w:p w:rsidR="001741CC" w:rsidRPr="00970C0E" w:rsidRDefault="001741CC" w:rsidP="00970C0E">
      <w:pPr>
        <w:spacing w:line="360" w:lineRule="auto"/>
        <w:jc w:val="both"/>
        <w:rPr>
          <w:rFonts w:ascii="Times New Roman" w:hAnsi="Times New Roman"/>
        </w:rPr>
      </w:pPr>
      <w:r w:rsidRPr="00970C0E">
        <w:rPr>
          <w:rFonts w:ascii="Times New Roman" w:eastAsia="Times New Roman" w:hAnsi="Times New Roman"/>
          <w:lang w:eastAsia="cs-CZ"/>
        </w:rPr>
        <w:t xml:space="preserve">K bodu </w:t>
      </w:r>
      <w:r w:rsidR="0087313C" w:rsidRPr="00970C0E">
        <w:rPr>
          <w:rFonts w:ascii="Times New Roman" w:eastAsia="Times New Roman" w:hAnsi="Times New Roman"/>
          <w:lang w:eastAsia="cs-CZ"/>
        </w:rPr>
        <w:t>7</w:t>
      </w:r>
      <w:r w:rsidR="003D11D7">
        <w:rPr>
          <w:rFonts w:ascii="Times New Roman" w:eastAsia="Times New Roman" w:hAnsi="Times New Roman"/>
          <w:lang w:eastAsia="cs-CZ"/>
        </w:rPr>
        <w:t>, 9 a 10</w:t>
      </w:r>
      <w:r w:rsidRPr="00970C0E">
        <w:rPr>
          <w:rFonts w:ascii="Times New Roman" w:eastAsia="Times New Roman" w:hAnsi="Times New Roman"/>
          <w:lang w:eastAsia="cs-CZ"/>
        </w:rPr>
        <w:t xml:space="preserve"> (§ 7 nadpis, ods</w:t>
      </w:r>
      <w:r w:rsidR="00B10628" w:rsidRPr="00970C0E">
        <w:rPr>
          <w:rFonts w:ascii="Times New Roman" w:eastAsia="Times New Roman" w:hAnsi="Times New Roman"/>
          <w:lang w:eastAsia="cs-CZ"/>
        </w:rPr>
        <w:t>.</w:t>
      </w:r>
      <w:r w:rsidRPr="00970C0E">
        <w:rPr>
          <w:rFonts w:ascii="Times New Roman" w:eastAsia="Times New Roman" w:hAnsi="Times New Roman"/>
          <w:lang w:eastAsia="cs-CZ"/>
        </w:rPr>
        <w:t xml:space="preserve"> </w:t>
      </w:r>
      <w:r w:rsidR="003D11D7">
        <w:rPr>
          <w:rFonts w:ascii="Times New Roman" w:eastAsia="Times New Roman" w:hAnsi="Times New Roman"/>
          <w:lang w:eastAsia="cs-CZ"/>
        </w:rPr>
        <w:t>4, ods. 6 až 10</w:t>
      </w:r>
      <w:r w:rsidRPr="00970C0E">
        <w:rPr>
          <w:rFonts w:ascii="Times New Roman" w:eastAsia="Times New Roman" w:hAnsi="Times New Roman"/>
          <w:lang w:eastAsia="cs-CZ"/>
        </w:rPr>
        <w:t>)</w:t>
      </w:r>
    </w:p>
    <w:p w:rsidR="001741CC" w:rsidRPr="00970C0E" w:rsidRDefault="001741CC" w:rsidP="00594276">
      <w:pPr>
        <w:spacing w:line="360" w:lineRule="auto"/>
        <w:ind w:firstLine="426"/>
        <w:jc w:val="both"/>
        <w:rPr>
          <w:rFonts w:ascii="Times New Roman" w:hAnsi="Times New Roman"/>
        </w:rPr>
      </w:pPr>
      <w:r w:rsidRPr="00970C0E">
        <w:rPr>
          <w:rFonts w:ascii="Times New Roman" w:eastAsia="Times New Roman" w:hAnsi="Times New Roman"/>
          <w:lang w:eastAsia="cs-CZ"/>
        </w:rPr>
        <w:lastRenderedPageBreak/>
        <w:t xml:space="preserve">V § 7 </w:t>
      </w:r>
      <w:r w:rsidR="00A4100B">
        <w:rPr>
          <w:rFonts w:ascii="Times New Roman" w:eastAsia="Times New Roman" w:hAnsi="Times New Roman"/>
          <w:lang w:eastAsia="cs-CZ"/>
        </w:rPr>
        <w:t xml:space="preserve">sa </w:t>
      </w:r>
      <w:r w:rsidRPr="00970C0E">
        <w:rPr>
          <w:rFonts w:ascii="Times New Roman" w:eastAsia="Times New Roman" w:hAnsi="Times New Roman"/>
          <w:lang w:eastAsia="cs-CZ"/>
        </w:rPr>
        <w:t>navrhuje zaviesť vo vzťah</w:t>
      </w:r>
      <w:r w:rsidR="00607BDE" w:rsidRPr="00970C0E">
        <w:rPr>
          <w:rFonts w:ascii="Times New Roman" w:eastAsia="Times New Roman" w:hAnsi="Times New Roman"/>
          <w:lang w:eastAsia="cs-CZ"/>
        </w:rPr>
        <w:t>u k držiteľom povolení na zaobchádzanie s omamnými a psychotropnými látkami</w:t>
      </w:r>
      <w:r w:rsidRPr="00970C0E">
        <w:rPr>
          <w:rFonts w:ascii="Times New Roman" w:eastAsia="Times New Roman" w:hAnsi="Times New Roman"/>
          <w:lang w:eastAsia="cs-CZ"/>
        </w:rPr>
        <w:t xml:space="preserve"> inštitút náhradného odborného zástupcu, nakoľko ak odborný zástupca prestane vykonávať odbornú činnosť, držiteľ povolenia je povinný okamžite výkon odbornej činnosti zastaviť do vydania nového povolenia, čo v praxi držiteľov povolení spôsobuje nemožnosť </w:t>
      </w:r>
      <w:r w:rsidR="00607BDE" w:rsidRPr="00970C0E">
        <w:rPr>
          <w:rFonts w:ascii="Times New Roman" w:eastAsia="Times New Roman" w:hAnsi="Times New Roman"/>
          <w:lang w:eastAsia="cs-CZ"/>
        </w:rPr>
        <w:t>zaobchádzania s omamnými a psychotropnými látkami</w:t>
      </w:r>
      <w:r w:rsidRPr="00970C0E">
        <w:rPr>
          <w:rFonts w:ascii="Times New Roman" w:eastAsia="Times New Roman" w:hAnsi="Times New Roman"/>
          <w:lang w:eastAsia="cs-CZ"/>
        </w:rPr>
        <w:t xml:space="preserve"> a to až do vydania nového povolenia. Navrhované korešponduje </w:t>
      </w:r>
      <w:r w:rsidR="00A4100B">
        <w:rPr>
          <w:rFonts w:ascii="Times New Roman" w:eastAsia="Times New Roman" w:hAnsi="Times New Roman"/>
          <w:lang w:eastAsia="cs-CZ"/>
        </w:rPr>
        <w:t xml:space="preserve">aj napríklad </w:t>
      </w:r>
      <w:r w:rsidRPr="00970C0E">
        <w:rPr>
          <w:rFonts w:ascii="Times New Roman" w:eastAsia="Times New Roman" w:hAnsi="Times New Roman"/>
          <w:lang w:eastAsia="cs-CZ"/>
        </w:rPr>
        <w:t xml:space="preserve">s právnou úpravou § 5 ods. 4 až ods. 8 zákona č. 362/2011 Z. z. o liekoch a zdravotníckych pomôckach a o zmene a doplnení niektorých zákonov. </w:t>
      </w:r>
    </w:p>
    <w:p w:rsidR="00B57991" w:rsidRPr="00970C0E" w:rsidRDefault="00B57991" w:rsidP="00970C0E">
      <w:pPr>
        <w:pStyle w:val="Odsekzoznamu"/>
        <w:spacing w:line="360" w:lineRule="auto"/>
        <w:ind w:left="0" w:firstLine="708"/>
        <w:jc w:val="both"/>
        <w:rPr>
          <w:sz w:val="22"/>
          <w:szCs w:val="22"/>
        </w:rPr>
      </w:pPr>
    </w:p>
    <w:p w:rsidR="00E510BF" w:rsidRPr="00970C0E" w:rsidRDefault="00E510BF" w:rsidP="00970C0E">
      <w:pPr>
        <w:spacing w:line="360" w:lineRule="auto"/>
        <w:contextualSpacing/>
        <w:jc w:val="both"/>
        <w:rPr>
          <w:rFonts w:ascii="Times New Roman" w:hAnsi="Times New Roman"/>
        </w:rPr>
      </w:pPr>
      <w:r w:rsidRPr="00970C0E">
        <w:rPr>
          <w:rFonts w:ascii="Times New Roman" w:hAnsi="Times New Roman"/>
        </w:rPr>
        <w:t xml:space="preserve">K bodu </w:t>
      </w:r>
      <w:r w:rsidR="00B046FA" w:rsidRPr="00970C0E">
        <w:rPr>
          <w:rFonts w:ascii="Times New Roman" w:hAnsi="Times New Roman"/>
        </w:rPr>
        <w:t>1</w:t>
      </w:r>
      <w:r w:rsidR="003D11D7">
        <w:rPr>
          <w:rFonts w:ascii="Times New Roman" w:hAnsi="Times New Roman"/>
        </w:rPr>
        <w:t>1</w:t>
      </w:r>
      <w:r w:rsidRPr="00970C0E">
        <w:rPr>
          <w:rFonts w:ascii="Times New Roman" w:hAnsi="Times New Roman"/>
        </w:rPr>
        <w:t xml:space="preserve"> a </w:t>
      </w:r>
      <w:r w:rsidR="00B046FA" w:rsidRPr="00970C0E">
        <w:rPr>
          <w:rFonts w:ascii="Times New Roman" w:hAnsi="Times New Roman"/>
        </w:rPr>
        <w:t>12</w:t>
      </w:r>
      <w:r w:rsidRPr="00970C0E">
        <w:rPr>
          <w:rFonts w:ascii="Times New Roman" w:hAnsi="Times New Roman"/>
        </w:rPr>
        <w:t xml:space="preserve"> (§ 8 ods. 3, nové znenie písmena d)</w:t>
      </w:r>
      <w:r w:rsidR="00BB7198">
        <w:rPr>
          <w:rFonts w:ascii="Times New Roman" w:hAnsi="Times New Roman"/>
        </w:rPr>
        <w:t>)</w:t>
      </w:r>
      <w:r w:rsidRPr="00970C0E">
        <w:rPr>
          <w:rFonts w:ascii="Times New Roman" w:hAnsi="Times New Roman"/>
        </w:rPr>
        <w:t xml:space="preserve"> </w:t>
      </w:r>
    </w:p>
    <w:p w:rsidR="00E510BF" w:rsidRPr="00970C0E" w:rsidRDefault="00E510BF" w:rsidP="00594276">
      <w:pPr>
        <w:spacing w:line="360" w:lineRule="auto"/>
        <w:ind w:firstLine="426"/>
        <w:contextualSpacing/>
        <w:jc w:val="both"/>
        <w:rPr>
          <w:rFonts w:ascii="Times New Roman" w:hAnsi="Times New Roman"/>
        </w:rPr>
      </w:pPr>
      <w:r w:rsidRPr="00970C0E">
        <w:rPr>
          <w:rFonts w:ascii="Times New Roman" w:hAnsi="Times New Roman"/>
        </w:rPr>
        <w:t>V súlade s osobitnými predpismi upravujúcimi spôsob preukazovania bezúhonnosti sa upravujú požiadavky aj na postup predkladania žiadosti na vydanie povolenia. Volí sa minimalistická úprava. Zároveň sa vypúšťa povinnosť predkladať kladný posudok príslušného orgánu verejného zdravotníctva na uvedenie pracovných priestorov do prevádzky a stanovisko obce k začatiu činnosti. Samotná povinnosť kladný posudok získať nezaniká. Nakoľko subjekty predkladajú orgánom príslušným na vydávanie povolenia na výrobu, veľkodistribúciu, poskytovanie lekárenskej starostlivosti, poskytovanie zdravotnej starostlivosti alebo na poskytovanie odborných veterinárnych činností kladný posudok príslušného orgánu verejného zdravotníctva na uvedenie pracovných priestorov do prevádzky a stanovisko obce k začatiu činnosti, pri vydávaní povolenia na zaobchádzanie s omamnými a psychotropnými látkami sa jedná o duplicitu predkladaných dokumentov a administratívnu záťaž pre žiadateľa.</w:t>
      </w:r>
    </w:p>
    <w:p w:rsidR="00E510BF" w:rsidRPr="00970C0E" w:rsidRDefault="00E510BF" w:rsidP="00970C0E">
      <w:pPr>
        <w:spacing w:after="0" w:line="360" w:lineRule="auto"/>
        <w:ind w:firstLine="708"/>
        <w:jc w:val="both"/>
        <w:rPr>
          <w:rFonts w:ascii="Times New Roman" w:hAnsi="Times New Roman"/>
        </w:rPr>
      </w:pPr>
    </w:p>
    <w:p w:rsidR="00E510BF" w:rsidRPr="00970C0E" w:rsidRDefault="00E510BF" w:rsidP="00970C0E">
      <w:pPr>
        <w:pStyle w:val="Odsekzoznamu"/>
        <w:spacing w:line="360" w:lineRule="auto"/>
        <w:ind w:left="0"/>
        <w:jc w:val="both"/>
        <w:rPr>
          <w:sz w:val="22"/>
          <w:szCs w:val="22"/>
        </w:rPr>
      </w:pPr>
      <w:r w:rsidRPr="00970C0E">
        <w:rPr>
          <w:sz w:val="22"/>
          <w:szCs w:val="22"/>
        </w:rPr>
        <w:t xml:space="preserve">K bodu </w:t>
      </w:r>
      <w:r w:rsidR="00B046FA" w:rsidRPr="00970C0E">
        <w:rPr>
          <w:sz w:val="22"/>
          <w:szCs w:val="22"/>
        </w:rPr>
        <w:t>1</w:t>
      </w:r>
      <w:r w:rsidR="00D3223A">
        <w:rPr>
          <w:sz w:val="22"/>
          <w:szCs w:val="22"/>
        </w:rPr>
        <w:t>2</w:t>
      </w:r>
      <w:r w:rsidRPr="00970C0E">
        <w:rPr>
          <w:sz w:val="22"/>
          <w:szCs w:val="22"/>
        </w:rPr>
        <w:t xml:space="preserve"> (§ 8 ods. 3, nové znenie písmena d))</w:t>
      </w:r>
    </w:p>
    <w:p w:rsidR="00E510BF" w:rsidRPr="00970C0E" w:rsidRDefault="00E510BF" w:rsidP="00594276">
      <w:pPr>
        <w:pStyle w:val="Odsekzoznamu"/>
        <w:spacing w:line="360" w:lineRule="auto"/>
        <w:ind w:left="0" w:firstLine="426"/>
        <w:jc w:val="both"/>
        <w:rPr>
          <w:sz w:val="22"/>
          <w:szCs w:val="22"/>
        </w:rPr>
      </w:pPr>
      <w:r w:rsidRPr="00970C0E">
        <w:rPr>
          <w:sz w:val="22"/>
          <w:szCs w:val="22"/>
        </w:rPr>
        <w:t>Z uznesenia vlády SR č. 75 zo dňa 22. februára 2023  k návrhu zákona o registri trestov a o zmene a doplnení niektorých zákonov vyplynula úloha uviesť do súladu zákony, ktorých sa uvedený návrh zákona jeho prijatím dotkol. Podľa tohto zákona  sa bezúhonnosť na účely vydania povolenia na zaobchádzanie s omamnými látkami a psychotropnými látkami preukazuje  špecializovaným výpisom z registra trestov namiesto odpisu z registra trestov.</w:t>
      </w:r>
    </w:p>
    <w:p w:rsidR="00E510BF" w:rsidRPr="00970C0E" w:rsidRDefault="00E510BF" w:rsidP="00970C0E">
      <w:pPr>
        <w:pStyle w:val="Odsekzoznamu"/>
        <w:spacing w:line="360" w:lineRule="auto"/>
        <w:ind w:left="0"/>
        <w:jc w:val="both"/>
        <w:rPr>
          <w:sz w:val="22"/>
          <w:szCs w:val="22"/>
        </w:rPr>
      </w:pPr>
    </w:p>
    <w:p w:rsidR="00E510BF" w:rsidRPr="00970C0E" w:rsidRDefault="00E510BF" w:rsidP="00970C0E">
      <w:pPr>
        <w:spacing w:line="360" w:lineRule="auto"/>
        <w:contextualSpacing/>
        <w:jc w:val="both"/>
        <w:rPr>
          <w:rFonts w:ascii="Times New Roman" w:hAnsi="Times New Roman"/>
        </w:rPr>
      </w:pPr>
      <w:r w:rsidRPr="00970C0E">
        <w:rPr>
          <w:rFonts w:ascii="Times New Roman" w:hAnsi="Times New Roman"/>
        </w:rPr>
        <w:t xml:space="preserve">K bodu </w:t>
      </w:r>
      <w:r w:rsidR="00B046FA" w:rsidRPr="00970C0E">
        <w:rPr>
          <w:rFonts w:ascii="Times New Roman" w:hAnsi="Times New Roman"/>
        </w:rPr>
        <w:t>13</w:t>
      </w:r>
      <w:r w:rsidRPr="00970C0E">
        <w:rPr>
          <w:rFonts w:ascii="Times New Roman" w:hAnsi="Times New Roman"/>
        </w:rPr>
        <w:t xml:space="preserve"> (§ 8 ods. 3, písm. </w:t>
      </w:r>
      <w:r w:rsidR="00D3223A">
        <w:rPr>
          <w:rFonts w:ascii="Times New Roman" w:hAnsi="Times New Roman"/>
        </w:rPr>
        <w:t>e</w:t>
      </w:r>
      <w:r w:rsidRPr="00970C0E">
        <w:rPr>
          <w:rFonts w:ascii="Times New Roman" w:hAnsi="Times New Roman"/>
        </w:rPr>
        <w:t>))</w:t>
      </w:r>
    </w:p>
    <w:p w:rsidR="00E510BF" w:rsidRPr="00970C0E" w:rsidRDefault="00E510BF" w:rsidP="00594276">
      <w:pPr>
        <w:spacing w:line="360" w:lineRule="auto"/>
        <w:ind w:firstLine="426"/>
        <w:contextualSpacing/>
        <w:jc w:val="both"/>
        <w:rPr>
          <w:rFonts w:ascii="Times New Roman" w:hAnsi="Times New Roman"/>
        </w:rPr>
      </w:pPr>
      <w:r w:rsidRPr="00970C0E">
        <w:rPr>
          <w:rFonts w:ascii="Times New Roman" w:hAnsi="Times New Roman"/>
        </w:rPr>
        <w:t>Navrhuje sa, aby žiadateľ na pestovanie maku siateho nebol povinný uvádzať v žiadosti o vydanie povolenia na pestovanie maku siateho parcelné čísla. Pestovateľ maku siateho nepestuje na rovnakej parcele každý rok. Mak siaty sa neodporúča každoročne pestovať na rovnakej parcele z dôvodu regenerácie pôdy a preto parcelné číslo, ktoré by bolo uvedené v povolení nemusí byť v zhode so skutočne osiatou parcelou. Zároveň pestovateľ každoročne poskytuje Ministerstvu zdravotníctva SR  údaje skutočne osiatych plôch spolu s parcelnými číslami v oznamovacích povinnostiach podľa § 28. Tam je uvedenie parcelného čísla z pohľadu výkonu kontroly relevantné.</w:t>
      </w:r>
    </w:p>
    <w:p w:rsidR="00A4100B" w:rsidRPr="00970C0E" w:rsidRDefault="00A4100B" w:rsidP="00594276">
      <w:pPr>
        <w:spacing w:line="360" w:lineRule="auto"/>
        <w:ind w:firstLine="426"/>
        <w:contextualSpacing/>
        <w:jc w:val="both"/>
        <w:rPr>
          <w:rFonts w:ascii="Times New Roman" w:hAnsi="Times New Roman"/>
        </w:rPr>
      </w:pPr>
    </w:p>
    <w:p w:rsidR="00D3223A" w:rsidRDefault="00E510BF" w:rsidP="00970C0E">
      <w:pPr>
        <w:spacing w:after="0" w:line="360" w:lineRule="auto"/>
        <w:contextualSpacing/>
        <w:jc w:val="both"/>
        <w:rPr>
          <w:rFonts w:ascii="Times New Roman" w:hAnsi="Times New Roman"/>
        </w:rPr>
      </w:pPr>
      <w:r w:rsidRPr="00970C0E">
        <w:rPr>
          <w:rFonts w:ascii="Times New Roman" w:hAnsi="Times New Roman"/>
        </w:rPr>
        <w:t xml:space="preserve">K bodu </w:t>
      </w:r>
      <w:r w:rsidR="00B10628" w:rsidRPr="00970C0E">
        <w:rPr>
          <w:rFonts w:ascii="Times New Roman" w:hAnsi="Times New Roman"/>
        </w:rPr>
        <w:t>1</w:t>
      </w:r>
      <w:r w:rsidR="00B046FA" w:rsidRPr="00970C0E">
        <w:rPr>
          <w:rFonts w:ascii="Times New Roman" w:hAnsi="Times New Roman"/>
        </w:rPr>
        <w:t>4</w:t>
      </w:r>
      <w:r w:rsidRPr="00970C0E">
        <w:rPr>
          <w:rFonts w:ascii="Times New Roman" w:hAnsi="Times New Roman"/>
        </w:rPr>
        <w:t xml:space="preserve"> </w:t>
      </w:r>
      <w:r w:rsidR="00D3223A">
        <w:rPr>
          <w:rFonts w:ascii="Times New Roman" w:hAnsi="Times New Roman"/>
        </w:rPr>
        <w:t>(§ 8, ods. 3 písm. h))</w:t>
      </w:r>
    </w:p>
    <w:p w:rsidR="00D3223A" w:rsidRDefault="00D3223A" w:rsidP="00C01FE9">
      <w:pPr>
        <w:spacing w:line="360" w:lineRule="auto"/>
        <w:ind w:firstLine="426"/>
        <w:contextualSpacing/>
        <w:jc w:val="both"/>
        <w:rPr>
          <w:rFonts w:ascii="Times New Roman" w:hAnsi="Times New Roman"/>
        </w:rPr>
      </w:pPr>
      <w:r>
        <w:rPr>
          <w:rFonts w:ascii="Times New Roman" w:hAnsi="Times New Roman"/>
        </w:rPr>
        <w:t>Navrhuje sa doplnenie</w:t>
      </w:r>
      <w:r w:rsidRPr="00970C0E">
        <w:rPr>
          <w:rFonts w:ascii="Times New Roman" w:hAnsi="Times New Roman"/>
        </w:rPr>
        <w:t xml:space="preserve"> </w:t>
      </w:r>
      <w:r>
        <w:rPr>
          <w:rFonts w:ascii="Times New Roman" w:hAnsi="Times New Roman"/>
        </w:rPr>
        <w:t xml:space="preserve">k právnemu titulu, </w:t>
      </w:r>
      <w:r w:rsidRPr="00970C0E">
        <w:rPr>
          <w:rFonts w:ascii="Times New Roman" w:hAnsi="Times New Roman"/>
        </w:rPr>
        <w:t>okrem vlastníctva pozemkov a nájmu pozemkov aj iné oprávnenie užívať pozemky vzhľadom na to, že prichádzajú do úvahy aj iné užívacie tituly.</w:t>
      </w:r>
    </w:p>
    <w:p w:rsidR="00D3223A" w:rsidRDefault="00D3223A" w:rsidP="00970C0E">
      <w:pPr>
        <w:spacing w:after="0" w:line="360" w:lineRule="auto"/>
        <w:contextualSpacing/>
        <w:jc w:val="both"/>
        <w:rPr>
          <w:rFonts w:ascii="Times New Roman" w:hAnsi="Times New Roman"/>
        </w:rPr>
      </w:pPr>
    </w:p>
    <w:p w:rsidR="00E510BF" w:rsidRPr="00970C0E" w:rsidRDefault="00D3223A" w:rsidP="00970C0E">
      <w:pPr>
        <w:spacing w:after="0" w:line="360" w:lineRule="auto"/>
        <w:contextualSpacing/>
        <w:jc w:val="both"/>
        <w:rPr>
          <w:rFonts w:ascii="Times New Roman" w:hAnsi="Times New Roman"/>
        </w:rPr>
      </w:pPr>
      <w:r>
        <w:rPr>
          <w:rFonts w:ascii="Times New Roman" w:hAnsi="Times New Roman"/>
        </w:rPr>
        <w:t xml:space="preserve">K bodu </w:t>
      </w:r>
      <w:r w:rsidR="00B57991" w:rsidRPr="00970C0E">
        <w:rPr>
          <w:rFonts w:ascii="Times New Roman" w:hAnsi="Times New Roman"/>
        </w:rPr>
        <w:t>1</w:t>
      </w:r>
      <w:r w:rsidR="00B046FA" w:rsidRPr="00970C0E">
        <w:rPr>
          <w:rFonts w:ascii="Times New Roman" w:hAnsi="Times New Roman"/>
        </w:rPr>
        <w:t>5</w:t>
      </w:r>
      <w:r>
        <w:rPr>
          <w:rFonts w:ascii="Times New Roman" w:hAnsi="Times New Roman"/>
        </w:rPr>
        <w:t xml:space="preserve"> a 16</w:t>
      </w:r>
      <w:r w:rsidR="00B10628" w:rsidRPr="00970C0E">
        <w:rPr>
          <w:rFonts w:ascii="Times New Roman" w:hAnsi="Times New Roman"/>
        </w:rPr>
        <w:t xml:space="preserve"> (§ 8, ods. 4, písm. a</w:t>
      </w:r>
      <w:r w:rsidR="00BB7198">
        <w:rPr>
          <w:rFonts w:ascii="Times New Roman" w:hAnsi="Times New Roman"/>
        </w:rPr>
        <w:t> a b</w:t>
      </w:r>
      <w:r w:rsidR="00B10628" w:rsidRPr="00970C0E">
        <w:rPr>
          <w:rFonts w:ascii="Times New Roman" w:hAnsi="Times New Roman"/>
        </w:rPr>
        <w:t>))</w:t>
      </w:r>
    </w:p>
    <w:p w:rsidR="00E510BF" w:rsidRPr="00970C0E" w:rsidRDefault="00E510BF" w:rsidP="00594276">
      <w:pPr>
        <w:spacing w:after="0" w:line="360" w:lineRule="auto"/>
        <w:ind w:firstLine="426"/>
        <w:contextualSpacing/>
        <w:jc w:val="both"/>
        <w:rPr>
          <w:rFonts w:ascii="Times New Roman" w:hAnsi="Times New Roman"/>
        </w:rPr>
      </w:pPr>
      <w:r w:rsidRPr="00970C0E">
        <w:rPr>
          <w:rFonts w:ascii="Times New Roman" w:hAnsi="Times New Roman"/>
        </w:rPr>
        <w:t>Legislatívno-technická úprava vnútorných odkazov z dôvodu vypustenia písmena</w:t>
      </w:r>
      <w:r w:rsidR="00B10628" w:rsidRPr="00970C0E">
        <w:rPr>
          <w:rFonts w:ascii="Times New Roman" w:hAnsi="Times New Roman"/>
        </w:rPr>
        <w:t xml:space="preserve"> </w:t>
      </w:r>
      <w:r w:rsidRPr="00970C0E">
        <w:rPr>
          <w:rFonts w:ascii="Times New Roman" w:hAnsi="Times New Roman"/>
        </w:rPr>
        <w:t>e) z § 8 ods. 3.</w:t>
      </w:r>
    </w:p>
    <w:p w:rsidR="00E510BF" w:rsidRPr="00970C0E" w:rsidRDefault="00E510BF" w:rsidP="00970C0E">
      <w:pPr>
        <w:spacing w:after="0" w:line="360" w:lineRule="auto"/>
        <w:contextualSpacing/>
        <w:jc w:val="both"/>
        <w:rPr>
          <w:rFonts w:ascii="Times New Roman" w:hAnsi="Times New Roman"/>
        </w:rPr>
      </w:pPr>
    </w:p>
    <w:p w:rsidR="00E510BF" w:rsidRPr="00970C0E" w:rsidRDefault="00E510BF" w:rsidP="00970C0E">
      <w:pPr>
        <w:spacing w:after="0" w:line="360" w:lineRule="auto"/>
        <w:contextualSpacing/>
        <w:jc w:val="both"/>
        <w:rPr>
          <w:rFonts w:ascii="Times New Roman" w:hAnsi="Times New Roman"/>
        </w:rPr>
      </w:pPr>
      <w:r w:rsidRPr="00970C0E">
        <w:rPr>
          <w:rFonts w:ascii="Times New Roman" w:hAnsi="Times New Roman"/>
        </w:rPr>
        <w:t xml:space="preserve">K bodu </w:t>
      </w:r>
      <w:r w:rsidR="00B046FA" w:rsidRPr="00970C0E">
        <w:rPr>
          <w:rFonts w:ascii="Times New Roman" w:hAnsi="Times New Roman"/>
        </w:rPr>
        <w:t>1</w:t>
      </w:r>
      <w:r w:rsidR="00D3223A">
        <w:rPr>
          <w:rFonts w:ascii="Times New Roman" w:hAnsi="Times New Roman"/>
        </w:rPr>
        <w:t>7</w:t>
      </w:r>
      <w:r w:rsidRPr="00970C0E">
        <w:rPr>
          <w:rFonts w:ascii="Times New Roman" w:hAnsi="Times New Roman"/>
        </w:rPr>
        <w:t xml:space="preserve"> (§ 8 odsek 4 písm. c</w:t>
      </w:r>
      <w:r w:rsidR="00B10628" w:rsidRPr="00970C0E">
        <w:rPr>
          <w:rFonts w:ascii="Times New Roman" w:hAnsi="Times New Roman"/>
        </w:rPr>
        <w:t>) a d</w:t>
      </w:r>
      <w:r w:rsidRPr="00970C0E">
        <w:rPr>
          <w:rFonts w:ascii="Times New Roman" w:hAnsi="Times New Roman"/>
        </w:rPr>
        <w:t>))</w:t>
      </w:r>
    </w:p>
    <w:p w:rsidR="00E510BF" w:rsidRPr="00970C0E" w:rsidRDefault="00E510BF" w:rsidP="00120298">
      <w:pPr>
        <w:spacing w:after="0" w:line="360" w:lineRule="auto"/>
        <w:ind w:firstLine="426"/>
        <w:contextualSpacing/>
        <w:jc w:val="both"/>
        <w:rPr>
          <w:rFonts w:ascii="Times New Roman" w:hAnsi="Times New Roman"/>
        </w:rPr>
      </w:pPr>
      <w:r w:rsidRPr="00970C0E">
        <w:rPr>
          <w:rFonts w:ascii="Times New Roman" w:hAnsi="Times New Roman"/>
        </w:rPr>
        <w:t xml:space="preserve">K žiadosti o vydanie povolenia na výskum je potrebné, aby žiadateľ predložil </w:t>
      </w:r>
      <w:r w:rsidRPr="00970C0E">
        <w:rPr>
          <w:rFonts w:ascii="Times New Roman" w:hAnsi="Times New Roman"/>
          <w:shd w:val="clear" w:color="auto" w:fill="FFFFFF"/>
        </w:rPr>
        <w:t xml:space="preserve">úradne osvedčenú kópiu osvedčenia o spôsobilosti na vykonávanie výskumu a vývoja. </w:t>
      </w:r>
      <w:r w:rsidRPr="00970C0E">
        <w:rPr>
          <w:rFonts w:ascii="Times New Roman" w:hAnsi="Times New Roman"/>
        </w:rPr>
        <w:t xml:space="preserve">Navrhuje sa, aby žiadateľ o vydanie tohto povolenia prikladal k žiadosti o vydanie povolenia aj opis projektu výskumu, v ktorom odôvodní výskum, ktorý žiada povoliť. Aj podľa § 26 na účel výskumu, výučby alebo expertíznej činnosti môže ministerstvo povoliť žiadateľovi zaobchádzanie s omamnými a psychotropnými látkami I. skupiny, II. skupiny a III. skupiny v množstve nevyhnutnom na výkon povolenej činnosti a držiteľ povolenia je povinný viesť o týchto látkach dôsledné záznamy. Samotné zaobchádzanie s týmito látkami podlieha kontrolnej činnosti a pre efektívne posúdenie žiadosti o vydanie povolenia a následný dohľad je z pohľadu predkladateľa zákona vhodné doplnenie týchto informácií v žiadosti o vydanie povolenia. Rovnako- s ohľadom na prax, že žiadateľ o vydanie povolenia na výskum môže mať zámer spolupracovať s iným držiteľom povolenia na výskum na základe zmluvy, v snahe mať možnosť posúdiť odbornú spôsobilosť na vykonanie  požadovaného výskumu sa navrhuje, aby to žiadateľ vo svojej žiadosti uviedol. </w:t>
      </w:r>
    </w:p>
    <w:p w:rsidR="00E510BF" w:rsidRPr="00970C0E" w:rsidRDefault="00E510BF" w:rsidP="00120298">
      <w:pPr>
        <w:spacing w:after="0" w:line="360" w:lineRule="auto"/>
        <w:ind w:firstLine="426"/>
        <w:contextualSpacing/>
        <w:jc w:val="both"/>
        <w:rPr>
          <w:rFonts w:ascii="Times New Roman" w:hAnsi="Times New Roman"/>
        </w:rPr>
      </w:pPr>
      <w:r w:rsidRPr="00970C0E">
        <w:rPr>
          <w:rFonts w:ascii="Times New Roman" w:hAnsi="Times New Roman"/>
        </w:rPr>
        <w:t>V nadväzno</w:t>
      </w:r>
      <w:r w:rsidR="009252D5" w:rsidRPr="00970C0E">
        <w:rPr>
          <w:rFonts w:ascii="Times New Roman" w:hAnsi="Times New Roman"/>
        </w:rPr>
        <w:t xml:space="preserve">sti na skutočnosť, že sa </w:t>
      </w:r>
      <w:r w:rsidRPr="00970C0E">
        <w:rPr>
          <w:rFonts w:ascii="Times New Roman" w:hAnsi="Times New Roman"/>
        </w:rPr>
        <w:t xml:space="preserve">navrhuje, aby žiadateľ o vydanie povolenia na pestovanie konopy na výskumný účel podliehal prísnejším kritériám na to, aby mu mohlo byť vydané povolenie, upravuje sa, čo musí predkladať v žiadosti o vydanie povolenia. Povolenie na pestovanie konopy na výskumný účel tak bude môcť byť vydané iba subjektu, ktorý je buď už držiteľom povolenia </w:t>
      </w:r>
      <w:r w:rsidR="009252D5" w:rsidRPr="00970C0E">
        <w:rPr>
          <w:rFonts w:ascii="Times New Roman" w:hAnsi="Times New Roman"/>
        </w:rPr>
        <w:t>na zaobchádzanie s omamnými a </w:t>
      </w:r>
      <w:r w:rsidRPr="00970C0E">
        <w:rPr>
          <w:rFonts w:ascii="Times New Roman" w:hAnsi="Times New Roman"/>
        </w:rPr>
        <w:t xml:space="preserve">psychotropnými látkami- v rozsahu činnosti výskum, výučba alebo expertízna činnosť, alebo musí vo svojej žiadosti doložiť rovnaké doklady, aké sa vyžadujú pri vydaní povolenia na výskum, výučbu alebo expertíznu činnosť. Predloženie rovnakých dokladov má byť nevyhnutným predpokladom pre vydanie povolenia na pestovanie konopy na výskumný účel. </w:t>
      </w:r>
    </w:p>
    <w:p w:rsidR="00BB7198" w:rsidRDefault="00BB7198" w:rsidP="00C01FE9">
      <w:pPr>
        <w:spacing w:after="0" w:line="360" w:lineRule="auto"/>
        <w:jc w:val="both"/>
        <w:rPr>
          <w:rFonts w:ascii="Times New Roman" w:hAnsi="Times New Roman"/>
        </w:rPr>
      </w:pPr>
    </w:p>
    <w:p w:rsidR="00BB7198" w:rsidRDefault="00BB7198" w:rsidP="00C01FE9">
      <w:pPr>
        <w:spacing w:after="0" w:line="360" w:lineRule="auto"/>
        <w:jc w:val="both"/>
        <w:rPr>
          <w:rFonts w:ascii="Times New Roman" w:hAnsi="Times New Roman"/>
        </w:rPr>
      </w:pPr>
      <w:r>
        <w:rPr>
          <w:rFonts w:ascii="Times New Roman" w:hAnsi="Times New Roman"/>
        </w:rPr>
        <w:t>K bodu 18 (§ 8, ods. 5)</w:t>
      </w:r>
    </w:p>
    <w:p w:rsidR="00BB7198" w:rsidRPr="00970C0E" w:rsidRDefault="00BB7198" w:rsidP="00C01FE9">
      <w:pPr>
        <w:spacing w:after="0" w:line="360" w:lineRule="auto"/>
        <w:jc w:val="both"/>
        <w:rPr>
          <w:rFonts w:ascii="Times New Roman" w:hAnsi="Times New Roman"/>
        </w:rPr>
      </w:pPr>
      <w:r>
        <w:rPr>
          <w:rFonts w:ascii="Times New Roman" w:hAnsi="Times New Roman"/>
        </w:rPr>
        <w:tab/>
        <w:t>Legislatívno-technická úprava v súvislosti s § 15 ods. 4. Nový odkaz k poznámke pod čiarou k odkazu 4.</w:t>
      </w:r>
    </w:p>
    <w:p w:rsidR="00E510BF" w:rsidRPr="00970C0E" w:rsidRDefault="00E510BF" w:rsidP="00970C0E">
      <w:pPr>
        <w:pStyle w:val="Default"/>
        <w:spacing w:line="360" w:lineRule="auto"/>
        <w:jc w:val="both"/>
        <w:rPr>
          <w:color w:val="auto"/>
          <w:sz w:val="22"/>
          <w:szCs w:val="22"/>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K bodu 1</w:t>
      </w:r>
      <w:r w:rsidR="00BB7198">
        <w:rPr>
          <w:rFonts w:ascii="Times New Roman" w:hAnsi="Times New Roman"/>
        </w:rPr>
        <w:t>9</w:t>
      </w:r>
      <w:r w:rsidRPr="00970C0E">
        <w:rPr>
          <w:rFonts w:ascii="Times New Roman" w:hAnsi="Times New Roman"/>
        </w:rPr>
        <w:t xml:space="preserve"> (§ 9, ods. 2)</w:t>
      </w:r>
    </w:p>
    <w:p w:rsidR="00E510BF" w:rsidRPr="00970C0E" w:rsidRDefault="00E510BF" w:rsidP="00120298">
      <w:pPr>
        <w:spacing w:after="0" w:line="360" w:lineRule="auto"/>
        <w:ind w:firstLine="426"/>
        <w:jc w:val="both"/>
        <w:rPr>
          <w:rFonts w:ascii="Times New Roman" w:hAnsi="Times New Roman"/>
        </w:rPr>
      </w:pPr>
      <w:r w:rsidRPr="00970C0E">
        <w:rPr>
          <w:rFonts w:ascii="Times New Roman" w:hAnsi="Times New Roman"/>
        </w:rPr>
        <w:lastRenderedPageBreak/>
        <w:t>Nav</w:t>
      </w:r>
      <w:r w:rsidR="00A4100B">
        <w:rPr>
          <w:rFonts w:ascii="Times New Roman" w:hAnsi="Times New Roman"/>
        </w:rPr>
        <w:t>rhuje sa zmena textu ustanovenia tak, aby</w:t>
      </w:r>
      <w:r w:rsidRPr="00970C0E">
        <w:rPr>
          <w:rFonts w:ascii="Times New Roman" w:hAnsi="Times New Roman"/>
        </w:rPr>
        <w:t xml:space="preserve"> uvedenie identifikačného čísla</w:t>
      </w:r>
      <w:r w:rsidR="00A4100B">
        <w:rPr>
          <w:rFonts w:ascii="Times New Roman" w:hAnsi="Times New Roman"/>
        </w:rPr>
        <w:t xml:space="preserve"> bolo uvedené</w:t>
      </w:r>
      <w:r w:rsidRPr="00970C0E">
        <w:rPr>
          <w:rFonts w:ascii="Times New Roman" w:hAnsi="Times New Roman"/>
        </w:rPr>
        <w:t>, iba ak bolo pridelené, nakoľko v praxi sa vyskytli žiadatelia na pestovanie maku siateho ako fyzické osoby, ktorí plánovali pestovať mak siaty na ploche väčšej ako 100 m</w:t>
      </w:r>
      <w:r w:rsidRPr="00970C0E">
        <w:rPr>
          <w:rFonts w:ascii="Times New Roman" w:hAnsi="Times New Roman"/>
          <w:vertAlign w:val="superscript"/>
        </w:rPr>
        <w:t>2</w:t>
      </w:r>
      <w:r w:rsidRPr="00970C0E">
        <w:rPr>
          <w:rFonts w:ascii="Times New Roman" w:hAnsi="Times New Roman"/>
        </w:rPr>
        <w:t xml:space="preserve"> , čo je možné iba na základe povolenia, ktoré vydáva Ministerstvo zdravotníctva SR. Fyzické osoby, ktoré pestujú mak siaty, nemusia mať pridelené identifikačné číslo. </w:t>
      </w:r>
    </w:p>
    <w:p w:rsidR="00D55F29" w:rsidRPr="00970C0E" w:rsidRDefault="00D55F29" w:rsidP="00970C0E">
      <w:pPr>
        <w:spacing w:after="0" w:line="360" w:lineRule="auto"/>
        <w:ind w:firstLine="709"/>
        <w:jc w:val="both"/>
        <w:rPr>
          <w:rFonts w:ascii="Times New Roman" w:hAnsi="Times New Roman"/>
        </w:rPr>
      </w:pPr>
    </w:p>
    <w:p w:rsidR="00D55F29" w:rsidRPr="00970C0E" w:rsidRDefault="00B046FA" w:rsidP="00970C0E">
      <w:pPr>
        <w:spacing w:after="0" w:line="360" w:lineRule="auto"/>
        <w:jc w:val="both"/>
        <w:rPr>
          <w:rFonts w:ascii="Times New Roman" w:hAnsi="Times New Roman"/>
        </w:rPr>
      </w:pPr>
      <w:r w:rsidRPr="00970C0E">
        <w:rPr>
          <w:rFonts w:ascii="Times New Roman" w:hAnsi="Times New Roman"/>
        </w:rPr>
        <w:t xml:space="preserve">K bodu </w:t>
      </w:r>
      <w:r w:rsidR="00BB7198">
        <w:rPr>
          <w:rFonts w:ascii="Times New Roman" w:hAnsi="Times New Roman"/>
        </w:rPr>
        <w:t>20</w:t>
      </w:r>
      <w:r w:rsidR="00D55F29" w:rsidRPr="00970C0E">
        <w:rPr>
          <w:rFonts w:ascii="Times New Roman" w:hAnsi="Times New Roman"/>
        </w:rPr>
        <w:t xml:space="preserve"> (§ 9, ods. 3)</w:t>
      </w:r>
    </w:p>
    <w:p w:rsidR="00D55F29" w:rsidRPr="00970C0E" w:rsidRDefault="00D55F29" w:rsidP="00120298">
      <w:pPr>
        <w:tabs>
          <w:tab w:val="left" w:pos="426"/>
        </w:tabs>
        <w:spacing w:after="0" w:line="360" w:lineRule="auto"/>
        <w:jc w:val="both"/>
        <w:rPr>
          <w:rFonts w:ascii="Times New Roman" w:hAnsi="Times New Roman"/>
        </w:rPr>
      </w:pPr>
      <w:r w:rsidRPr="00970C0E">
        <w:rPr>
          <w:rFonts w:ascii="Times New Roman" w:hAnsi="Times New Roman"/>
        </w:rPr>
        <w:tab/>
        <w:t xml:space="preserve">Z dôvodu terminologickej správnosti, presnosti a všeobecnej zrozumiteľnosti upresňujeme identifikačné číslo </w:t>
      </w:r>
      <w:r w:rsidR="00A4100B">
        <w:rPr>
          <w:rFonts w:ascii="Times New Roman" w:hAnsi="Times New Roman"/>
        </w:rPr>
        <w:t>v súlade s pojmom, ktorý je pre daný inštitút zavedený v právnom poriadku- identifikačné číslo organizácie</w:t>
      </w:r>
      <w:r w:rsidRPr="00970C0E">
        <w:rPr>
          <w:rFonts w:ascii="Times New Roman" w:hAnsi="Times New Roman"/>
        </w:rPr>
        <w:t>.</w:t>
      </w:r>
    </w:p>
    <w:p w:rsidR="00E510BF" w:rsidRPr="00970C0E" w:rsidRDefault="00E510BF" w:rsidP="00970C0E">
      <w:pPr>
        <w:spacing w:after="0" w:line="360" w:lineRule="auto"/>
        <w:ind w:firstLine="709"/>
        <w:jc w:val="both"/>
        <w:rPr>
          <w:rFonts w:ascii="Times New Roman" w:hAnsi="Times New Roman"/>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K bodu </w:t>
      </w:r>
      <w:r w:rsidR="00B046FA" w:rsidRPr="00970C0E">
        <w:rPr>
          <w:rFonts w:ascii="Times New Roman" w:hAnsi="Times New Roman"/>
        </w:rPr>
        <w:t>2</w:t>
      </w:r>
      <w:r w:rsidR="00BB7198">
        <w:rPr>
          <w:rFonts w:ascii="Times New Roman" w:hAnsi="Times New Roman"/>
        </w:rPr>
        <w:t>1</w:t>
      </w:r>
      <w:r w:rsidRPr="00970C0E">
        <w:rPr>
          <w:rFonts w:ascii="Times New Roman" w:hAnsi="Times New Roman"/>
        </w:rPr>
        <w:t xml:space="preserve"> (§ 10, ods. 1 a ods. 2)</w:t>
      </w:r>
    </w:p>
    <w:p w:rsidR="00E510BF" w:rsidRPr="00970C0E" w:rsidRDefault="00A4100B" w:rsidP="00120298">
      <w:pPr>
        <w:pStyle w:val="Odsekzoznamu"/>
        <w:spacing w:line="360" w:lineRule="auto"/>
        <w:ind w:left="0" w:firstLine="426"/>
        <w:jc w:val="both"/>
        <w:rPr>
          <w:sz w:val="22"/>
          <w:szCs w:val="22"/>
        </w:rPr>
      </w:pPr>
      <w:r>
        <w:rPr>
          <w:sz w:val="22"/>
          <w:szCs w:val="22"/>
        </w:rPr>
        <w:t>Navrhuje sa u</w:t>
      </w:r>
      <w:r w:rsidR="00E510BF" w:rsidRPr="00970C0E">
        <w:rPr>
          <w:sz w:val="22"/>
          <w:szCs w:val="22"/>
        </w:rPr>
        <w:t xml:space="preserve">presnenie zmien údajov uvedených v povolení na zaobchádzanie s omamnými a psychotropnými látkami. Zmena formulácie sa navrhuje v záujme jednoznačnosti výkladu v tom, kedy sa vyžaduje vydanie nového povolenia a kedy postačuje iba vyznačenie zmien v už vydanom a platnom povolení. Ide o samostatné procesy a každý z nich podlieha samostatnému správnemu poplatku. Zároveň sa zjednodušuje formulácia popisujúca postup vydania nového povolenia pri zmene, ktorá vydanie nového povolenia vyžaduje. </w:t>
      </w:r>
    </w:p>
    <w:p w:rsidR="00E510BF" w:rsidRPr="00970C0E" w:rsidRDefault="00E510BF" w:rsidP="00970C0E">
      <w:pPr>
        <w:pStyle w:val="Odsekzoznamu"/>
        <w:spacing w:line="360" w:lineRule="auto"/>
        <w:ind w:left="0"/>
        <w:jc w:val="both"/>
        <w:rPr>
          <w:sz w:val="22"/>
          <w:szCs w:val="22"/>
        </w:rPr>
      </w:pPr>
      <w:r w:rsidRPr="00970C0E">
        <w:rPr>
          <w:sz w:val="22"/>
          <w:szCs w:val="22"/>
        </w:rPr>
        <w:t xml:space="preserve">K zmenám, ktoré vyžaduje iba vyznačenie zmien v povolení sa dopĺňa a zmena názvu lekárne, ktorá v platnom znení absentovala. V praxi sa stáva, že lekáreň pri zmene majiteľa (štatutárneho orgánu - konateľov- s.r.o. alebo a.s) a zachovaní identifikačného čísla, dochádza iba k zmene  názvu lekárne. </w:t>
      </w:r>
    </w:p>
    <w:p w:rsidR="00E510BF" w:rsidRPr="00970C0E" w:rsidRDefault="00E510BF" w:rsidP="00970C0E">
      <w:pPr>
        <w:pStyle w:val="Odsekzoznamu"/>
        <w:spacing w:line="360" w:lineRule="auto"/>
        <w:ind w:left="0" w:firstLine="708"/>
        <w:jc w:val="both"/>
        <w:rPr>
          <w:sz w:val="22"/>
          <w:szCs w:val="22"/>
        </w:rPr>
      </w:pPr>
    </w:p>
    <w:p w:rsidR="00E510BF" w:rsidRPr="00970C0E" w:rsidRDefault="00E510BF" w:rsidP="00970C0E">
      <w:pPr>
        <w:pStyle w:val="Odsekzoznamu"/>
        <w:spacing w:line="360" w:lineRule="auto"/>
        <w:ind w:left="0"/>
        <w:jc w:val="both"/>
        <w:rPr>
          <w:sz w:val="22"/>
          <w:szCs w:val="22"/>
        </w:rPr>
      </w:pPr>
      <w:r w:rsidRPr="00970C0E">
        <w:rPr>
          <w:sz w:val="22"/>
          <w:szCs w:val="22"/>
        </w:rPr>
        <w:t xml:space="preserve">K bodu </w:t>
      </w:r>
      <w:r w:rsidR="00B046FA" w:rsidRPr="00970C0E">
        <w:rPr>
          <w:sz w:val="22"/>
          <w:szCs w:val="22"/>
        </w:rPr>
        <w:t>2</w:t>
      </w:r>
      <w:r w:rsidR="00BB7198">
        <w:rPr>
          <w:sz w:val="22"/>
          <w:szCs w:val="22"/>
        </w:rPr>
        <w:t>2</w:t>
      </w:r>
      <w:r w:rsidRPr="00970C0E">
        <w:rPr>
          <w:sz w:val="22"/>
          <w:szCs w:val="22"/>
        </w:rPr>
        <w:t xml:space="preserve"> (§ 13 ods. 1 písm. a))</w:t>
      </w:r>
    </w:p>
    <w:p w:rsidR="00E510BF" w:rsidRPr="00970C0E" w:rsidRDefault="00E510BF" w:rsidP="00120298">
      <w:pPr>
        <w:pStyle w:val="Odsekzoznamu"/>
        <w:tabs>
          <w:tab w:val="left" w:pos="426"/>
        </w:tabs>
        <w:spacing w:line="360" w:lineRule="auto"/>
        <w:ind w:left="0"/>
        <w:jc w:val="both"/>
        <w:rPr>
          <w:sz w:val="22"/>
          <w:szCs w:val="22"/>
        </w:rPr>
      </w:pPr>
      <w:r w:rsidRPr="00970C0E">
        <w:rPr>
          <w:sz w:val="22"/>
          <w:szCs w:val="22"/>
        </w:rPr>
        <w:tab/>
        <w:t>Doplnenie časového intervalu pre Ministerstvo zdravotníctva Slovenskej republiky na vydanie rozhodnutia o zrušení povolenia pre držiteľa povolenia na zaobchádzanie s omamnými a psychotropnými látkami. Uvedené upresnenie procesu na strane Ministerstva zdravotníctva Slovenskej republiky vyžadujú vo svojich podnetoch držitelia povolení, ktorí s ohľadom na uvedené môžu účelnejšie plánovať zaslanie žiadosti o zrušenie povolenia.</w:t>
      </w:r>
    </w:p>
    <w:p w:rsidR="00E510BF" w:rsidRPr="00970C0E" w:rsidRDefault="00846A90" w:rsidP="00970C0E">
      <w:pPr>
        <w:spacing w:after="0" w:line="360" w:lineRule="auto"/>
        <w:jc w:val="both"/>
        <w:rPr>
          <w:rFonts w:ascii="Times New Roman" w:hAnsi="Times New Roman"/>
        </w:rPr>
      </w:pPr>
      <w:r w:rsidRPr="00970C0E">
        <w:rPr>
          <w:rFonts w:ascii="Times New Roman" w:hAnsi="Times New Roman"/>
        </w:rPr>
        <w:t xml:space="preserve">K bodu </w:t>
      </w:r>
      <w:r w:rsidR="00A443A3">
        <w:rPr>
          <w:rFonts w:ascii="Times New Roman" w:hAnsi="Times New Roman"/>
        </w:rPr>
        <w:t>2</w:t>
      </w:r>
      <w:r w:rsidR="00BB7198">
        <w:rPr>
          <w:rFonts w:ascii="Times New Roman" w:hAnsi="Times New Roman"/>
        </w:rPr>
        <w:t>3</w:t>
      </w:r>
      <w:r w:rsidRPr="00970C0E">
        <w:rPr>
          <w:rFonts w:ascii="Times New Roman" w:hAnsi="Times New Roman"/>
        </w:rPr>
        <w:t xml:space="preserve"> (§ 15 ods. </w:t>
      </w:r>
      <w:r w:rsidR="008B130D" w:rsidRPr="00970C0E">
        <w:rPr>
          <w:rFonts w:ascii="Times New Roman" w:hAnsi="Times New Roman"/>
        </w:rPr>
        <w:t>2</w:t>
      </w:r>
      <w:r w:rsidR="00E510BF" w:rsidRPr="00970C0E">
        <w:rPr>
          <w:rFonts w:ascii="Times New Roman" w:hAnsi="Times New Roman"/>
        </w:rPr>
        <w:t>)</w:t>
      </w:r>
    </w:p>
    <w:p w:rsidR="00650B0A" w:rsidRPr="00970C0E" w:rsidRDefault="00650B0A" w:rsidP="00120298">
      <w:pPr>
        <w:spacing w:after="0" w:line="360" w:lineRule="auto"/>
        <w:ind w:firstLine="426"/>
        <w:jc w:val="both"/>
        <w:rPr>
          <w:rFonts w:ascii="Times New Roman" w:hAnsi="Times New Roman"/>
          <w:iCs/>
          <w:lang w:eastAsia="sk-SK"/>
        </w:rPr>
      </w:pPr>
      <w:r w:rsidRPr="00970C0E">
        <w:rPr>
          <w:rFonts w:ascii="Times New Roman" w:hAnsi="Times New Roman"/>
        </w:rPr>
        <w:t xml:space="preserve">Ministerstvo zdravotníctva SR </w:t>
      </w:r>
      <w:r w:rsidRPr="00970C0E">
        <w:rPr>
          <w:rFonts w:ascii="Times New Roman" w:hAnsi="Times New Roman"/>
          <w:iCs/>
          <w:lang w:eastAsia="sk-SK"/>
        </w:rPr>
        <w:t>navrhuje doplnenie</w:t>
      </w:r>
      <w:r w:rsidR="00A4100B">
        <w:rPr>
          <w:rFonts w:ascii="Times New Roman" w:hAnsi="Times New Roman"/>
          <w:iCs/>
          <w:lang w:eastAsia="sk-SK"/>
        </w:rPr>
        <w:t xml:space="preserve"> textu a upresnenie § 15 ods. 2 v záujme jednoznačnosti výkladu. </w:t>
      </w:r>
    </w:p>
    <w:p w:rsidR="008B130D" w:rsidRPr="00970C0E" w:rsidRDefault="008B130D" w:rsidP="00970C0E">
      <w:pPr>
        <w:spacing w:after="0" w:line="360" w:lineRule="auto"/>
        <w:ind w:firstLine="567"/>
        <w:jc w:val="both"/>
        <w:rPr>
          <w:rFonts w:ascii="Times New Roman" w:hAnsi="Times New Roman"/>
        </w:rPr>
      </w:pPr>
    </w:p>
    <w:p w:rsidR="008B130D" w:rsidRPr="00970C0E" w:rsidRDefault="00A443A3" w:rsidP="00970C0E">
      <w:pPr>
        <w:spacing w:after="0" w:line="360" w:lineRule="auto"/>
        <w:jc w:val="both"/>
        <w:rPr>
          <w:rFonts w:ascii="Times New Roman" w:hAnsi="Times New Roman"/>
        </w:rPr>
      </w:pPr>
      <w:r>
        <w:rPr>
          <w:rFonts w:ascii="Times New Roman" w:hAnsi="Times New Roman"/>
        </w:rPr>
        <w:t>K bodu 2</w:t>
      </w:r>
      <w:r w:rsidR="00BB7198">
        <w:rPr>
          <w:rFonts w:ascii="Times New Roman" w:hAnsi="Times New Roman"/>
        </w:rPr>
        <w:t>4</w:t>
      </w:r>
      <w:r w:rsidR="008B130D" w:rsidRPr="00970C0E">
        <w:rPr>
          <w:rFonts w:ascii="Times New Roman" w:hAnsi="Times New Roman"/>
        </w:rPr>
        <w:t xml:space="preserve"> (§ 15 ods. 3)</w:t>
      </w:r>
    </w:p>
    <w:p w:rsidR="00B40AC5" w:rsidRDefault="009A0B48" w:rsidP="00C01FE9">
      <w:pPr>
        <w:spacing w:after="0" w:line="360" w:lineRule="auto"/>
        <w:jc w:val="both"/>
        <w:rPr>
          <w:rFonts w:ascii="Times New Roman" w:hAnsi="Times New Roman"/>
        </w:rPr>
      </w:pPr>
      <w:r w:rsidRPr="00970C0E">
        <w:rPr>
          <w:rFonts w:ascii="Times New Roman" w:hAnsi="Times New Roman"/>
        </w:rPr>
        <w:t xml:space="preserve">Navrhuje sa, aby vydanie povolenia na pestovanie konopy na výskumný účel podliehalo rovnakým predpokladom a nárokom na subjekt, ktorý bude následne s konopou zaobchádzať, ako podlieha subjekt pri vydanom povolení na výskum, vývoj a expertíznu činnosť. </w:t>
      </w:r>
    </w:p>
    <w:p w:rsidR="00B40AC5" w:rsidRDefault="00B40AC5" w:rsidP="00C01FE9">
      <w:pPr>
        <w:spacing w:after="0" w:line="360" w:lineRule="auto"/>
        <w:jc w:val="both"/>
        <w:rPr>
          <w:rFonts w:ascii="Times New Roman" w:hAnsi="Times New Roman"/>
        </w:rPr>
      </w:pPr>
      <w:r>
        <w:rPr>
          <w:rFonts w:ascii="Times New Roman" w:hAnsi="Times New Roman"/>
        </w:rPr>
        <w:t>K</w:t>
      </w:r>
      <w:r w:rsidR="00BB7198">
        <w:rPr>
          <w:rFonts w:ascii="Times New Roman" w:hAnsi="Times New Roman"/>
        </w:rPr>
        <w:t> bodu 25</w:t>
      </w:r>
      <w:r>
        <w:rPr>
          <w:rFonts w:ascii="Times New Roman" w:hAnsi="Times New Roman"/>
        </w:rPr>
        <w:t xml:space="preserve"> (§ 15 ods. 4)</w:t>
      </w:r>
    </w:p>
    <w:p w:rsidR="00B40AC5" w:rsidRPr="001805A5" w:rsidRDefault="00B40AC5" w:rsidP="00C01FE9">
      <w:pPr>
        <w:spacing w:after="0" w:line="360" w:lineRule="auto"/>
        <w:ind w:firstLine="708"/>
        <w:jc w:val="both"/>
        <w:rPr>
          <w:rFonts w:ascii="Times New Roman" w:hAnsi="Times New Roman"/>
        </w:rPr>
      </w:pPr>
      <w:r w:rsidRPr="001805A5">
        <w:rPr>
          <w:rFonts w:ascii="Times New Roman" w:hAnsi="Times New Roman"/>
        </w:rPr>
        <w:lastRenderedPageBreak/>
        <w:t xml:space="preserve">Vzhľadom na skutočnosť, že poľnohospodár mohol doposiaľ pestovať bez povolenia Ministerstva zdravotníctva SR iba odrody konopy siatej uvedené v </w:t>
      </w:r>
      <w:r w:rsidRPr="00C01FE9">
        <w:rPr>
          <w:rFonts w:ascii="Times New Roman" w:hAnsi="Times New Roman"/>
        </w:rPr>
        <w:t>Spoločnom katalógu odrôd poľnohospodárskych rastlinných druhov</w:t>
      </w:r>
      <w:r w:rsidR="001805A5">
        <w:rPr>
          <w:rFonts w:ascii="Times New Roman" w:hAnsi="Times New Roman"/>
        </w:rPr>
        <w:t>,</w:t>
      </w:r>
      <w:r w:rsidRPr="001805A5">
        <w:rPr>
          <w:rFonts w:ascii="Times New Roman" w:hAnsi="Times New Roman"/>
        </w:rPr>
        <w:t xml:space="preserve"> ak pred výsevom podal Pôdohospodárskej platobnej agentúre jednotnú žiadosť o poskytnutie priamych platieb v kalendárnom roku, v ktorom bude tieto odrody konopy siatej pestovať, poľnohospodár nemal možnosť pestovať odrody konopy siatej uvedené v </w:t>
      </w:r>
      <w:r w:rsidRPr="00C01FE9">
        <w:rPr>
          <w:rFonts w:ascii="Times New Roman" w:hAnsi="Times New Roman"/>
        </w:rPr>
        <w:t xml:space="preserve">Spoločnom katalógu odrôd poľnohospodárskych rastlinných druhov, pokiaľ nemal záujem o poskytnutie priamych platieb. Takýmto spôsobom boli takýto poľnohospodári diskriminovaní. </w:t>
      </w:r>
      <w:r w:rsidRPr="001805A5">
        <w:rPr>
          <w:rFonts w:ascii="Times New Roman" w:hAnsi="Times New Roman"/>
        </w:rPr>
        <w:t xml:space="preserve">Ministerstvo zdravotníctva SR preto </w:t>
      </w:r>
      <w:r w:rsidRPr="001805A5">
        <w:rPr>
          <w:rFonts w:ascii="Times New Roman" w:hAnsi="Times New Roman"/>
          <w:iCs/>
          <w:lang w:eastAsia="sk-SK"/>
        </w:rPr>
        <w:t>navrhuje</w:t>
      </w:r>
      <w:r w:rsidRPr="001805A5">
        <w:rPr>
          <w:rFonts w:ascii="Times New Roman" w:hAnsi="Times New Roman"/>
        </w:rPr>
        <w:t xml:space="preserve"> nové znenie § 15 ods. 4 , kde je uvedené, že n</w:t>
      </w:r>
      <w:r w:rsidRPr="00C01FE9">
        <w:rPr>
          <w:rFonts w:ascii="Times New Roman" w:hAnsi="Times New Roman"/>
        </w:rPr>
        <w:t xml:space="preserve">a pestovanie odrôd konopy zo Spoločného katalógu odrôd poľnohospodárskych rastlinných druhov sa povolenie </w:t>
      </w:r>
      <w:r w:rsidRPr="001805A5">
        <w:rPr>
          <w:rFonts w:ascii="Times New Roman" w:hAnsi="Times New Roman"/>
        </w:rPr>
        <w:t xml:space="preserve">Ministerstva zdravotníctva SR </w:t>
      </w:r>
      <w:r w:rsidRPr="00C01FE9">
        <w:rPr>
          <w:rFonts w:ascii="Times New Roman" w:hAnsi="Times New Roman"/>
        </w:rPr>
        <w:t xml:space="preserve">nevyžaduje. </w:t>
      </w:r>
      <w:r w:rsidRPr="001805A5">
        <w:rPr>
          <w:rFonts w:ascii="Times New Roman" w:hAnsi="Times New Roman"/>
        </w:rPr>
        <w:t xml:space="preserve"> </w:t>
      </w:r>
    </w:p>
    <w:p w:rsidR="00650B0A" w:rsidRPr="00970C0E" w:rsidRDefault="00650B0A" w:rsidP="00970C0E">
      <w:pPr>
        <w:spacing w:after="0" w:line="360" w:lineRule="auto"/>
        <w:ind w:firstLine="708"/>
        <w:jc w:val="both"/>
        <w:rPr>
          <w:rFonts w:ascii="Times New Roman" w:hAnsi="Times New Roman"/>
        </w:rPr>
      </w:pPr>
    </w:p>
    <w:p w:rsidR="008B130D" w:rsidRPr="00970C0E" w:rsidRDefault="00A443A3" w:rsidP="00970C0E">
      <w:pPr>
        <w:spacing w:after="0" w:line="360" w:lineRule="auto"/>
        <w:jc w:val="both"/>
        <w:rPr>
          <w:rFonts w:ascii="Times New Roman" w:hAnsi="Times New Roman"/>
        </w:rPr>
      </w:pPr>
      <w:r>
        <w:rPr>
          <w:rFonts w:ascii="Times New Roman" w:hAnsi="Times New Roman"/>
        </w:rPr>
        <w:t>K bodu 2</w:t>
      </w:r>
      <w:r w:rsidR="00BB7198">
        <w:rPr>
          <w:rFonts w:ascii="Times New Roman" w:hAnsi="Times New Roman"/>
        </w:rPr>
        <w:t>6</w:t>
      </w:r>
      <w:r w:rsidR="008B130D" w:rsidRPr="00970C0E">
        <w:rPr>
          <w:rFonts w:ascii="Times New Roman" w:hAnsi="Times New Roman"/>
        </w:rPr>
        <w:t xml:space="preserve"> (§ 15 ods. </w:t>
      </w:r>
      <w:r w:rsidR="00D25D31">
        <w:rPr>
          <w:rFonts w:ascii="Times New Roman" w:hAnsi="Times New Roman"/>
        </w:rPr>
        <w:t>6</w:t>
      </w:r>
      <w:r w:rsidR="008B130D" w:rsidRPr="00970C0E">
        <w:rPr>
          <w:rFonts w:ascii="Times New Roman" w:hAnsi="Times New Roman"/>
        </w:rPr>
        <w:t>)</w:t>
      </w:r>
    </w:p>
    <w:p w:rsidR="00650B0A" w:rsidRPr="00970C0E" w:rsidRDefault="00650B0A" w:rsidP="00120298">
      <w:pPr>
        <w:spacing w:after="0" w:line="360" w:lineRule="auto"/>
        <w:ind w:firstLine="426"/>
        <w:jc w:val="both"/>
        <w:rPr>
          <w:rFonts w:ascii="Times New Roman" w:hAnsi="Times New Roman"/>
        </w:rPr>
      </w:pPr>
      <w:r w:rsidRPr="00970C0E">
        <w:rPr>
          <w:rFonts w:ascii="Times New Roman" w:hAnsi="Times New Roman"/>
        </w:rPr>
        <w:t>Aktualizácia vnútorného odkazu.</w:t>
      </w:r>
    </w:p>
    <w:p w:rsidR="0066461B" w:rsidRPr="00970C0E" w:rsidRDefault="0066461B" w:rsidP="00970C0E">
      <w:pPr>
        <w:spacing w:after="0" w:line="360" w:lineRule="auto"/>
        <w:jc w:val="both"/>
        <w:rPr>
          <w:rFonts w:ascii="Times New Roman" w:hAnsi="Times New Roman"/>
        </w:rPr>
      </w:pPr>
    </w:p>
    <w:p w:rsidR="0066461B" w:rsidRPr="00970C0E" w:rsidRDefault="00A443A3" w:rsidP="00970C0E">
      <w:pPr>
        <w:spacing w:after="0" w:line="360" w:lineRule="auto"/>
        <w:jc w:val="both"/>
        <w:rPr>
          <w:rFonts w:ascii="Times New Roman" w:hAnsi="Times New Roman"/>
        </w:rPr>
      </w:pPr>
      <w:r>
        <w:rPr>
          <w:rFonts w:ascii="Times New Roman" w:hAnsi="Times New Roman"/>
        </w:rPr>
        <w:t>K bodu 2</w:t>
      </w:r>
      <w:r w:rsidR="00BB7198">
        <w:rPr>
          <w:rFonts w:ascii="Times New Roman" w:hAnsi="Times New Roman"/>
        </w:rPr>
        <w:t>7</w:t>
      </w:r>
      <w:r w:rsidR="0066461B" w:rsidRPr="00970C0E">
        <w:rPr>
          <w:rFonts w:ascii="Times New Roman" w:hAnsi="Times New Roman"/>
        </w:rPr>
        <w:t xml:space="preserve"> (§ 20 ods.</w:t>
      </w:r>
      <w:r w:rsidR="00360D3C">
        <w:rPr>
          <w:rFonts w:ascii="Times New Roman" w:hAnsi="Times New Roman"/>
        </w:rPr>
        <w:t xml:space="preserve"> </w:t>
      </w:r>
      <w:r w:rsidR="0066461B" w:rsidRPr="00970C0E">
        <w:rPr>
          <w:rFonts w:ascii="Times New Roman" w:hAnsi="Times New Roman"/>
        </w:rPr>
        <w:t>3)</w:t>
      </w:r>
    </w:p>
    <w:p w:rsidR="0066461B" w:rsidRDefault="0066461B" w:rsidP="00120298">
      <w:pPr>
        <w:shd w:val="clear" w:color="auto" w:fill="FFFFFF"/>
        <w:tabs>
          <w:tab w:val="left" w:pos="426"/>
        </w:tabs>
        <w:spacing w:after="0" w:line="360" w:lineRule="auto"/>
        <w:jc w:val="both"/>
        <w:rPr>
          <w:rFonts w:ascii="Times New Roman" w:hAnsi="Times New Roman"/>
        </w:rPr>
      </w:pPr>
      <w:r w:rsidRPr="00970C0E">
        <w:rPr>
          <w:rFonts w:ascii="Times New Roman" w:hAnsi="Times New Roman"/>
        </w:rPr>
        <w:tab/>
        <w:t>Ministerstvo zdravotníctva SR navrhuje úpravu počtu rovnopisov pri vývoznom povolení. Navrhovaná zmena počtu rovnopisov vývozného povolenia súvisí s tým, že podľa navrhovanej úpravy colný úrad nebude potvrdzovať jeden rovnopis vývozného povolenia, ale v rámci colného konania skontroluje, či mu je predložený rovnopis vývozného povolenia, ktorý má ďalej sprevádzať zásielku omamných a psychotropných látok.</w:t>
      </w:r>
    </w:p>
    <w:p w:rsidR="00F21164" w:rsidRDefault="00F21164" w:rsidP="00120298">
      <w:pPr>
        <w:shd w:val="clear" w:color="auto" w:fill="FFFFFF"/>
        <w:tabs>
          <w:tab w:val="left" w:pos="426"/>
        </w:tabs>
        <w:spacing w:after="0" w:line="360" w:lineRule="auto"/>
        <w:jc w:val="both"/>
        <w:rPr>
          <w:rFonts w:ascii="Times New Roman" w:hAnsi="Times New Roman"/>
        </w:rPr>
      </w:pPr>
    </w:p>
    <w:p w:rsidR="00F21164" w:rsidRDefault="00A443A3" w:rsidP="00120298">
      <w:pPr>
        <w:shd w:val="clear" w:color="auto" w:fill="FFFFFF"/>
        <w:tabs>
          <w:tab w:val="left" w:pos="426"/>
        </w:tabs>
        <w:spacing w:after="0" w:line="360" w:lineRule="auto"/>
        <w:jc w:val="both"/>
        <w:rPr>
          <w:rFonts w:ascii="Times New Roman" w:hAnsi="Times New Roman"/>
        </w:rPr>
      </w:pPr>
      <w:r>
        <w:rPr>
          <w:rFonts w:ascii="Times New Roman" w:hAnsi="Times New Roman"/>
        </w:rPr>
        <w:t>K bodu 2</w:t>
      </w:r>
      <w:r w:rsidR="00BB7198">
        <w:rPr>
          <w:rFonts w:ascii="Times New Roman" w:hAnsi="Times New Roman"/>
        </w:rPr>
        <w:t>8</w:t>
      </w:r>
      <w:r w:rsidR="00F21164">
        <w:rPr>
          <w:rFonts w:ascii="Times New Roman" w:hAnsi="Times New Roman"/>
        </w:rPr>
        <w:t xml:space="preserve"> (§ 20 ods. 4)</w:t>
      </w:r>
    </w:p>
    <w:p w:rsidR="008C30F2" w:rsidRDefault="00AB2733" w:rsidP="00C01FE9">
      <w:pPr>
        <w:shd w:val="clear" w:color="auto" w:fill="FFFFFF"/>
        <w:tabs>
          <w:tab w:val="left" w:pos="426"/>
        </w:tabs>
        <w:spacing w:after="0" w:line="360" w:lineRule="auto"/>
        <w:jc w:val="both"/>
        <w:rPr>
          <w:rFonts w:ascii="Times New Roman" w:hAnsi="Times New Roman"/>
        </w:rPr>
      </w:pPr>
      <w:r>
        <w:rPr>
          <w:rFonts w:ascii="Times New Roman" w:hAnsi="Times New Roman"/>
        </w:rPr>
        <w:tab/>
        <w:t xml:space="preserve">Zosúladenie terminológie </w:t>
      </w:r>
      <w:r w:rsidRPr="00970C0E">
        <w:rPr>
          <w:rFonts w:ascii="Times New Roman" w:hAnsi="Times New Roman"/>
        </w:rPr>
        <w:t>a</w:t>
      </w:r>
      <w:r>
        <w:rPr>
          <w:rFonts w:ascii="Times New Roman" w:hAnsi="Times New Roman"/>
        </w:rPr>
        <w:t>ktuálne platným colným predpismi.</w:t>
      </w:r>
    </w:p>
    <w:p w:rsidR="008C30F2" w:rsidRPr="00970C0E" w:rsidRDefault="008C30F2" w:rsidP="00970C0E">
      <w:pPr>
        <w:shd w:val="clear" w:color="auto" w:fill="FFFFFF"/>
        <w:spacing w:after="0" w:line="360" w:lineRule="auto"/>
        <w:jc w:val="both"/>
        <w:rPr>
          <w:rFonts w:ascii="Times New Roman" w:hAnsi="Times New Roman"/>
        </w:rPr>
      </w:pPr>
    </w:p>
    <w:p w:rsidR="006048AC" w:rsidRPr="00970C0E" w:rsidRDefault="006048AC" w:rsidP="00970C0E">
      <w:pPr>
        <w:shd w:val="clear" w:color="auto" w:fill="FFFFFF"/>
        <w:spacing w:after="0" w:line="360" w:lineRule="auto"/>
        <w:jc w:val="both"/>
        <w:rPr>
          <w:rFonts w:ascii="Times New Roman" w:hAnsi="Times New Roman"/>
        </w:rPr>
      </w:pPr>
      <w:r w:rsidRPr="00970C0E">
        <w:rPr>
          <w:rFonts w:ascii="Times New Roman" w:hAnsi="Times New Roman"/>
        </w:rPr>
        <w:t xml:space="preserve">K bodu </w:t>
      </w:r>
      <w:r w:rsidR="00A443A3">
        <w:rPr>
          <w:rFonts w:ascii="Times New Roman" w:hAnsi="Times New Roman"/>
        </w:rPr>
        <w:t>2</w:t>
      </w:r>
      <w:r w:rsidR="00BB7198">
        <w:rPr>
          <w:rFonts w:ascii="Times New Roman" w:hAnsi="Times New Roman"/>
        </w:rPr>
        <w:t>9</w:t>
      </w:r>
      <w:r w:rsidRPr="00970C0E">
        <w:rPr>
          <w:rFonts w:ascii="Times New Roman" w:hAnsi="Times New Roman"/>
        </w:rPr>
        <w:t xml:space="preserve"> (§ 21 ods. 2)</w:t>
      </w:r>
    </w:p>
    <w:p w:rsidR="003F1F35" w:rsidRDefault="006048AC" w:rsidP="00120298">
      <w:pPr>
        <w:shd w:val="clear" w:color="auto" w:fill="FFFFFF"/>
        <w:tabs>
          <w:tab w:val="left" w:pos="426"/>
        </w:tabs>
        <w:spacing w:after="0" w:line="360" w:lineRule="auto"/>
        <w:jc w:val="both"/>
        <w:rPr>
          <w:rFonts w:ascii="Times New Roman" w:hAnsi="Times New Roman"/>
        </w:rPr>
      </w:pPr>
      <w:r w:rsidRPr="00970C0E">
        <w:rPr>
          <w:rFonts w:ascii="Times New Roman" w:hAnsi="Times New Roman"/>
        </w:rPr>
        <w:tab/>
        <w:t>Ministerstvo zdravotníctva SR navrhuje úpravu počtu rovnopisov pri dovoznom povolení. Navrhovaná zmena počtu rovnopisov dovozného povolenia súvisí s tým, že podľa navrhovanej úpravy colný úrad už nebude potvrdzovať jeden rovnopis dovozného povolenia, ale v rámci colného konania skontroluje, či mu je predložený rovnopis dovozného povolenia.</w:t>
      </w:r>
    </w:p>
    <w:p w:rsidR="001A1DFA" w:rsidRDefault="001A1DFA" w:rsidP="00120298">
      <w:pPr>
        <w:shd w:val="clear" w:color="auto" w:fill="FFFFFF"/>
        <w:tabs>
          <w:tab w:val="left" w:pos="426"/>
        </w:tabs>
        <w:spacing w:after="0" w:line="360" w:lineRule="auto"/>
        <w:jc w:val="both"/>
        <w:rPr>
          <w:rFonts w:ascii="Times New Roman" w:hAnsi="Times New Roman"/>
        </w:rPr>
      </w:pPr>
    </w:p>
    <w:p w:rsidR="001A1DFA" w:rsidRPr="00970C0E" w:rsidRDefault="001A1DFA" w:rsidP="001A1DFA">
      <w:pPr>
        <w:shd w:val="clear" w:color="auto" w:fill="FFFFFF"/>
        <w:spacing w:after="0" w:line="360" w:lineRule="auto"/>
        <w:jc w:val="both"/>
        <w:rPr>
          <w:rFonts w:ascii="Times New Roman" w:hAnsi="Times New Roman"/>
        </w:rPr>
      </w:pPr>
      <w:r w:rsidRPr="00970C0E">
        <w:rPr>
          <w:rFonts w:ascii="Times New Roman" w:hAnsi="Times New Roman"/>
        </w:rPr>
        <w:t xml:space="preserve">K bodu </w:t>
      </w:r>
      <w:r w:rsidR="00BB7198">
        <w:rPr>
          <w:rFonts w:ascii="Times New Roman" w:hAnsi="Times New Roman"/>
        </w:rPr>
        <w:t>30</w:t>
      </w:r>
      <w:r>
        <w:rPr>
          <w:rFonts w:ascii="Times New Roman" w:hAnsi="Times New Roman"/>
        </w:rPr>
        <w:t xml:space="preserve"> (§ 21 ods. 3</w:t>
      </w:r>
      <w:r w:rsidRPr="00970C0E">
        <w:rPr>
          <w:rFonts w:ascii="Times New Roman" w:hAnsi="Times New Roman"/>
        </w:rPr>
        <w:t>)</w:t>
      </w:r>
    </w:p>
    <w:p w:rsidR="001A1DFA" w:rsidRPr="00970C0E" w:rsidRDefault="001A1DFA" w:rsidP="00120298">
      <w:pPr>
        <w:shd w:val="clear" w:color="auto" w:fill="FFFFFF"/>
        <w:tabs>
          <w:tab w:val="left" w:pos="426"/>
        </w:tabs>
        <w:spacing w:after="0" w:line="360" w:lineRule="auto"/>
        <w:jc w:val="both"/>
        <w:rPr>
          <w:rFonts w:ascii="Times New Roman" w:hAnsi="Times New Roman"/>
        </w:rPr>
      </w:pPr>
      <w:r>
        <w:rPr>
          <w:rFonts w:ascii="Times New Roman" w:hAnsi="Times New Roman"/>
        </w:rPr>
        <w:tab/>
        <w:t xml:space="preserve">Zosúladenie terminológie </w:t>
      </w:r>
      <w:r w:rsidRPr="00970C0E">
        <w:rPr>
          <w:rFonts w:ascii="Times New Roman" w:hAnsi="Times New Roman"/>
        </w:rPr>
        <w:t>a</w:t>
      </w:r>
      <w:r>
        <w:rPr>
          <w:rFonts w:ascii="Times New Roman" w:hAnsi="Times New Roman"/>
        </w:rPr>
        <w:t>ktuálne platným colným predpismi.</w:t>
      </w:r>
    </w:p>
    <w:p w:rsidR="008B130D" w:rsidRPr="00970C0E" w:rsidRDefault="008B130D" w:rsidP="00970C0E">
      <w:pPr>
        <w:shd w:val="clear" w:color="auto" w:fill="FFFFFF"/>
        <w:spacing w:after="0" w:line="360" w:lineRule="auto"/>
        <w:jc w:val="both"/>
        <w:rPr>
          <w:rFonts w:ascii="Times New Roman" w:hAnsi="Times New Roman"/>
        </w:rPr>
      </w:pPr>
    </w:p>
    <w:p w:rsidR="008B1B3C" w:rsidRPr="00970C0E" w:rsidRDefault="008B1B3C" w:rsidP="00970C0E">
      <w:pPr>
        <w:shd w:val="clear" w:color="auto" w:fill="FFFFFF"/>
        <w:spacing w:after="0" w:line="360" w:lineRule="auto"/>
        <w:jc w:val="both"/>
        <w:rPr>
          <w:rFonts w:ascii="Times New Roman" w:hAnsi="Times New Roman"/>
          <w:iCs/>
        </w:rPr>
      </w:pPr>
    </w:p>
    <w:p w:rsidR="008B1B3C" w:rsidRPr="00970C0E" w:rsidRDefault="00A443A3" w:rsidP="00970C0E">
      <w:pPr>
        <w:shd w:val="clear" w:color="auto" w:fill="FFFFFF"/>
        <w:spacing w:after="0" w:line="360" w:lineRule="auto"/>
        <w:jc w:val="both"/>
        <w:rPr>
          <w:rFonts w:ascii="Times New Roman" w:hAnsi="Times New Roman"/>
          <w:iCs/>
        </w:rPr>
      </w:pPr>
      <w:r>
        <w:rPr>
          <w:rFonts w:ascii="Times New Roman" w:hAnsi="Times New Roman"/>
          <w:iCs/>
        </w:rPr>
        <w:t xml:space="preserve">K bodu </w:t>
      </w:r>
      <w:r w:rsidR="00BB7198">
        <w:rPr>
          <w:rFonts w:ascii="Times New Roman" w:hAnsi="Times New Roman"/>
          <w:iCs/>
        </w:rPr>
        <w:t>31</w:t>
      </w:r>
      <w:r w:rsidR="008B1B3C" w:rsidRPr="00970C0E">
        <w:rPr>
          <w:rFonts w:ascii="Times New Roman" w:hAnsi="Times New Roman"/>
          <w:iCs/>
        </w:rPr>
        <w:t xml:space="preserve"> (§ 22 ods. 1)</w:t>
      </w:r>
    </w:p>
    <w:p w:rsidR="008B1B3C" w:rsidRPr="00970C0E" w:rsidRDefault="008B1B3C" w:rsidP="00C01FE9">
      <w:pPr>
        <w:shd w:val="clear" w:color="auto" w:fill="FFFFFF"/>
        <w:spacing w:after="0" w:line="360" w:lineRule="auto"/>
        <w:ind w:firstLine="426"/>
        <w:jc w:val="both"/>
        <w:rPr>
          <w:rFonts w:ascii="Times New Roman" w:hAnsi="Times New Roman"/>
          <w:iCs/>
          <w:lang w:eastAsia="sk-SK"/>
        </w:rPr>
      </w:pPr>
      <w:r w:rsidRPr="00970C0E">
        <w:rPr>
          <w:rFonts w:ascii="Times New Roman" w:hAnsi="Times New Roman"/>
          <w:iCs/>
          <w:lang w:eastAsia="sk-SK"/>
        </w:rPr>
        <w:t>Navrhovaná zmena súvisí s navrhovanou úpravou v § 22a.</w:t>
      </w:r>
    </w:p>
    <w:p w:rsidR="00E21B76" w:rsidRPr="00970C0E" w:rsidRDefault="00A443A3" w:rsidP="00970C0E">
      <w:pPr>
        <w:shd w:val="clear" w:color="auto" w:fill="FFFFFF"/>
        <w:spacing w:after="0" w:line="360" w:lineRule="auto"/>
        <w:jc w:val="both"/>
        <w:rPr>
          <w:rFonts w:ascii="Times New Roman" w:hAnsi="Times New Roman"/>
          <w:iCs/>
          <w:lang w:eastAsia="sk-SK"/>
        </w:rPr>
      </w:pPr>
      <w:r>
        <w:rPr>
          <w:rFonts w:ascii="Times New Roman" w:hAnsi="Times New Roman"/>
          <w:iCs/>
          <w:lang w:eastAsia="sk-SK"/>
        </w:rPr>
        <w:t>K bodu 3</w:t>
      </w:r>
      <w:r w:rsidR="00BB7198">
        <w:rPr>
          <w:rFonts w:ascii="Times New Roman" w:hAnsi="Times New Roman"/>
          <w:iCs/>
          <w:lang w:eastAsia="sk-SK"/>
        </w:rPr>
        <w:t>2</w:t>
      </w:r>
      <w:r w:rsidR="00E21B76" w:rsidRPr="00970C0E">
        <w:rPr>
          <w:rFonts w:ascii="Times New Roman" w:hAnsi="Times New Roman"/>
          <w:iCs/>
          <w:lang w:eastAsia="sk-SK"/>
        </w:rPr>
        <w:t xml:space="preserve"> (§ 22 ods. 2)</w:t>
      </w:r>
    </w:p>
    <w:p w:rsidR="00E21B76" w:rsidRPr="00970C0E" w:rsidRDefault="00E21B76" w:rsidP="00120298">
      <w:pPr>
        <w:shd w:val="clear" w:color="auto" w:fill="FFFFFF"/>
        <w:tabs>
          <w:tab w:val="left" w:pos="426"/>
        </w:tabs>
        <w:spacing w:after="0" w:line="360" w:lineRule="auto"/>
        <w:jc w:val="both"/>
        <w:rPr>
          <w:rFonts w:ascii="Times New Roman" w:hAnsi="Times New Roman"/>
          <w:iCs/>
          <w:lang w:eastAsia="sk-SK"/>
        </w:rPr>
      </w:pPr>
      <w:r w:rsidRPr="00970C0E">
        <w:rPr>
          <w:rFonts w:ascii="Times New Roman" w:hAnsi="Times New Roman"/>
          <w:iCs/>
          <w:lang w:eastAsia="sk-SK"/>
        </w:rPr>
        <w:lastRenderedPageBreak/>
        <w:tab/>
      </w:r>
      <w:r w:rsidRPr="00970C0E">
        <w:rPr>
          <w:rFonts w:ascii="Times New Roman" w:hAnsi="Times New Roman"/>
        </w:rPr>
        <w:t xml:space="preserve">Ministerstvo zdravotníctva SR </w:t>
      </w:r>
      <w:r w:rsidRPr="00970C0E">
        <w:rPr>
          <w:rFonts w:ascii="Times New Roman" w:hAnsi="Times New Roman"/>
          <w:iCs/>
          <w:lang w:eastAsia="sk-SK"/>
        </w:rPr>
        <w:t>navrhuje doplnenie textu, ktorým sa cizeluje, že porušenie takejto povinnosti nezakladá dôvod na uloženie pokuty, predloženie dovozného a vývozného povolenia sú nevyhnutným predpokladom pre vydanie tranzitného povolenia.</w:t>
      </w:r>
    </w:p>
    <w:p w:rsidR="00E21B76" w:rsidRPr="00970C0E" w:rsidRDefault="00E21B76" w:rsidP="00A443A3">
      <w:pPr>
        <w:shd w:val="clear" w:color="auto" w:fill="FFFFFF"/>
        <w:spacing w:after="0" w:line="360" w:lineRule="auto"/>
        <w:jc w:val="both"/>
        <w:rPr>
          <w:rFonts w:ascii="Times New Roman" w:hAnsi="Times New Roman"/>
          <w:iCs/>
          <w:lang w:eastAsia="sk-SK"/>
        </w:rPr>
      </w:pPr>
    </w:p>
    <w:p w:rsidR="008B1B3C" w:rsidRPr="00970C0E" w:rsidRDefault="00AB2733" w:rsidP="00970C0E">
      <w:pPr>
        <w:shd w:val="clear" w:color="auto" w:fill="FFFFFF"/>
        <w:spacing w:after="0" w:line="360" w:lineRule="auto"/>
        <w:jc w:val="both"/>
        <w:rPr>
          <w:rFonts w:ascii="Times New Roman" w:hAnsi="Times New Roman"/>
          <w:iCs/>
          <w:lang w:eastAsia="sk-SK"/>
        </w:rPr>
      </w:pPr>
      <w:r>
        <w:rPr>
          <w:rFonts w:ascii="Times New Roman" w:hAnsi="Times New Roman"/>
          <w:iCs/>
          <w:lang w:eastAsia="sk-SK"/>
        </w:rPr>
        <w:t>K bodu 3</w:t>
      </w:r>
      <w:r w:rsidR="00BB7198">
        <w:rPr>
          <w:rFonts w:ascii="Times New Roman" w:hAnsi="Times New Roman"/>
          <w:iCs/>
          <w:lang w:eastAsia="sk-SK"/>
        </w:rPr>
        <w:t>3</w:t>
      </w:r>
      <w:r w:rsidR="008B1B3C" w:rsidRPr="00970C0E">
        <w:rPr>
          <w:rFonts w:ascii="Times New Roman" w:hAnsi="Times New Roman"/>
          <w:iCs/>
          <w:lang w:eastAsia="sk-SK"/>
        </w:rPr>
        <w:t xml:space="preserve"> (§ 22a)</w:t>
      </w:r>
    </w:p>
    <w:p w:rsidR="008B1B3C" w:rsidRPr="00970C0E" w:rsidRDefault="0023008A" w:rsidP="00120298">
      <w:pPr>
        <w:shd w:val="clear" w:color="auto" w:fill="FFFFFF"/>
        <w:spacing w:after="0" w:line="360" w:lineRule="auto"/>
        <w:ind w:firstLine="426"/>
        <w:jc w:val="both"/>
        <w:rPr>
          <w:rFonts w:ascii="Times New Roman" w:hAnsi="Times New Roman"/>
        </w:rPr>
      </w:pPr>
      <w:r>
        <w:rPr>
          <w:rFonts w:ascii="Times New Roman" w:hAnsi="Times New Roman"/>
        </w:rPr>
        <w:t xml:space="preserve">Úprava navrhovaná </w:t>
      </w:r>
      <w:r w:rsidR="008066B3" w:rsidRPr="00970C0E">
        <w:rPr>
          <w:rFonts w:ascii="Times New Roman" w:hAnsi="Times New Roman"/>
        </w:rPr>
        <w:t>je reakciou na skutočnosť, že doterajšia právna úprava vychádzala z pojmov vývoz alebo dovoz omamných a psychotropných látok ako ich fyzického premiestnenia z iného štátu do Slovenskej republiky, nerozlišujúc, či sa omamné a psychotropné látky vyvážajú do tretích štátov alebo do členských štátov Európskej únie alebo dovážajú z tretích štátov alebo z členských štátov Európskej únie. Takáto právna úprava nereflektovala jednotné colné územie Európskej únie, čo spôsobovalo problematické uplatňovanie zákona colnými orgánmi pri výkone ich právomocí. Navrhovaná úprava teda dáva do súladu úpravu vývozu, dovozu a tranzitu omamných a psychotropných látok s aktuálne platnými colnými predpismi.</w:t>
      </w:r>
    </w:p>
    <w:p w:rsidR="00E510BF" w:rsidRPr="00970C0E" w:rsidRDefault="00E510BF" w:rsidP="00970C0E">
      <w:pPr>
        <w:spacing w:after="0" w:line="360" w:lineRule="auto"/>
        <w:jc w:val="both"/>
        <w:rPr>
          <w:rFonts w:ascii="Times New Roman" w:hAnsi="Times New Roman"/>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K bodu </w:t>
      </w:r>
      <w:r w:rsidR="00A443A3">
        <w:rPr>
          <w:rFonts w:ascii="Times New Roman" w:hAnsi="Times New Roman"/>
        </w:rPr>
        <w:t>3</w:t>
      </w:r>
      <w:r w:rsidR="00BB7198">
        <w:rPr>
          <w:rFonts w:ascii="Times New Roman" w:hAnsi="Times New Roman"/>
        </w:rPr>
        <w:t>4</w:t>
      </w:r>
      <w:r w:rsidRPr="00970C0E">
        <w:rPr>
          <w:rFonts w:ascii="Times New Roman" w:hAnsi="Times New Roman"/>
        </w:rPr>
        <w:t xml:space="preserve"> (§ 28 ods. 4 písm. b))</w:t>
      </w:r>
    </w:p>
    <w:p w:rsidR="00BE34A7" w:rsidRPr="00970C0E" w:rsidRDefault="00E510BF" w:rsidP="00BE34A7">
      <w:pPr>
        <w:spacing w:line="360" w:lineRule="auto"/>
        <w:ind w:firstLine="426"/>
        <w:contextualSpacing/>
        <w:jc w:val="both"/>
        <w:rPr>
          <w:rFonts w:ascii="Times New Roman" w:hAnsi="Times New Roman"/>
        </w:rPr>
      </w:pPr>
      <w:r w:rsidRPr="00970C0E">
        <w:rPr>
          <w:rFonts w:ascii="Times New Roman" w:hAnsi="Times New Roman"/>
        </w:rPr>
        <w:t>Navrhujeme, aby držiteľ povolenia na pestovanie maku siateho a konopy každoročne poskytol v oznamovacích povinnostiach podľa § 28 ods. 4 písm. b) Ministerstvu zdravotníctva Slovenskej republiky</w:t>
      </w:r>
      <w:r w:rsidRPr="00970C0E">
        <w:rPr>
          <w:rFonts w:ascii="Times New Roman" w:hAnsi="Times New Roman"/>
          <w:shd w:val="clear" w:color="auto" w:fill="FFFFFF"/>
        </w:rPr>
        <w:t xml:space="preserve"> </w:t>
      </w:r>
      <w:r w:rsidRPr="00970C0E">
        <w:rPr>
          <w:rFonts w:ascii="Times New Roman" w:hAnsi="Times New Roman"/>
        </w:rPr>
        <w:t xml:space="preserve">okrem údajov skutočne osiatych plôch aj parcelné čísla, </w:t>
      </w:r>
      <w:r w:rsidR="007B70A7" w:rsidRPr="00970C0E">
        <w:rPr>
          <w:rFonts w:ascii="Times New Roman" w:hAnsi="Times New Roman"/>
        </w:rPr>
        <w:t xml:space="preserve">okres, názov obce a názov katastrálneho územia </w:t>
      </w:r>
      <w:r w:rsidRPr="00970C0E">
        <w:rPr>
          <w:rFonts w:ascii="Times New Roman" w:hAnsi="Times New Roman"/>
        </w:rPr>
        <w:t xml:space="preserve">kde pestuje v danom období mak siaty a konopu. V rámci kontrolnej činnosti tak bude možné kontrolovať skutočne osiatu plochu v danom období. </w:t>
      </w:r>
    </w:p>
    <w:p w:rsidR="006A5462" w:rsidRPr="00970C0E" w:rsidRDefault="006A5462" w:rsidP="00970C0E">
      <w:pPr>
        <w:spacing w:line="360" w:lineRule="auto"/>
        <w:ind w:firstLine="708"/>
        <w:contextualSpacing/>
        <w:jc w:val="both"/>
        <w:rPr>
          <w:rFonts w:ascii="Times New Roman" w:hAnsi="Times New Roman"/>
        </w:rPr>
      </w:pPr>
    </w:p>
    <w:p w:rsidR="006A5462" w:rsidRPr="00970C0E" w:rsidRDefault="00A443A3" w:rsidP="00970C0E">
      <w:pPr>
        <w:spacing w:line="360" w:lineRule="auto"/>
        <w:contextualSpacing/>
        <w:jc w:val="both"/>
        <w:rPr>
          <w:rFonts w:ascii="Times New Roman" w:hAnsi="Times New Roman"/>
        </w:rPr>
      </w:pPr>
      <w:r>
        <w:rPr>
          <w:rFonts w:ascii="Times New Roman" w:hAnsi="Times New Roman"/>
        </w:rPr>
        <w:t>K bodu 3</w:t>
      </w:r>
      <w:r w:rsidR="00BB7198">
        <w:rPr>
          <w:rFonts w:ascii="Times New Roman" w:hAnsi="Times New Roman"/>
        </w:rPr>
        <w:t>5</w:t>
      </w:r>
      <w:r w:rsidR="001A1DFA">
        <w:rPr>
          <w:rFonts w:ascii="Times New Roman" w:hAnsi="Times New Roman"/>
        </w:rPr>
        <w:t xml:space="preserve"> </w:t>
      </w:r>
      <w:r w:rsidR="006A5462" w:rsidRPr="00970C0E">
        <w:rPr>
          <w:rFonts w:ascii="Times New Roman" w:hAnsi="Times New Roman"/>
        </w:rPr>
        <w:t>(§ 37 ods. 1)</w:t>
      </w:r>
    </w:p>
    <w:p w:rsidR="006A5462" w:rsidRPr="00970C0E" w:rsidRDefault="006A5462" w:rsidP="00120298">
      <w:pPr>
        <w:tabs>
          <w:tab w:val="left" w:pos="426"/>
        </w:tabs>
        <w:spacing w:line="360" w:lineRule="auto"/>
        <w:contextualSpacing/>
        <w:jc w:val="both"/>
        <w:rPr>
          <w:rFonts w:ascii="Times New Roman" w:hAnsi="Times New Roman"/>
        </w:rPr>
      </w:pPr>
      <w:r w:rsidRPr="00970C0E">
        <w:rPr>
          <w:rFonts w:ascii="Times New Roman" w:hAnsi="Times New Roman"/>
        </w:rPr>
        <w:tab/>
        <w:t>Zosúladenie terminológie so znením zákona č. 35/2019 Z. z. o finančnej správe a o zmene a doplnení niektorých zákonov v znení neskorších predpisov.</w:t>
      </w:r>
    </w:p>
    <w:p w:rsidR="00A312DB" w:rsidRPr="00970C0E" w:rsidRDefault="00A312DB" w:rsidP="00970C0E">
      <w:pPr>
        <w:spacing w:line="360" w:lineRule="auto"/>
        <w:contextualSpacing/>
        <w:jc w:val="both"/>
        <w:rPr>
          <w:rFonts w:ascii="Times New Roman" w:hAnsi="Times New Roman"/>
        </w:rPr>
      </w:pPr>
    </w:p>
    <w:p w:rsidR="00A312DB" w:rsidRPr="00970C0E" w:rsidRDefault="00A312DB" w:rsidP="00970C0E">
      <w:pPr>
        <w:spacing w:line="360" w:lineRule="auto"/>
        <w:contextualSpacing/>
        <w:jc w:val="both"/>
        <w:rPr>
          <w:rFonts w:ascii="Times New Roman" w:hAnsi="Times New Roman"/>
        </w:rPr>
      </w:pPr>
      <w:r w:rsidRPr="00970C0E">
        <w:rPr>
          <w:rFonts w:ascii="Times New Roman" w:hAnsi="Times New Roman"/>
        </w:rPr>
        <w:t xml:space="preserve">K bodu </w:t>
      </w:r>
      <w:r w:rsidR="00A443A3">
        <w:rPr>
          <w:rFonts w:ascii="Times New Roman" w:hAnsi="Times New Roman"/>
        </w:rPr>
        <w:t>3</w:t>
      </w:r>
      <w:r w:rsidR="00BB7198">
        <w:rPr>
          <w:rFonts w:ascii="Times New Roman" w:hAnsi="Times New Roman"/>
        </w:rPr>
        <w:t>6</w:t>
      </w:r>
      <w:r w:rsidR="00A443A3">
        <w:rPr>
          <w:rFonts w:ascii="Times New Roman" w:hAnsi="Times New Roman"/>
        </w:rPr>
        <w:t xml:space="preserve"> až 3</w:t>
      </w:r>
      <w:r w:rsidR="00BB7198">
        <w:rPr>
          <w:rFonts w:ascii="Times New Roman" w:hAnsi="Times New Roman"/>
        </w:rPr>
        <w:t>8</w:t>
      </w:r>
      <w:r w:rsidRPr="00970C0E">
        <w:rPr>
          <w:rFonts w:ascii="Times New Roman" w:hAnsi="Times New Roman"/>
        </w:rPr>
        <w:t xml:space="preserve"> (§ 39</w:t>
      </w:r>
      <w:r w:rsidR="00ED13E1" w:rsidRPr="00970C0E">
        <w:rPr>
          <w:rFonts w:ascii="Times New Roman" w:hAnsi="Times New Roman"/>
        </w:rPr>
        <w:t xml:space="preserve"> ods. 1</w:t>
      </w:r>
      <w:r w:rsidR="007265B7" w:rsidRPr="00970C0E">
        <w:rPr>
          <w:rFonts w:ascii="Times New Roman" w:hAnsi="Times New Roman"/>
        </w:rPr>
        <w:t xml:space="preserve"> a</w:t>
      </w:r>
      <w:r w:rsidR="008B130D" w:rsidRPr="00970C0E">
        <w:rPr>
          <w:rFonts w:ascii="Times New Roman" w:hAnsi="Times New Roman"/>
        </w:rPr>
        <w:t>ž</w:t>
      </w:r>
      <w:r w:rsidR="007265B7" w:rsidRPr="00970C0E">
        <w:rPr>
          <w:rFonts w:ascii="Times New Roman" w:hAnsi="Times New Roman"/>
        </w:rPr>
        <w:t xml:space="preserve"> </w:t>
      </w:r>
      <w:r w:rsidR="008B130D" w:rsidRPr="00970C0E">
        <w:rPr>
          <w:rFonts w:ascii="Times New Roman" w:hAnsi="Times New Roman"/>
        </w:rPr>
        <w:t>3</w:t>
      </w:r>
      <w:r w:rsidRPr="00970C0E">
        <w:rPr>
          <w:rFonts w:ascii="Times New Roman" w:hAnsi="Times New Roman"/>
        </w:rPr>
        <w:t>)</w:t>
      </w:r>
    </w:p>
    <w:p w:rsidR="00E510BF" w:rsidRPr="00970C0E" w:rsidRDefault="00A312DB" w:rsidP="00120298">
      <w:pPr>
        <w:tabs>
          <w:tab w:val="left" w:pos="426"/>
        </w:tabs>
        <w:spacing w:after="0" w:line="360" w:lineRule="auto"/>
        <w:jc w:val="both"/>
        <w:rPr>
          <w:rFonts w:ascii="Times New Roman" w:hAnsi="Times New Roman"/>
        </w:rPr>
      </w:pPr>
      <w:r w:rsidRPr="00970C0E">
        <w:rPr>
          <w:rFonts w:ascii="Times New Roman" w:hAnsi="Times New Roman"/>
        </w:rPr>
        <w:tab/>
      </w:r>
      <w:r w:rsidR="00BE34A7">
        <w:rPr>
          <w:rFonts w:ascii="Times New Roman" w:hAnsi="Times New Roman"/>
        </w:rPr>
        <w:t xml:space="preserve">Zosúladenie paragrafov, na ktoré sa vzťahujú pokuty. </w:t>
      </w:r>
    </w:p>
    <w:p w:rsidR="00B046FA" w:rsidRPr="00970C0E" w:rsidRDefault="00B046FA" w:rsidP="00970C0E">
      <w:pPr>
        <w:spacing w:after="0" w:line="360" w:lineRule="auto"/>
        <w:jc w:val="both"/>
        <w:rPr>
          <w:rFonts w:ascii="Times New Roman" w:hAnsi="Times New Roman"/>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K bodu </w:t>
      </w:r>
      <w:r w:rsidR="00A443A3">
        <w:rPr>
          <w:rFonts w:ascii="Times New Roman" w:hAnsi="Times New Roman"/>
        </w:rPr>
        <w:t>3</w:t>
      </w:r>
      <w:r w:rsidR="00BB7198">
        <w:rPr>
          <w:rFonts w:ascii="Times New Roman" w:hAnsi="Times New Roman"/>
        </w:rPr>
        <w:t>9</w:t>
      </w:r>
      <w:r w:rsidRPr="00970C0E">
        <w:rPr>
          <w:rFonts w:ascii="Times New Roman" w:hAnsi="Times New Roman"/>
        </w:rPr>
        <w:t xml:space="preserve"> (§ 42 bd))</w:t>
      </w:r>
    </w:p>
    <w:p w:rsidR="00E510BF" w:rsidRDefault="00E510BF" w:rsidP="00120298">
      <w:pPr>
        <w:tabs>
          <w:tab w:val="left" w:pos="426"/>
        </w:tabs>
        <w:spacing w:after="0" w:line="360" w:lineRule="auto"/>
        <w:jc w:val="both"/>
        <w:rPr>
          <w:rFonts w:ascii="Times New Roman" w:hAnsi="Times New Roman"/>
        </w:rPr>
      </w:pPr>
      <w:r w:rsidRPr="00970C0E">
        <w:rPr>
          <w:rFonts w:ascii="Times New Roman" w:hAnsi="Times New Roman"/>
        </w:rPr>
        <w:tab/>
        <w:t xml:space="preserve">Navrhujú sa prechodné ustanovenia. Vzhľadom na skutočnosť, že sa menia podmienky na vydávanie niektorých druhoch povolení, navrhuje sa, aby tieto zmeny nezasiahli už nezasahovali do rozbehnutých konaní. Rovnako nie je úmysel, aby všetci existujúci držitelia museli požiadať o vydanie nových povolení. </w:t>
      </w:r>
    </w:p>
    <w:p w:rsidR="00C01FE9" w:rsidRDefault="00C01FE9" w:rsidP="00120298">
      <w:pPr>
        <w:tabs>
          <w:tab w:val="left" w:pos="426"/>
        </w:tabs>
        <w:spacing w:after="0" w:line="360" w:lineRule="auto"/>
        <w:jc w:val="both"/>
        <w:rPr>
          <w:rFonts w:ascii="Times New Roman" w:hAnsi="Times New Roman"/>
        </w:rPr>
      </w:pPr>
    </w:p>
    <w:p w:rsidR="00C01FE9" w:rsidRDefault="00C01FE9" w:rsidP="00120298">
      <w:pPr>
        <w:tabs>
          <w:tab w:val="left" w:pos="426"/>
        </w:tabs>
        <w:spacing w:after="0" w:line="360" w:lineRule="auto"/>
        <w:jc w:val="both"/>
        <w:rPr>
          <w:rFonts w:ascii="Times New Roman" w:hAnsi="Times New Roman"/>
        </w:rPr>
      </w:pPr>
    </w:p>
    <w:p w:rsidR="00AB2733" w:rsidRPr="00970C0E" w:rsidRDefault="00AB2733" w:rsidP="00120298">
      <w:pPr>
        <w:tabs>
          <w:tab w:val="left" w:pos="426"/>
        </w:tabs>
        <w:spacing w:after="0" w:line="360" w:lineRule="auto"/>
        <w:jc w:val="both"/>
        <w:rPr>
          <w:rFonts w:ascii="Times New Roman" w:hAnsi="Times New Roman"/>
        </w:rPr>
      </w:pPr>
    </w:p>
    <w:p w:rsidR="00273CB8" w:rsidRPr="00970C0E" w:rsidRDefault="00ED12A6" w:rsidP="00970C0E">
      <w:pPr>
        <w:spacing w:after="0" w:line="360" w:lineRule="auto"/>
        <w:jc w:val="both"/>
        <w:rPr>
          <w:rFonts w:ascii="Times New Roman" w:hAnsi="Times New Roman"/>
        </w:rPr>
      </w:pPr>
      <w:r w:rsidRPr="00970C0E">
        <w:rPr>
          <w:rFonts w:ascii="Times New Roman" w:hAnsi="Times New Roman"/>
        </w:rPr>
        <w:t xml:space="preserve">K bodu </w:t>
      </w:r>
      <w:r w:rsidR="00BB7198">
        <w:rPr>
          <w:rFonts w:ascii="Times New Roman" w:hAnsi="Times New Roman"/>
        </w:rPr>
        <w:t>40</w:t>
      </w:r>
      <w:r w:rsidR="00273CB8" w:rsidRPr="00970C0E">
        <w:rPr>
          <w:rFonts w:ascii="Times New Roman" w:hAnsi="Times New Roman"/>
        </w:rPr>
        <w:t xml:space="preserve"> (príloha č. 1 OL skupiny I)</w:t>
      </w:r>
    </w:p>
    <w:p w:rsidR="00156238" w:rsidRDefault="00273CB8" w:rsidP="00970C0E">
      <w:pPr>
        <w:spacing w:after="0" w:line="360" w:lineRule="auto"/>
        <w:ind w:firstLine="426"/>
        <w:jc w:val="both"/>
        <w:rPr>
          <w:rFonts w:ascii="Times New Roman" w:hAnsi="Times New Roman"/>
        </w:rPr>
      </w:pPr>
      <w:r w:rsidRPr="00970C0E">
        <w:rPr>
          <w:rFonts w:ascii="Times New Roman" w:hAnsi="Times New Roman"/>
        </w:rPr>
        <w:lastRenderedPageBreak/>
        <w:t xml:space="preserve">Na základe rozhodnutia prijatého na 67. zasadnutí Komisie pre omamné látky Úradu OSN pre omamné látky a kriminalitu v dňoch 18. 3. až 22. 3. 2024 sa zaraďuje do </w:t>
      </w:r>
      <w:r w:rsidR="00545520" w:rsidRPr="00970C0E">
        <w:rPr>
          <w:rFonts w:ascii="Times New Roman" w:hAnsi="Times New Roman"/>
        </w:rPr>
        <w:t>skupiny I.  omamných látok látku</w:t>
      </w:r>
      <w:r w:rsidRPr="00970C0E">
        <w:rPr>
          <w:rFonts w:ascii="Times New Roman" w:hAnsi="Times New Roman"/>
        </w:rPr>
        <w:t xml:space="preserve"> </w:t>
      </w:r>
      <w:r w:rsidR="000011D3" w:rsidRPr="00970C0E">
        <w:rPr>
          <w:rFonts w:ascii="Times New Roman" w:hAnsi="Times New Roman"/>
        </w:rPr>
        <w:t>butonitazén</w:t>
      </w:r>
      <w:r w:rsidRPr="00970C0E">
        <w:rPr>
          <w:rFonts w:ascii="Times New Roman" w:hAnsi="Times New Roman"/>
        </w:rPr>
        <w:t>. Táto látka nemá terapeutické použitie a preto ju Ministerstvo zdravotníctva Slovenskej republiky podľa § 3 ods. 2  zákona č. 139/1998 Z. z. navrhuje zara</w:t>
      </w:r>
      <w:r w:rsidR="001E2A50" w:rsidRPr="00970C0E">
        <w:rPr>
          <w:rFonts w:ascii="Times New Roman" w:hAnsi="Times New Roman"/>
        </w:rPr>
        <w:t>diť do I. skupiny omamných</w:t>
      </w:r>
      <w:r w:rsidRPr="00970C0E">
        <w:rPr>
          <w:rFonts w:ascii="Times New Roman" w:hAnsi="Times New Roman"/>
        </w:rPr>
        <w:t xml:space="preserve"> látok.</w:t>
      </w:r>
      <w:r w:rsidR="000011D3" w:rsidRPr="00970C0E">
        <w:rPr>
          <w:rFonts w:ascii="Times New Roman" w:hAnsi="Times New Roman"/>
        </w:rPr>
        <w:t xml:space="preserve"> </w:t>
      </w:r>
      <w:r w:rsidR="001E2A50" w:rsidRPr="00970C0E">
        <w:rPr>
          <w:rFonts w:ascii="Times New Roman" w:hAnsi="Times New Roman"/>
        </w:rPr>
        <w:t>Butonitazén je</w:t>
      </w:r>
      <w:r w:rsidR="000011D3" w:rsidRPr="00970C0E">
        <w:rPr>
          <w:rFonts w:ascii="Times New Roman" w:hAnsi="Times New Roman"/>
        </w:rPr>
        <w:t xml:space="preserve"> syntetický opioi</w:t>
      </w:r>
      <w:r w:rsidR="001E2A50" w:rsidRPr="00970C0E">
        <w:rPr>
          <w:rFonts w:ascii="Times New Roman" w:hAnsi="Times New Roman"/>
        </w:rPr>
        <w:t xml:space="preserve">d s účinkami podobnými morfínu </w:t>
      </w:r>
      <w:r w:rsidR="000011D3" w:rsidRPr="00970C0E">
        <w:rPr>
          <w:rFonts w:ascii="Times New Roman" w:hAnsi="Times New Roman"/>
        </w:rPr>
        <w:t xml:space="preserve">alebo fentanylu. Vzhľadom na tieto účinky je zneužívaný ako silnejšia náhrada morfínu, fentanylu alebo iných syntetických opiodov. Po užití bola zaznamenaná ospalosť, úľava od bolesti, svrbenie, zvracanie, potenie alebo horúčka, pomalé alebo sťažené dýchanie. Podľa informácií Európskeho monitorovacieho centra pre drogy a drogové závislosti bola látka zistená v 7 členských štátoch a je kontrolovaný v USA, SRN a Veľkej Británii. V USA bol nahlásený prípad úmrtia s potvrdenou expozíciou butonitazénu. </w:t>
      </w:r>
    </w:p>
    <w:p w:rsidR="00545520" w:rsidRPr="00970C0E" w:rsidRDefault="00545520" w:rsidP="00970C0E">
      <w:pPr>
        <w:spacing w:after="0" w:line="360" w:lineRule="auto"/>
        <w:ind w:firstLine="426"/>
        <w:jc w:val="both"/>
        <w:rPr>
          <w:rFonts w:ascii="Times New Roman" w:hAnsi="Times New Roman"/>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K bodu </w:t>
      </w:r>
      <w:r w:rsidR="00BB7198">
        <w:rPr>
          <w:rFonts w:ascii="Times New Roman" w:hAnsi="Times New Roman"/>
        </w:rPr>
        <w:t>41</w:t>
      </w:r>
      <w:r w:rsidRPr="00970C0E">
        <w:rPr>
          <w:rFonts w:ascii="Times New Roman" w:hAnsi="Times New Roman"/>
        </w:rPr>
        <w:t xml:space="preserve"> (príloha č. 1 OL skupiny I)</w:t>
      </w:r>
    </w:p>
    <w:p w:rsidR="00545520" w:rsidRPr="00970C0E" w:rsidRDefault="00545520" w:rsidP="00970C0E">
      <w:pPr>
        <w:spacing w:after="0" w:line="360" w:lineRule="auto"/>
        <w:ind w:firstLine="426"/>
        <w:jc w:val="both"/>
        <w:rPr>
          <w:rFonts w:ascii="Times New Roman" w:hAnsi="Times New Roman"/>
        </w:rPr>
      </w:pPr>
      <w:r w:rsidRPr="00970C0E">
        <w:rPr>
          <w:rFonts w:ascii="Times New Roman" w:hAnsi="Times New Roman"/>
        </w:rPr>
        <w:t xml:space="preserve">Na základe rozhodnutia prijatého na 66. zasadnutí Komisie pre omamné látky Úradu OSN pre omamné látky a kriminalitu v dňoch </w:t>
      </w:r>
      <w:r w:rsidR="00AC66FF" w:rsidRPr="00970C0E">
        <w:rPr>
          <w:rFonts w:ascii="Times New Roman" w:hAnsi="Times New Roman"/>
        </w:rPr>
        <w:t>13. 3. až 17. 3. 2023 sa zaraďujú</w:t>
      </w:r>
      <w:r w:rsidRPr="00970C0E">
        <w:rPr>
          <w:rFonts w:ascii="Times New Roman" w:hAnsi="Times New Roman"/>
        </w:rPr>
        <w:t xml:space="preserve"> do </w:t>
      </w:r>
      <w:r w:rsidR="00AC66FF" w:rsidRPr="00970C0E">
        <w:rPr>
          <w:rFonts w:ascii="Times New Roman" w:hAnsi="Times New Roman"/>
        </w:rPr>
        <w:t>skupiny I.  omamných látok látky</w:t>
      </w:r>
      <w:r w:rsidRPr="00970C0E">
        <w:rPr>
          <w:rFonts w:ascii="Times New Roman" w:hAnsi="Times New Roman"/>
        </w:rPr>
        <w:t xml:space="preserve"> </w:t>
      </w:r>
      <w:r w:rsidR="00AC66FF" w:rsidRPr="00970C0E">
        <w:rPr>
          <w:rFonts w:ascii="Times New Roman" w:hAnsi="Times New Roman"/>
        </w:rPr>
        <w:t>etazén a etonitazepyn</w:t>
      </w:r>
      <w:r w:rsidRPr="00970C0E">
        <w:rPr>
          <w:rFonts w:ascii="Times New Roman" w:hAnsi="Times New Roman"/>
        </w:rPr>
        <w:t>.</w:t>
      </w:r>
    </w:p>
    <w:p w:rsidR="00E510BF" w:rsidRPr="00970C0E" w:rsidRDefault="00E510BF" w:rsidP="00970C0E">
      <w:pPr>
        <w:spacing w:after="0" w:line="360" w:lineRule="auto"/>
        <w:ind w:firstLine="426"/>
        <w:jc w:val="both"/>
        <w:rPr>
          <w:rFonts w:ascii="Times New Roman" w:hAnsi="Times New Roman"/>
        </w:rPr>
      </w:pPr>
      <w:r w:rsidRPr="00970C0E">
        <w:rPr>
          <w:rFonts w:ascii="Times New Roman" w:hAnsi="Times New Roman"/>
        </w:rPr>
        <w:t xml:space="preserve">Látka etazén, je podľa posúdenia </w:t>
      </w:r>
      <w:r w:rsidR="0093283F" w:rsidRPr="00970C0E">
        <w:rPr>
          <w:rFonts w:ascii="Times New Roman" w:hAnsi="Times New Roman"/>
        </w:rPr>
        <w:t xml:space="preserve">odborného výboru pre drogovú závislosť Svetovej zdravotníckej organizácie (ďalej len „odborný výbor“) </w:t>
      </w:r>
      <w:r w:rsidRPr="00970C0E">
        <w:rPr>
          <w:rFonts w:ascii="Times New Roman" w:hAnsi="Times New Roman"/>
        </w:rPr>
        <w:t>syntetický opioid získaný z benzimidazolu s chemickou štruktúrou a farmakologickými vlastnosťami podobnými látkam zaradeným do zoznamu I podľa Jednotného dohovoru o omamných látkach z roku 1961, ako sú klonitazén, etonitazén a izotonitazén. Látka etazén sa skúmala z hľadiska jej analgetických vlastností, ale nie je známe žiadne lekárske využitie etazénu. Existuje dostatok dôkazov, že látka etazén sa zneužíva alebo pravdepodobne môže byť zneužitá a že môže predstavovať problém pre verejné zdravie a spoločenský problém, čo odôvodňuje zaradenie uvedenej látky pod medzinárodnú kontrolu</w:t>
      </w:r>
      <w:r w:rsidRPr="00970C0E">
        <w:rPr>
          <w:rFonts w:ascii="Times New Roman" w:hAnsi="Times New Roman"/>
          <w:vertAlign w:val="superscript"/>
        </w:rPr>
        <w:t>2</w:t>
      </w:r>
      <w:r w:rsidRPr="00970C0E">
        <w:rPr>
          <w:rFonts w:ascii="Times New Roman" w:hAnsi="Times New Roman"/>
        </w:rPr>
        <w:t>. Svetová zdravotnícka organizácia preto odporúča zaradiť látku etazén do zoznamu I pripojenému k Jednotnému dohovoru o omamných látkach z roku 1961. Látka etazén bola zistená v ôsmich členských štátoch EÚ a podlieha kontrole v najmenej piatich členských štátoch EÚ. Látka etazén je predmetom intenzívneho monitorovania centrom EMCDDA. Spája sa so závažnými nežiaducimi udalosťami vrátane štyroch úmrtí, ktoré nahlásili dva členské štáty EÚ.</w:t>
      </w:r>
    </w:p>
    <w:p w:rsidR="00E510BF" w:rsidRPr="00970C0E" w:rsidRDefault="00E510BF" w:rsidP="00970C0E">
      <w:pPr>
        <w:pStyle w:val="Default"/>
        <w:spacing w:line="360" w:lineRule="auto"/>
        <w:ind w:firstLine="426"/>
        <w:jc w:val="both"/>
        <w:rPr>
          <w:color w:val="auto"/>
          <w:sz w:val="22"/>
          <w:szCs w:val="22"/>
        </w:rPr>
      </w:pPr>
      <w:r w:rsidRPr="00970C0E">
        <w:rPr>
          <w:color w:val="auto"/>
          <w:sz w:val="22"/>
          <w:szCs w:val="22"/>
        </w:rPr>
        <w:t xml:space="preserve">Látka etonitazepyn je podľa posúdenia odborného výboru syntetický opioid odvodený z benzimidazolu s chemickou štruktúrou a farmakologickými vlastnosťami podobnými látkam uvedeným v zozname I </w:t>
      </w:r>
      <w:r w:rsidRPr="00970C0E">
        <w:rPr>
          <w:sz w:val="22"/>
          <w:szCs w:val="22"/>
        </w:rPr>
        <w:t xml:space="preserve">podľa Jednotného dohovoru o omamných látkach </w:t>
      </w:r>
      <w:r w:rsidRPr="00970C0E">
        <w:rPr>
          <w:color w:val="auto"/>
          <w:sz w:val="22"/>
          <w:szCs w:val="22"/>
        </w:rPr>
        <w:t>z roku 1961</w:t>
      </w:r>
      <w:r w:rsidRPr="00970C0E">
        <w:rPr>
          <w:sz w:val="22"/>
          <w:szCs w:val="22"/>
        </w:rPr>
        <w:t>,</w:t>
      </w:r>
      <w:r w:rsidRPr="00970C0E">
        <w:rPr>
          <w:color w:val="auto"/>
          <w:sz w:val="22"/>
          <w:szCs w:val="22"/>
        </w:rPr>
        <w:t xml:space="preserve"> ako je etonitazén. Látka etonitazepyn bola skúmaná z hľadiska jej analgetických vlastností, ale nie je známe žiadne lekárske využitie etonitazepynu. Existuje dostatok dôkazov, že látka etonitazepyn sa zneužíva alebo pravdepodobne môže byť zneužitá a že môže predstavovať problém pre verejné zdravie a spoločenský problém, čo odôvodňuje zaradenie uvedenej látky pod medzinárodnú kontrolu</w:t>
      </w:r>
      <w:r w:rsidRPr="00970C0E">
        <w:rPr>
          <w:color w:val="auto"/>
          <w:sz w:val="22"/>
          <w:szCs w:val="22"/>
          <w:vertAlign w:val="superscript"/>
        </w:rPr>
        <w:t>3</w:t>
      </w:r>
      <w:r w:rsidRPr="00970C0E">
        <w:rPr>
          <w:color w:val="auto"/>
          <w:sz w:val="22"/>
          <w:szCs w:val="22"/>
        </w:rPr>
        <w:t xml:space="preserve">. Svetová zdravotnícka organizácia preto odporúča zaradiť látku etonitazepyn do zoznamu I </w:t>
      </w:r>
      <w:r w:rsidRPr="00970C0E">
        <w:rPr>
          <w:sz w:val="22"/>
          <w:szCs w:val="22"/>
        </w:rPr>
        <w:t xml:space="preserve">pripojenému </w:t>
      </w:r>
      <w:r w:rsidRPr="00970C0E">
        <w:rPr>
          <w:color w:val="auto"/>
          <w:sz w:val="22"/>
          <w:szCs w:val="22"/>
        </w:rPr>
        <w:t>k Jednotnému dohovoru o omamných látkach z roku 1961</w:t>
      </w:r>
      <w:r w:rsidRPr="00970C0E">
        <w:rPr>
          <w:sz w:val="22"/>
          <w:szCs w:val="22"/>
        </w:rPr>
        <w:t xml:space="preserve">. </w:t>
      </w:r>
      <w:r w:rsidRPr="00970C0E">
        <w:rPr>
          <w:color w:val="auto"/>
          <w:sz w:val="22"/>
          <w:szCs w:val="22"/>
        </w:rPr>
        <w:t xml:space="preserve">Látka etonitazepyn bola zistená v šiestich členských štátoch </w:t>
      </w:r>
      <w:r w:rsidRPr="00970C0E">
        <w:rPr>
          <w:color w:val="auto"/>
          <w:sz w:val="22"/>
          <w:szCs w:val="22"/>
        </w:rPr>
        <w:lastRenderedPageBreak/>
        <w:t>EÚ a podlieha kontrole v najmenej dvoch členských štátoch EÚ. Podobne ako v prípade iných nových opioidov sa etonitazepyn môže predávať ako náhrada za kontrolované opioidy a je predmetom výstrahy v záujme ochrany verejného zdravia vydanej systémom včasného varovania (EWRS). Látka etonitazepyn je predmetom intenzívneho monitorovania centrom EMCDDA. Jedna krajina nahlásila úmrtie po užití látky etonitazepyn.</w:t>
      </w:r>
    </w:p>
    <w:p w:rsidR="00E510BF" w:rsidRPr="00970C0E" w:rsidRDefault="00E510BF" w:rsidP="00970C0E">
      <w:pPr>
        <w:pStyle w:val="Default"/>
        <w:spacing w:line="360" w:lineRule="auto"/>
        <w:ind w:firstLine="426"/>
        <w:jc w:val="both"/>
        <w:rPr>
          <w:sz w:val="22"/>
          <w:szCs w:val="22"/>
        </w:rPr>
      </w:pPr>
      <w:r w:rsidRPr="00970C0E">
        <w:rPr>
          <w:color w:val="auto"/>
          <w:sz w:val="22"/>
          <w:szCs w:val="22"/>
        </w:rPr>
        <w:t xml:space="preserve">Ministerstvo zdravotníctva Slovenskej republiky preto podľa § 3 ods. 2 zákona č. 139/1998 Z. z. navrhuje zaradiť látky </w:t>
      </w:r>
      <w:r w:rsidRPr="00970C0E">
        <w:rPr>
          <w:sz w:val="22"/>
          <w:szCs w:val="22"/>
        </w:rPr>
        <w:t>etazén</w:t>
      </w:r>
      <w:r w:rsidRPr="00970C0E">
        <w:rPr>
          <w:color w:val="auto"/>
          <w:sz w:val="22"/>
          <w:szCs w:val="22"/>
        </w:rPr>
        <w:t xml:space="preserve">  a etonitazepyn do </w:t>
      </w:r>
      <w:r w:rsidRPr="00970C0E">
        <w:rPr>
          <w:sz w:val="22"/>
          <w:szCs w:val="22"/>
        </w:rPr>
        <w:t>prílohy č. 1 do I. skupiny  omamných látok.</w:t>
      </w:r>
    </w:p>
    <w:p w:rsidR="00E510BF" w:rsidRPr="00970C0E" w:rsidRDefault="00E510BF" w:rsidP="00970C0E">
      <w:pPr>
        <w:spacing w:after="0" w:line="360" w:lineRule="auto"/>
        <w:jc w:val="both"/>
        <w:rPr>
          <w:rFonts w:ascii="Times New Roman" w:hAnsi="Times New Roman"/>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K bodu </w:t>
      </w:r>
      <w:r w:rsidR="00BB7198">
        <w:rPr>
          <w:rFonts w:ascii="Times New Roman" w:hAnsi="Times New Roman"/>
        </w:rPr>
        <w:t>42</w:t>
      </w:r>
      <w:r w:rsidRPr="00970C0E">
        <w:rPr>
          <w:rFonts w:ascii="Times New Roman" w:hAnsi="Times New Roman"/>
        </w:rPr>
        <w:t xml:space="preserve"> ( príloha č. 1 OL skupiny I)</w:t>
      </w:r>
    </w:p>
    <w:p w:rsidR="00E510BF" w:rsidRPr="00970C0E" w:rsidRDefault="00E510BF" w:rsidP="00970C0E">
      <w:pPr>
        <w:spacing w:after="0" w:line="360" w:lineRule="auto"/>
        <w:ind w:firstLine="426"/>
        <w:jc w:val="both"/>
        <w:rPr>
          <w:rFonts w:ascii="Times New Roman" w:hAnsi="Times New Roman"/>
        </w:rPr>
      </w:pPr>
      <w:r w:rsidRPr="00970C0E">
        <w:rPr>
          <w:rFonts w:ascii="Times New Roman" w:hAnsi="Times New Roman"/>
        </w:rPr>
        <w:t>Látka 3-MeO-PCE je nová disociatívna látka zo skupiny arylcyklohexylamínov, ktorá pri užití vyvoláva disociatívne  a halucinogénne účinky.  Krátko po užití spôsobuje  fyzickú eufóriu, vysokú srdečnú frekvenciu, zvýšený krvný tlak a potenie, potlačenie úzkosti a depersonalizáciu, pocity existencie mimo realitu, potlačenie pamäte, smrť ega, závrat, psychózy, priestorovú dezorientáciu, optické a čuchové halucinácie, respiračné depresie a pod</w:t>
      </w:r>
      <w:r w:rsidRPr="00970C0E">
        <w:rPr>
          <w:rFonts w:ascii="Times New Roman" w:hAnsi="Times New Roman"/>
          <w:vertAlign w:val="superscript"/>
        </w:rPr>
        <w:t>1</w:t>
      </w:r>
      <w:r w:rsidRPr="00970C0E">
        <w:rPr>
          <w:rFonts w:ascii="Times New Roman" w:hAnsi="Times New Roman"/>
        </w:rPr>
        <w:t xml:space="preserve">. Látka nemá žiadne priemyselné alebo iné liečebné využitie. Zakázaná je vo Švédsku, Švajčiarsku, Turecku, Veľkej Británii. </w:t>
      </w:r>
    </w:p>
    <w:p w:rsidR="00970C0E" w:rsidRPr="00970C0E" w:rsidRDefault="00E510BF" w:rsidP="00970C0E">
      <w:pPr>
        <w:spacing w:after="0" w:line="360" w:lineRule="auto"/>
        <w:jc w:val="both"/>
        <w:rPr>
          <w:rFonts w:ascii="Times New Roman" w:hAnsi="Times New Roman"/>
        </w:rPr>
      </w:pPr>
      <w:r w:rsidRPr="00970C0E">
        <w:rPr>
          <w:rFonts w:ascii="Times New Roman" w:hAnsi="Times New Roman"/>
        </w:rPr>
        <w:t>Ministerstvo zdravotníctva Slovenskej republiky preto podľa § 3 ods. 2 zákona č. 139/1998 Z. z. navrhuje zaradiť 3-MeO-PCE do prílohy č. 1 do I. skupiny  omamných látok.</w:t>
      </w:r>
    </w:p>
    <w:p w:rsidR="00970C0E" w:rsidRPr="00970C0E" w:rsidRDefault="00970C0E" w:rsidP="00970C0E">
      <w:pPr>
        <w:spacing w:after="0" w:line="360" w:lineRule="auto"/>
        <w:jc w:val="both"/>
        <w:rPr>
          <w:rFonts w:ascii="Times New Roman" w:hAnsi="Times New Roman"/>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K bodu </w:t>
      </w:r>
      <w:r w:rsidR="00BB7198">
        <w:rPr>
          <w:rFonts w:ascii="Times New Roman" w:hAnsi="Times New Roman"/>
        </w:rPr>
        <w:t>43</w:t>
      </w:r>
      <w:r w:rsidRPr="00970C0E">
        <w:rPr>
          <w:rFonts w:ascii="Times New Roman" w:hAnsi="Times New Roman"/>
        </w:rPr>
        <w:t xml:space="preserve"> ( príloha č. 1 OL skupiny I)</w:t>
      </w:r>
    </w:p>
    <w:p w:rsidR="00E510BF" w:rsidRPr="00970C0E" w:rsidRDefault="00AC66FF" w:rsidP="00970C0E">
      <w:pPr>
        <w:pStyle w:val="Default"/>
        <w:spacing w:line="360" w:lineRule="auto"/>
        <w:ind w:firstLine="426"/>
        <w:jc w:val="both"/>
        <w:rPr>
          <w:color w:val="auto"/>
          <w:sz w:val="22"/>
          <w:szCs w:val="22"/>
        </w:rPr>
      </w:pPr>
      <w:r w:rsidRPr="00970C0E">
        <w:rPr>
          <w:sz w:val="22"/>
          <w:szCs w:val="22"/>
        </w:rPr>
        <w:t>Na základe rozhodnutia prijatého na 66. zasadnutí Komisie pre omamné látky Úradu OSN pre omamné látky a kriminalitu v dňoch 13. 3. až 17. 3. 2023 sa zaraďuje do skupiny I.  omamných látok látka</w:t>
      </w:r>
      <w:r w:rsidRPr="00970C0E">
        <w:rPr>
          <w:color w:val="auto"/>
          <w:sz w:val="22"/>
          <w:szCs w:val="22"/>
        </w:rPr>
        <w:t xml:space="preserve"> 2-metyl-AP-237. </w:t>
      </w:r>
      <w:r w:rsidR="00E510BF" w:rsidRPr="00970C0E">
        <w:rPr>
          <w:color w:val="auto"/>
          <w:sz w:val="22"/>
          <w:szCs w:val="22"/>
        </w:rPr>
        <w:t>Látka 2-metyl-AP-237 je podľa posúdenia odborného výboru syntetický opioid, ktorý sa zvyčajne klasifikuje ako 1-cinamylpiperazín. Látka 2-metyl-AP-237 nemá žiadne známe terapeutické použitie ani nezískala povolenie na uvedenie lieku na trh</w:t>
      </w:r>
      <w:r w:rsidR="00E510BF" w:rsidRPr="00970C0E">
        <w:rPr>
          <w:color w:val="auto"/>
          <w:sz w:val="22"/>
          <w:szCs w:val="22"/>
          <w:vertAlign w:val="superscript"/>
        </w:rPr>
        <w:t>5</w:t>
      </w:r>
      <w:r w:rsidR="00E510BF" w:rsidRPr="00970C0E">
        <w:rPr>
          <w:color w:val="auto"/>
          <w:sz w:val="22"/>
          <w:szCs w:val="22"/>
        </w:rPr>
        <w:t xml:space="preserve">. Existuje dostatok dôkazov, že látka 2-metyl-AP-237 sa zneužíva alebo pravdepodobne môže byť zneužitá a že môže predstavovať problém pre verejné zdravie a spoločenský problém, čo odôvodňuje zaradenie uvedenej látky pod medzinárodnú kontrolu. Svetová zdravotnícka organizácia preto odporúča zaradiť látku 2-metyl-AP-237 do zoznamu I </w:t>
      </w:r>
      <w:r w:rsidR="00E510BF" w:rsidRPr="00970C0E">
        <w:rPr>
          <w:sz w:val="22"/>
          <w:szCs w:val="22"/>
        </w:rPr>
        <w:t xml:space="preserve">pripojenému </w:t>
      </w:r>
      <w:r w:rsidR="00E510BF" w:rsidRPr="00970C0E">
        <w:rPr>
          <w:color w:val="auto"/>
          <w:sz w:val="22"/>
          <w:szCs w:val="22"/>
        </w:rPr>
        <w:t>k Jednotnému dohovoru o omamných látkach z roku 1961</w:t>
      </w:r>
      <w:r w:rsidR="00E510BF" w:rsidRPr="00970C0E">
        <w:rPr>
          <w:sz w:val="22"/>
          <w:szCs w:val="22"/>
        </w:rPr>
        <w:t xml:space="preserve">. </w:t>
      </w:r>
      <w:r w:rsidR="00E510BF" w:rsidRPr="00970C0E">
        <w:rPr>
          <w:color w:val="auto"/>
          <w:sz w:val="22"/>
          <w:szCs w:val="22"/>
        </w:rPr>
        <w:t xml:space="preserve"> Látka 2-metyl-AP-237 bola zistená v šiestich členských štátoch EÚ a podlieha kontrole v najmenej štyroch členských štátoch EÚ. Spája sa so závažnými nežiaducimi udalosťami vrátane úmrtia.</w:t>
      </w:r>
    </w:p>
    <w:p w:rsidR="00E510BF" w:rsidRPr="00970C0E" w:rsidRDefault="00E510BF" w:rsidP="00970C0E">
      <w:pPr>
        <w:pStyle w:val="Default"/>
        <w:spacing w:line="360" w:lineRule="auto"/>
        <w:ind w:firstLine="426"/>
        <w:jc w:val="both"/>
        <w:rPr>
          <w:sz w:val="22"/>
          <w:szCs w:val="22"/>
        </w:rPr>
      </w:pPr>
      <w:r w:rsidRPr="00970C0E">
        <w:rPr>
          <w:color w:val="auto"/>
          <w:sz w:val="22"/>
          <w:szCs w:val="22"/>
        </w:rPr>
        <w:t xml:space="preserve">Ministerstvo zdravotníctva Slovenskej republiky preto podľa § 3 ods. 2 zákona č. 139/1998 Z. z. navrhuje zaradiť 2-metyl-AP-237  do </w:t>
      </w:r>
      <w:r w:rsidRPr="00970C0E">
        <w:rPr>
          <w:sz w:val="22"/>
          <w:szCs w:val="22"/>
        </w:rPr>
        <w:t>prílohy č. 1 do I. skupiny  omamných látok.</w:t>
      </w:r>
    </w:p>
    <w:p w:rsidR="00E510BF" w:rsidRPr="00970C0E" w:rsidRDefault="00E510BF" w:rsidP="00970C0E">
      <w:pPr>
        <w:spacing w:after="0" w:line="360" w:lineRule="auto"/>
        <w:jc w:val="both"/>
        <w:rPr>
          <w:rFonts w:ascii="Times New Roman" w:hAnsi="Times New Roman"/>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K bodu </w:t>
      </w:r>
      <w:r w:rsidR="00A443A3">
        <w:rPr>
          <w:rFonts w:ascii="Times New Roman" w:hAnsi="Times New Roman"/>
        </w:rPr>
        <w:t>4</w:t>
      </w:r>
      <w:r w:rsidR="00BB7198">
        <w:rPr>
          <w:rFonts w:ascii="Times New Roman" w:hAnsi="Times New Roman"/>
        </w:rPr>
        <w:t>4</w:t>
      </w:r>
      <w:r w:rsidRPr="00970C0E">
        <w:rPr>
          <w:rFonts w:ascii="Times New Roman" w:hAnsi="Times New Roman"/>
        </w:rPr>
        <w:t xml:space="preserve"> ( príloha č. 1 OL skupiny I)</w:t>
      </w:r>
    </w:p>
    <w:p w:rsidR="00E510BF" w:rsidRPr="00970C0E" w:rsidRDefault="00AC66FF" w:rsidP="00970C0E">
      <w:pPr>
        <w:pStyle w:val="Default"/>
        <w:spacing w:line="360" w:lineRule="auto"/>
        <w:ind w:firstLine="426"/>
        <w:jc w:val="both"/>
        <w:rPr>
          <w:color w:val="auto"/>
          <w:sz w:val="22"/>
          <w:szCs w:val="22"/>
        </w:rPr>
      </w:pPr>
      <w:r w:rsidRPr="00970C0E">
        <w:rPr>
          <w:sz w:val="22"/>
          <w:szCs w:val="22"/>
        </w:rPr>
        <w:t>Na základe rozhodnutia prijatého na 66. zasadnutí Komisie pre omamné látky Úradu OSN pre omamné látky a kriminalitu v dňoch 13. 3. až 17. 3. 2023 sa zaraďuje do skupiny I.  omamných látok látka</w:t>
      </w:r>
      <w:r w:rsidRPr="00970C0E">
        <w:rPr>
          <w:color w:val="auto"/>
          <w:sz w:val="22"/>
          <w:szCs w:val="22"/>
        </w:rPr>
        <w:t xml:space="preserve"> protonitazén. </w:t>
      </w:r>
      <w:r w:rsidR="00E510BF" w:rsidRPr="00970C0E">
        <w:rPr>
          <w:color w:val="auto"/>
          <w:sz w:val="22"/>
          <w:szCs w:val="22"/>
        </w:rPr>
        <w:t xml:space="preserve">Látka protonitazén bola najprv syntetizovaná ako alternatíva k morfínu, ale </w:t>
      </w:r>
      <w:r w:rsidR="00E510BF" w:rsidRPr="00970C0E">
        <w:rPr>
          <w:color w:val="auto"/>
          <w:sz w:val="22"/>
          <w:szCs w:val="22"/>
        </w:rPr>
        <w:lastRenderedPageBreak/>
        <w:t>neexistuje žiadne schválené terapeutické použitie protonitazénu. Existuje dostatok dôkazov, že látka protonitazén sa zneužíva alebo pravdepodobne môže byť zneužitá a že môže predstavovať problém pre verejné zdravie a spoločenský problém, čo odôvodňuje zaradenie uvedenej látky pod medzinárodnú kontrolu</w:t>
      </w:r>
      <w:r w:rsidR="00E510BF" w:rsidRPr="00970C0E">
        <w:rPr>
          <w:color w:val="auto"/>
          <w:sz w:val="22"/>
          <w:szCs w:val="22"/>
          <w:vertAlign w:val="superscript"/>
        </w:rPr>
        <w:t>4</w:t>
      </w:r>
      <w:r w:rsidR="00E510BF" w:rsidRPr="00970C0E">
        <w:rPr>
          <w:color w:val="auto"/>
          <w:sz w:val="22"/>
          <w:szCs w:val="22"/>
        </w:rPr>
        <w:t>. Svetová zdravotnícka organizácia preto odporúča zaradiť látku protonitazén do zoznamu I pripojenému k Jednotnému dohovoru o omamných látkach z roku 1961. Látka protonitazén bola zistená v dvoch členských štátoch EÚ a podlieha kontrole v najmenej troch členských štátoch EÚ. Látka protonitazén je predmetom intenzívneho monitorovania centrom EMCDDA. Centru EMCDDA neboli oznámené žiadne informácie o závažných nežiaducich udalostiach týkajúcich sa protonitazénu.</w:t>
      </w:r>
    </w:p>
    <w:p w:rsidR="00E510BF" w:rsidRDefault="00E510BF" w:rsidP="00970C0E">
      <w:pPr>
        <w:pStyle w:val="Default"/>
        <w:spacing w:line="360" w:lineRule="auto"/>
        <w:ind w:firstLine="426"/>
        <w:jc w:val="both"/>
        <w:rPr>
          <w:sz w:val="22"/>
          <w:szCs w:val="22"/>
        </w:rPr>
      </w:pPr>
      <w:r w:rsidRPr="00970C0E">
        <w:rPr>
          <w:color w:val="auto"/>
          <w:sz w:val="22"/>
          <w:szCs w:val="22"/>
        </w:rPr>
        <w:t xml:space="preserve">Ministerstvo zdravotníctva Slovenskej republiky preto podľa § 3 ods. 2 zákona č. 139/1998 Z. z. navrhuje zaradiť protonitazén do </w:t>
      </w:r>
      <w:r w:rsidRPr="00970C0E">
        <w:rPr>
          <w:sz w:val="22"/>
          <w:szCs w:val="22"/>
        </w:rPr>
        <w:t>prílohy č. 1 do I. skupiny  omamných látok.</w:t>
      </w:r>
    </w:p>
    <w:p w:rsidR="00A443A3" w:rsidRPr="00970C0E" w:rsidRDefault="00A443A3" w:rsidP="00970C0E">
      <w:pPr>
        <w:pStyle w:val="Default"/>
        <w:spacing w:line="360" w:lineRule="auto"/>
        <w:ind w:firstLine="426"/>
        <w:jc w:val="both"/>
        <w:rPr>
          <w:sz w:val="22"/>
          <w:szCs w:val="22"/>
        </w:rPr>
      </w:pPr>
    </w:p>
    <w:p w:rsidR="003D3A45" w:rsidRPr="00970C0E" w:rsidRDefault="00A443A3" w:rsidP="00970C0E">
      <w:pPr>
        <w:pStyle w:val="Default"/>
        <w:spacing w:line="360" w:lineRule="auto"/>
        <w:jc w:val="both"/>
        <w:rPr>
          <w:sz w:val="22"/>
          <w:szCs w:val="22"/>
        </w:rPr>
      </w:pPr>
      <w:r>
        <w:rPr>
          <w:sz w:val="22"/>
          <w:szCs w:val="22"/>
        </w:rPr>
        <w:t>K bodu 4</w:t>
      </w:r>
      <w:r w:rsidR="00BB7198">
        <w:rPr>
          <w:sz w:val="22"/>
          <w:szCs w:val="22"/>
        </w:rPr>
        <w:t>5</w:t>
      </w:r>
      <w:r w:rsidR="003D3A45" w:rsidRPr="00970C0E">
        <w:rPr>
          <w:sz w:val="22"/>
          <w:szCs w:val="22"/>
        </w:rPr>
        <w:t xml:space="preserve"> (príloha č. 1 PL skupiny I)</w:t>
      </w:r>
    </w:p>
    <w:p w:rsidR="002E1B85" w:rsidRPr="00970C0E" w:rsidRDefault="002E1B85" w:rsidP="00970C0E">
      <w:pPr>
        <w:pStyle w:val="Default"/>
        <w:spacing w:line="360" w:lineRule="auto"/>
        <w:ind w:firstLine="426"/>
        <w:jc w:val="both"/>
        <w:rPr>
          <w:sz w:val="22"/>
          <w:szCs w:val="22"/>
        </w:rPr>
      </w:pPr>
      <w:r w:rsidRPr="00970C0E">
        <w:rPr>
          <w:sz w:val="22"/>
          <w:szCs w:val="22"/>
        </w:rPr>
        <w:t xml:space="preserve">Na základe rozhodnutia prijatého na 67. zasadnutí Komisie pre omamné látky Úradu OSN pre omamné látky a kriminalitu v dňoch 18. 3. až 22. 3. 2024 sa zaraďuje do skupiny I.  psychotropných látok látka bromazolam. Táto látka nemá terapeutické použitie a preto ju </w:t>
      </w:r>
      <w:r w:rsidRPr="00970C0E">
        <w:rPr>
          <w:color w:val="auto"/>
          <w:sz w:val="22"/>
          <w:szCs w:val="22"/>
        </w:rPr>
        <w:t>Ministerstvo zdravotníctva Slovenskej republiky</w:t>
      </w:r>
      <w:r w:rsidRPr="00970C0E">
        <w:rPr>
          <w:sz w:val="22"/>
          <w:szCs w:val="22"/>
        </w:rPr>
        <w:t xml:space="preserve"> podľa § 3 ods. 2  zákona č. 139/1998 Z. z. navrhuje zaradiť do I. skupiny psychotropných látok.</w:t>
      </w:r>
    </w:p>
    <w:p w:rsidR="00B54E1F" w:rsidRPr="00970C0E" w:rsidRDefault="003D3A45" w:rsidP="00970C0E">
      <w:pPr>
        <w:pStyle w:val="Default"/>
        <w:tabs>
          <w:tab w:val="left" w:pos="426"/>
        </w:tabs>
        <w:spacing w:line="360" w:lineRule="auto"/>
        <w:ind w:firstLine="284"/>
        <w:jc w:val="both"/>
        <w:rPr>
          <w:sz w:val="22"/>
          <w:szCs w:val="22"/>
        </w:rPr>
      </w:pPr>
      <w:r w:rsidRPr="00970C0E">
        <w:rPr>
          <w:sz w:val="22"/>
          <w:szCs w:val="22"/>
        </w:rPr>
        <w:tab/>
        <w:t xml:space="preserve">Látka bromazolam je benzodiazepín s relatívne vysokou účinnosťou. Ľudia, ktorí užívali bromazolam, opisovali jeho účinky ako "hypnotické" a "sedatívne" a informovali o svalovom uvoľnení, zmiernení bolesti. Medzi ďalšie hlásené účinky patrí eufória, zvýšená sebadôvera a empatia. Niektorí konzumenti hlásili amnéziu. Bromazolam nemá žiadne známe terapeutické použitia alebo povolenia na uvedenie na trh. Zistený bol v 19 členských štátoch, pričom je kontrolovaný najmenej v USA, SRN, Veľkej Británii. Taktiež bol v členských štátoch odhalený 1 akútny prípad otravy s potvrdenou expozíciou ako aj celkovo 15 úmrtí s potvrdenou prítomnosťou bromazolamu nahlásených z 5  členských štátov. </w:t>
      </w:r>
    </w:p>
    <w:p w:rsidR="00B54E1F" w:rsidRPr="00970C0E" w:rsidRDefault="00B54E1F" w:rsidP="00970C0E">
      <w:pPr>
        <w:pStyle w:val="Default"/>
        <w:tabs>
          <w:tab w:val="left" w:pos="426"/>
        </w:tabs>
        <w:spacing w:line="360" w:lineRule="auto"/>
        <w:jc w:val="both"/>
        <w:rPr>
          <w:sz w:val="22"/>
          <w:szCs w:val="22"/>
        </w:rPr>
      </w:pPr>
    </w:p>
    <w:p w:rsidR="00B54E1F" w:rsidRPr="00970C0E" w:rsidRDefault="00ED12A6" w:rsidP="00970C0E">
      <w:pPr>
        <w:pStyle w:val="Default"/>
        <w:tabs>
          <w:tab w:val="left" w:pos="426"/>
        </w:tabs>
        <w:spacing w:line="360" w:lineRule="auto"/>
        <w:jc w:val="both"/>
        <w:rPr>
          <w:sz w:val="22"/>
          <w:szCs w:val="22"/>
        </w:rPr>
      </w:pPr>
      <w:r w:rsidRPr="00970C0E">
        <w:rPr>
          <w:sz w:val="22"/>
          <w:szCs w:val="22"/>
        </w:rPr>
        <w:t>K bodu 4</w:t>
      </w:r>
      <w:r w:rsidR="00BB7198">
        <w:rPr>
          <w:sz w:val="22"/>
          <w:szCs w:val="22"/>
        </w:rPr>
        <w:t>6</w:t>
      </w:r>
      <w:r w:rsidR="00B54E1F" w:rsidRPr="00970C0E">
        <w:rPr>
          <w:sz w:val="22"/>
          <w:szCs w:val="22"/>
        </w:rPr>
        <w:t xml:space="preserve"> (príloha č. 1 PL skupiny I)</w:t>
      </w:r>
    </w:p>
    <w:p w:rsidR="00B54E1F" w:rsidRPr="00970C0E" w:rsidRDefault="00B54E1F" w:rsidP="00970C0E">
      <w:pPr>
        <w:pStyle w:val="Default"/>
        <w:spacing w:line="360" w:lineRule="auto"/>
        <w:ind w:firstLine="426"/>
        <w:jc w:val="both"/>
        <w:rPr>
          <w:sz w:val="22"/>
          <w:szCs w:val="22"/>
        </w:rPr>
      </w:pPr>
      <w:r w:rsidRPr="00970C0E">
        <w:rPr>
          <w:sz w:val="22"/>
          <w:szCs w:val="22"/>
        </w:rPr>
        <w:t xml:space="preserve">Na základe rozhodnutia prijatého na 67. zasadnutí Komisie pre omamné látky Úradu OSN pre omamné látky a kriminalitu v dňoch 18. 3. až 22. 3. 2024 sa zaraďuje do skupiny I.  psychotropných látok látka dipentylón. Táto látka nemá terapeutické použitie a preto ju </w:t>
      </w:r>
      <w:r w:rsidRPr="00970C0E">
        <w:rPr>
          <w:color w:val="auto"/>
          <w:sz w:val="22"/>
          <w:szCs w:val="22"/>
        </w:rPr>
        <w:t>Ministerstvo zdravotníctva Slovenskej republiky</w:t>
      </w:r>
      <w:r w:rsidRPr="00970C0E">
        <w:rPr>
          <w:sz w:val="22"/>
          <w:szCs w:val="22"/>
        </w:rPr>
        <w:t xml:space="preserve"> podľa § 3 ods. 2  zákona č. 139/1998 Z. z. navrhuje zaradiť do I. skupiny psychotropných látok. Dipentylón je syntetický stimulant zo skupiny katinónov s účinkami podobnými amfetamínom, resp. metamfetamínu. V jednej zo správ sa účinky dipentylónu opisujú ako podobné účinkom iných stimulantov, pričom užívatelia uvádzali zážitok ako "</w:t>
      </w:r>
      <w:r w:rsidRPr="00970C0E">
        <w:rPr>
          <w:i/>
          <w:sz w:val="22"/>
          <w:szCs w:val="22"/>
        </w:rPr>
        <w:t>veľmi nepríjemný</w:t>
      </w:r>
      <w:r w:rsidRPr="00970C0E">
        <w:rPr>
          <w:sz w:val="22"/>
          <w:szCs w:val="22"/>
        </w:rPr>
        <w:t xml:space="preserve">",  pociťovali úzkosť, zlú chuť (opísanú ako </w:t>
      </w:r>
      <w:r w:rsidRPr="00970C0E">
        <w:rPr>
          <w:i/>
          <w:sz w:val="22"/>
          <w:szCs w:val="22"/>
        </w:rPr>
        <w:t>"pripomínajúcu naftu"</w:t>
      </w:r>
      <w:r w:rsidRPr="00970C0E">
        <w:rPr>
          <w:sz w:val="22"/>
          <w:szCs w:val="22"/>
        </w:rPr>
        <w:t xml:space="preserve">) a podobne. Taktiež uvádzali po perorálnom užití dipentylónu zvýšenú energiu, zosilnené zmysly, relaxáciu, zvýšenú sebadôveru, nespavosť, stratu </w:t>
      </w:r>
      <w:r w:rsidRPr="00970C0E">
        <w:rPr>
          <w:sz w:val="22"/>
          <w:szCs w:val="22"/>
        </w:rPr>
        <w:lastRenderedPageBreak/>
        <w:t>pamäti, paranoje, zmätenosť, halucinácie, dýchavičnosť, nepravidelný srdcový tep a samovražedné myšlienky. Látka je zakázaná v USA, SRN, Veľkej Británii a Fínsku.</w:t>
      </w:r>
    </w:p>
    <w:p w:rsidR="00BA04F6" w:rsidRPr="00970C0E" w:rsidRDefault="00BA04F6" w:rsidP="00970C0E">
      <w:pPr>
        <w:pStyle w:val="Default"/>
        <w:spacing w:line="360" w:lineRule="auto"/>
        <w:ind w:firstLine="284"/>
        <w:jc w:val="both"/>
        <w:rPr>
          <w:sz w:val="22"/>
          <w:szCs w:val="22"/>
        </w:rPr>
      </w:pPr>
    </w:p>
    <w:p w:rsidR="00BA04F6" w:rsidRPr="00970C0E" w:rsidRDefault="00ED12A6" w:rsidP="00970C0E">
      <w:pPr>
        <w:pStyle w:val="Default"/>
        <w:spacing w:line="360" w:lineRule="auto"/>
        <w:jc w:val="both"/>
        <w:rPr>
          <w:sz w:val="22"/>
          <w:szCs w:val="22"/>
        </w:rPr>
      </w:pPr>
      <w:r w:rsidRPr="00970C0E">
        <w:rPr>
          <w:sz w:val="22"/>
          <w:szCs w:val="22"/>
        </w:rPr>
        <w:t>K bodu 4</w:t>
      </w:r>
      <w:r w:rsidR="00BB7198">
        <w:rPr>
          <w:sz w:val="22"/>
          <w:szCs w:val="22"/>
        </w:rPr>
        <w:t xml:space="preserve">7 </w:t>
      </w:r>
      <w:r w:rsidR="00BA04F6" w:rsidRPr="00970C0E">
        <w:rPr>
          <w:sz w:val="22"/>
          <w:szCs w:val="22"/>
        </w:rPr>
        <w:t>(príloha č. 1 PL skupiny I)</w:t>
      </w:r>
    </w:p>
    <w:p w:rsidR="00BA04F6" w:rsidRPr="00970C0E" w:rsidRDefault="00BA04F6" w:rsidP="00970C0E">
      <w:pPr>
        <w:pStyle w:val="Default"/>
        <w:spacing w:line="360" w:lineRule="auto"/>
        <w:ind w:firstLine="426"/>
        <w:jc w:val="both"/>
        <w:rPr>
          <w:sz w:val="22"/>
          <w:szCs w:val="22"/>
        </w:rPr>
      </w:pPr>
      <w:r w:rsidRPr="00970C0E">
        <w:rPr>
          <w:sz w:val="22"/>
          <w:szCs w:val="22"/>
        </w:rPr>
        <w:t xml:space="preserve">Na základe rozhodnutia prijatého na 67. zasadnutí Komisie pre omamné látky Úradu OSN pre omamné látky a kriminalitu v dňoch 18. 3. až 22. 3. 2024 sa zaraďuje do skupiny I.  psychotropných látok látka 2-FDCK. Táto látka nemá terapeutické použitie a preto ju </w:t>
      </w:r>
      <w:r w:rsidRPr="00970C0E">
        <w:rPr>
          <w:color w:val="auto"/>
          <w:sz w:val="22"/>
          <w:szCs w:val="22"/>
        </w:rPr>
        <w:t>Ministerstvo zdravotníctva Slovenskej republiky</w:t>
      </w:r>
      <w:r w:rsidRPr="00970C0E">
        <w:rPr>
          <w:sz w:val="22"/>
          <w:szCs w:val="22"/>
        </w:rPr>
        <w:t xml:space="preserve"> podľa § 3 ods. 2  zákona č. 139/1998 Z. z. navrhuje zaradiť do I. skupiny psychotropných látok. 2-FDCK je látka s účinkami disociatívneho anestetika. Niekoľko publikovaných správ o prípadoch predávkovania u konzumentov hlásilo účinky na centrálny nervový systém (CNS) alebo správanie, vrátane disociácie, zmätenosti, agitovanosti, nystagmu, halucinácie a poruchy alebo straty vedomia, kardiovaskulárne účinky, napríklad tachykardia a hypertenzia, nevoľnosť a vracanie, ale aj disociáciu, upokojenie, šťastie a otupenie a brnenie na periférii, stratu zmyslu pre čas, stratu motorickej kontroly a farebné vizuálne alebo živé sluchové halucinácie. Pri analýzach boli zaznamenané prípady prítomnosti 2-FDCK v čokoláde. Látka je zakázaná v Rakúsku, SRN, Turecku, Číne, Litve a Taliansku.</w:t>
      </w:r>
    </w:p>
    <w:p w:rsidR="00D72888" w:rsidRPr="00970C0E" w:rsidRDefault="00D72888" w:rsidP="00970C0E">
      <w:pPr>
        <w:pStyle w:val="Default"/>
        <w:spacing w:line="360" w:lineRule="auto"/>
        <w:ind w:firstLine="284"/>
        <w:jc w:val="both"/>
        <w:rPr>
          <w:sz w:val="22"/>
          <w:szCs w:val="22"/>
        </w:rPr>
      </w:pPr>
    </w:p>
    <w:p w:rsidR="00D72888" w:rsidRPr="00970C0E" w:rsidRDefault="00A443A3" w:rsidP="00970C0E">
      <w:pPr>
        <w:pStyle w:val="Default"/>
        <w:spacing w:line="360" w:lineRule="auto"/>
        <w:jc w:val="both"/>
        <w:rPr>
          <w:sz w:val="22"/>
          <w:szCs w:val="22"/>
        </w:rPr>
      </w:pPr>
      <w:r>
        <w:rPr>
          <w:sz w:val="22"/>
          <w:szCs w:val="22"/>
        </w:rPr>
        <w:t>K bodu 4</w:t>
      </w:r>
      <w:r w:rsidR="00BB7198">
        <w:rPr>
          <w:sz w:val="22"/>
          <w:szCs w:val="22"/>
        </w:rPr>
        <w:t>8</w:t>
      </w:r>
      <w:r w:rsidR="00D72888" w:rsidRPr="00970C0E">
        <w:rPr>
          <w:sz w:val="22"/>
          <w:szCs w:val="22"/>
        </w:rPr>
        <w:t xml:space="preserve"> (príloha č. 1 PL skupiny I)</w:t>
      </w:r>
    </w:p>
    <w:p w:rsidR="00E510BF" w:rsidRPr="00970C0E" w:rsidRDefault="00D72888" w:rsidP="00970C0E">
      <w:pPr>
        <w:pStyle w:val="Default"/>
        <w:spacing w:line="360" w:lineRule="auto"/>
        <w:ind w:firstLine="426"/>
        <w:jc w:val="both"/>
        <w:rPr>
          <w:sz w:val="22"/>
          <w:szCs w:val="22"/>
        </w:rPr>
      </w:pPr>
      <w:r w:rsidRPr="00970C0E">
        <w:rPr>
          <w:sz w:val="22"/>
          <w:szCs w:val="22"/>
        </w:rPr>
        <w:t xml:space="preserve">Látka H4CBD, čiže hydrogenovaný CBD je nový typ kanabinoidu a je vylepšenou verziou CBD so silnejšími účinkami. Vďaka pridaniu vodíka, takzvanej hydrogenácii, sa zlepšuje biologická dostupnosť, a preto je vstrebávanie a využitie kanabinoidu v tele jednoduchšie. Zvýšená účinnosť H4CBD oproti CBD vedie k rýchlejším a silnejším účinkom na zmiernenie bolesti, depresie, úzkosti a stresu. Podobne ako v prípade CBD je vďaka tomu H4CBD čoraz obľúbenejší medzi ľuďmi, ktorí hľadajú alternatívu k liekom na predpis. H4CBD nevyvoláva rovnaké psychotropné účinky ako THC, je však v porovnaní s bežným CBD psychoaktívny, približne v rozsahu trojnásobku potencie CBD. Medzi produkty H4CBD dostupné online patria destiláty, vape kazety, tinktúry, oleje, koncentráty, žuvačky a sladkosti. Látka nemá žiadne priemyselné alebo iné liečebné využitie a preto ju </w:t>
      </w:r>
      <w:r w:rsidRPr="00970C0E">
        <w:rPr>
          <w:color w:val="auto"/>
          <w:sz w:val="22"/>
          <w:szCs w:val="22"/>
        </w:rPr>
        <w:t>Ministerstvo zdravotníctva Slovenskej republiky</w:t>
      </w:r>
      <w:r w:rsidRPr="00970C0E">
        <w:rPr>
          <w:sz w:val="22"/>
          <w:szCs w:val="22"/>
        </w:rPr>
        <w:t xml:space="preserve"> podľa § 3 ods. 2  zákona č. 139/1998 Z. z. navrhuje zaradiť do I. skupiny psychotropných látok.</w:t>
      </w:r>
    </w:p>
    <w:p w:rsidR="00D72888" w:rsidRPr="00970C0E" w:rsidRDefault="00D72888" w:rsidP="00970C0E">
      <w:pPr>
        <w:pStyle w:val="Default"/>
        <w:spacing w:line="360" w:lineRule="auto"/>
        <w:jc w:val="both"/>
        <w:rPr>
          <w:sz w:val="22"/>
          <w:szCs w:val="22"/>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K bodom </w:t>
      </w:r>
      <w:r w:rsidR="00A443A3">
        <w:rPr>
          <w:rFonts w:ascii="Times New Roman" w:hAnsi="Times New Roman"/>
        </w:rPr>
        <w:t>4</w:t>
      </w:r>
      <w:r w:rsidR="00BB7198">
        <w:rPr>
          <w:rFonts w:ascii="Times New Roman" w:hAnsi="Times New Roman"/>
        </w:rPr>
        <w:t>9</w:t>
      </w:r>
      <w:r w:rsidR="00A443A3">
        <w:rPr>
          <w:rFonts w:ascii="Times New Roman" w:hAnsi="Times New Roman"/>
        </w:rPr>
        <w:t xml:space="preserve"> a </w:t>
      </w:r>
      <w:r w:rsidR="00BB7198">
        <w:rPr>
          <w:rFonts w:ascii="Times New Roman" w:hAnsi="Times New Roman"/>
        </w:rPr>
        <w:t>50</w:t>
      </w:r>
      <w:r w:rsidRPr="00970C0E">
        <w:rPr>
          <w:rFonts w:ascii="Times New Roman" w:hAnsi="Times New Roman"/>
        </w:rPr>
        <w:t xml:space="preserve"> (príloha č. 1 PL skupiny I)</w:t>
      </w:r>
    </w:p>
    <w:p w:rsidR="00E510BF" w:rsidRPr="00970C0E" w:rsidRDefault="00E510BF" w:rsidP="00970C0E">
      <w:pPr>
        <w:tabs>
          <w:tab w:val="left" w:pos="426"/>
        </w:tabs>
        <w:spacing w:after="0" w:line="360" w:lineRule="auto"/>
        <w:contextualSpacing/>
        <w:jc w:val="both"/>
        <w:rPr>
          <w:rFonts w:ascii="Times New Roman" w:hAnsi="Times New Roman"/>
        </w:rPr>
      </w:pPr>
      <w:r w:rsidRPr="00970C0E">
        <w:rPr>
          <w:rFonts w:ascii="Times New Roman" w:hAnsi="Times New Roman"/>
        </w:rPr>
        <w:tab/>
        <w:t>Koncom roka 2021 sa na trhu s drogami v USA objavil nový polosyntetický kanabinoid (semi-syntetický canabinoid – ďalej iba SSC) s názvom hexahydrokanabinol (ďalej iba HHC). Syntetizuje sa z kanabidiolu (ďalej iba CBD) získavaného z konope s nízkym obsahom THC. HHC sa predáva otvorene ako "legálna" náhrada za výrobky z konope s obsahom THC, hoci dostupné informácie naznačujú, že účinky HHC sú podobné ako u THC. Z chemického aj farmakologického hľadiska je HHC klasifikované ako kanabinoid.</w:t>
      </w:r>
      <w:r w:rsidRPr="00970C0E">
        <w:rPr>
          <w:rStyle w:val="Odkaznapoznmkupodiarou"/>
          <w:rFonts w:ascii="Times New Roman" w:hAnsi="Times New Roman"/>
        </w:rPr>
        <w:t>1</w:t>
      </w:r>
    </w:p>
    <w:p w:rsidR="00E510BF" w:rsidRPr="00970C0E" w:rsidRDefault="00E510BF" w:rsidP="00970C0E">
      <w:pPr>
        <w:tabs>
          <w:tab w:val="left" w:pos="426"/>
        </w:tabs>
        <w:spacing w:after="0" w:line="360" w:lineRule="auto"/>
        <w:contextualSpacing/>
        <w:jc w:val="both"/>
        <w:rPr>
          <w:rFonts w:ascii="Times New Roman" w:hAnsi="Times New Roman"/>
        </w:rPr>
      </w:pPr>
      <w:r w:rsidRPr="00970C0E">
        <w:rPr>
          <w:rFonts w:ascii="Times New Roman" w:hAnsi="Times New Roman"/>
        </w:rPr>
        <w:lastRenderedPageBreak/>
        <w:t>Následne, približne v máji 2022, bol HHC prvýkrát identifikovaný aj v Európe. Do 31. marca 2023 dostalo EMCDDA prostredníctvom systému včasného varovania EÚ správy o nových psychoaktívnych látok (ďalej iba EWS), že HHC bola identifikovaná v celom rade výrobkov v 20 členských štátoch Európskej únie a v Nórsku.</w:t>
      </w: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Na slovenskom trhu bola od 1.1.2022 zistená prítomnosť látky HHC – hexahydrocannabinol v 4 prípadoch záchytov omamných a psychotropných látok. V 3 prípadoch išlo o rastlinný materiál obsahujúci aj THC a iné kanabinoidy, 1 záchyt bola náplň do e-cigarety. Látka hexahydrocannabinol má molekulovú hmotnosť 316,5 g/mol a nie je zaradená do zoznamu zakázaných látok zákona č. 139/1998 Z. z..  Nachádza sa v dvoch formách: </w:t>
      </w:r>
    </w:p>
    <w:p w:rsidR="00E510BF" w:rsidRPr="00970C0E" w:rsidRDefault="00E510BF" w:rsidP="00970C0E">
      <w:pPr>
        <w:spacing w:after="0" w:line="360" w:lineRule="auto"/>
        <w:ind w:left="66" w:hanging="567"/>
        <w:jc w:val="both"/>
        <w:rPr>
          <w:rFonts w:ascii="Times New Roman" w:hAnsi="Times New Roman"/>
        </w:rPr>
      </w:pPr>
      <w:r w:rsidRPr="00970C0E">
        <w:rPr>
          <w:rFonts w:ascii="Times New Roman" w:hAnsi="Times New Roman"/>
        </w:rPr>
        <w:t>          - 9(S)-Hexahydrocannabinol ,</w:t>
      </w:r>
    </w:p>
    <w:p w:rsidR="00E510BF" w:rsidRPr="00970C0E" w:rsidRDefault="00E510BF" w:rsidP="00970C0E">
      <w:pPr>
        <w:spacing w:after="0" w:line="360" w:lineRule="auto"/>
        <w:ind w:left="66" w:hanging="567"/>
        <w:jc w:val="both"/>
        <w:rPr>
          <w:rFonts w:ascii="Times New Roman" w:hAnsi="Times New Roman"/>
        </w:rPr>
      </w:pPr>
      <w:r w:rsidRPr="00970C0E">
        <w:rPr>
          <w:rFonts w:ascii="Times New Roman" w:hAnsi="Times New Roman"/>
        </w:rPr>
        <w:t xml:space="preserve">          - 9(R)-Hexahydrocannabinol. </w:t>
      </w:r>
    </w:p>
    <w:p w:rsidR="00E510BF" w:rsidRPr="00970C0E" w:rsidRDefault="00E510BF" w:rsidP="00970C0E">
      <w:pPr>
        <w:spacing w:after="0" w:line="360" w:lineRule="auto"/>
        <w:ind w:left="66"/>
        <w:jc w:val="both"/>
        <w:rPr>
          <w:rFonts w:ascii="Times New Roman" w:hAnsi="Times New Roman"/>
          <w:shd w:val="clear" w:color="auto" w:fill="FFFFFF"/>
        </w:rPr>
      </w:pPr>
      <w:r w:rsidRPr="00970C0E">
        <w:rPr>
          <w:rFonts w:ascii="Times New Roman" w:hAnsi="Times New Roman"/>
        </w:rPr>
        <w:t xml:space="preserve">Látka,  ktorá  je  v  zákone  č. 139/1998 Z. z.  zaradená do 1. skupiny  psychotropných látok  označená  ako </w:t>
      </w:r>
      <w:r w:rsidRPr="00970C0E">
        <w:rPr>
          <w:rFonts w:ascii="Times New Roman" w:hAnsi="Times New Roman"/>
          <w:shd w:val="clear" w:color="auto" w:fill="FFFFFF"/>
        </w:rPr>
        <w:t>HHC je uvedená ako „9-nor-9beta-hydroxyhexahydrokanabinol, chem</w:t>
      </w:r>
      <w:r w:rsidR="00360E83" w:rsidRPr="00970C0E">
        <w:rPr>
          <w:rFonts w:ascii="Times New Roman" w:hAnsi="Times New Roman"/>
          <w:shd w:val="clear" w:color="auto" w:fill="FFFFFF"/>
        </w:rPr>
        <w:t>icky</w:t>
      </w:r>
      <w:r w:rsidRPr="00970C0E">
        <w:rPr>
          <w:rFonts w:ascii="Times New Roman" w:hAnsi="Times New Roman"/>
          <w:shd w:val="clear" w:color="auto" w:fill="FFFFFF"/>
        </w:rPr>
        <w:t xml:space="preserve"> 6,6-dimetyl-3-pentyl- 6a,7,8,9,10,10a-hexahydrobenzo/c/chromen-1,9-diol“.  </w:t>
      </w:r>
    </w:p>
    <w:p w:rsidR="00E510BF" w:rsidRPr="00970C0E" w:rsidRDefault="00E510BF" w:rsidP="00970C0E">
      <w:pPr>
        <w:spacing w:after="0" w:line="360" w:lineRule="auto"/>
        <w:ind w:left="66"/>
        <w:jc w:val="both"/>
        <w:rPr>
          <w:rFonts w:ascii="Times New Roman" w:hAnsi="Times New Roman"/>
          <w:shd w:val="clear" w:color="auto" w:fill="FFFFFF"/>
        </w:rPr>
      </w:pPr>
      <w:r w:rsidRPr="00970C0E">
        <w:rPr>
          <w:rFonts w:ascii="Times New Roman" w:hAnsi="Times New Roman"/>
          <w:shd w:val="clear" w:color="auto" w:fill="FFFFFF"/>
        </w:rPr>
        <w:t xml:space="preserve">Už  z chemického názvu je zrejmé, že ide o inú látku. Molekulová hmotnosť látky HHC uvedenej v zákone je 318,5 g/mol, taktiež sa odlišuje hmotnostné spektrum. Taktiež existuje aj druhá forma :                </w:t>
      </w:r>
    </w:p>
    <w:p w:rsidR="00E510BF" w:rsidRPr="00970C0E" w:rsidRDefault="00E510BF" w:rsidP="00970C0E">
      <w:pPr>
        <w:spacing w:after="0" w:line="360" w:lineRule="auto"/>
        <w:jc w:val="both"/>
        <w:rPr>
          <w:rFonts w:ascii="Times New Roman" w:hAnsi="Times New Roman"/>
          <w:shd w:val="clear" w:color="auto" w:fill="FFFFFF"/>
        </w:rPr>
      </w:pPr>
      <w:r w:rsidRPr="00970C0E">
        <w:rPr>
          <w:rFonts w:ascii="Times New Roman" w:hAnsi="Times New Roman"/>
          <w:shd w:val="clear" w:color="auto" w:fill="FFFFFF"/>
        </w:rPr>
        <w:t xml:space="preserve">-9-nor-9a-hydroxyhexahydrocannabinol. </w:t>
      </w: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shd w:val="clear" w:color="auto" w:fill="FFFFFF"/>
        </w:rPr>
        <w:t xml:space="preserve">Látka  HHC   uvedená   v  zákone  </w:t>
      </w:r>
      <w:r w:rsidRPr="00970C0E">
        <w:rPr>
          <w:rFonts w:ascii="Times New Roman" w:hAnsi="Times New Roman"/>
        </w:rPr>
        <w:t>č. 139/1998 Z. z. má teda iný štruktúrny vzorec ako látka dostupná a ponúkaná na slovenskom trhu. Z uvedeného vyplýva, že látka predávaná napr. v automatoch určených na predaj CBD a iných netabakových  výrobkov  v  súčasnosti nepatrí  medzi  látky zaradené  na  zoznam zakázaných látok zákona č. 139/1998 Z. z. a nie je ani izomérom látky HHC uvedenej na zozname.</w:t>
      </w: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Okrem rastlinného materiálu sú v súčasnosti v ponuke produkty s obsahom látky HHC-P a HHC-O</w:t>
      </w:r>
      <w:r w:rsidR="0084245C" w:rsidRPr="00970C0E">
        <w:rPr>
          <w:rFonts w:ascii="Times New Roman" w:hAnsi="Times New Roman"/>
        </w:rPr>
        <w:t xml:space="preserve"> a HHC-H</w:t>
      </w:r>
      <w:r w:rsidRPr="00970C0E">
        <w:rPr>
          <w:rFonts w:ascii="Times New Roman" w:hAnsi="Times New Roman"/>
        </w:rPr>
        <w:t>. Podľa zistení EMCDDA sú tieto látky dostupné vo forme sušiny, náplní do e-cigariet, cukríkov a iných sladkostí.</w:t>
      </w:r>
      <w:r w:rsidR="00360E83" w:rsidRPr="00970C0E">
        <w:rPr>
          <w:rFonts w:ascii="Times New Roman" w:hAnsi="Times New Roman"/>
        </w:rPr>
        <w:t xml:space="preserve"> Táto skupina látok je monitorovaná Európskym monitorovacím centrom pre drogy a drogovú závislosť. Látky HHC a HHC-O sú v Českej republike už od marca zaradené do zoznamu návykových látok.</w:t>
      </w: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Informácie z prebiehajúcich výskumov týkajúcich sa účinkov HHC a príbuzných látok naznačujú potenciál vytvárania návyku ako aj psychickú a fyzickú závislosť charakterizovanú zmenami správania a závažnými zdravotnými a psychosociálnymi dôsledkami.</w:t>
      </w:r>
    </w:p>
    <w:p w:rsidR="00E510BF" w:rsidRPr="00970C0E" w:rsidRDefault="00360E83" w:rsidP="00970C0E">
      <w:pPr>
        <w:tabs>
          <w:tab w:val="left" w:pos="426"/>
        </w:tabs>
        <w:spacing w:line="360" w:lineRule="auto"/>
        <w:contextualSpacing/>
        <w:jc w:val="both"/>
        <w:rPr>
          <w:rFonts w:ascii="Times New Roman" w:hAnsi="Times New Roman"/>
        </w:rPr>
      </w:pPr>
      <w:r w:rsidRPr="00970C0E">
        <w:rPr>
          <w:rFonts w:ascii="Times New Roman" w:hAnsi="Times New Roman"/>
        </w:rPr>
        <w:t xml:space="preserve">Látky </w:t>
      </w:r>
      <w:r w:rsidR="0084245C" w:rsidRPr="00970C0E">
        <w:rPr>
          <w:rFonts w:ascii="Times New Roman" w:hAnsi="Times New Roman"/>
        </w:rPr>
        <w:t xml:space="preserve">HHC-H, </w:t>
      </w:r>
      <w:r w:rsidR="00E510BF" w:rsidRPr="00970C0E">
        <w:rPr>
          <w:rFonts w:ascii="Times New Roman" w:hAnsi="Times New Roman"/>
        </w:rPr>
        <w:t>HHC</w:t>
      </w:r>
      <w:r w:rsidRPr="00970C0E">
        <w:rPr>
          <w:rFonts w:ascii="Times New Roman" w:hAnsi="Times New Roman"/>
        </w:rPr>
        <w:t>-O, HHC-P a HHCP acetát</w:t>
      </w:r>
      <w:r w:rsidR="00E510BF" w:rsidRPr="00970C0E">
        <w:rPr>
          <w:rFonts w:ascii="Times New Roman" w:hAnsi="Times New Roman"/>
        </w:rPr>
        <w:t xml:space="preserve"> nemajú žiadne priemyselné alebo  medicínske využitie. Ministerstvo zdravotníctva Slovenskej republiky podľa § 3 ods. 2 zákona č. 139/1998 Z. z. navrhuje zaradiť </w:t>
      </w:r>
      <w:r w:rsidR="00EC1DE6" w:rsidRPr="00970C0E">
        <w:rPr>
          <w:rFonts w:ascii="Times New Roman" w:hAnsi="Times New Roman"/>
        </w:rPr>
        <w:t xml:space="preserve">látky </w:t>
      </w:r>
      <w:r w:rsidR="0084245C" w:rsidRPr="00970C0E">
        <w:rPr>
          <w:rFonts w:ascii="Times New Roman" w:hAnsi="Times New Roman"/>
        </w:rPr>
        <w:t xml:space="preserve">HHC-H, </w:t>
      </w:r>
      <w:r w:rsidR="00EC1DE6" w:rsidRPr="00970C0E">
        <w:rPr>
          <w:rFonts w:ascii="Times New Roman" w:hAnsi="Times New Roman"/>
        </w:rPr>
        <w:t>HHC-O, HHC-P a HHCP acetát</w:t>
      </w:r>
      <w:r w:rsidR="0084245C" w:rsidRPr="00970C0E">
        <w:rPr>
          <w:rFonts w:ascii="Times New Roman" w:hAnsi="Times New Roman"/>
        </w:rPr>
        <w:t xml:space="preserve"> </w:t>
      </w:r>
      <w:r w:rsidR="00E510BF" w:rsidRPr="00970C0E">
        <w:rPr>
          <w:rFonts w:ascii="Times New Roman" w:hAnsi="Times New Roman"/>
        </w:rPr>
        <w:t xml:space="preserve"> do prílohy č. 1 do I. skupiny psychotropných látok.</w:t>
      </w:r>
    </w:p>
    <w:p w:rsidR="00E510BF" w:rsidRPr="00970C0E" w:rsidRDefault="00E510BF" w:rsidP="00970C0E">
      <w:pPr>
        <w:tabs>
          <w:tab w:val="left" w:pos="426"/>
        </w:tabs>
        <w:spacing w:line="360" w:lineRule="auto"/>
        <w:contextualSpacing/>
        <w:jc w:val="both"/>
        <w:rPr>
          <w:rFonts w:ascii="Times New Roman" w:hAnsi="Times New Roman"/>
        </w:rPr>
      </w:pPr>
    </w:p>
    <w:p w:rsidR="00E510BF" w:rsidRPr="00970C0E" w:rsidRDefault="00E510BF" w:rsidP="00970C0E">
      <w:pPr>
        <w:tabs>
          <w:tab w:val="left" w:pos="426"/>
        </w:tabs>
        <w:spacing w:line="360" w:lineRule="auto"/>
        <w:contextualSpacing/>
        <w:jc w:val="both"/>
        <w:rPr>
          <w:rFonts w:ascii="Times New Roman" w:hAnsi="Times New Roman"/>
        </w:rPr>
      </w:pPr>
      <w:r w:rsidRPr="00970C0E">
        <w:rPr>
          <w:rFonts w:ascii="Times New Roman" w:hAnsi="Times New Roman"/>
        </w:rPr>
        <w:t xml:space="preserve">K bodu </w:t>
      </w:r>
      <w:r w:rsidR="00BB7198">
        <w:rPr>
          <w:rFonts w:ascii="Times New Roman" w:hAnsi="Times New Roman"/>
        </w:rPr>
        <w:t>51</w:t>
      </w:r>
      <w:r w:rsidRPr="00970C0E">
        <w:rPr>
          <w:rFonts w:ascii="Times New Roman" w:hAnsi="Times New Roman"/>
        </w:rPr>
        <w:t xml:space="preserve"> (príloha č. 1 PL skupiny I)</w:t>
      </w:r>
    </w:p>
    <w:p w:rsidR="006A5462" w:rsidRPr="00970C0E" w:rsidRDefault="00E510BF" w:rsidP="00C01FE9">
      <w:pPr>
        <w:spacing w:after="0" w:line="360" w:lineRule="auto"/>
        <w:ind w:firstLine="426"/>
        <w:jc w:val="both"/>
        <w:rPr>
          <w:rFonts w:ascii="Times New Roman" w:hAnsi="Times New Roman"/>
        </w:rPr>
      </w:pPr>
      <w:r w:rsidRPr="00970C0E">
        <w:rPr>
          <w:rFonts w:ascii="Times New Roman" w:hAnsi="Times New Roman"/>
        </w:rPr>
        <w:t xml:space="preserve">Ministerstvo zdravotníctva Slovenskej republiky navrhuje upraviť chemický názov látky Mefedrón, nakoľko bolo potrebné zosúladiť chemický názov s novým názvoslovím. </w:t>
      </w: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lastRenderedPageBreak/>
        <w:t xml:space="preserve">K bodu </w:t>
      </w:r>
      <w:r w:rsidR="0008374D">
        <w:rPr>
          <w:rFonts w:ascii="Times New Roman" w:hAnsi="Times New Roman"/>
        </w:rPr>
        <w:t>5</w:t>
      </w:r>
      <w:r w:rsidR="00BB7198">
        <w:rPr>
          <w:rFonts w:ascii="Times New Roman" w:hAnsi="Times New Roman"/>
        </w:rPr>
        <w:t>2</w:t>
      </w:r>
      <w:r w:rsidRPr="00970C0E">
        <w:rPr>
          <w:rFonts w:ascii="Times New Roman" w:hAnsi="Times New Roman"/>
        </w:rPr>
        <w:t xml:space="preserve"> (príloha č. 1 PL skupiny I)</w:t>
      </w:r>
    </w:p>
    <w:p w:rsidR="00E510BF" w:rsidRPr="00970C0E" w:rsidRDefault="00E510BF" w:rsidP="00970C0E">
      <w:pPr>
        <w:spacing w:after="0" w:line="360" w:lineRule="auto"/>
        <w:ind w:firstLine="426"/>
        <w:jc w:val="both"/>
        <w:rPr>
          <w:rFonts w:ascii="Times New Roman" w:hAnsi="Times New Roman"/>
        </w:rPr>
      </w:pPr>
      <w:r w:rsidRPr="00970C0E">
        <w:rPr>
          <w:rFonts w:ascii="Times New Roman" w:hAnsi="Times New Roman"/>
        </w:rPr>
        <w:t xml:space="preserve">Látka 5-MeO-MiPT známa aj ako moxy je psychedelická a halucinogénna látka zo skupiny tryptamínov. K najčastejším účinkom patrí celková stimulácia, zvýšenie libida, hmatových a vizuálnych vnemov, depersonalizácia, abnormálny srdečný tep, nevoľnosť, dehydratácia a iné. Látka nemá žiadne priemyselné alebo iné liečebné využitie. Zakázaná je v Brazílii, ČĽR, Fínsku, SRN, Japonsku, Lotyšsku, Luxembursku, Rumunsku, Veľkej Británii, USA a Švajčiarsku. </w:t>
      </w:r>
    </w:p>
    <w:p w:rsidR="00844CC5" w:rsidRDefault="00E510BF" w:rsidP="00C01FE9">
      <w:pPr>
        <w:pStyle w:val="Default"/>
        <w:tabs>
          <w:tab w:val="left" w:pos="426"/>
          <w:tab w:val="left" w:pos="709"/>
        </w:tabs>
        <w:spacing w:line="360" w:lineRule="auto"/>
        <w:ind w:firstLine="284"/>
        <w:jc w:val="both"/>
        <w:rPr>
          <w:sz w:val="22"/>
          <w:szCs w:val="22"/>
        </w:rPr>
      </w:pPr>
      <w:r w:rsidRPr="00970C0E">
        <w:rPr>
          <w:sz w:val="22"/>
          <w:szCs w:val="22"/>
        </w:rPr>
        <w:tab/>
      </w:r>
      <w:r w:rsidRPr="00970C0E">
        <w:rPr>
          <w:color w:val="auto"/>
          <w:sz w:val="22"/>
          <w:szCs w:val="22"/>
        </w:rPr>
        <w:t xml:space="preserve">Ministerstvo zdravotníctva Slovenskej republiky preto podľa § 3 ods. 2 zákona č. 139/1998 Z. z. navrhuje zaradiť </w:t>
      </w:r>
      <w:r w:rsidRPr="00970C0E">
        <w:rPr>
          <w:sz w:val="22"/>
          <w:szCs w:val="22"/>
        </w:rPr>
        <w:t xml:space="preserve">5-MeO-MiPT </w:t>
      </w:r>
      <w:r w:rsidRPr="00970C0E">
        <w:rPr>
          <w:color w:val="auto"/>
          <w:sz w:val="22"/>
          <w:szCs w:val="22"/>
        </w:rPr>
        <w:t xml:space="preserve">do </w:t>
      </w:r>
      <w:r w:rsidRPr="00970C0E">
        <w:rPr>
          <w:sz w:val="22"/>
          <w:szCs w:val="22"/>
        </w:rPr>
        <w:t>prílohy č. 1 do I. skupiny psychotropných látok.</w:t>
      </w:r>
    </w:p>
    <w:p w:rsidR="00844CC5" w:rsidRPr="00970C0E" w:rsidRDefault="00844CC5" w:rsidP="00970C0E">
      <w:pPr>
        <w:pStyle w:val="Default"/>
        <w:tabs>
          <w:tab w:val="left" w:pos="426"/>
          <w:tab w:val="left" w:pos="709"/>
        </w:tabs>
        <w:spacing w:line="360" w:lineRule="auto"/>
        <w:ind w:firstLine="284"/>
        <w:jc w:val="both"/>
        <w:rPr>
          <w:sz w:val="22"/>
          <w:szCs w:val="22"/>
        </w:rPr>
      </w:pPr>
    </w:p>
    <w:p w:rsidR="00E510BF" w:rsidRPr="00970C0E" w:rsidRDefault="00E510BF" w:rsidP="00970C0E">
      <w:pPr>
        <w:pStyle w:val="Default"/>
        <w:spacing w:line="360" w:lineRule="auto"/>
        <w:jc w:val="both"/>
        <w:rPr>
          <w:sz w:val="22"/>
          <w:szCs w:val="22"/>
        </w:rPr>
      </w:pPr>
      <w:r w:rsidRPr="00970C0E">
        <w:rPr>
          <w:sz w:val="22"/>
          <w:szCs w:val="22"/>
        </w:rPr>
        <w:t xml:space="preserve">K bodu </w:t>
      </w:r>
      <w:r w:rsidR="00BB7198">
        <w:rPr>
          <w:sz w:val="22"/>
          <w:szCs w:val="22"/>
        </w:rPr>
        <w:t>53</w:t>
      </w:r>
      <w:r w:rsidRPr="00970C0E">
        <w:rPr>
          <w:sz w:val="22"/>
          <w:szCs w:val="22"/>
        </w:rPr>
        <w:t xml:space="preserve"> (príloha č. 1 PL skupiny I)</w:t>
      </w:r>
    </w:p>
    <w:p w:rsidR="00E510BF" w:rsidRPr="00970C0E" w:rsidRDefault="00E510BF" w:rsidP="00970C0E">
      <w:pPr>
        <w:pStyle w:val="Default"/>
        <w:tabs>
          <w:tab w:val="left" w:pos="426"/>
        </w:tabs>
        <w:spacing w:line="360" w:lineRule="auto"/>
        <w:jc w:val="both"/>
        <w:rPr>
          <w:sz w:val="22"/>
          <w:szCs w:val="22"/>
        </w:rPr>
      </w:pPr>
      <w:r w:rsidRPr="00970C0E">
        <w:rPr>
          <w:sz w:val="22"/>
          <w:szCs w:val="22"/>
        </w:rPr>
        <w:tab/>
        <w:t>Navrhujeme vypustiť riadok „4-metylmetkatinón (4-MMC), chemicky 1-(4-metylfenyl)-2-(metylamino)propán-1-ón“ z dôvodu, že látka mefedrón bola uvedená v prílohe č. 1 duplicitne.</w:t>
      </w:r>
    </w:p>
    <w:p w:rsidR="00E510BF" w:rsidRPr="00970C0E" w:rsidRDefault="00E510BF" w:rsidP="00970C0E">
      <w:pPr>
        <w:pStyle w:val="Default"/>
        <w:spacing w:line="360" w:lineRule="auto"/>
        <w:jc w:val="both"/>
        <w:rPr>
          <w:sz w:val="22"/>
          <w:szCs w:val="22"/>
        </w:rPr>
      </w:pPr>
    </w:p>
    <w:p w:rsidR="00E510BF" w:rsidRPr="00970C0E" w:rsidRDefault="00E510BF" w:rsidP="00970C0E">
      <w:pPr>
        <w:spacing w:after="0" w:line="360" w:lineRule="auto"/>
        <w:jc w:val="both"/>
        <w:rPr>
          <w:rFonts w:ascii="Times New Roman" w:hAnsi="Times New Roman"/>
        </w:rPr>
      </w:pPr>
      <w:r w:rsidRPr="00970C0E">
        <w:rPr>
          <w:rFonts w:ascii="Times New Roman" w:hAnsi="Times New Roman"/>
        </w:rPr>
        <w:t xml:space="preserve">K bodu </w:t>
      </w:r>
      <w:r w:rsidR="009A0B48" w:rsidRPr="00970C0E">
        <w:rPr>
          <w:rFonts w:ascii="Times New Roman" w:hAnsi="Times New Roman"/>
        </w:rPr>
        <w:t>5</w:t>
      </w:r>
      <w:r w:rsidR="00BB7198">
        <w:rPr>
          <w:rFonts w:ascii="Times New Roman" w:hAnsi="Times New Roman"/>
        </w:rPr>
        <w:t>4</w:t>
      </w:r>
      <w:r w:rsidRPr="00970C0E">
        <w:rPr>
          <w:rFonts w:ascii="Times New Roman" w:hAnsi="Times New Roman"/>
        </w:rPr>
        <w:t xml:space="preserve"> (príloha č</w:t>
      </w:r>
      <w:r w:rsidR="00205456" w:rsidRPr="00970C0E">
        <w:rPr>
          <w:rFonts w:ascii="Times New Roman" w:hAnsi="Times New Roman"/>
        </w:rPr>
        <w:t>.</w:t>
      </w:r>
      <w:r w:rsidRPr="00970C0E">
        <w:rPr>
          <w:rFonts w:ascii="Times New Roman" w:hAnsi="Times New Roman"/>
        </w:rPr>
        <w:t xml:space="preserve"> 1 PL skupiny I)</w:t>
      </w:r>
    </w:p>
    <w:p w:rsidR="00E510BF" w:rsidRPr="00970C0E" w:rsidRDefault="00E510BF" w:rsidP="00970C0E">
      <w:pPr>
        <w:tabs>
          <w:tab w:val="left" w:pos="426"/>
        </w:tabs>
        <w:spacing w:after="0" w:line="360" w:lineRule="auto"/>
        <w:jc w:val="both"/>
        <w:rPr>
          <w:rFonts w:ascii="Times New Roman" w:hAnsi="Times New Roman"/>
          <w:shd w:val="clear" w:color="auto" w:fill="FFFFFF"/>
        </w:rPr>
      </w:pPr>
      <w:r w:rsidRPr="00970C0E">
        <w:rPr>
          <w:rFonts w:ascii="Times New Roman" w:hAnsi="Times New Roman"/>
        </w:rPr>
        <w:tab/>
      </w:r>
      <w:r w:rsidRPr="00970C0E">
        <w:rPr>
          <w:rFonts w:ascii="Times New Roman" w:hAnsi="Times New Roman"/>
          <w:shd w:val="clear" w:color="auto" w:fill="FFFFFF"/>
        </w:rPr>
        <w:t>Látka 5-MMPA, známa aj ako mefedrén je stimulačná látka zo skupiny amfetamínov s účinkami podobnými 4-MMC. Užitie vyvoláva stimulačné a euforické účinky, posilňuje výkonnosť, pamäť a analytické schopnosti, zvyšuje tepovú frekvenciu, potenie, potláča chuť do jedla, vyvoláva dehydratáciu, očné poruchy a dočasnú erektilnú dysfunkciu.  Látka nemá žiadne priemyselné alebo iné liečebné využitie. Látka 5-MMPA je zakázaná v SRN, Veľkej Británii, Švajčiarsku.</w:t>
      </w:r>
    </w:p>
    <w:p w:rsidR="00E510BF" w:rsidRPr="00970C0E" w:rsidRDefault="00E510BF" w:rsidP="00970C0E">
      <w:pPr>
        <w:pStyle w:val="Default"/>
        <w:tabs>
          <w:tab w:val="left" w:pos="426"/>
        </w:tabs>
        <w:spacing w:line="360" w:lineRule="auto"/>
        <w:ind w:firstLine="284"/>
        <w:jc w:val="both"/>
        <w:rPr>
          <w:color w:val="auto"/>
          <w:sz w:val="22"/>
          <w:szCs w:val="22"/>
          <w:shd w:val="clear" w:color="auto" w:fill="FFFFFF"/>
        </w:rPr>
      </w:pPr>
      <w:r w:rsidRPr="00970C0E">
        <w:rPr>
          <w:color w:val="auto"/>
          <w:sz w:val="22"/>
          <w:szCs w:val="22"/>
          <w:shd w:val="clear" w:color="auto" w:fill="FFFFFF"/>
        </w:rPr>
        <w:tab/>
        <w:t>Ministerstvo zdravotníctva Slovenskej republiky preto podľa § 3 ods. 2 zákona č. 139/1998 Z. z. navrhuje zaradiť 5-MMPA do prílohy č. 1 do I. skupiny psychotropných látok.</w:t>
      </w:r>
    </w:p>
    <w:p w:rsidR="005D0EC2" w:rsidRPr="00970C0E" w:rsidRDefault="005D0EC2" w:rsidP="00970C0E">
      <w:pPr>
        <w:pStyle w:val="Default"/>
        <w:spacing w:line="360" w:lineRule="auto"/>
        <w:ind w:firstLine="426"/>
        <w:jc w:val="both"/>
        <w:rPr>
          <w:color w:val="auto"/>
          <w:sz w:val="22"/>
          <w:szCs w:val="22"/>
          <w:shd w:val="clear" w:color="auto" w:fill="FFFFFF"/>
        </w:rPr>
      </w:pPr>
    </w:p>
    <w:p w:rsidR="005D0EC2" w:rsidRPr="00970C0E" w:rsidRDefault="005D0EC2" w:rsidP="00970C0E">
      <w:pPr>
        <w:pStyle w:val="Default"/>
        <w:spacing w:line="360" w:lineRule="auto"/>
        <w:jc w:val="both"/>
        <w:rPr>
          <w:color w:val="auto"/>
          <w:sz w:val="22"/>
          <w:szCs w:val="22"/>
          <w:shd w:val="clear" w:color="auto" w:fill="FFFFFF"/>
        </w:rPr>
      </w:pPr>
      <w:r w:rsidRPr="00970C0E">
        <w:rPr>
          <w:color w:val="auto"/>
          <w:sz w:val="22"/>
          <w:szCs w:val="22"/>
          <w:shd w:val="clear" w:color="auto" w:fill="FFFFFF"/>
        </w:rPr>
        <w:t xml:space="preserve">K bodu </w:t>
      </w:r>
      <w:r w:rsidR="00844CC5">
        <w:rPr>
          <w:color w:val="auto"/>
          <w:sz w:val="22"/>
          <w:szCs w:val="22"/>
          <w:shd w:val="clear" w:color="auto" w:fill="FFFFFF"/>
        </w:rPr>
        <w:t>5</w:t>
      </w:r>
      <w:r w:rsidR="00BB7198">
        <w:rPr>
          <w:color w:val="auto"/>
          <w:sz w:val="22"/>
          <w:szCs w:val="22"/>
          <w:shd w:val="clear" w:color="auto" w:fill="FFFFFF"/>
        </w:rPr>
        <w:t>5</w:t>
      </w:r>
      <w:r w:rsidRPr="00970C0E">
        <w:rPr>
          <w:color w:val="auto"/>
          <w:sz w:val="22"/>
          <w:szCs w:val="22"/>
          <w:shd w:val="clear" w:color="auto" w:fill="FFFFFF"/>
        </w:rPr>
        <w:t xml:space="preserve"> (príloha č. 1 PL skupiny I)</w:t>
      </w:r>
    </w:p>
    <w:p w:rsidR="008B6C95" w:rsidRPr="00970C0E" w:rsidRDefault="007809F2" w:rsidP="00970C0E">
      <w:pPr>
        <w:pStyle w:val="Default"/>
        <w:spacing w:line="360" w:lineRule="auto"/>
        <w:ind w:firstLine="426"/>
        <w:jc w:val="both"/>
        <w:rPr>
          <w:sz w:val="22"/>
          <w:szCs w:val="22"/>
          <w:shd w:val="clear" w:color="auto" w:fill="FFFFFF"/>
        </w:rPr>
      </w:pPr>
      <w:r w:rsidRPr="00970C0E">
        <w:rPr>
          <w:rFonts w:eastAsia="Calibri"/>
          <w:sz w:val="22"/>
          <w:szCs w:val="22"/>
          <w:shd w:val="clear" w:color="auto" w:fill="FFFFFF"/>
          <w:lang w:eastAsia="en-US"/>
        </w:rPr>
        <w:t>THCB je fytokanabinoid nachádzajúci sa v konope, ktorý je homológom tetrahydrokanabinolu (THC), hlavnej účinnej zložky konope. Štruktúrne sa líši len tým, že, bočný reťazec pentyl je nahradený bočným reťazcom</w:t>
      </w:r>
      <w:r w:rsidRPr="00970C0E">
        <w:rPr>
          <w:sz w:val="22"/>
          <w:szCs w:val="22"/>
          <w:shd w:val="clear" w:color="auto" w:fill="FFFFFF"/>
        </w:rPr>
        <w:t xml:space="preserve"> butyl. </w:t>
      </w:r>
    </w:p>
    <w:p w:rsidR="008B6C95" w:rsidRPr="00970C0E" w:rsidRDefault="008B6C95" w:rsidP="00970C0E">
      <w:pPr>
        <w:pStyle w:val="Default"/>
        <w:spacing w:line="360" w:lineRule="auto"/>
        <w:ind w:firstLine="426"/>
        <w:jc w:val="both"/>
        <w:rPr>
          <w:rFonts w:eastAsia="Calibri"/>
          <w:sz w:val="22"/>
          <w:szCs w:val="22"/>
          <w:shd w:val="clear" w:color="auto" w:fill="FFFFFF"/>
          <w:lang w:eastAsia="en-US"/>
        </w:rPr>
      </w:pPr>
      <w:r w:rsidRPr="00970C0E">
        <w:rPr>
          <w:rFonts w:eastAsia="Calibri"/>
          <w:sz w:val="22"/>
          <w:szCs w:val="22"/>
          <w:shd w:val="clear" w:color="auto" w:fill="FFFFFF"/>
          <w:lang w:eastAsia="en-US"/>
        </w:rPr>
        <w:t>THCH je fytokanabinoid, hexylový homológ tetrahydrokanabinolu (THC), ktorý bol prvýkrát izolovaný z rastlinného materiálu konope v roku 2020 spolu s príslušným homológom  hexylu. Jeden z izomérov, Δ 8 -THCH. je známy aj ako syntetický kanabinoid pod kódovým číslom JWH-124. THC-Hexyl je možné syntetizovať zo 4-hexylrezorcinolu.  THCH má psychoaktívne vlastnosti. Niektorí užívatelia uvádzali pocit uvoľnenia, eufórie, zlepšenie nálady, zmiernenie bolesti a intenzívne fyzické a psychické účinky.</w:t>
      </w:r>
    </w:p>
    <w:p w:rsidR="008B6C95" w:rsidRPr="00970C0E" w:rsidRDefault="008B6C95" w:rsidP="00970C0E">
      <w:pPr>
        <w:pStyle w:val="Default"/>
        <w:spacing w:line="360" w:lineRule="auto"/>
        <w:ind w:firstLine="426"/>
        <w:jc w:val="both"/>
        <w:rPr>
          <w:sz w:val="22"/>
          <w:szCs w:val="22"/>
          <w:shd w:val="clear" w:color="auto" w:fill="FFFFFF"/>
        </w:rPr>
      </w:pPr>
      <w:r w:rsidRPr="00970C0E">
        <w:rPr>
          <w:color w:val="auto"/>
          <w:sz w:val="22"/>
          <w:szCs w:val="22"/>
          <w:shd w:val="clear" w:color="auto" w:fill="FFFFFF"/>
        </w:rPr>
        <w:t>Látka THC-P je silný prírodný kanabinoid, ktorý bol prvýkrát izolovaný z konope. Štúdie na receptoroch CB1 a CB2 ukázali, že ide o látku, ktorá je približne 30-krát účinnejšia ako THC (tetrahydrokanabinol). Hoci v súčasnosti existuje len málo vedeckých štúdií o THC-P, tento kanabinoid je zneužívaný ako legálna náhrada za produkty obsahujúce THC.</w:t>
      </w:r>
    </w:p>
    <w:p w:rsidR="007809F2" w:rsidRPr="00970C0E" w:rsidRDefault="007809F2" w:rsidP="00970C0E">
      <w:pPr>
        <w:pStyle w:val="Default"/>
        <w:spacing w:line="360" w:lineRule="auto"/>
        <w:ind w:firstLine="426"/>
        <w:jc w:val="both"/>
        <w:rPr>
          <w:color w:val="auto"/>
          <w:sz w:val="22"/>
          <w:szCs w:val="22"/>
          <w:shd w:val="clear" w:color="auto" w:fill="FFFFFF"/>
        </w:rPr>
      </w:pPr>
      <w:r w:rsidRPr="00970C0E">
        <w:rPr>
          <w:sz w:val="22"/>
          <w:szCs w:val="22"/>
          <w:shd w:val="clear" w:color="auto" w:fill="FFFFFF"/>
        </w:rPr>
        <w:lastRenderedPageBreak/>
        <w:t>Výrobky obsahujúce TH</w:t>
      </w:r>
      <w:r w:rsidR="008B6C95" w:rsidRPr="00970C0E">
        <w:rPr>
          <w:sz w:val="22"/>
          <w:szCs w:val="22"/>
          <w:shd w:val="clear" w:color="auto" w:fill="FFFFFF"/>
        </w:rPr>
        <w:t>C</w:t>
      </w:r>
      <w:r w:rsidRPr="00970C0E">
        <w:rPr>
          <w:sz w:val="22"/>
          <w:szCs w:val="22"/>
          <w:shd w:val="clear" w:color="auto" w:fill="FFFFFF"/>
        </w:rPr>
        <w:t>B</w:t>
      </w:r>
      <w:r w:rsidR="008B6C95" w:rsidRPr="00970C0E">
        <w:rPr>
          <w:sz w:val="22"/>
          <w:szCs w:val="22"/>
          <w:shd w:val="clear" w:color="auto" w:fill="FFFFFF"/>
        </w:rPr>
        <w:t>, THCH a THC-P</w:t>
      </w:r>
      <w:r w:rsidRPr="00970C0E">
        <w:rPr>
          <w:rFonts w:eastAsia="Calibri"/>
          <w:sz w:val="22"/>
          <w:szCs w:val="22"/>
          <w:shd w:val="clear" w:color="auto" w:fill="FFFFFF"/>
          <w:lang w:eastAsia="en-US"/>
        </w:rPr>
        <w:t xml:space="preserve"> sa ponúkajú najmä na internete ako aj v kamenných obchodoch. Medzi mládežou, ale aj inými konzumentmi sú rozšírené najmä vo forme náplní do vapovacích pier a v menšej miere vo forme sladkostí, napr.: gumené medvedíky alebo koláčiky. </w:t>
      </w:r>
      <w:r w:rsidR="008B6C95" w:rsidRPr="00970C0E">
        <w:rPr>
          <w:rFonts w:eastAsia="Calibri"/>
          <w:sz w:val="22"/>
          <w:szCs w:val="22"/>
          <w:shd w:val="clear" w:color="auto" w:fill="FFFFFF"/>
          <w:lang w:eastAsia="en-US"/>
        </w:rPr>
        <w:t>Látky THCB, THCH a THC-P nemajú</w:t>
      </w:r>
      <w:r w:rsidRPr="00970C0E">
        <w:rPr>
          <w:rFonts w:eastAsia="Calibri"/>
          <w:sz w:val="22"/>
          <w:szCs w:val="22"/>
          <w:shd w:val="clear" w:color="auto" w:fill="FFFFFF"/>
          <w:lang w:eastAsia="en-US"/>
        </w:rPr>
        <w:t xml:space="preserve"> žiadne priemyselné alebo iné liečebné využitie. </w:t>
      </w:r>
      <w:r w:rsidRPr="00970C0E">
        <w:rPr>
          <w:color w:val="auto"/>
          <w:sz w:val="22"/>
          <w:szCs w:val="22"/>
          <w:shd w:val="clear" w:color="auto" w:fill="FFFFFF"/>
        </w:rPr>
        <w:t>Ministerstvo zdravotníctva Slovenskej republiky preto podľa § 3 ods. 2 zákona č. 139/1998 Z. z. navrhuje zaradiť THCB</w:t>
      </w:r>
      <w:r w:rsidR="008B6C95" w:rsidRPr="00970C0E">
        <w:rPr>
          <w:color w:val="auto"/>
          <w:sz w:val="22"/>
          <w:szCs w:val="22"/>
          <w:shd w:val="clear" w:color="auto" w:fill="FFFFFF"/>
        </w:rPr>
        <w:t xml:space="preserve">, </w:t>
      </w:r>
      <w:r w:rsidR="008B6C95" w:rsidRPr="00970C0E">
        <w:rPr>
          <w:sz w:val="22"/>
          <w:szCs w:val="22"/>
          <w:shd w:val="clear" w:color="auto" w:fill="FFFFFF"/>
        </w:rPr>
        <w:t>THCH a THC-P</w:t>
      </w:r>
      <w:r w:rsidRPr="00970C0E">
        <w:rPr>
          <w:color w:val="auto"/>
          <w:sz w:val="22"/>
          <w:szCs w:val="22"/>
          <w:shd w:val="clear" w:color="auto" w:fill="FFFFFF"/>
        </w:rPr>
        <w:t xml:space="preserve"> do prílohy č. 1 do I. skupiny psychotropných látok.</w:t>
      </w:r>
    </w:p>
    <w:p w:rsidR="00E510BF" w:rsidRPr="00970C0E" w:rsidRDefault="00E510BF" w:rsidP="00970C0E">
      <w:pPr>
        <w:pStyle w:val="Default"/>
        <w:spacing w:line="360" w:lineRule="auto"/>
        <w:ind w:firstLine="426"/>
        <w:jc w:val="both"/>
        <w:rPr>
          <w:color w:val="auto"/>
          <w:sz w:val="22"/>
          <w:szCs w:val="22"/>
          <w:shd w:val="clear" w:color="auto" w:fill="FFFFFF"/>
        </w:rPr>
      </w:pPr>
    </w:p>
    <w:p w:rsidR="00E510BF" w:rsidRPr="00970C0E" w:rsidRDefault="00E510BF" w:rsidP="00970C0E">
      <w:pPr>
        <w:pStyle w:val="Default"/>
        <w:spacing w:line="360" w:lineRule="auto"/>
        <w:jc w:val="center"/>
        <w:rPr>
          <w:b/>
          <w:color w:val="auto"/>
          <w:sz w:val="22"/>
          <w:szCs w:val="22"/>
          <w:shd w:val="clear" w:color="auto" w:fill="FFFFFF"/>
        </w:rPr>
      </w:pPr>
      <w:r w:rsidRPr="00970C0E">
        <w:rPr>
          <w:b/>
          <w:color w:val="auto"/>
          <w:sz w:val="22"/>
          <w:szCs w:val="22"/>
          <w:shd w:val="clear" w:color="auto" w:fill="FFFFFF"/>
        </w:rPr>
        <w:t>K čl. II</w:t>
      </w:r>
    </w:p>
    <w:p w:rsidR="00E510BF" w:rsidRPr="00970C0E" w:rsidRDefault="00E510BF" w:rsidP="00970C0E">
      <w:pPr>
        <w:pStyle w:val="Default"/>
        <w:spacing w:line="360" w:lineRule="auto"/>
        <w:jc w:val="both"/>
        <w:rPr>
          <w:b/>
          <w:color w:val="auto"/>
          <w:sz w:val="22"/>
          <w:szCs w:val="22"/>
          <w:shd w:val="clear" w:color="auto" w:fill="FFFFFF"/>
        </w:rPr>
      </w:pPr>
    </w:p>
    <w:p w:rsidR="00E510BF" w:rsidRPr="00970C0E" w:rsidRDefault="00E510BF" w:rsidP="00970C0E">
      <w:pPr>
        <w:pStyle w:val="Odsekzoznamu"/>
        <w:spacing w:line="360" w:lineRule="auto"/>
        <w:ind w:left="0" w:firstLine="426"/>
        <w:jc w:val="both"/>
        <w:rPr>
          <w:sz w:val="22"/>
          <w:szCs w:val="22"/>
        </w:rPr>
      </w:pPr>
      <w:r w:rsidRPr="00970C0E">
        <w:rPr>
          <w:sz w:val="22"/>
          <w:szCs w:val="22"/>
        </w:rPr>
        <w:t>Zosúladenie textácie podľa položky 151 písmeno b) v zákone č. 145/1995 Z. z. o správnych poplatkoch, kde je uvedená zmena povolenia s jednoznačným rozdelením podľa predloženého návrhu zákona.</w:t>
      </w:r>
    </w:p>
    <w:p w:rsidR="00E510BF" w:rsidRPr="00970C0E" w:rsidRDefault="00E510BF" w:rsidP="00970C0E">
      <w:pPr>
        <w:pStyle w:val="Default"/>
        <w:spacing w:line="360" w:lineRule="auto"/>
        <w:ind w:firstLine="426"/>
        <w:jc w:val="both"/>
        <w:rPr>
          <w:color w:val="auto"/>
          <w:sz w:val="22"/>
          <w:szCs w:val="22"/>
          <w:shd w:val="clear" w:color="auto" w:fill="FFFFFF"/>
        </w:rPr>
      </w:pPr>
    </w:p>
    <w:p w:rsidR="00E510BF" w:rsidRPr="00970C0E" w:rsidRDefault="00E510BF" w:rsidP="00970C0E">
      <w:pPr>
        <w:pStyle w:val="Nzov"/>
        <w:spacing w:line="360" w:lineRule="auto"/>
        <w:contextualSpacing/>
        <w:rPr>
          <w:sz w:val="22"/>
          <w:szCs w:val="22"/>
        </w:rPr>
      </w:pPr>
      <w:r w:rsidRPr="00970C0E">
        <w:rPr>
          <w:sz w:val="22"/>
          <w:szCs w:val="22"/>
        </w:rPr>
        <w:t>K čl. III</w:t>
      </w:r>
    </w:p>
    <w:p w:rsidR="00E510BF" w:rsidRPr="00970C0E" w:rsidRDefault="00E510BF" w:rsidP="00970C0E">
      <w:pPr>
        <w:pStyle w:val="Nzov"/>
        <w:spacing w:line="360" w:lineRule="auto"/>
        <w:contextualSpacing/>
        <w:jc w:val="both"/>
        <w:rPr>
          <w:sz w:val="22"/>
          <w:szCs w:val="22"/>
        </w:rPr>
      </w:pPr>
    </w:p>
    <w:p w:rsidR="00E510BF" w:rsidRPr="00970C0E" w:rsidRDefault="00E510BF" w:rsidP="00970C0E">
      <w:pPr>
        <w:spacing w:line="360" w:lineRule="auto"/>
        <w:ind w:firstLine="426"/>
        <w:jc w:val="both"/>
        <w:rPr>
          <w:rFonts w:ascii="Times New Roman" w:eastAsia="Times New Roman" w:hAnsi="Times New Roman"/>
          <w:color w:val="000000"/>
        </w:rPr>
      </w:pPr>
      <w:r w:rsidRPr="00970C0E">
        <w:rPr>
          <w:rFonts w:ascii="Times New Roman" w:eastAsia="Times New Roman" w:hAnsi="Times New Roman"/>
          <w:color w:val="000000"/>
        </w:rPr>
        <w:t xml:space="preserve">Účinnosť zákona sa navrhuje v súvislosti s dĺžkou legislatívneho procesu na 1. </w:t>
      </w:r>
      <w:r w:rsidR="00271CA5" w:rsidRPr="00970C0E">
        <w:rPr>
          <w:rFonts w:ascii="Times New Roman" w:eastAsia="Times New Roman" w:hAnsi="Times New Roman"/>
          <w:color w:val="000000"/>
        </w:rPr>
        <w:t>októbra</w:t>
      </w:r>
      <w:r w:rsidRPr="00970C0E">
        <w:rPr>
          <w:rFonts w:ascii="Times New Roman" w:eastAsia="Times New Roman" w:hAnsi="Times New Roman"/>
          <w:color w:val="000000"/>
        </w:rPr>
        <w:t xml:space="preserve"> 2024 </w:t>
      </w:r>
      <w:r w:rsidRPr="00970C0E">
        <w:rPr>
          <w:rFonts w:ascii="Times New Roman" w:hAnsi="Times New Roman"/>
        </w:rPr>
        <w:t xml:space="preserve">okrem čl. I bodu </w:t>
      </w:r>
      <w:r w:rsidR="00360D3C">
        <w:rPr>
          <w:rFonts w:ascii="Times New Roman" w:hAnsi="Times New Roman"/>
        </w:rPr>
        <w:t>1</w:t>
      </w:r>
      <w:r w:rsidR="004071F8">
        <w:rPr>
          <w:rFonts w:ascii="Times New Roman" w:hAnsi="Times New Roman"/>
        </w:rPr>
        <w:t>2</w:t>
      </w:r>
      <w:r w:rsidRPr="00970C0E">
        <w:rPr>
          <w:rFonts w:ascii="Times New Roman" w:hAnsi="Times New Roman"/>
        </w:rPr>
        <w:t>, ktorý nadobúda účinnosť 1. januára 2026 v súlade s odloženou účinnosťou zákona, vo vzťahu ku ktorému sa zmena odpisu trestov na špecializovaný výpis z registra trestov vykonáva</w:t>
      </w:r>
      <w:r w:rsidRPr="00970C0E">
        <w:rPr>
          <w:rFonts w:ascii="Times New Roman" w:eastAsia="Times New Roman" w:hAnsi="Times New Roman"/>
          <w:color w:val="000000"/>
        </w:rPr>
        <w:t>.</w:t>
      </w:r>
    </w:p>
    <w:p w:rsidR="00C9325E" w:rsidRDefault="00C9325E" w:rsidP="00C9325E">
      <w:pPr>
        <w:pStyle w:val="Normlnywebov"/>
        <w:spacing w:line="276" w:lineRule="auto"/>
        <w:rPr>
          <w:szCs w:val="22"/>
        </w:rPr>
      </w:pPr>
    </w:p>
    <w:p w:rsidR="00C9325E" w:rsidRPr="00C9325E" w:rsidRDefault="00C9325E" w:rsidP="00C9325E">
      <w:pPr>
        <w:pStyle w:val="Normlnywebov"/>
        <w:spacing w:line="276" w:lineRule="auto"/>
        <w:rPr>
          <w:szCs w:val="22"/>
        </w:rPr>
      </w:pPr>
      <w:bookmarkStart w:id="0" w:name="_GoBack"/>
      <w:bookmarkEnd w:id="0"/>
      <w:r>
        <w:rPr>
          <w:szCs w:val="22"/>
        </w:rPr>
        <w:t>V Bratislave dňa 22</w:t>
      </w:r>
      <w:r w:rsidRPr="008B59F9">
        <w:rPr>
          <w:szCs w:val="22"/>
        </w:rPr>
        <w:t xml:space="preserve">. </w:t>
      </w:r>
      <w:r>
        <w:rPr>
          <w:szCs w:val="22"/>
        </w:rPr>
        <w:t>mája</w:t>
      </w:r>
      <w:r>
        <w:rPr>
          <w:szCs w:val="22"/>
        </w:rPr>
        <w:t xml:space="preserve"> 202</w:t>
      </w:r>
      <w:r>
        <w:rPr>
          <w:szCs w:val="22"/>
        </w:rPr>
        <w:t>4</w:t>
      </w:r>
    </w:p>
    <w:p w:rsidR="00C9325E" w:rsidRDefault="00C9325E" w:rsidP="00C9325E">
      <w:pPr>
        <w:pStyle w:val="Normlnywebov"/>
        <w:spacing w:line="276" w:lineRule="auto"/>
      </w:pPr>
    </w:p>
    <w:p w:rsidR="00C9325E" w:rsidRDefault="00C9325E" w:rsidP="00C9325E">
      <w:pPr>
        <w:pStyle w:val="Normlnywebov"/>
        <w:spacing w:line="276" w:lineRule="auto"/>
      </w:pPr>
    </w:p>
    <w:p w:rsidR="00C9325E" w:rsidRDefault="00C9325E" w:rsidP="00C9325E">
      <w:pPr>
        <w:pStyle w:val="Normlnywebov"/>
        <w:spacing w:line="276" w:lineRule="auto"/>
      </w:pPr>
    </w:p>
    <w:p w:rsidR="00C9325E" w:rsidRDefault="00C9325E" w:rsidP="00C9325E">
      <w:pPr>
        <w:pStyle w:val="Normlnywebov"/>
        <w:spacing w:before="0" w:beforeAutospacing="0" w:after="0" w:afterAutospacing="0" w:line="360" w:lineRule="auto"/>
        <w:jc w:val="center"/>
        <w:rPr>
          <w:b/>
        </w:rPr>
      </w:pPr>
      <w:r>
        <w:rPr>
          <w:b/>
        </w:rPr>
        <w:t>Robert Fico</w:t>
      </w:r>
    </w:p>
    <w:p w:rsidR="00C9325E" w:rsidRDefault="00C9325E" w:rsidP="00C9325E">
      <w:pPr>
        <w:pStyle w:val="Normlnywebov"/>
        <w:spacing w:before="0" w:beforeAutospacing="0" w:after="0" w:afterAutospacing="0" w:line="360" w:lineRule="auto"/>
        <w:jc w:val="center"/>
        <w:rPr>
          <w:b/>
        </w:rPr>
      </w:pPr>
      <w:r>
        <w:rPr>
          <w:b/>
        </w:rPr>
        <w:t>predseda vlády</w:t>
      </w:r>
    </w:p>
    <w:p w:rsidR="00C9325E" w:rsidRDefault="00C9325E" w:rsidP="00C9325E">
      <w:pPr>
        <w:pStyle w:val="Normlnywebov"/>
        <w:spacing w:before="0" w:beforeAutospacing="0" w:after="0" w:afterAutospacing="0" w:line="360" w:lineRule="auto"/>
        <w:jc w:val="center"/>
        <w:rPr>
          <w:b/>
        </w:rPr>
      </w:pPr>
      <w:r>
        <w:rPr>
          <w:b/>
        </w:rPr>
        <w:t>Slovenskej republiky</w:t>
      </w:r>
    </w:p>
    <w:p w:rsidR="00C9325E" w:rsidRDefault="00C9325E" w:rsidP="00C9325E">
      <w:pPr>
        <w:pStyle w:val="Normlnywebov"/>
        <w:spacing w:line="276" w:lineRule="auto"/>
        <w:jc w:val="center"/>
        <w:rPr>
          <w:b/>
        </w:rPr>
      </w:pPr>
    </w:p>
    <w:p w:rsidR="00C9325E" w:rsidRDefault="00C9325E" w:rsidP="00C9325E">
      <w:pPr>
        <w:pStyle w:val="Normlnywebov"/>
        <w:spacing w:line="276" w:lineRule="auto"/>
        <w:jc w:val="center"/>
        <w:rPr>
          <w:b/>
        </w:rPr>
      </w:pPr>
    </w:p>
    <w:p w:rsidR="00C9325E" w:rsidRDefault="00C9325E" w:rsidP="00C9325E">
      <w:pPr>
        <w:pStyle w:val="Normlnywebov"/>
        <w:spacing w:before="0" w:beforeAutospacing="0" w:after="0" w:afterAutospacing="0" w:line="360" w:lineRule="auto"/>
        <w:jc w:val="center"/>
        <w:rPr>
          <w:b/>
        </w:rPr>
      </w:pPr>
      <w:r>
        <w:rPr>
          <w:b/>
        </w:rPr>
        <w:t>Zuzana Dolinková</w:t>
      </w:r>
    </w:p>
    <w:p w:rsidR="00C9325E" w:rsidRDefault="00C9325E" w:rsidP="00C9325E">
      <w:pPr>
        <w:pStyle w:val="Normlnywebov"/>
        <w:spacing w:before="0" w:beforeAutospacing="0" w:after="0" w:afterAutospacing="0" w:line="360" w:lineRule="auto"/>
        <w:jc w:val="center"/>
        <w:rPr>
          <w:b/>
        </w:rPr>
      </w:pPr>
      <w:r>
        <w:rPr>
          <w:b/>
        </w:rPr>
        <w:t>ministerka zdravotníctva</w:t>
      </w:r>
    </w:p>
    <w:p w:rsidR="00C9325E" w:rsidRPr="00970C0E" w:rsidRDefault="00C9325E" w:rsidP="00C9325E">
      <w:pPr>
        <w:pStyle w:val="Normlnywebov"/>
        <w:spacing w:before="0" w:beforeAutospacing="0" w:after="0" w:afterAutospacing="0" w:line="360" w:lineRule="auto"/>
        <w:jc w:val="center"/>
      </w:pPr>
      <w:r>
        <w:rPr>
          <w:b/>
        </w:rPr>
        <w:t>Slovenskej republiky</w:t>
      </w:r>
    </w:p>
    <w:sectPr w:rsidR="00C9325E" w:rsidRPr="00970C0E" w:rsidSect="00347F0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48A" w:rsidRDefault="00A0048A" w:rsidP="003D3A45">
      <w:pPr>
        <w:spacing w:after="0" w:line="240" w:lineRule="auto"/>
      </w:pPr>
      <w:r>
        <w:separator/>
      </w:r>
    </w:p>
  </w:endnote>
  <w:endnote w:type="continuationSeparator" w:id="0">
    <w:p w:rsidR="00A0048A" w:rsidRDefault="00A0048A" w:rsidP="003D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48A" w:rsidRDefault="00A0048A" w:rsidP="003D3A45">
      <w:pPr>
        <w:spacing w:after="0" w:line="240" w:lineRule="auto"/>
      </w:pPr>
      <w:r>
        <w:separator/>
      </w:r>
    </w:p>
  </w:footnote>
  <w:footnote w:type="continuationSeparator" w:id="0">
    <w:p w:rsidR="00A0048A" w:rsidRDefault="00A0048A" w:rsidP="003D3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3B6C"/>
    <w:multiLevelType w:val="hybridMultilevel"/>
    <w:tmpl w:val="6420AD22"/>
    <w:lvl w:ilvl="0" w:tplc="041B000F">
      <w:start w:val="1"/>
      <w:numFmt w:val="decimal"/>
      <w:lvlText w:val="%1."/>
      <w:lvlJc w:val="left"/>
      <w:pPr>
        <w:ind w:left="149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BF"/>
    <w:rsid w:val="000011D3"/>
    <w:rsid w:val="000602A4"/>
    <w:rsid w:val="0008374D"/>
    <w:rsid w:val="000C7D1F"/>
    <w:rsid w:val="000E0E4F"/>
    <w:rsid w:val="000E5AC7"/>
    <w:rsid w:val="00120298"/>
    <w:rsid w:val="00156238"/>
    <w:rsid w:val="001741CC"/>
    <w:rsid w:val="001805A5"/>
    <w:rsid w:val="00180C74"/>
    <w:rsid w:val="001A1DFA"/>
    <w:rsid w:val="001B0F89"/>
    <w:rsid w:val="001C3C75"/>
    <w:rsid w:val="001E2A50"/>
    <w:rsid w:val="00205456"/>
    <w:rsid w:val="0023008A"/>
    <w:rsid w:val="00261B5D"/>
    <w:rsid w:val="00271CA5"/>
    <w:rsid w:val="00273CB8"/>
    <w:rsid w:val="00283792"/>
    <w:rsid w:val="002B69EE"/>
    <w:rsid w:val="002C554C"/>
    <w:rsid w:val="002E1B85"/>
    <w:rsid w:val="00347F00"/>
    <w:rsid w:val="00360D3C"/>
    <w:rsid w:val="00360E83"/>
    <w:rsid w:val="003842BB"/>
    <w:rsid w:val="003C289E"/>
    <w:rsid w:val="003D11D7"/>
    <w:rsid w:val="003D3A45"/>
    <w:rsid w:val="003E13F3"/>
    <w:rsid w:val="003E61BC"/>
    <w:rsid w:val="003F1F35"/>
    <w:rsid w:val="004071F8"/>
    <w:rsid w:val="00516DF3"/>
    <w:rsid w:val="00536DE3"/>
    <w:rsid w:val="00545520"/>
    <w:rsid w:val="00557EB9"/>
    <w:rsid w:val="00594276"/>
    <w:rsid w:val="005A0E8B"/>
    <w:rsid w:val="005C0ED4"/>
    <w:rsid w:val="005D0EC2"/>
    <w:rsid w:val="005F6922"/>
    <w:rsid w:val="0060038D"/>
    <w:rsid w:val="006048AC"/>
    <w:rsid w:val="00607BDE"/>
    <w:rsid w:val="00616627"/>
    <w:rsid w:val="00650B0A"/>
    <w:rsid w:val="0066461B"/>
    <w:rsid w:val="006A5462"/>
    <w:rsid w:val="00702C3C"/>
    <w:rsid w:val="007265B7"/>
    <w:rsid w:val="007809F2"/>
    <w:rsid w:val="007B70A7"/>
    <w:rsid w:val="007D5D46"/>
    <w:rsid w:val="007D6E90"/>
    <w:rsid w:val="007E1653"/>
    <w:rsid w:val="007F7AC9"/>
    <w:rsid w:val="00804BBF"/>
    <w:rsid w:val="008066B3"/>
    <w:rsid w:val="0084245C"/>
    <w:rsid w:val="00844CC5"/>
    <w:rsid w:val="00846A90"/>
    <w:rsid w:val="00857BF6"/>
    <w:rsid w:val="00865040"/>
    <w:rsid w:val="00871E31"/>
    <w:rsid w:val="0087313C"/>
    <w:rsid w:val="008A5171"/>
    <w:rsid w:val="008B130D"/>
    <w:rsid w:val="008B1B3C"/>
    <w:rsid w:val="008B6C95"/>
    <w:rsid w:val="008C30F2"/>
    <w:rsid w:val="00905D76"/>
    <w:rsid w:val="009252D5"/>
    <w:rsid w:val="00932085"/>
    <w:rsid w:val="0093283F"/>
    <w:rsid w:val="00953E1D"/>
    <w:rsid w:val="00964E5D"/>
    <w:rsid w:val="00970C0E"/>
    <w:rsid w:val="00982E63"/>
    <w:rsid w:val="009A0B48"/>
    <w:rsid w:val="009E70DB"/>
    <w:rsid w:val="00A0048A"/>
    <w:rsid w:val="00A24547"/>
    <w:rsid w:val="00A27864"/>
    <w:rsid w:val="00A312DB"/>
    <w:rsid w:val="00A4100B"/>
    <w:rsid w:val="00A443A3"/>
    <w:rsid w:val="00A67DBA"/>
    <w:rsid w:val="00A90465"/>
    <w:rsid w:val="00A9581C"/>
    <w:rsid w:val="00AB23FD"/>
    <w:rsid w:val="00AB2733"/>
    <w:rsid w:val="00AB79DD"/>
    <w:rsid w:val="00AC66FF"/>
    <w:rsid w:val="00AC69A1"/>
    <w:rsid w:val="00AC6A95"/>
    <w:rsid w:val="00B046FA"/>
    <w:rsid w:val="00B10628"/>
    <w:rsid w:val="00B16D95"/>
    <w:rsid w:val="00B40AC5"/>
    <w:rsid w:val="00B54E1F"/>
    <w:rsid w:val="00B57210"/>
    <w:rsid w:val="00B57991"/>
    <w:rsid w:val="00BA04F6"/>
    <w:rsid w:val="00BB7198"/>
    <w:rsid w:val="00BE2195"/>
    <w:rsid w:val="00BE34A7"/>
    <w:rsid w:val="00C01FE9"/>
    <w:rsid w:val="00C042C7"/>
    <w:rsid w:val="00C16E4C"/>
    <w:rsid w:val="00C9325E"/>
    <w:rsid w:val="00CF50EA"/>
    <w:rsid w:val="00D030C3"/>
    <w:rsid w:val="00D25213"/>
    <w:rsid w:val="00D25D31"/>
    <w:rsid w:val="00D3223A"/>
    <w:rsid w:val="00D407D7"/>
    <w:rsid w:val="00D471B1"/>
    <w:rsid w:val="00D55F29"/>
    <w:rsid w:val="00D72888"/>
    <w:rsid w:val="00D81B0B"/>
    <w:rsid w:val="00DB2280"/>
    <w:rsid w:val="00DB448A"/>
    <w:rsid w:val="00DC4B0F"/>
    <w:rsid w:val="00E0109D"/>
    <w:rsid w:val="00E21B76"/>
    <w:rsid w:val="00E26305"/>
    <w:rsid w:val="00E41F37"/>
    <w:rsid w:val="00E510BF"/>
    <w:rsid w:val="00EC1DE6"/>
    <w:rsid w:val="00ED12A6"/>
    <w:rsid w:val="00ED13E1"/>
    <w:rsid w:val="00ED5A94"/>
    <w:rsid w:val="00F21164"/>
    <w:rsid w:val="00F71028"/>
    <w:rsid w:val="00FF5C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2474"/>
  <w15:chartTrackingRefBased/>
  <w15:docId w15:val="{62BAB8E4-06CA-4065-9E85-7041062F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10BF"/>
    <w:pPr>
      <w:spacing w:after="200" w:line="276" w:lineRule="auto"/>
    </w:pPr>
    <w:rPr>
      <w:rFonts w:ascii="Calibri" w:eastAsia="Calibri" w:hAnsi="Calibri" w:cs="Times New Roman"/>
    </w:rPr>
  </w:style>
  <w:style w:type="paragraph" w:styleId="Nadpis1">
    <w:name w:val="heading 1"/>
    <w:basedOn w:val="Normlny"/>
    <w:link w:val="Nadpis1Char"/>
    <w:uiPriority w:val="9"/>
    <w:qFormat/>
    <w:rsid w:val="00C042C7"/>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510BF"/>
    <w:pPr>
      <w:spacing w:after="0" w:line="240" w:lineRule="auto"/>
      <w:ind w:left="708"/>
    </w:pPr>
    <w:rPr>
      <w:rFonts w:ascii="Times New Roman" w:eastAsia="Times New Roman" w:hAnsi="Times New Roman"/>
      <w:sz w:val="24"/>
      <w:szCs w:val="24"/>
      <w:lang w:eastAsia="cs-CZ"/>
    </w:rPr>
  </w:style>
  <w:style w:type="paragraph" w:styleId="Nzov">
    <w:name w:val="Title"/>
    <w:basedOn w:val="Normlny"/>
    <w:link w:val="NzovChar"/>
    <w:qFormat/>
    <w:rsid w:val="00E510BF"/>
    <w:pPr>
      <w:spacing w:after="0" w:line="240" w:lineRule="auto"/>
      <w:jc w:val="center"/>
    </w:pPr>
    <w:rPr>
      <w:rFonts w:ascii="Times New Roman" w:eastAsia="Times New Roman" w:hAnsi="Times New Roman"/>
      <w:b/>
      <w:bCs/>
      <w:sz w:val="28"/>
      <w:szCs w:val="20"/>
      <w:lang w:eastAsia="sk-SK"/>
    </w:rPr>
  </w:style>
  <w:style w:type="character" w:customStyle="1" w:styleId="NzovChar">
    <w:name w:val="Názov Char"/>
    <w:basedOn w:val="Predvolenpsmoodseku"/>
    <w:link w:val="Nzov"/>
    <w:rsid w:val="00E510BF"/>
    <w:rPr>
      <w:rFonts w:ascii="Times New Roman" w:eastAsia="Times New Roman" w:hAnsi="Times New Roman" w:cs="Times New Roman"/>
      <w:b/>
      <w:bCs/>
      <w:sz w:val="28"/>
      <w:szCs w:val="20"/>
      <w:lang w:eastAsia="sk-SK"/>
    </w:rPr>
  </w:style>
  <w:style w:type="character" w:styleId="Odkaznapoznmkupodiarou">
    <w:name w:val="footnote reference"/>
    <w:uiPriority w:val="99"/>
    <w:rsid w:val="00E510BF"/>
    <w:rPr>
      <w:vertAlign w:val="superscript"/>
    </w:rPr>
  </w:style>
  <w:style w:type="paragraph" w:customStyle="1" w:styleId="Default">
    <w:name w:val="Default"/>
    <w:rsid w:val="00E510B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F5C3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5C3A"/>
    <w:rPr>
      <w:rFonts w:ascii="Segoe UI" w:eastAsia="Calibri" w:hAnsi="Segoe UI" w:cs="Segoe UI"/>
      <w:sz w:val="18"/>
      <w:szCs w:val="18"/>
    </w:rPr>
  </w:style>
  <w:style w:type="paragraph" w:styleId="Textpoznmkypodiarou">
    <w:name w:val="footnote text"/>
    <w:basedOn w:val="Normlny"/>
    <w:link w:val="TextpoznmkypodiarouChar"/>
    <w:uiPriority w:val="99"/>
    <w:semiHidden/>
    <w:unhideWhenUsed/>
    <w:rsid w:val="003D3A45"/>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3D3A45"/>
    <w:rPr>
      <w:sz w:val="20"/>
      <w:szCs w:val="20"/>
    </w:rPr>
  </w:style>
  <w:style w:type="character" w:customStyle="1" w:styleId="Nadpis1Char">
    <w:name w:val="Nadpis 1 Char"/>
    <w:basedOn w:val="Predvolenpsmoodseku"/>
    <w:link w:val="Nadpis1"/>
    <w:uiPriority w:val="9"/>
    <w:rsid w:val="00C042C7"/>
    <w:rPr>
      <w:rFonts w:ascii="Times New Roman" w:eastAsia="Times New Roman" w:hAnsi="Times New Roman" w:cs="Times New Roman"/>
      <w:b/>
      <w:bCs/>
      <w:kern w:val="36"/>
      <w:sz w:val="48"/>
      <w:szCs w:val="48"/>
      <w:lang w:eastAsia="sk-SK"/>
    </w:rPr>
  </w:style>
  <w:style w:type="character" w:styleId="Siln">
    <w:name w:val="Strong"/>
    <w:basedOn w:val="Predvolenpsmoodseku"/>
    <w:uiPriority w:val="22"/>
    <w:qFormat/>
    <w:rsid w:val="00C042C7"/>
    <w:rPr>
      <w:b/>
      <w:bCs/>
    </w:rPr>
  </w:style>
  <w:style w:type="paragraph" w:styleId="Normlnywebov">
    <w:name w:val="Normal (Web)"/>
    <w:aliases w:val="webb"/>
    <w:basedOn w:val="Normlny"/>
    <w:uiPriority w:val="99"/>
    <w:unhideWhenUsed/>
    <w:qFormat/>
    <w:rsid w:val="00C9325E"/>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16352">
      <w:bodyDiv w:val="1"/>
      <w:marLeft w:val="0"/>
      <w:marRight w:val="0"/>
      <w:marTop w:val="0"/>
      <w:marBottom w:val="0"/>
      <w:divBdr>
        <w:top w:val="none" w:sz="0" w:space="0" w:color="auto"/>
        <w:left w:val="none" w:sz="0" w:space="0" w:color="auto"/>
        <w:bottom w:val="none" w:sz="0" w:space="0" w:color="auto"/>
        <w:right w:val="none" w:sz="0" w:space="0" w:color="auto"/>
      </w:divBdr>
    </w:div>
    <w:div w:id="176137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4_Dôvodová_správa_osobitná"/>
    <f:field ref="objsubject" par="" edit="true" text=""/>
    <f:field ref="objcreatedby" par="" text="Kisová, Gabriela, JUDr."/>
    <f:field ref="objcreatedat" par="" text="14.3.2024 9:02:11"/>
    <f:field ref="objchangedby" par="" text="Administrator, System"/>
    <f:field ref="objmodifiedat" par="" text="14.3.2024 9:02: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4912</Words>
  <Characters>28001</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Hromádková Martina</dc:creator>
  <cp:keywords/>
  <dc:description/>
  <cp:lastModifiedBy>Szakácsová Zuzana</cp:lastModifiedBy>
  <cp:revision>2</cp:revision>
  <cp:lastPrinted>2024-05-15T11:16:00Z</cp:lastPrinted>
  <dcterms:created xsi:type="dcterms:W3CDTF">2024-05-22T13:19:00Z</dcterms:created>
  <dcterms:modified xsi:type="dcterms:W3CDTF">2024-05-22T13:19:00Z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SLPAP Sekretariát</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13. 3. 2024, 10:05</vt:lpwstr>
  </property>
  <property fmtid="{D5CDD505-2E9C-101B-9397-08002B2CF9AE}" pid="132" name="FSC#SKEDITIONREG@103.510:curruserrolegroup">
    <vt:lpwstr>Odbor legislatívny</vt:lpwstr>
  </property>
  <property fmtid="{D5CDD505-2E9C-101B-9397-08002B2CF9AE}" pid="133" name="FSC#SKEDITIONREG@103.510:currusersubst">
    <vt:lpwstr>JUDr. Gabriela Kisová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SLPAP Sekretariát</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13.03.2024</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*COO.2289.100.2.2181790*</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1</vt:lpwstr>
  </property>
  <property fmtid="{D5CDD505-2E9C-101B-9397-08002B2CF9AE}" pid="364" name="FSC#COOELAK@1.1001:CurrentUserEmail">
    <vt:lpwstr>gabriela.kisova@health.gov.sk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COO.2145.1000.3.6099673</vt:lpwstr>
  </property>
  <property fmtid="{D5CDD505-2E9C-101B-9397-08002B2CF9AE}" pid="397" name="FSC#FSCFOLIO@1.1001:docpropproject">
    <vt:lpwstr/>
  </property>
  <property fmtid="{D5CDD505-2E9C-101B-9397-08002B2CF9AE}" pid="398" name="FSC#SKEDITIONSLOVLEX@103.510:spravaucastverej">
    <vt:lpwstr/>
  </property>
  <property fmtid="{D5CDD505-2E9C-101B-9397-08002B2CF9AE}" pid="399" name="FSC#SKEDITIONSLOVLEX@103.510:typpredpis">
    <vt:lpwstr>Zákon</vt:lpwstr>
  </property>
  <property fmtid="{D5CDD505-2E9C-101B-9397-08002B2CF9AE}" pid="400" name="FSC#SKEDITIONSLOVLEX@103.510:aktualnyrok">
    <vt:lpwstr>2024</vt:lpwstr>
  </property>
  <property fmtid="{D5CDD505-2E9C-101B-9397-08002B2CF9AE}" pid="401" name="FSC#SKEDITIONSLOVLEX@103.510:cisloparlamenttlac">
    <vt:lpwstr/>
  </property>
  <property fmtid="{D5CDD505-2E9C-101B-9397-08002B2CF9AE}" pid="402" name="FSC#SKEDITIONSLOVLEX@103.510:stavpredpis">
    <vt:lpwstr>Medzirezortné pripomienkové konanie</vt:lpwstr>
  </property>
  <property fmtid="{D5CDD505-2E9C-101B-9397-08002B2CF9AE}" pid="403" name="FSC#SKEDITIONSLOVLEX@103.510:povodpredpis">
    <vt:lpwstr>Slovlex (eLeg)</vt:lpwstr>
  </property>
  <property fmtid="{D5CDD505-2E9C-101B-9397-08002B2CF9AE}" pid="404" name="FSC#SKEDITIONSLOVLEX@103.510:legoblast">
    <vt:lpwstr>Správne právo</vt:lpwstr>
  </property>
  <property fmtid="{D5CDD505-2E9C-101B-9397-08002B2CF9AE}" pid="405" name="FSC#SKEDITIONSLOVLEX@103.510:uzemplat">
    <vt:lpwstr/>
  </property>
  <property fmtid="{D5CDD505-2E9C-101B-9397-08002B2CF9AE}" pid="406" name="FSC#SKEDITIONSLOVLEX@103.510:vztahypredpis">
    <vt:lpwstr/>
  </property>
  <property fmtid="{D5CDD505-2E9C-101B-9397-08002B2CF9AE}" pid="407" name="FSC#SKEDITIONSLOVLEX@103.510:predkladatel">
    <vt:lpwstr>JUDr. Gabriela Kisová</vt:lpwstr>
  </property>
  <property fmtid="{D5CDD505-2E9C-101B-9397-08002B2CF9AE}" pid="408" name="FSC#SKEDITIONSLOVLEX@103.510:zodppredkladatel">
    <vt:lpwstr>JUDr. Zuzana Dolinková</vt:lpwstr>
  </property>
  <property fmtid="{D5CDD505-2E9C-101B-9397-08002B2CF9AE}" pid="409" name="FSC#SKEDITIONSLOVLEX@103.510:dalsipredkladatel">
    <vt:lpwstr/>
  </property>
  <property fmtid="{D5CDD505-2E9C-101B-9397-08002B2CF9AE}" pid="410" name="FSC#SKEDITIONSLOVLEX@103.510:nazovpredpis">
    <vt:lpwstr>, ktorým sa mení a dopĺňa zákon č. 139/1998 Z. z. o omamných látkach, psychotropných látkach a prípravkoch v znení neskorších predpisov </vt:lpwstr>
  </property>
  <property fmtid="{D5CDD505-2E9C-101B-9397-08002B2CF9AE}" pid="411" name="FSC#SKEDITIONSLOVLEX@103.510:nazovpredpis1">
    <vt:lpwstr/>
  </property>
  <property fmtid="{D5CDD505-2E9C-101B-9397-08002B2CF9AE}" pid="412" name="FSC#SKEDITIONSLOVLEX@103.510:nazovpredpis2">
    <vt:lpwstr/>
  </property>
  <property fmtid="{D5CDD505-2E9C-101B-9397-08002B2CF9AE}" pid="413" name="FSC#SKEDITIONSLOVLEX@103.510:nazovpredpis3">
    <vt:lpwstr/>
  </property>
  <property fmtid="{D5CDD505-2E9C-101B-9397-08002B2CF9AE}" pid="414" name="FSC#SKEDITIONSLOVLEX@103.510:cislopredpis">
    <vt:lpwstr/>
  </property>
  <property fmtid="{D5CDD505-2E9C-101B-9397-08002B2CF9AE}" pid="415" name="FSC#SKEDITIONSLOVLEX@103.510:zodpinstitucia">
    <vt:lpwstr>Ministerstvo zdravotníctva Slovenskej republiky</vt:lpwstr>
  </property>
  <property fmtid="{D5CDD505-2E9C-101B-9397-08002B2CF9AE}" pid="416" name="FSC#SKEDITIONSLOVLEX@103.510:pripomienkovatelia">
    <vt:lpwstr/>
  </property>
  <property fmtid="{D5CDD505-2E9C-101B-9397-08002B2CF9AE}" pid="417" name="FSC#SKEDITIONSLOVLEX@103.510:autorpredpis">
    <vt:lpwstr/>
  </property>
  <property fmtid="{D5CDD505-2E9C-101B-9397-08002B2CF9AE}" pid="418" name="FSC#SKEDITIONSLOVLEX@103.510:podnetpredpis">
    <vt:lpwstr>Iniciatívny návrh </vt:lpwstr>
  </property>
  <property fmtid="{D5CDD505-2E9C-101B-9397-08002B2CF9AE}" pid="419" name="FSC#SKEDITIONSLOVLEX@103.510:plnynazovpredpis">
    <vt:lpwstr> Zákon, ktorým sa mení a dopĺňa zákon č. 139/1998 Z. z. o omamných látkach, psychotropných látkach a prípravkoch v znení neskorších predpisov </vt:lpwstr>
  </property>
  <property fmtid="{D5CDD505-2E9C-101B-9397-08002B2CF9AE}" pid="420" name="FSC#SKEDITIONSLOVLEX@103.510:plnynazovpredpis1">
    <vt:lpwstr/>
  </property>
  <property fmtid="{D5CDD505-2E9C-101B-9397-08002B2CF9AE}" pid="421" name="FSC#SKEDITIONSLOVLEX@103.510:plnynazovpredpis2">
    <vt:lpwstr/>
  </property>
  <property fmtid="{D5CDD505-2E9C-101B-9397-08002B2CF9AE}" pid="422" name="FSC#SKEDITIONSLOVLEX@103.510:plnynazovpredpis3">
    <vt:lpwstr/>
  </property>
  <property fmtid="{D5CDD505-2E9C-101B-9397-08002B2CF9AE}" pid="423" name="FSC#SKEDITIONSLOVLEX@103.510:rezortcislopredpis">
    <vt:lpwstr>S16875/2024-OL</vt:lpwstr>
  </property>
  <property fmtid="{D5CDD505-2E9C-101B-9397-08002B2CF9AE}" pid="424" name="FSC#SKEDITIONSLOVLEX@103.510:citaciapredpis">
    <vt:lpwstr/>
  </property>
  <property fmtid="{D5CDD505-2E9C-101B-9397-08002B2CF9AE}" pid="425" name="FSC#SKEDITIONSLOVLEX@103.510:spiscislouv">
    <vt:lpwstr/>
  </property>
  <property fmtid="{D5CDD505-2E9C-101B-9397-08002B2CF9AE}" pid="426" name="FSC#SKEDITIONSLOVLEX@103.510:datumschvalpredpis">
    <vt:lpwstr/>
  </property>
  <property fmtid="{D5CDD505-2E9C-101B-9397-08002B2CF9AE}" pid="427" name="FSC#SKEDITIONSLOVLEX@103.510:platneod">
    <vt:lpwstr/>
  </property>
  <property fmtid="{D5CDD505-2E9C-101B-9397-08002B2CF9AE}" pid="428" name="FSC#SKEDITIONSLOVLEX@103.510:platnedo">
    <vt:lpwstr/>
  </property>
  <property fmtid="{D5CDD505-2E9C-101B-9397-08002B2CF9AE}" pid="429" name="FSC#SKEDITIONSLOVLEX@103.510:ucinnostod">
    <vt:lpwstr/>
  </property>
  <property fmtid="{D5CDD505-2E9C-101B-9397-08002B2CF9AE}" pid="430" name="FSC#SKEDITIONSLOVLEX@103.510:ucinnostdo">
    <vt:lpwstr/>
  </property>
  <property fmtid="{D5CDD505-2E9C-101B-9397-08002B2CF9AE}" pid="431" name="FSC#SKEDITIONSLOVLEX@103.510:datumplatnosti">
    <vt:lpwstr/>
  </property>
  <property fmtid="{D5CDD505-2E9C-101B-9397-08002B2CF9AE}" pid="432" name="FSC#SKEDITIONSLOVLEX@103.510:cislolp">
    <vt:lpwstr>LP/2024/114</vt:lpwstr>
  </property>
  <property fmtid="{D5CDD505-2E9C-101B-9397-08002B2CF9AE}" pid="433" name="FSC#SKEDITIONSLOVLEX@103.510:typsprievdok">
    <vt:lpwstr>Dôvodová správa</vt:lpwstr>
  </property>
  <property fmtid="{D5CDD505-2E9C-101B-9397-08002B2CF9AE}" pid="434" name="FSC#SKEDITIONSLOVLEX@103.510:cislopartlac">
    <vt:lpwstr/>
  </property>
  <property fmtid="{D5CDD505-2E9C-101B-9397-08002B2CF9AE}" pid="435" name="FSC#SKEDITIONSLOVLEX@103.510:AttrStrListDocPropUcelPredmetZmluvy">
    <vt:lpwstr/>
  </property>
  <property fmtid="{D5CDD505-2E9C-101B-9397-08002B2CF9AE}" pid="436" name="FSC#SKEDITIONSLOVLEX@103.510:AttrStrListDocPropUpravaPravFOPRO">
    <vt:lpwstr/>
  </property>
  <property fmtid="{D5CDD505-2E9C-101B-9397-08002B2CF9AE}" pid="437" name="FSC#SKEDITIONSLOVLEX@103.510:AttrStrListDocPropUpravaPredmetuZmluvy">
    <vt:lpwstr/>
  </property>
  <property fmtid="{D5CDD505-2E9C-101B-9397-08002B2CF9AE}" pid="438" name="FSC#SKEDITIONSLOVLEX@103.510:AttrStrListDocPropKategoriaZmluvy74">
    <vt:lpwstr/>
  </property>
  <property fmtid="{D5CDD505-2E9C-101B-9397-08002B2CF9AE}" pid="439" name="FSC#SKEDITIONSLOVLEX@103.510:AttrStrListDocPropKategoriaZmluvy75">
    <vt:lpwstr/>
  </property>
  <property fmtid="{D5CDD505-2E9C-101B-9397-08002B2CF9AE}" pid="440" name="FSC#SKEDITIONSLOVLEX@103.510:AttrStrListDocPropDopadyPrijatiaZmluvy">
    <vt:lpwstr/>
  </property>
  <property fmtid="{D5CDD505-2E9C-101B-9397-08002B2CF9AE}" pid="441" name="FSC#SKEDITIONSLOVLEX@103.510:AttrStrListDocPropProblematikaPPa">
    <vt:lpwstr/>
  </property>
  <property fmtid="{D5CDD505-2E9C-101B-9397-08002B2CF9AE}" pid="442" name="FSC#SKEDITIONSLOVLEX@103.510:AttrStrListDocPropPrimarnePravoEU">
    <vt:lpwstr/>
  </property>
  <property fmtid="{D5CDD505-2E9C-101B-9397-08002B2CF9AE}" pid="443" name="FSC#SKEDITIONSLOVLEX@103.510:AttrStrListDocPropSekundarneLegPravoPO">
    <vt:lpwstr/>
  </property>
  <property fmtid="{D5CDD505-2E9C-101B-9397-08002B2CF9AE}" pid="444" name="FSC#SKEDITIONSLOVLEX@103.510:AttrStrListDocPropSekundarneNelegPravoPO">
    <vt:lpwstr/>
  </property>
  <property fmtid="{D5CDD505-2E9C-101B-9397-08002B2CF9AE}" pid="445" name="FSC#SKEDITIONSLOVLEX@103.510:AttrStrListDocPropSekundarneLegPravoDO">
    <vt:lpwstr/>
  </property>
  <property fmtid="{D5CDD505-2E9C-101B-9397-08002B2CF9AE}" pid="446" name="FSC#SKEDITIONSLOVLEX@103.510:AttrStrListDocPropProblematikaPPb">
    <vt:lpwstr/>
  </property>
  <property fmtid="{D5CDD505-2E9C-101B-9397-08002B2CF9AE}" pid="447" name="FSC#SKEDITIONSLOVLEX@103.510:AttrStrListDocPropNazovPredpisuEU">
    <vt:lpwstr/>
  </property>
  <property fmtid="{D5CDD505-2E9C-101B-9397-08002B2CF9AE}" pid="448" name="FSC#SKEDITIONSLOVLEX@103.510:AttrStrListDocPropLehotaPrebratieSmernice">
    <vt:lpwstr/>
  </property>
  <property fmtid="{D5CDD505-2E9C-101B-9397-08002B2CF9AE}" pid="449" name="FSC#SKEDITIONSLOVLEX@103.510:AttrStrListDocPropLehotaNaPredlozenie">
    <vt:lpwstr/>
  </property>
  <property fmtid="{D5CDD505-2E9C-101B-9397-08002B2CF9AE}" pid="450" name="FSC#SKEDITIONSLOVLEX@103.510:AttrStrListDocPropInfoZaciatokKonania">
    <vt:lpwstr/>
  </property>
  <property fmtid="{D5CDD505-2E9C-101B-9397-08002B2CF9AE}" pid="451" name="FSC#SKEDITIONSLOVLEX@103.510:AttrStrListDocPropInfoUzPreberanePP">
    <vt:lpwstr/>
  </property>
  <property fmtid="{D5CDD505-2E9C-101B-9397-08002B2CF9AE}" pid="452" name="FSC#SKEDITIONSLOVLEX@103.510:AttrStrListDocPropStupenZlucitelnostiPP">
    <vt:lpwstr/>
  </property>
  <property fmtid="{D5CDD505-2E9C-101B-9397-08002B2CF9AE}" pid="453" name="FSC#SKEDITIONSLOVLEX@103.510:AttrStrListDocPropGestorSpolupRezorty">
    <vt:lpwstr/>
  </property>
  <property fmtid="{D5CDD505-2E9C-101B-9397-08002B2CF9AE}" pid="454" name="FSC#SKEDITIONSLOVLEX@103.510:AttrDateDocPropZaciatokPKK">
    <vt:lpwstr/>
  </property>
  <property fmtid="{D5CDD505-2E9C-101B-9397-08002B2CF9AE}" pid="455" name="FSC#SKEDITIONSLOVLEX@103.510:AttrDateDocPropUkonceniePKK">
    <vt:lpwstr/>
  </property>
  <property fmtid="{D5CDD505-2E9C-101B-9397-08002B2CF9AE}" pid="456" name="FSC#SKEDITIONSLOVLEX@103.510:AttrStrDocPropVplyvRozpocetVS">
    <vt:lpwstr/>
  </property>
  <property fmtid="{D5CDD505-2E9C-101B-9397-08002B2CF9AE}" pid="457" name="FSC#SKEDITIONSLOVLEX@103.510:AttrStrDocPropVplyvPodnikatelskeProstr">
    <vt:lpwstr/>
  </property>
  <property fmtid="{D5CDD505-2E9C-101B-9397-08002B2CF9AE}" pid="458" name="FSC#SKEDITIONSLOVLEX@103.510:AttrStrDocPropVplyvSocialny">
    <vt:lpwstr/>
  </property>
  <property fmtid="{D5CDD505-2E9C-101B-9397-08002B2CF9AE}" pid="459" name="FSC#SKEDITIONSLOVLEX@103.510:AttrStrDocPropVplyvNaZivotProstr">
    <vt:lpwstr/>
  </property>
  <property fmtid="{D5CDD505-2E9C-101B-9397-08002B2CF9AE}" pid="460" name="FSC#SKEDITIONSLOVLEX@103.510:AttrStrDocPropVplyvNaInformatizaciu">
    <vt:lpwstr/>
  </property>
  <property fmtid="{D5CDD505-2E9C-101B-9397-08002B2CF9AE}" pid="461" name="FSC#SKEDITIONSLOVLEX@103.510:AttrStrListDocPropPoznamkaVplyv">
    <vt:lpwstr/>
  </property>
  <property fmtid="{D5CDD505-2E9C-101B-9397-08002B2CF9AE}" pid="462" name="FSC#SKEDITIONSLOVLEX@103.510:AttrStrListDocPropAltRiesenia">
    <vt:lpwstr/>
  </property>
  <property fmtid="{D5CDD505-2E9C-101B-9397-08002B2CF9AE}" pid="463" name="FSC#SKEDITIONSLOVLEX@103.510:AttrStrListDocPropStanoviskoGest">
    <vt:lpwstr/>
  </property>
  <property fmtid="{D5CDD505-2E9C-101B-9397-08002B2CF9AE}" pid="464" name="FSC#SKEDITIONSLOVLEX@103.510:AttrStrListDocPropTextKomunike">
    <vt:lpwstr/>
  </property>
  <property fmtid="{D5CDD505-2E9C-101B-9397-08002B2CF9AE}" pid="465" name="FSC#SKEDITIONSLOVLEX@103.510:AttrStrListDocPropUznesenieCastA">
    <vt:lpwstr/>
  </property>
  <property fmtid="{D5CDD505-2E9C-101B-9397-08002B2CF9AE}" pid="466" name="FSC#SKEDITIONSLOVLEX@103.510:AttrStrListDocPropUznesenieZodpovednyA1">
    <vt:lpwstr/>
  </property>
  <property fmtid="{D5CDD505-2E9C-101B-9397-08002B2CF9AE}" pid="467" name="FSC#SKEDITIONSLOVLEX@103.510:AttrStrListDocPropUznesenieTextA1">
    <vt:lpwstr/>
  </property>
  <property fmtid="{D5CDD505-2E9C-101B-9397-08002B2CF9AE}" pid="468" name="FSC#SKEDITIONSLOVLEX@103.510:AttrStrListDocPropUznesenieTerminA1">
    <vt:lpwstr/>
  </property>
  <property fmtid="{D5CDD505-2E9C-101B-9397-08002B2CF9AE}" pid="469" name="FSC#SKEDITIONSLOVLEX@103.510:AttrStrListDocPropUznesenieBODA1">
    <vt:lpwstr/>
  </property>
  <property fmtid="{D5CDD505-2E9C-101B-9397-08002B2CF9AE}" pid="470" name="FSC#SKEDITIONSLOVLEX@103.510:AttrStrListDocPropUznesenieZodpovednyA2">
    <vt:lpwstr/>
  </property>
  <property fmtid="{D5CDD505-2E9C-101B-9397-08002B2CF9AE}" pid="471" name="FSC#SKEDITIONSLOVLEX@103.510:AttrStrListDocPropUznesenieTextA2">
    <vt:lpwstr/>
  </property>
  <property fmtid="{D5CDD505-2E9C-101B-9397-08002B2CF9AE}" pid="472" name="FSC#SKEDITIONSLOVLEX@103.510:AttrStrListDocPropUznesenieTerminA2">
    <vt:lpwstr/>
  </property>
  <property fmtid="{D5CDD505-2E9C-101B-9397-08002B2CF9AE}" pid="473" name="FSC#SKEDITIONSLOVLEX@103.510:AttrStrListDocPropUznesenieBODA3">
    <vt:lpwstr/>
  </property>
  <property fmtid="{D5CDD505-2E9C-101B-9397-08002B2CF9AE}" pid="474" name="FSC#SKEDITIONSLOVLEX@103.510:AttrStrListDocPropUznesenieZodpovednyA3">
    <vt:lpwstr/>
  </property>
  <property fmtid="{D5CDD505-2E9C-101B-9397-08002B2CF9AE}" pid="475" name="FSC#SKEDITIONSLOVLEX@103.510:AttrStrListDocPropUznesenieTextA3">
    <vt:lpwstr/>
  </property>
  <property fmtid="{D5CDD505-2E9C-101B-9397-08002B2CF9AE}" pid="476" name="FSC#SKEDITIONSLOVLEX@103.510:AttrStrListDocPropUznesenieTerminA3">
    <vt:lpwstr/>
  </property>
  <property fmtid="{D5CDD505-2E9C-101B-9397-08002B2CF9AE}" pid="477" name="FSC#SKEDITIONSLOVLEX@103.510:AttrStrListDocPropUznesenieBODA4">
    <vt:lpwstr/>
  </property>
  <property fmtid="{D5CDD505-2E9C-101B-9397-08002B2CF9AE}" pid="478" name="FSC#SKEDITIONSLOVLEX@103.510:AttrStrListDocPropUznesenieZodpovednyA4">
    <vt:lpwstr/>
  </property>
  <property fmtid="{D5CDD505-2E9C-101B-9397-08002B2CF9AE}" pid="479" name="FSC#SKEDITIONSLOVLEX@103.510:AttrStrListDocPropUznesenieTextA4">
    <vt:lpwstr/>
  </property>
  <property fmtid="{D5CDD505-2E9C-101B-9397-08002B2CF9AE}" pid="480" name="FSC#SKEDITIONSLOVLEX@103.510:AttrStrListDocPropUznesenieTerminA4">
    <vt:lpwstr/>
  </property>
  <property fmtid="{D5CDD505-2E9C-101B-9397-08002B2CF9AE}" pid="481" name="FSC#SKEDITIONSLOVLEX@103.510:AttrStrListDocPropUznesenieCastB">
    <vt:lpwstr/>
  </property>
  <property fmtid="{D5CDD505-2E9C-101B-9397-08002B2CF9AE}" pid="482" name="FSC#SKEDITIONSLOVLEX@103.510:AttrStrListDocPropUznesenieBODB1">
    <vt:lpwstr/>
  </property>
  <property fmtid="{D5CDD505-2E9C-101B-9397-08002B2CF9AE}" pid="483" name="FSC#SKEDITIONSLOVLEX@103.510:AttrStrListDocPropUznesenieZodpovednyB1">
    <vt:lpwstr/>
  </property>
  <property fmtid="{D5CDD505-2E9C-101B-9397-08002B2CF9AE}" pid="484" name="FSC#SKEDITIONSLOVLEX@103.510:AttrStrListDocPropUznesenieTextB1">
    <vt:lpwstr/>
  </property>
  <property fmtid="{D5CDD505-2E9C-101B-9397-08002B2CF9AE}" pid="485" name="FSC#SKEDITIONSLOVLEX@103.510:AttrStrListDocPropUznesenieTerminB1">
    <vt:lpwstr/>
  </property>
  <property fmtid="{D5CDD505-2E9C-101B-9397-08002B2CF9AE}" pid="486" name="FSC#SKEDITIONSLOVLEX@103.510:AttrStrListDocPropUznesenieBODB2">
    <vt:lpwstr/>
  </property>
  <property fmtid="{D5CDD505-2E9C-101B-9397-08002B2CF9AE}" pid="487" name="FSC#SKEDITIONSLOVLEX@103.510:AttrStrListDocPropUznesenieZodpovednyB2">
    <vt:lpwstr/>
  </property>
  <property fmtid="{D5CDD505-2E9C-101B-9397-08002B2CF9AE}" pid="488" name="FSC#SKEDITIONSLOVLEX@103.510:AttrStrListDocPropUznesenieTextB2">
    <vt:lpwstr/>
  </property>
  <property fmtid="{D5CDD505-2E9C-101B-9397-08002B2CF9AE}" pid="489" name="FSC#SKEDITIONSLOVLEX@103.510:AttrStrListDocPropUznesenieTerminB2">
    <vt:lpwstr/>
  </property>
  <property fmtid="{D5CDD505-2E9C-101B-9397-08002B2CF9AE}" pid="490" name="FSC#SKEDITIONSLOVLEX@103.510:AttrStrListDocPropUznesenieBODB3">
    <vt:lpwstr/>
  </property>
  <property fmtid="{D5CDD505-2E9C-101B-9397-08002B2CF9AE}" pid="491" name="FSC#SKEDITIONSLOVLEX@103.510:AttrStrListDocPropUznesenieZodpovednyB3">
    <vt:lpwstr/>
  </property>
  <property fmtid="{D5CDD505-2E9C-101B-9397-08002B2CF9AE}" pid="492" name="FSC#SKEDITIONSLOVLEX@103.510:AttrStrListDocPropUznesenieTextB3">
    <vt:lpwstr/>
  </property>
  <property fmtid="{D5CDD505-2E9C-101B-9397-08002B2CF9AE}" pid="493" name="FSC#SKEDITIONSLOVLEX@103.510:AttrStrListDocPropUznesenieTerminB3">
    <vt:lpwstr/>
  </property>
  <property fmtid="{D5CDD505-2E9C-101B-9397-08002B2CF9AE}" pid="494" name="FSC#SKEDITIONSLOVLEX@103.510:AttrStrListDocPropUznesenieBODB4">
    <vt:lpwstr/>
  </property>
  <property fmtid="{D5CDD505-2E9C-101B-9397-08002B2CF9AE}" pid="495" name="FSC#SKEDITIONSLOVLEX@103.510:AttrStrListDocPropUznesenieZodpovednyB4">
    <vt:lpwstr/>
  </property>
  <property fmtid="{D5CDD505-2E9C-101B-9397-08002B2CF9AE}" pid="496" name="FSC#SKEDITIONSLOVLEX@103.510:AttrStrListDocPropUznesenieTextB4">
    <vt:lpwstr/>
  </property>
  <property fmtid="{D5CDD505-2E9C-101B-9397-08002B2CF9AE}" pid="497" name="FSC#SKEDITIONSLOVLEX@103.510:AttrStrListDocPropUznesenieTerminB4">
    <vt:lpwstr/>
  </property>
  <property fmtid="{D5CDD505-2E9C-101B-9397-08002B2CF9AE}" pid="498" name="FSC#SKEDITIONSLOVLEX@103.510:AttrStrListDocPropUznesenieCastC">
    <vt:lpwstr/>
  </property>
  <property fmtid="{D5CDD505-2E9C-101B-9397-08002B2CF9AE}" pid="499" name="FSC#SKEDITIONSLOVLEX@103.510:AttrStrListDocPropUznesenieBODC1">
    <vt:lpwstr/>
  </property>
  <property fmtid="{D5CDD505-2E9C-101B-9397-08002B2CF9AE}" pid="500" name="FSC#SKEDITIONSLOVLEX@103.510:AttrStrListDocPropUznesenieZodpovednyC1">
    <vt:lpwstr/>
  </property>
  <property fmtid="{D5CDD505-2E9C-101B-9397-08002B2CF9AE}" pid="501" name="FSC#SKEDITIONSLOVLEX@103.510:AttrStrListDocPropUznesenieTextC1">
    <vt:lpwstr/>
  </property>
  <property fmtid="{D5CDD505-2E9C-101B-9397-08002B2CF9AE}" pid="502" name="FSC#SKEDITIONSLOVLEX@103.510:AttrStrListDocPropUznesenieTerminC1">
    <vt:lpwstr/>
  </property>
  <property fmtid="{D5CDD505-2E9C-101B-9397-08002B2CF9AE}" pid="503" name="FSC#SKEDITIONSLOVLEX@103.510:AttrStrListDocPropUznesenieBODC2">
    <vt:lpwstr/>
  </property>
  <property fmtid="{D5CDD505-2E9C-101B-9397-08002B2CF9AE}" pid="504" name="FSC#SKEDITIONSLOVLEX@103.510:AttrStrListDocPropUznesenieZodpovednyC2">
    <vt:lpwstr/>
  </property>
  <property fmtid="{D5CDD505-2E9C-101B-9397-08002B2CF9AE}" pid="505" name="FSC#SKEDITIONSLOVLEX@103.510:AttrStrListDocPropUznesenieTextC2">
    <vt:lpwstr/>
  </property>
  <property fmtid="{D5CDD505-2E9C-101B-9397-08002B2CF9AE}" pid="506" name="FSC#SKEDITIONSLOVLEX@103.510:AttrStrListDocPropUznesenieTerminC2">
    <vt:lpwstr/>
  </property>
  <property fmtid="{D5CDD505-2E9C-101B-9397-08002B2CF9AE}" pid="507" name="FSC#SKEDITIONSLOVLEX@103.510:AttrStrListDocPropUznesenieBODC3">
    <vt:lpwstr/>
  </property>
  <property fmtid="{D5CDD505-2E9C-101B-9397-08002B2CF9AE}" pid="508" name="FSC#SKEDITIONSLOVLEX@103.510:AttrStrListDocPropUznesenieZodpovednyC3">
    <vt:lpwstr/>
  </property>
  <property fmtid="{D5CDD505-2E9C-101B-9397-08002B2CF9AE}" pid="509" name="FSC#SKEDITIONSLOVLEX@103.510:AttrStrListDocPropUznesenieTextC3">
    <vt:lpwstr/>
  </property>
  <property fmtid="{D5CDD505-2E9C-101B-9397-08002B2CF9AE}" pid="510" name="FSC#SKEDITIONSLOVLEX@103.510:AttrStrListDocPropUznesenieTerminC3">
    <vt:lpwstr/>
  </property>
  <property fmtid="{D5CDD505-2E9C-101B-9397-08002B2CF9AE}" pid="511" name="FSC#SKEDITIONSLOVLEX@103.510:AttrStrListDocPropUznesenieBODC4">
    <vt:lpwstr/>
  </property>
  <property fmtid="{D5CDD505-2E9C-101B-9397-08002B2CF9AE}" pid="512" name="FSC#SKEDITIONSLOVLEX@103.510:AttrStrListDocPropUznesenieZodpovednyC4">
    <vt:lpwstr/>
  </property>
  <property fmtid="{D5CDD505-2E9C-101B-9397-08002B2CF9AE}" pid="513" name="FSC#SKEDITIONSLOVLEX@103.510:AttrStrListDocPropUznesenieTextC4">
    <vt:lpwstr/>
  </property>
  <property fmtid="{D5CDD505-2E9C-101B-9397-08002B2CF9AE}" pid="514" name="FSC#SKEDITIONSLOVLEX@103.510:AttrStrListDocPropUznesenieTerminC4">
    <vt:lpwstr/>
  </property>
  <property fmtid="{D5CDD505-2E9C-101B-9397-08002B2CF9AE}" pid="515" name="FSC#SKEDITIONSLOVLEX@103.510:AttrStrListDocPropUznesenieCastD">
    <vt:lpwstr/>
  </property>
  <property fmtid="{D5CDD505-2E9C-101B-9397-08002B2CF9AE}" pid="516" name="FSC#SKEDITIONSLOVLEX@103.510:AttrStrListDocPropUznesenieBODD1">
    <vt:lpwstr/>
  </property>
  <property fmtid="{D5CDD505-2E9C-101B-9397-08002B2CF9AE}" pid="517" name="FSC#SKEDITIONSLOVLEX@103.510:AttrStrListDocPropUznesenieZodpovednyD1">
    <vt:lpwstr/>
  </property>
  <property fmtid="{D5CDD505-2E9C-101B-9397-08002B2CF9AE}" pid="518" name="FSC#SKEDITIONSLOVLEX@103.510:AttrStrListDocPropUznesenieTextD1">
    <vt:lpwstr/>
  </property>
  <property fmtid="{D5CDD505-2E9C-101B-9397-08002B2CF9AE}" pid="519" name="FSC#SKEDITIONSLOVLEX@103.510:AttrStrListDocPropUznesenieTerminD1">
    <vt:lpwstr/>
  </property>
  <property fmtid="{D5CDD505-2E9C-101B-9397-08002B2CF9AE}" pid="520" name="FSC#SKEDITIONSLOVLEX@103.510:AttrStrListDocPropUznesenieBODD2">
    <vt:lpwstr/>
  </property>
  <property fmtid="{D5CDD505-2E9C-101B-9397-08002B2CF9AE}" pid="521" name="FSC#SKEDITIONSLOVLEX@103.510:AttrStrListDocPropUznesenieZodpovednyD2">
    <vt:lpwstr/>
  </property>
  <property fmtid="{D5CDD505-2E9C-101B-9397-08002B2CF9AE}" pid="522" name="FSC#SKEDITIONSLOVLEX@103.510:AttrStrListDocPropUznesenieTextD2">
    <vt:lpwstr/>
  </property>
  <property fmtid="{D5CDD505-2E9C-101B-9397-08002B2CF9AE}" pid="523" name="FSC#SKEDITIONSLOVLEX@103.510:AttrStrListDocPropUznesenieTerminD2">
    <vt:lpwstr/>
  </property>
  <property fmtid="{D5CDD505-2E9C-101B-9397-08002B2CF9AE}" pid="524" name="FSC#SKEDITIONSLOVLEX@103.510:AttrStrListDocPropUznesenieBODD3">
    <vt:lpwstr/>
  </property>
  <property fmtid="{D5CDD505-2E9C-101B-9397-08002B2CF9AE}" pid="525" name="FSC#SKEDITIONSLOVLEX@103.510:AttrStrListDocPropUznesenieZodpovednyD3">
    <vt:lpwstr/>
  </property>
  <property fmtid="{D5CDD505-2E9C-101B-9397-08002B2CF9AE}" pid="526" name="FSC#SKEDITIONSLOVLEX@103.510:AttrStrListDocPropUznesenieTextD3">
    <vt:lpwstr/>
  </property>
  <property fmtid="{D5CDD505-2E9C-101B-9397-08002B2CF9AE}" pid="527" name="FSC#SKEDITIONSLOVLEX@103.510:AttrStrListDocPropUznesenieTerminD3">
    <vt:lpwstr/>
  </property>
  <property fmtid="{D5CDD505-2E9C-101B-9397-08002B2CF9AE}" pid="528" name="FSC#SKEDITIONSLOVLEX@103.510:AttrStrListDocPropUznesenieBODD4">
    <vt:lpwstr/>
  </property>
  <property fmtid="{D5CDD505-2E9C-101B-9397-08002B2CF9AE}" pid="529" name="FSC#SKEDITIONSLOVLEX@103.510:AttrStrListDocPropUznesenieZodpovednyD4">
    <vt:lpwstr/>
  </property>
  <property fmtid="{D5CDD505-2E9C-101B-9397-08002B2CF9AE}" pid="530" name="FSC#SKEDITIONSLOVLEX@103.510:AttrStrListDocPropUznesenieTextD4">
    <vt:lpwstr/>
  </property>
  <property fmtid="{D5CDD505-2E9C-101B-9397-08002B2CF9AE}" pid="531" name="FSC#SKEDITIONSLOVLEX@103.510:AttrStrListDocPropUznesenieTerminD4">
    <vt:lpwstr/>
  </property>
  <property fmtid="{D5CDD505-2E9C-101B-9397-08002B2CF9AE}" pid="532" name="FSC#SKEDITIONSLOVLEX@103.510:AttrStrListDocPropUznesenieVykonaju">
    <vt:lpwstr/>
  </property>
  <property fmtid="{D5CDD505-2E9C-101B-9397-08002B2CF9AE}" pid="533" name="FSC#SKEDITIONSLOVLEX@103.510:AttrStrListDocPropUznesenieNaVedomie">
    <vt:lpwstr/>
  </property>
  <property fmtid="{D5CDD505-2E9C-101B-9397-08002B2CF9AE}" pid="534" name="FSC#SKEDITIONSLOVLEX@103.510:funkciaPred">
    <vt:lpwstr>referent</vt:lpwstr>
  </property>
  <property fmtid="{D5CDD505-2E9C-101B-9397-08002B2CF9AE}" pid="535" name="FSC#SKEDITIONSLOVLEX@103.510:funkciaPredAkuzativ">
    <vt:lpwstr>referenta</vt:lpwstr>
  </property>
  <property fmtid="{D5CDD505-2E9C-101B-9397-08002B2CF9AE}" pid="536" name="FSC#SKEDITIONSLOVLEX@103.510:funkciaPredDativ">
    <vt:lpwstr>referentovi</vt:lpwstr>
  </property>
  <property fmtid="{D5CDD505-2E9C-101B-9397-08002B2CF9AE}" pid="537" name="FSC#SKEDITIONSLOVLEX@103.510:funkciaZodpPred">
    <vt:lpwstr>Ministerka zdravotníctva SR</vt:lpwstr>
  </property>
  <property fmtid="{D5CDD505-2E9C-101B-9397-08002B2CF9AE}" pid="538" name="FSC#SKEDITIONSLOVLEX@103.510:funkciaZodpPredAkuzativ">
    <vt:lpwstr>Ministerky zdravotníctva SR</vt:lpwstr>
  </property>
  <property fmtid="{D5CDD505-2E9C-101B-9397-08002B2CF9AE}" pid="539" name="FSC#SKEDITIONSLOVLEX@103.510:funkciaZodpPredDativ">
    <vt:lpwstr>Ministerke zdravotníctva SR</vt:lpwstr>
  </property>
  <property fmtid="{D5CDD505-2E9C-101B-9397-08002B2CF9AE}" pid="540" name="FSC#SKEDITIONSLOVLEX@103.510:funkciaDalsiPred">
    <vt:lpwstr/>
  </property>
  <property fmtid="{D5CDD505-2E9C-101B-9397-08002B2CF9AE}" pid="541" name="FSC#SKEDITIONSLOVLEX@103.510:funkciaDalsiPredAkuzativ">
    <vt:lpwstr/>
  </property>
  <property fmtid="{D5CDD505-2E9C-101B-9397-08002B2CF9AE}" pid="542" name="FSC#SKEDITIONSLOVLEX@103.510:funkciaDalsiPredDativ">
    <vt:lpwstr/>
  </property>
  <property fmtid="{D5CDD505-2E9C-101B-9397-08002B2CF9AE}" pid="543" name="FSC#SKEDITIONSLOVLEX@103.510:predkladateliaObalSD">
    <vt:lpwstr>JUDr. Zuzana Dolinková_x000d_
Ministerka zdravotníctva SR</vt:lpwstr>
  </property>
  <property fmtid="{D5CDD505-2E9C-101B-9397-08002B2CF9AE}" pid="544" name="FSC#SKEDITIONSLOVLEX@103.510:AttrStrListDocPropTextVseobPrilohy">
    <vt:lpwstr/>
  </property>
  <property fmtid="{D5CDD505-2E9C-101B-9397-08002B2CF9AE}" pid="545" name="FSC#SKEDITIONSLOVLEX@103.510:AttrStrListDocPropTextPredklSpravy">
    <vt:lpwstr/>
  </property>
  <property fmtid="{D5CDD505-2E9C-101B-9397-08002B2CF9AE}" pid="546" name="FSC#SKEDITIONSLOVLEX@103.510:vytvorenedna">
    <vt:lpwstr>14. 3. 2024</vt:lpwstr>
  </property>
</Properties>
</file>