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32F" w:rsidRPr="00520A08" w:rsidRDefault="00D2732F" w:rsidP="00D2732F">
      <w:pPr>
        <w:spacing w:after="4" w:line="276" w:lineRule="auto"/>
        <w:jc w:val="center"/>
        <w:rPr>
          <w:b/>
          <w:caps/>
          <w:spacing w:val="30"/>
        </w:rPr>
      </w:pPr>
      <w:r w:rsidRPr="00520A08">
        <w:rPr>
          <w:b/>
          <w:caps/>
          <w:spacing w:val="30"/>
        </w:rPr>
        <w:t>Dôvodová správa</w:t>
      </w:r>
    </w:p>
    <w:p w:rsidR="00D2732F" w:rsidRPr="00520A08" w:rsidRDefault="00D2732F" w:rsidP="00D2732F">
      <w:pPr>
        <w:spacing w:after="4" w:line="276" w:lineRule="auto"/>
        <w:ind w:left="360" w:hanging="360"/>
        <w:jc w:val="both"/>
        <w:rPr>
          <w:bCs/>
        </w:rPr>
      </w:pPr>
    </w:p>
    <w:p w:rsidR="00D2732F" w:rsidRPr="00520A08" w:rsidRDefault="00D2732F" w:rsidP="00D2732F">
      <w:pPr>
        <w:pStyle w:val="Odsekzoznamu"/>
        <w:numPr>
          <w:ilvl w:val="0"/>
          <w:numId w:val="1"/>
        </w:numPr>
        <w:spacing w:after="4" w:line="276" w:lineRule="auto"/>
        <w:ind w:left="360"/>
        <w:jc w:val="both"/>
        <w:rPr>
          <w:b/>
          <w:bCs/>
        </w:rPr>
      </w:pPr>
      <w:r w:rsidRPr="00520A08">
        <w:rPr>
          <w:b/>
          <w:bCs/>
        </w:rPr>
        <w:t>Všeobecná časť</w:t>
      </w:r>
    </w:p>
    <w:p w:rsidR="00D2732F" w:rsidRPr="00520A08" w:rsidRDefault="00D2732F" w:rsidP="00D2732F">
      <w:pPr>
        <w:spacing w:after="4" w:line="276" w:lineRule="auto"/>
        <w:jc w:val="both"/>
        <w:rPr>
          <w:bCs/>
        </w:rPr>
      </w:pPr>
    </w:p>
    <w:p w:rsidR="00D2732F" w:rsidRPr="00D219C0" w:rsidRDefault="00DC1110" w:rsidP="00DD5E52">
      <w:pPr>
        <w:spacing w:after="120"/>
        <w:jc w:val="both"/>
      </w:pPr>
      <w:r>
        <w:t>N</w:t>
      </w:r>
      <w:r w:rsidR="00D2732F" w:rsidRPr="00520A08">
        <w:t>ávrh zákona</w:t>
      </w:r>
      <w:r w:rsidR="00D2732F">
        <w:t>,</w:t>
      </w:r>
      <w:r w:rsidR="00D2732F" w:rsidRPr="00D2732F">
        <w:t xml:space="preserve"> </w:t>
      </w:r>
      <w:r w:rsidR="00D219C0">
        <w:t>ktorým sa mení zákon č. 325/2022 Z. z.</w:t>
      </w:r>
      <w:r w:rsidR="00D10CBC">
        <w:t>,</w:t>
      </w:r>
      <w:r w:rsidR="00D219C0">
        <w:t xml:space="preserve"> ktorým sa mení a dopĺňa zákon č. 305/2013 Z. z. o elektronickej podobe výkonu pôsob</w:t>
      </w:r>
      <w:r w:rsidR="000A280E">
        <w:t xml:space="preserve">nosti orgánov verejnej moci a o </w:t>
      </w:r>
      <w:r w:rsidR="00D219C0">
        <w:t xml:space="preserve">zmene a doplnení niektorých zákonov (zákon o e-Governmente) v znení neskorších predpisov a ktorým sa menia a dopĺňajú niektoré zákony v znení zákona č. 301/2023 Z. z. </w:t>
      </w:r>
      <w:r w:rsidR="00D2732F" w:rsidRPr="00D2732F">
        <w:t>(ďalej len „návrh</w:t>
      </w:r>
      <w:r w:rsidR="00D2732F">
        <w:t xml:space="preserve"> zákona</w:t>
      </w:r>
      <w:r w:rsidR="00D2732F" w:rsidRPr="00D2732F">
        <w:t>“)</w:t>
      </w:r>
      <w:r>
        <w:t xml:space="preserve"> sa predkladá</w:t>
      </w:r>
      <w:r w:rsidR="00D2732F" w:rsidRPr="00520A08">
        <w:t xml:space="preserve"> ako iniciatívny materiál</w:t>
      </w:r>
      <w:r w:rsidR="00D2732F" w:rsidRPr="00520A08">
        <w:rPr>
          <w:bCs/>
        </w:rPr>
        <w:t>.</w:t>
      </w:r>
    </w:p>
    <w:p w:rsidR="00D2732F" w:rsidRDefault="00D2732F" w:rsidP="00DD5E52">
      <w:pPr>
        <w:spacing w:after="120"/>
        <w:jc w:val="both"/>
        <w:rPr>
          <w:bCs/>
        </w:rPr>
      </w:pPr>
      <w:r w:rsidRPr="002E5806">
        <w:rPr>
          <w:bCs/>
        </w:rPr>
        <w:t>Výhradným a jediným cieľom pripravovaného návrhu</w:t>
      </w:r>
      <w:r>
        <w:rPr>
          <w:bCs/>
        </w:rPr>
        <w:t xml:space="preserve"> zákona</w:t>
      </w:r>
      <w:r w:rsidRPr="002E5806">
        <w:rPr>
          <w:bCs/>
        </w:rPr>
        <w:t xml:space="preserve"> je posun účinnosti ustanovení o zmenách v zaručenej konverzii zavedených zákonom č. 325/2022 Z. z.</w:t>
      </w:r>
      <w:r w:rsidR="004F753A">
        <w:rPr>
          <w:bCs/>
        </w:rPr>
        <w:t xml:space="preserve">, ktorým sa mení a dopĺňa zákon </w:t>
      </w:r>
      <w:r w:rsidR="004F753A" w:rsidRPr="008A67DA">
        <w:rPr>
          <w:bCs/>
        </w:rPr>
        <w:t>č. 305/2013 Z. z. o elektronickej podobe výkonu pôsobnosti orgánov verejnej moci a o zmene a doplnení niektorých zákonov (zákon o e-Governmente) v znení neskorších predpisov a ktorým sa menia a dopĺňajú niektoré zákony v znení zákona č. 301/2023 Z. z.</w:t>
      </w:r>
      <w:r w:rsidR="004F753A">
        <w:rPr>
          <w:bCs/>
        </w:rPr>
        <w:t xml:space="preserve"> (ďalej len „zákon č. 325/2022 Z. z.“)</w:t>
      </w:r>
      <w:r w:rsidRPr="002E5806">
        <w:rPr>
          <w:bCs/>
        </w:rPr>
        <w:t xml:space="preserve"> </w:t>
      </w:r>
      <w:r w:rsidR="00F9551A">
        <w:rPr>
          <w:bCs/>
        </w:rPr>
        <w:t>z</w:t>
      </w:r>
      <w:r w:rsidRPr="002E5806">
        <w:rPr>
          <w:bCs/>
        </w:rPr>
        <w:t xml:space="preserve"> 1. októbra 2024</w:t>
      </w:r>
      <w:r w:rsidR="00F9551A">
        <w:rPr>
          <w:bCs/>
        </w:rPr>
        <w:t xml:space="preserve"> na 1. októbra 2026, teda o dva roky</w:t>
      </w:r>
      <w:r w:rsidRPr="002E5806">
        <w:rPr>
          <w:bCs/>
        </w:rPr>
        <w:t>.</w:t>
      </w:r>
    </w:p>
    <w:p w:rsidR="00D2732F" w:rsidRPr="004F753A" w:rsidRDefault="00D2732F" w:rsidP="00DD5E52">
      <w:pPr>
        <w:spacing w:after="120"/>
        <w:jc w:val="both"/>
        <w:rPr>
          <w:bCs/>
        </w:rPr>
      </w:pPr>
      <w:r w:rsidRPr="002E5806">
        <w:rPr>
          <w:bCs/>
        </w:rPr>
        <w:t xml:space="preserve">Zákonom č. 325/2022 Z. z. boli schválené </w:t>
      </w:r>
      <w:r w:rsidRPr="004F753A">
        <w:rPr>
          <w:bCs/>
        </w:rPr>
        <w:t>zmeny v oblasti zaručenej konverzii za účelom zjednodušiť výkon zaručenej konverzie pre osoby, ktoré zaručenú konverziu vykonávajú, a ktorých výsledkom má byť posilnenie dôveryhodnosti výstupov zo zaručenej konverzie. Tieto zmeny si vyžadujú úpravu aktuálneho technického riešenia centrálnej evidencie záznamov o vykonanej zaručenej konverzie, ktorej správcom je Ministerstvo investícií, regionálneho rozvoja a informatizácie Slovenskej republiky.</w:t>
      </w:r>
    </w:p>
    <w:p w:rsidR="00D2732F" w:rsidRPr="004F753A" w:rsidRDefault="00D2732F" w:rsidP="00DD5E52">
      <w:pPr>
        <w:spacing w:after="120"/>
        <w:jc w:val="both"/>
        <w:rPr>
          <w:bCs/>
        </w:rPr>
      </w:pPr>
      <w:r w:rsidRPr="004F753A">
        <w:rPr>
          <w:bCs/>
        </w:rPr>
        <w:t xml:space="preserve">Vzhľadom na </w:t>
      </w:r>
      <w:r w:rsidR="00915362" w:rsidRPr="004F753A">
        <w:rPr>
          <w:bCs/>
        </w:rPr>
        <w:t>aktuálny stav implementácie týchto zmien sa navrhuje posun účinnosti schválených zmien na 1. októbra 2026.</w:t>
      </w:r>
      <w:r w:rsidRPr="004F753A">
        <w:rPr>
          <w:bCs/>
        </w:rPr>
        <w:t xml:space="preserve"> </w:t>
      </w:r>
      <w:r w:rsidRPr="004F753A" w:rsidDel="00915362">
        <w:rPr>
          <w:bCs/>
        </w:rPr>
        <w:t>Posunutie účinnosti sa navrhuje taktiež z dôvodu zabezpečenia postupného a kontinuálneho nábehu všetkých oprávnených osôb na nový systém centrálnej evidencie záznamov o vykonanej zaručenej konverzie.</w:t>
      </w:r>
    </w:p>
    <w:p w:rsidR="00EC2934" w:rsidRPr="004F753A" w:rsidRDefault="00EC2934" w:rsidP="00DD5E52">
      <w:pPr>
        <w:spacing w:after="120"/>
        <w:jc w:val="both"/>
      </w:pPr>
      <w:r w:rsidRPr="004F753A">
        <w:t>Návrh zákona nemá žiadny vplyv na rozpočet verejnej správy</w:t>
      </w:r>
      <w:r w:rsidR="00DD5E52">
        <w:t>, ani na limit verejných výdavkov</w:t>
      </w:r>
      <w:r w:rsidRPr="004F753A">
        <w:t>. Návrh zákona nemá žiadne sociálne vplyvy a nemá vplyvy na podnikateľské prostredie, na životné prostredie, na informatizáciu spoločnosti, na manželstvo, rodičovstvo a rodinu, a na služby verejnej správy pre občana.</w:t>
      </w:r>
    </w:p>
    <w:p w:rsidR="00D2732F" w:rsidRPr="004F753A" w:rsidRDefault="00D2732F" w:rsidP="00DD5E52">
      <w:pPr>
        <w:spacing w:after="120"/>
        <w:jc w:val="both"/>
        <w:rPr>
          <w:bCs/>
        </w:rPr>
      </w:pPr>
      <w:r w:rsidRPr="004F753A">
        <w:rPr>
          <w:bCs/>
        </w:rPr>
        <w:t>Účinnosť návrhu zákona sa navrhuje od</w:t>
      </w:r>
      <w:r w:rsidR="00915362" w:rsidRPr="004F753A">
        <w:rPr>
          <w:bCs/>
        </w:rPr>
        <w:t xml:space="preserve"> </w:t>
      </w:r>
      <w:r w:rsidR="00713360" w:rsidRPr="004F753A">
        <w:rPr>
          <w:bCs/>
        </w:rPr>
        <w:t>30</w:t>
      </w:r>
      <w:r w:rsidR="00915362" w:rsidRPr="004F753A">
        <w:rPr>
          <w:bCs/>
        </w:rPr>
        <w:t xml:space="preserve">. </w:t>
      </w:r>
      <w:r w:rsidR="00713360" w:rsidRPr="004F753A">
        <w:rPr>
          <w:bCs/>
        </w:rPr>
        <w:t>septembra</w:t>
      </w:r>
      <w:r w:rsidRPr="004F753A">
        <w:rPr>
          <w:bCs/>
        </w:rPr>
        <w:t xml:space="preserve"> 2024</w:t>
      </w:r>
      <w:r w:rsidRPr="004F753A">
        <w:rPr>
          <w:iCs/>
        </w:rPr>
        <w:t>.</w:t>
      </w:r>
    </w:p>
    <w:p w:rsidR="00052116" w:rsidRDefault="00D2732F" w:rsidP="00DD5E52">
      <w:pPr>
        <w:spacing w:after="120"/>
        <w:jc w:val="both"/>
        <w:rPr>
          <w:bCs/>
        </w:rPr>
      </w:pPr>
      <w:r w:rsidRPr="004F753A">
        <w:rPr>
          <w:bCs/>
        </w:rPr>
        <w:t>Návrh zákona je v súlade s Ústavou Slovenskej republiky, ústavnými zákonmi, nálezmi Ústavného súdu Slovenskej republiky, medzinárodnými zmluvami, ktorými je Slovenská republika viazaná a súčasne je v súlade s právom Európskej únie.</w:t>
      </w:r>
      <w:r w:rsidRPr="00520A08">
        <w:rPr>
          <w:bCs/>
        </w:rPr>
        <w:t xml:space="preserve"> </w:t>
      </w:r>
    </w:p>
    <w:p w:rsidR="004F753A" w:rsidRDefault="004F753A" w:rsidP="004F753A">
      <w:pPr>
        <w:spacing w:after="120"/>
        <w:ind w:firstLine="708"/>
        <w:jc w:val="both"/>
        <w:rPr>
          <w:bCs/>
        </w:rPr>
      </w:pPr>
    </w:p>
    <w:p w:rsidR="00747AC2" w:rsidRDefault="00747AC2" w:rsidP="00EC2934">
      <w:pPr>
        <w:spacing w:after="4" w:line="276" w:lineRule="auto"/>
        <w:ind w:firstLine="708"/>
        <w:jc w:val="both"/>
        <w:rPr>
          <w:bCs/>
        </w:rPr>
      </w:pPr>
    </w:p>
    <w:p w:rsidR="008B13C8" w:rsidRDefault="008B13C8" w:rsidP="00EC2934">
      <w:pPr>
        <w:spacing w:after="4" w:line="276" w:lineRule="auto"/>
        <w:ind w:firstLine="708"/>
        <w:jc w:val="both"/>
        <w:rPr>
          <w:bCs/>
        </w:rPr>
      </w:pPr>
    </w:p>
    <w:p w:rsidR="004F753A" w:rsidRDefault="004F753A" w:rsidP="00EC2934">
      <w:pPr>
        <w:spacing w:after="4" w:line="276" w:lineRule="auto"/>
        <w:ind w:firstLine="708"/>
        <w:jc w:val="both"/>
        <w:rPr>
          <w:bCs/>
        </w:rPr>
      </w:pPr>
    </w:p>
    <w:p w:rsidR="004F753A" w:rsidRDefault="004F753A" w:rsidP="00EC2934">
      <w:pPr>
        <w:spacing w:after="4" w:line="276" w:lineRule="auto"/>
        <w:ind w:firstLine="708"/>
        <w:jc w:val="both"/>
        <w:rPr>
          <w:bCs/>
        </w:rPr>
      </w:pPr>
    </w:p>
    <w:p w:rsidR="004F753A" w:rsidRDefault="004F753A" w:rsidP="00EC2934">
      <w:pPr>
        <w:spacing w:after="4" w:line="276" w:lineRule="auto"/>
        <w:ind w:firstLine="708"/>
        <w:jc w:val="both"/>
        <w:rPr>
          <w:bCs/>
        </w:rPr>
      </w:pPr>
    </w:p>
    <w:p w:rsidR="00DD5E52" w:rsidRDefault="00DD5E52" w:rsidP="00EC2934">
      <w:pPr>
        <w:spacing w:after="4" w:line="276" w:lineRule="auto"/>
        <w:ind w:firstLine="708"/>
        <w:jc w:val="both"/>
        <w:rPr>
          <w:bCs/>
        </w:rPr>
      </w:pPr>
    </w:p>
    <w:p w:rsidR="004F753A" w:rsidRDefault="004F753A" w:rsidP="00EC2934">
      <w:pPr>
        <w:spacing w:after="4" w:line="276" w:lineRule="auto"/>
        <w:ind w:firstLine="708"/>
        <w:jc w:val="both"/>
        <w:rPr>
          <w:bCs/>
        </w:rPr>
      </w:pPr>
    </w:p>
    <w:p w:rsidR="004F753A" w:rsidRDefault="004F753A" w:rsidP="00EC2934">
      <w:pPr>
        <w:spacing w:after="4" w:line="276" w:lineRule="auto"/>
        <w:ind w:firstLine="708"/>
        <w:jc w:val="both"/>
        <w:rPr>
          <w:bCs/>
        </w:rPr>
      </w:pPr>
    </w:p>
    <w:p w:rsidR="004F753A" w:rsidRDefault="004F753A" w:rsidP="00EC2934">
      <w:pPr>
        <w:spacing w:after="4" w:line="276" w:lineRule="auto"/>
        <w:ind w:firstLine="708"/>
        <w:jc w:val="both"/>
        <w:rPr>
          <w:bCs/>
        </w:rPr>
      </w:pPr>
    </w:p>
    <w:p w:rsidR="008751C1" w:rsidRDefault="008751C1" w:rsidP="008751C1">
      <w:pPr>
        <w:rPr>
          <w:bCs/>
        </w:rPr>
      </w:pPr>
    </w:p>
    <w:p w:rsidR="00D97699" w:rsidRPr="00612E08" w:rsidRDefault="00D97699" w:rsidP="008751C1">
      <w:pPr>
        <w:jc w:val="center"/>
        <w:rPr>
          <w:b/>
          <w:sz w:val="28"/>
          <w:szCs w:val="28"/>
          <w:lang w:eastAsia="sk-SK"/>
        </w:rPr>
      </w:pPr>
      <w:r w:rsidRPr="00612E08">
        <w:rPr>
          <w:b/>
          <w:sz w:val="28"/>
          <w:szCs w:val="28"/>
          <w:lang w:eastAsia="sk-SK"/>
        </w:rPr>
        <w:lastRenderedPageBreak/>
        <w:t>Doložka vybraných vplyvov</w:t>
      </w:r>
    </w:p>
    <w:p w:rsidR="00D97699" w:rsidRPr="00612E08" w:rsidRDefault="00D97699" w:rsidP="00D97699">
      <w:pPr>
        <w:jc w:val="center"/>
        <w:rPr>
          <w:b/>
          <w:sz w:val="28"/>
          <w:szCs w:val="28"/>
          <w:lang w:eastAsia="sk-SK"/>
        </w:rPr>
      </w:pPr>
    </w:p>
    <w:p w:rsidR="00D97699" w:rsidRPr="00612E08" w:rsidRDefault="00D97699" w:rsidP="00D97699">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D97699" w:rsidRPr="00612E08" w:rsidTr="00804B88">
        <w:tc>
          <w:tcPr>
            <w:tcW w:w="9180" w:type="dxa"/>
            <w:gridSpan w:val="11"/>
            <w:tcBorders>
              <w:bottom w:val="single" w:sz="4" w:space="0" w:color="FFFFFF"/>
            </w:tcBorders>
            <w:shd w:val="clear" w:color="auto" w:fill="E2E2E2"/>
          </w:tcPr>
          <w:p w:rsidR="00D97699" w:rsidRPr="00612E08" w:rsidRDefault="00D97699" w:rsidP="00D97699">
            <w:pPr>
              <w:numPr>
                <w:ilvl w:val="0"/>
                <w:numId w:val="2"/>
              </w:numPr>
              <w:ind w:left="426"/>
              <w:contextualSpacing/>
              <w:rPr>
                <w:rFonts w:eastAsia="Calibri"/>
                <w:b/>
              </w:rPr>
            </w:pPr>
            <w:r w:rsidRPr="00612E08">
              <w:rPr>
                <w:rFonts w:eastAsia="Calibri"/>
                <w:b/>
              </w:rPr>
              <w:t>Základné údaje</w:t>
            </w:r>
          </w:p>
        </w:tc>
      </w:tr>
      <w:tr w:rsidR="00D97699" w:rsidRPr="00612E08" w:rsidTr="00804B88">
        <w:tc>
          <w:tcPr>
            <w:tcW w:w="9180" w:type="dxa"/>
            <w:gridSpan w:val="11"/>
            <w:tcBorders>
              <w:bottom w:val="single" w:sz="4" w:space="0" w:color="FFFFFF"/>
            </w:tcBorders>
            <w:shd w:val="clear" w:color="auto" w:fill="E2E2E2"/>
          </w:tcPr>
          <w:p w:rsidR="00D97699" w:rsidRPr="00612E08" w:rsidRDefault="00D97699" w:rsidP="00804B88">
            <w:pPr>
              <w:spacing w:after="200" w:line="276" w:lineRule="auto"/>
              <w:ind w:left="142"/>
              <w:contextualSpacing/>
              <w:rPr>
                <w:rFonts w:eastAsia="Calibri"/>
                <w:b/>
              </w:rPr>
            </w:pPr>
            <w:r w:rsidRPr="00612E08">
              <w:rPr>
                <w:rFonts w:eastAsia="Calibri"/>
                <w:b/>
              </w:rPr>
              <w:t>Názov materiálu</w:t>
            </w:r>
          </w:p>
        </w:tc>
      </w:tr>
      <w:tr w:rsidR="00D97699" w:rsidRPr="008751C1" w:rsidTr="00804B88">
        <w:tc>
          <w:tcPr>
            <w:tcW w:w="9180" w:type="dxa"/>
            <w:gridSpan w:val="11"/>
            <w:tcBorders>
              <w:top w:val="single" w:sz="4" w:space="0" w:color="FFFFFF"/>
              <w:bottom w:val="single" w:sz="4" w:space="0" w:color="auto"/>
            </w:tcBorders>
          </w:tcPr>
          <w:p w:rsidR="00D97699" w:rsidRPr="008751C1" w:rsidRDefault="00D97699" w:rsidP="00804B88">
            <w:pPr>
              <w:jc w:val="both"/>
              <w:rPr>
                <w:rFonts w:ascii="Times" w:hAnsi="Times" w:cs="Times"/>
                <w:sz w:val="20"/>
                <w:szCs w:val="20"/>
              </w:rPr>
            </w:pPr>
            <w:r w:rsidRPr="008751C1">
              <w:rPr>
                <w:rFonts w:ascii="Times" w:hAnsi="Times" w:cs="Times"/>
                <w:sz w:val="20"/>
                <w:szCs w:val="20"/>
              </w:rPr>
              <w:t xml:space="preserve">Návrh zákona, ktorým sa mení zákon č. 325/2022 Z. z., ktorým sa mení a dopĺňa zákon č. 305/2013 Z. z. o elektronickej podobe výkonu pôsobnosti orgánov verejnej moci a o zmene </w:t>
            </w:r>
            <w:r w:rsidRPr="008751C1">
              <w:rPr>
                <w:rFonts w:ascii="Times" w:hAnsi="Times" w:cs="Times"/>
                <w:sz w:val="20"/>
                <w:szCs w:val="20"/>
              </w:rPr>
              <w:br/>
              <w:t xml:space="preserve">a doplnení niektorých zákonov (zákon o e-Governmente) v znení neskorších predpisov a ktorým sa menia </w:t>
            </w:r>
            <w:r w:rsidRPr="008751C1">
              <w:rPr>
                <w:rFonts w:ascii="Times" w:hAnsi="Times" w:cs="Times"/>
                <w:sz w:val="20"/>
                <w:szCs w:val="20"/>
              </w:rPr>
              <w:br/>
              <w:t>a dopĺňajú niektoré zákony v znení zákona č. 301/2023 Z. z.</w:t>
            </w:r>
          </w:p>
          <w:p w:rsidR="00D97699" w:rsidRPr="008751C1" w:rsidRDefault="00D97699" w:rsidP="00804B88">
            <w:pPr>
              <w:jc w:val="both"/>
              <w:rPr>
                <w:sz w:val="20"/>
                <w:szCs w:val="20"/>
                <w:lang w:eastAsia="sk-SK"/>
              </w:rPr>
            </w:pPr>
          </w:p>
        </w:tc>
      </w:tr>
      <w:tr w:rsidR="00D97699" w:rsidRPr="008751C1" w:rsidTr="00804B88">
        <w:tc>
          <w:tcPr>
            <w:tcW w:w="9180" w:type="dxa"/>
            <w:gridSpan w:val="11"/>
            <w:tcBorders>
              <w:top w:val="single" w:sz="4" w:space="0" w:color="auto"/>
              <w:left w:val="single" w:sz="4" w:space="0" w:color="auto"/>
              <w:bottom w:val="single" w:sz="4" w:space="0" w:color="FFFFFF"/>
            </w:tcBorders>
            <w:shd w:val="clear" w:color="auto" w:fill="E2E2E2"/>
          </w:tcPr>
          <w:p w:rsidR="00D97699" w:rsidRPr="008751C1" w:rsidRDefault="00D97699" w:rsidP="00804B88">
            <w:pPr>
              <w:spacing w:after="200" w:line="276" w:lineRule="auto"/>
              <w:ind w:left="142"/>
              <w:contextualSpacing/>
              <w:rPr>
                <w:rFonts w:eastAsia="Calibri"/>
                <w:b/>
                <w:sz w:val="20"/>
                <w:szCs w:val="20"/>
              </w:rPr>
            </w:pPr>
            <w:r w:rsidRPr="008751C1">
              <w:rPr>
                <w:rFonts w:eastAsia="Calibri"/>
                <w:b/>
                <w:sz w:val="20"/>
                <w:szCs w:val="20"/>
              </w:rPr>
              <w:t>Predkladateľ (a spolupredkladateľ)</w:t>
            </w:r>
          </w:p>
        </w:tc>
      </w:tr>
      <w:tr w:rsidR="00D97699" w:rsidRPr="008751C1" w:rsidTr="00804B88">
        <w:tc>
          <w:tcPr>
            <w:tcW w:w="9180" w:type="dxa"/>
            <w:gridSpan w:val="11"/>
            <w:tcBorders>
              <w:top w:val="single" w:sz="4" w:space="0" w:color="FFFFFF"/>
              <w:left w:val="single" w:sz="4" w:space="0" w:color="auto"/>
              <w:bottom w:val="single" w:sz="4" w:space="0" w:color="auto"/>
            </w:tcBorders>
            <w:shd w:val="clear" w:color="auto" w:fill="FFFFFF"/>
          </w:tcPr>
          <w:p w:rsidR="00D97699" w:rsidRPr="008751C1" w:rsidRDefault="00D97699" w:rsidP="00804B88">
            <w:pPr>
              <w:rPr>
                <w:i/>
                <w:sz w:val="20"/>
                <w:szCs w:val="20"/>
                <w:lang w:eastAsia="sk-SK"/>
              </w:rPr>
            </w:pPr>
            <w:r w:rsidRPr="008751C1">
              <w:rPr>
                <w:rFonts w:ascii="Times" w:hAnsi="Times" w:cs="Times"/>
                <w:i/>
                <w:sz w:val="20"/>
                <w:szCs w:val="20"/>
              </w:rPr>
              <w:t>Ministerstvo investícií, regionálneho rozvoja a informatizácie Slovenskej republiky</w:t>
            </w:r>
          </w:p>
        </w:tc>
      </w:tr>
      <w:tr w:rsidR="00D97699" w:rsidRPr="008751C1" w:rsidTr="00804B88">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D97699" w:rsidRPr="008751C1" w:rsidRDefault="00D97699" w:rsidP="00804B88">
            <w:pPr>
              <w:spacing w:after="200" w:line="276" w:lineRule="auto"/>
              <w:ind w:left="142"/>
              <w:contextualSpacing/>
              <w:rPr>
                <w:rFonts w:eastAsia="Calibri"/>
                <w:b/>
                <w:sz w:val="20"/>
                <w:szCs w:val="20"/>
              </w:rPr>
            </w:pPr>
            <w:r w:rsidRPr="008751C1">
              <w:rPr>
                <w:rFonts w:eastAsia="Calibri"/>
                <w:b/>
                <w:sz w:val="20"/>
                <w:szCs w:val="20"/>
              </w:rPr>
              <w:t>Charakter predkladaného materiálu</w:t>
            </w:r>
          </w:p>
        </w:tc>
        <w:sdt>
          <w:sdtPr>
            <w:rPr>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D97699" w:rsidRPr="008751C1" w:rsidRDefault="00D97699" w:rsidP="00804B88">
                <w:pPr>
                  <w:jc w:val="center"/>
                  <w:rPr>
                    <w:sz w:val="20"/>
                    <w:szCs w:val="20"/>
                    <w:lang w:eastAsia="sk-SK"/>
                  </w:rPr>
                </w:pPr>
                <w:r w:rsidRPr="008751C1">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D97699" w:rsidRPr="008751C1" w:rsidRDefault="00D97699" w:rsidP="00804B88">
            <w:pPr>
              <w:rPr>
                <w:sz w:val="20"/>
                <w:szCs w:val="20"/>
                <w:lang w:eastAsia="sk-SK"/>
              </w:rPr>
            </w:pPr>
            <w:r w:rsidRPr="008751C1">
              <w:rPr>
                <w:sz w:val="20"/>
                <w:szCs w:val="20"/>
                <w:lang w:eastAsia="sk-SK"/>
              </w:rPr>
              <w:t>Materiál nelegislatívnej povahy</w:t>
            </w:r>
          </w:p>
        </w:tc>
      </w:tr>
      <w:tr w:rsidR="00D97699" w:rsidRPr="008751C1" w:rsidTr="00804B88">
        <w:tc>
          <w:tcPr>
            <w:tcW w:w="4212" w:type="dxa"/>
            <w:gridSpan w:val="2"/>
            <w:vMerge/>
            <w:tcBorders>
              <w:top w:val="nil"/>
              <w:left w:val="single" w:sz="4" w:space="0" w:color="auto"/>
              <w:bottom w:val="single" w:sz="4" w:space="0" w:color="FFFFFF"/>
            </w:tcBorders>
            <w:shd w:val="clear" w:color="auto" w:fill="E2E2E2"/>
          </w:tcPr>
          <w:p w:rsidR="00D97699" w:rsidRPr="008751C1" w:rsidRDefault="00D97699" w:rsidP="00804B88">
            <w:pPr>
              <w:rPr>
                <w:sz w:val="20"/>
                <w:szCs w:val="20"/>
                <w:lang w:eastAsia="sk-SK"/>
              </w:rPr>
            </w:pPr>
          </w:p>
        </w:tc>
        <w:sdt>
          <w:sdtPr>
            <w:rPr>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D97699" w:rsidRPr="008751C1" w:rsidRDefault="00D97699" w:rsidP="00804B88">
                <w:pPr>
                  <w:jc w:val="center"/>
                  <w:rPr>
                    <w:sz w:val="20"/>
                    <w:szCs w:val="20"/>
                    <w:lang w:eastAsia="sk-SK"/>
                  </w:rPr>
                </w:pPr>
                <w:r w:rsidRPr="008751C1">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D97699" w:rsidRPr="008751C1" w:rsidRDefault="00D97699" w:rsidP="00804B88">
            <w:pPr>
              <w:ind w:left="175" w:hanging="175"/>
              <w:rPr>
                <w:sz w:val="20"/>
                <w:szCs w:val="20"/>
                <w:lang w:eastAsia="sk-SK"/>
              </w:rPr>
            </w:pPr>
            <w:r w:rsidRPr="008751C1">
              <w:rPr>
                <w:sz w:val="20"/>
                <w:szCs w:val="20"/>
                <w:lang w:eastAsia="sk-SK"/>
              </w:rPr>
              <w:t>Materiál legislatívnej povahy</w:t>
            </w:r>
          </w:p>
        </w:tc>
      </w:tr>
      <w:tr w:rsidR="00D97699" w:rsidRPr="008751C1" w:rsidTr="00804B88">
        <w:tc>
          <w:tcPr>
            <w:tcW w:w="4212" w:type="dxa"/>
            <w:gridSpan w:val="2"/>
            <w:vMerge/>
            <w:tcBorders>
              <w:top w:val="nil"/>
              <w:left w:val="single" w:sz="4" w:space="0" w:color="auto"/>
              <w:bottom w:val="single" w:sz="4" w:space="0" w:color="auto"/>
            </w:tcBorders>
            <w:shd w:val="clear" w:color="auto" w:fill="E2E2E2"/>
          </w:tcPr>
          <w:p w:rsidR="00D97699" w:rsidRPr="008751C1" w:rsidRDefault="00D97699" w:rsidP="00804B88">
            <w:pPr>
              <w:rPr>
                <w:sz w:val="20"/>
                <w:szCs w:val="20"/>
                <w:lang w:eastAsia="sk-SK"/>
              </w:rPr>
            </w:pPr>
          </w:p>
        </w:tc>
        <w:sdt>
          <w:sdtPr>
            <w:rPr>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D97699" w:rsidRPr="008751C1" w:rsidRDefault="00D97699" w:rsidP="00804B88">
                <w:pPr>
                  <w:jc w:val="center"/>
                  <w:rPr>
                    <w:sz w:val="20"/>
                    <w:szCs w:val="20"/>
                    <w:lang w:eastAsia="sk-SK"/>
                  </w:rPr>
                </w:pPr>
                <w:r w:rsidRPr="008751C1">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D97699" w:rsidRPr="008751C1" w:rsidRDefault="00D97699" w:rsidP="00804B88">
            <w:pPr>
              <w:rPr>
                <w:sz w:val="20"/>
                <w:szCs w:val="20"/>
                <w:lang w:eastAsia="sk-SK"/>
              </w:rPr>
            </w:pPr>
            <w:r w:rsidRPr="008751C1">
              <w:rPr>
                <w:sz w:val="20"/>
                <w:szCs w:val="20"/>
                <w:lang w:eastAsia="sk-SK"/>
              </w:rPr>
              <w:t>Transpozícia/ implementácia práva EÚ</w:t>
            </w:r>
          </w:p>
        </w:tc>
      </w:tr>
      <w:tr w:rsidR="00D97699" w:rsidRPr="008751C1" w:rsidTr="00804B88">
        <w:tc>
          <w:tcPr>
            <w:tcW w:w="9180" w:type="dxa"/>
            <w:gridSpan w:val="11"/>
            <w:tcBorders>
              <w:top w:val="single" w:sz="4" w:space="0" w:color="auto"/>
              <w:left w:val="single" w:sz="4" w:space="0" w:color="auto"/>
              <w:bottom w:val="single" w:sz="4" w:space="0" w:color="FFFFFF"/>
            </w:tcBorders>
            <w:shd w:val="clear" w:color="auto" w:fill="FFFFFF"/>
          </w:tcPr>
          <w:p w:rsidR="00D97699" w:rsidRPr="008751C1" w:rsidRDefault="00D97699" w:rsidP="00804B88">
            <w:pPr>
              <w:rPr>
                <w:i/>
                <w:sz w:val="20"/>
                <w:szCs w:val="20"/>
                <w:lang w:eastAsia="sk-SK"/>
              </w:rPr>
            </w:pPr>
            <w:r w:rsidRPr="008751C1">
              <w:rPr>
                <w:i/>
                <w:sz w:val="20"/>
                <w:szCs w:val="20"/>
                <w:lang w:eastAsia="sk-SK"/>
              </w:rPr>
              <w:t>V prípade transpozície/implementácie uveďte zoznam transponovaných/implementovaných predpisov:</w:t>
            </w:r>
          </w:p>
          <w:p w:rsidR="00D97699" w:rsidRPr="008751C1" w:rsidRDefault="00D97699" w:rsidP="00804B88">
            <w:pPr>
              <w:rPr>
                <w:sz w:val="20"/>
                <w:szCs w:val="20"/>
                <w:lang w:eastAsia="sk-SK"/>
              </w:rPr>
            </w:pPr>
          </w:p>
        </w:tc>
      </w:tr>
      <w:tr w:rsidR="00D97699" w:rsidRPr="008751C1" w:rsidTr="00804B88">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D97699" w:rsidRPr="008751C1" w:rsidRDefault="00D97699" w:rsidP="00804B88">
            <w:pPr>
              <w:spacing w:after="200" w:line="276" w:lineRule="auto"/>
              <w:ind w:left="142"/>
              <w:contextualSpacing/>
              <w:rPr>
                <w:rFonts w:eastAsia="Calibri"/>
                <w:b/>
                <w:sz w:val="20"/>
                <w:szCs w:val="20"/>
              </w:rPr>
            </w:pPr>
            <w:r w:rsidRPr="008751C1">
              <w:rPr>
                <w:rFonts w:eastAsia="Calibri"/>
                <w:b/>
                <w:sz w:val="20"/>
                <w:szCs w:val="20"/>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D97699" w:rsidRPr="008751C1" w:rsidRDefault="00D97699" w:rsidP="00804B88">
            <w:pPr>
              <w:rPr>
                <w:i/>
                <w:sz w:val="20"/>
                <w:szCs w:val="20"/>
                <w:lang w:eastAsia="sk-SK"/>
              </w:rPr>
            </w:pPr>
          </w:p>
        </w:tc>
      </w:tr>
      <w:tr w:rsidR="00D97699" w:rsidRPr="008751C1" w:rsidTr="00804B8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D97699" w:rsidRPr="008751C1" w:rsidRDefault="00D97699" w:rsidP="00804B88">
            <w:pPr>
              <w:spacing w:after="200" w:line="276" w:lineRule="auto"/>
              <w:ind w:left="142"/>
              <w:contextualSpacing/>
              <w:rPr>
                <w:rFonts w:eastAsia="Calibri"/>
                <w:b/>
                <w:sz w:val="20"/>
                <w:szCs w:val="20"/>
              </w:rPr>
            </w:pPr>
            <w:r w:rsidRPr="008751C1">
              <w:rPr>
                <w:rFonts w:eastAsia="Calibri"/>
                <w:b/>
                <w:sz w:val="20"/>
                <w:szCs w:val="20"/>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D97699" w:rsidRPr="008751C1" w:rsidRDefault="00D97699" w:rsidP="00804B88">
            <w:pPr>
              <w:rPr>
                <w:i/>
                <w:sz w:val="20"/>
                <w:szCs w:val="20"/>
                <w:lang w:eastAsia="sk-SK"/>
              </w:rPr>
            </w:pPr>
            <w:r w:rsidRPr="008751C1">
              <w:rPr>
                <w:i/>
                <w:sz w:val="20"/>
                <w:szCs w:val="20"/>
                <w:lang w:eastAsia="sk-SK"/>
              </w:rPr>
              <w:t>apríl 2024</w:t>
            </w:r>
          </w:p>
        </w:tc>
      </w:tr>
      <w:tr w:rsidR="00D97699" w:rsidRPr="008751C1" w:rsidTr="00804B88">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D97699" w:rsidRPr="008751C1" w:rsidRDefault="00D97699" w:rsidP="00804B88">
            <w:pPr>
              <w:spacing w:line="276" w:lineRule="auto"/>
              <w:ind w:left="142"/>
              <w:contextualSpacing/>
              <w:rPr>
                <w:rFonts w:ascii="Calibri" w:eastAsia="Calibri" w:hAnsi="Calibri"/>
                <w:b/>
                <w:sz w:val="20"/>
                <w:szCs w:val="20"/>
              </w:rPr>
            </w:pPr>
            <w:r w:rsidRPr="008751C1">
              <w:rPr>
                <w:rFonts w:eastAsia="Calibri"/>
                <w:b/>
                <w:sz w:val="20"/>
                <w:szCs w:val="20"/>
              </w:rPr>
              <w:t>Predpokladaný termín začiatku a ukončenia ZP**</w:t>
            </w:r>
            <w:r w:rsidRPr="008751C1">
              <w:rPr>
                <w:rFonts w:ascii="Calibri" w:eastAsia="Calibri" w:hAnsi="Calibri"/>
                <w:b/>
                <w:sz w:val="20"/>
                <w:szCs w:val="20"/>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D97699" w:rsidRPr="008751C1" w:rsidRDefault="00D97699" w:rsidP="00804B88">
            <w:pPr>
              <w:rPr>
                <w:i/>
                <w:sz w:val="20"/>
                <w:szCs w:val="20"/>
                <w:lang w:eastAsia="sk-SK"/>
              </w:rPr>
            </w:pPr>
          </w:p>
        </w:tc>
      </w:tr>
      <w:tr w:rsidR="00D97699" w:rsidRPr="008751C1" w:rsidTr="00804B8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D97699" w:rsidRPr="008751C1" w:rsidRDefault="00D97699" w:rsidP="00804B88">
            <w:pPr>
              <w:spacing w:after="200" w:line="276" w:lineRule="auto"/>
              <w:ind w:left="142"/>
              <w:contextualSpacing/>
              <w:jc w:val="both"/>
              <w:rPr>
                <w:rFonts w:eastAsia="Calibri"/>
                <w:b/>
                <w:sz w:val="20"/>
                <w:szCs w:val="20"/>
              </w:rPr>
            </w:pPr>
            <w:r w:rsidRPr="008751C1">
              <w:rPr>
                <w:rFonts w:eastAsia="Calibri"/>
                <w:b/>
                <w:sz w:val="20"/>
                <w:szCs w:val="20"/>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D97699" w:rsidRPr="008751C1" w:rsidRDefault="00D97699" w:rsidP="00804B88">
            <w:pPr>
              <w:rPr>
                <w:i/>
                <w:sz w:val="20"/>
                <w:szCs w:val="20"/>
                <w:lang w:eastAsia="sk-SK"/>
              </w:rPr>
            </w:pPr>
            <w:r w:rsidRPr="008751C1">
              <w:rPr>
                <w:i/>
                <w:sz w:val="20"/>
                <w:szCs w:val="20"/>
                <w:lang w:eastAsia="sk-SK"/>
              </w:rPr>
              <w:t>máj 2024</w:t>
            </w:r>
          </w:p>
        </w:tc>
      </w:tr>
      <w:tr w:rsidR="00D97699" w:rsidRPr="008751C1" w:rsidTr="00804B88">
        <w:tc>
          <w:tcPr>
            <w:tcW w:w="9180" w:type="dxa"/>
            <w:gridSpan w:val="11"/>
            <w:tcBorders>
              <w:top w:val="single" w:sz="4" w:space="0" w:color="auto"/>
              <w:left w:val="nil"/>
              <w:bottom w:val="single" w:sz="4" w:space="0" w:color="auto"/>
              <w:right w:val="nil"/>
            </w:tcBorders>
            <w:shd w:val="clear" w:color="auto" w:fill="FFFFFF"/>
          </w:tcPr>
          <w:p w:rsidR="00D97699" w:rsidRPr="008751C1" w:rsidRDefault="00D97699" w:rsidP="00804B88">
            <w:pPr>
              <w:rPr>
                <w:sz w:val="20"/>
                <w:szCs w:val="20"/>
                <w:lang w:eastAsia="sk-SK"/>
              </w:rPr>
            </w:pPr>
          </w:p>
        </w:tc>
      </w:tr>
      <w:tr w:rsidR="00D97699" w:rsidRPr="008751C1" w:rsidTr="00804B8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D97699" w:rsidRPr="008751C1" w:rsidRDefault="00D97699" w:rsidP="00D97699">
            <w:pPr>
              <w:numPr>
                <w:ilvl w:val="0"/>
                <w:numId w:val="2"/>
              </w:numPr>
              <w:ind w:left="426"/>
              <w:contextualSpacing/>
              <w:rPr>
                <w:rFonts w:eastAsia="Calibri"/>
                <w:b/>
                <w:sz w:val="20"/>
                <w:szCs w:val="20"/>
              </w:rPr>
            </w:pPr>
            <w:r w:rsidRPr="008751C1">
              <w:rPr>
                <w:rFonts w:eastAsia="Calibri"/>
                <w:b/>
                <w:sz w:val="20"/>
                <w:szCs w:val="20"/>
              </w:rPr>
              <w:t>Definovanie problému</w:t>
            </w:r>
          </w:p>
        </w:tc>
      </w:tr>
      <w:tr w:rsidR="00D97699" w:rsidRPr="008751C1" w:rsidTr="00804B88">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D97699" w:rsidRPr="008751C1" w:rsidRDefault="00D97699" w:rsidP="00804B88">
            <w:pPr>
              <w:jc w:val="both"/>
              <w:rPr>
                <w:sz w:val="20"/>
                <w:szCs w:val="20"/>
              </w:rPr>
            </w:pPr>
            <w:r w:rsidRPr="008751C1">
              <w:rPr>
                <w:sz w:val="20"/>
                <w:szCs w:val="20"/>
              </w:rPr>
              <w:t xml:space="preserve">Zákonom č. 325/2022 Z. z., ktorým sa mení a dopĺňa zákon č. 305/2013 Z. z. o elektronickej podobe výkonu pôsobnosti orgánov verejnej moci a o zmene a doplnení niektorých zákonov (zákon o e-Governmente) v znení neskorších predpisov a ktorým sa menia a dopĺňajú niektoré zákony v znení zákona č. 301/2023 Z. z. (ďalej len „zákon č. 325/2022 Z. z.“), boli schválené zmeny v oblasti zaručenej konverzie za účelom zjednodušiť výkon zaručenej konverzie pre osoby, ktoré zaručenú konverziu vykonávajú, a ktorých výsledkom má byť posilnenie dôveryhodnosti výstupov zo zaručenej konverzie. Tieto zmeny si vyžadujú úpravu aktuálneho technického riešenia centrálnej evidencie záznamov o vykonanej zaručenej konverzie, ktorej správcom je Ministerstvo investícií, regionálneho rozvoja a informatizácie Slovenskej republiky. </w:t>
            </w:r>
          </w:p>
          <w:p w:rsidR="00D97699" w:rsidRPr="008751C1" w:rsidRDefault="00D97699" w:rsidP="00804B88">
            <w:pPr>
              <w:jc w:val="both"/>
              <w:rPr>
                <w:b/>
                <w:sz w:val="20"/>
                <w:szCs w:val="20"/>
                <w:lang w:eastAsia="sk-SK"/>
              </w:rPr>
            </w:pPr>
            <w:r w:rsidRPr="008751C1">
              <w:rPr>
                <w:sz w:val="20"/>
                <w:szCs w:val="20"/>
              </w:rPr>
              <w:t>Vzhľadom na aktuálny stav projektu, ktorým sa má zabezpečiť obstaranie nového komplexného technického riešenia, vrátane zabezpečenia jeho zmluvnej podpory a ďalšieho rozvoja sa navrhuje posunúť účinnosť schválených zmien o dva roky, tzn. na 1. októbra 2026. Posunutie účinnosti sa navrhuje taktiež z dôvodu zabezpečenia postupného a kontinuálneho nábehu všetkých oprávnených osôb na nový systém centrálnej evidencie záznamov o vykonanej zaručenej konverzie.</w:t>
            </w:r>
          </w:p>
        </w:tc>
      </w:tr>
      <w:tr w:rsidR="00D97699" w:rsidRPr="008751C1" w:rsidTr="00804B88">
        <w:tc>
          <w:tcPr>
            <w:tcW w:w="9180" w:type="dxa"/>
            <w:gridSpan w:val="11"/>
            <w:tcBorders>
              <w:top w:val="single" w:sz="4" w:space="0" w:color="auto"/>
              <w:left w:val="single" w:sz="4" w:space="0" w:color="auto"/>
              <w:bottom w:val="nil"/>
              <w:right w:val="single" w:sz="4" w:space="0" w:color="auto"/>
            </w:tcBorders>
            <w:shd w:val="clear" w:color="auto" w:fill="E2E2E2"/>
          </w:tcPr>
          <w:p w:rsidR="00D97699" w:rsidRPr="008751C1" w:rsidRDefault="00D97699" w:rsidP="00D97699">
            <w:pPr>
              <w:numPr>
                <w:ilvl w:val="0"/>
                <w:numId w:val="2"/>
              </w:numPr>
              <w:ind w:left="426"/>
              <w:contextualSpacing/>
              <w:rPr>
                <w:rFonts w:eastAsia="Calibri"/>
                <w:b/>
                <w:sz w:val="20"/>
                <w:szCs w:val="20"/>
              </w:rPr>
            </w:pPr>
            <w:r w:rsidRPr="008751C1">
              <w:rPr>
                <w:rFonts w:eastAsia="Calibri"/>
                <w:b/>
                <w:sz w:val="20"/>
                <w:szCs w:val="20"/>
              </w:rPr>
              <w:t>Ciele a výsledný stav</w:t>
            </w:r>
          </w:p>
        </w:tc>
      </w:tr>
      <w:tr w:rsidR="00D97699" w:rsidRPr="008751C1" w:rsidTr="00804B88">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D97699" w:rsidRPr="008751C1" w:rsidRDefault="00D97699" w:rsidP="00804B88">
            <w:pPr>
              <w:rPr>
                <w:sz w:val="20"/>
                <w:szCs w:val="20"/>
                <w:lang w:eastAsia="sk-SK"/>
              </w:rPr>
            </w:pPr>
            <w:r w:rsidRPr="008751C1">
              <w:rPr>
                <w:bCs/>
                <w:sz w:val="20"/>
                <w:szCs w:val="20"/>
              </w:rPr>
              <w:t>Výhradným a jediným cieľom pripravovaného návrhu je posun účinnosti ustanovení o zmenách v zaručenej konverzii zavedených zákonom č. 325/2022 Z. z. s účinnosťou od 1. októbra 2024.</w:t>
            </w:r>
          </w:p>
        </w:tc>
      </w:tr>
      <w:tr w:rsidR="00D97699" w:rsidRPr="008751C1" w:rsidTr="00804B88">
        <w:tc>
          <w:tcPr>
            <w:tcW w:w="9180" w:type="dxa"/>
            <w:gridSpan w:val="11"/>
            <w:tcBorders>
              <w:top w:val="single" w:sz="4" w:space="0" w:color="auto"/>
              <w:left w:val="single" w:sz="4" w:space="0" w:color="auto"/>
              <w:bottom w:val="nil"/>
              <w:right w:val="single" w:sz="4" w:space="0" w:color="auto"/>
            </w:tcBorders>
            <w:shd w:val="clear" w:color="auto" w:fill="E2E2E2"/>
          </w:tcPr>
          <w:p w:rsidR="00D97699" w:rsidRPr="008751C1" w:rsidRDefault="00D97699" w:rsidP="00D97699">
            <w:pPr>
              <w:numPr>
                <w:ilvl w:val="0"/>
                <w:numId w:val="2"/>
              </w:numPr>
              <w:ind w:left="426"/>
              <w:contextualSpacing/>
              <w:rPr>
                <w:rFonts w:eastAsia="Calibri"/>
                <w:b/>
                <w:sz w:val="20"/>
                <w:szCs w:val="20"/>
              </w:rPr>
            </w:pPr>
            <w:r w:rsidRPr="008751C1">
              <w:rPr>
                <w:rFonts w:eastAsia="Calibri"/>
                <w:b/>
                <w:sz w:val="20"/>
                <w:szCs w:val="20"/>
              </w:rPr>
              <w:t>Dotknuté subjekty</w:t>
            </w:r>
          </w:p>
        </w:tc>
      </w:tr>
      <w:tr w:rsidR="00D97699" w:rsidRPr="008751C1" w:rsidTr="00804B88">
        <w:tc>
          <w:tcPr>
            <w:tcW w:w="9180" w:type="dxa"/>
            <w:gridSpan w:val="11"/>
            <w:tcBorders>
              <w:top w:val="nil"/>
              <w:left w:val="single" w:sz="4" w:space="0" w:color="auto"/>
              <w:bottom w:val="single" w:sz="4" w:space="0" w:color="auto"/>
              <w:right w:val="single" w:sz="4" w:space="0" w:color="auto"/>
            </w:tcBorders>
            <w:shd w:val="clear" w:color="auto" w:fill="FFFFFF"/>
          </w:tcPr>
          <w:p w:rsidR="00D97699" w:rsidRPr="008751C1" w:rsidRDefault="00D97699" w:rsidP="00D97699">
            <w:pPr>
              <w:pStyle w:val="Odsekzoznamu"/>
              <w:numPr>
                <w:ilvl w:val="0"/>
                <w:numId w:val="3"/>
              </w:numPr>
              <w:jc w:val="both"/>
              <w:rPr>
                <w:i/>
                <w:sz w:val="20"/>
                <w:szCs w:val="20"/>
              </w:rPr>
            </w:pPr>
            <w:r w:rsidRPr="008751C1">
              <w:rPr>
                <w:i/>
                <w:sz w:val="20"/>
                <w:szCs w:val="20"/>
              </w:rPr>
              <w:t>Fyzické osoby;</w:t>
            </w:r>
          </w:p>
          <w:p w:rsidR="00D97699" w:rsidRPr="008751C1" w:rsidRDefault="00D97699" w:rsidP="00D97699">
            <w:pPr>
              <w:pStyle w:val="Odsekzoznamu"/>
              <w:numPr>
                <w:ilvl w:val="0"/>
                <w:numId w:val="3"/>
              </w:numPr>
              <w:spacing w:before="120"/>
              <w:jc w:val="both"/>
              <w:rPr>
                <w:i/>
                <w:sz w:val="20"/>
                <w:szCs w:val="20"/>
              </w:rPr>
            </w:pPr>
            <w:r w:rsidRPr="008751C1">
              <w:rPr>
                <w:i/>
                <w:sz w:val="20"/>
                <w:szCs w:val="20"/>
              </w:rPr>
              <w:t>Fyzické osoby – podnikatelia;</w:t>
            </w:r>
          </w:p>
          <w:p w:rsidR="00D97699" w:rsidRPr="008751C1" w:rsidRDefault="00D97699" w:rsidP="00D97699">
            <w:pPr>
              <w:pStyle w:val="Odsekzoznamu"/>
              <w:numPr>
                <w:ilvl w:val="0"/>
                <w:numId w:val="3"/>
              </w:numPr>
              <w:rPr>
                <w:i/>
                <w:sz w:val="20"/>
                <w:szCs w:val="20"/>
              </w:rPr>
            </w:pPr>
            <w:r w:rsidRPr="008751C1">
              <w:rPr>
                <w:i/>
                <w:sz w:val="20"/>
                <w:szCs w:val="20"/>
              </w:rPr>
              <w:t>Právnické osoby;</w:t>
            </w:r>
          </w:p>
          <w:p w:rsidR="00D97699" w:rsidRPr="008751C1" w:rsidRDefault="00D97699" w:rsidP="00D97699">
            <w:pPr>
              <w:pStyle w:val="Odsekzoznamu"/>
              <w:numPr>
                <w:ilvl w:val="0"/>
                <w:numId w:val="3"/>
              </w:numPr>
              <w:rPr>
                <w:i/>
                <w:sz w:val="20"/>
                <w:szCs w:val="20"/>
                <w:lang w:eastAsia="sk-SK"/>
              </w:rPr>
            </w:pPr>
            <w:r w:rsidRPr="008751C1">
              <w:rPr>
                <w:i/>
                <w:sz w:val="20"/>
                <w:szCs w:val="20"/>
              </w:rPr>
              <w:t>Orgány verejnej moci.</w:t>
            </w:r>
            <w:r w:rsidRPr="008751C1" w:rsidDel="00191C9B">
              <w:rPr>
                <w:sz w:val="20"/>
                <w:szCs w:val="20"/>
                <w:lang w:eastAsia="sk-SK"/>
              </w:rPr>
              <w:t xml:space="preserve"> </w:t>
            </w:r>
          </w:p>
          <w:p w:rsidR="00D97699" w:rsidRPr="008751C1" w:rsidRDefault="00D97699" w:rsidP="00804B88">
            <w:pPr>
              <w:pStyle w:val="Odsekzoznamu"/>
              <w:rPr>
                <w:sz w:val="20"/>
                <w:szCs w:val="20"/>
                <w:lang w:eastAsia="sk-SK"/>
              </w:rPr>
            </w:pPr>
          </w:p>
        </w:tc>
      </w:tr>
      <w:tr w:rsidR="00D97699" w:rsidRPr="008751C1" w:rsidTr="00804B88">
        <w:tc>
          <w:tcPr>
            <w:tcW w:w="9180" w:type="dxa"/>
            <w:gridSpan w:val="11"/>
            <w:tcBorders>
              <w:top w:val="single" w:sz="4" w:space="0" w:color="auto"/>
              <w:left w:val="single" w:sz="4" w:space="0" w:color="auto"/>
              <w:bottom w:val="nil"/>
              <w:right w:val="single" w:sz="4" w:space="0" w:color="auto"/>
            </w:tcBorders>
            <w:shd w:val="clear" w:color="auto" w:fill="E2E2E2"/>
          </w:tcPr>
          <w:p w:rsidR="00D97699" w:rsidRPr="008751C1" w:rsidRDefault="00D97699" w:rsidP="00D97699">
            <w:pPr>
              <w:numPr>
                <w:ilvl w:val="0"/>
                <w:numId w:val="2"/>
              </w:numPr>
              <w:ind w:left="426"/>
              <w:contextualSpacing/>
              <w:rPr>
                <w:rFonts w:eastAsia="Calibri"/>
                <w:b/>
                <w:sz w:val="20"/>
                <w:szCs w:val="20"/>
              </w:rPr>
            </w:pPr>
            <w:r w:rsidRPr="008751C1">
              <w:rPr>
                <w:rFonts w:eastAsia="Calibri"/>
                <w:b/>
                <w:sz w:val="20"/>
                <w:szCs w:val="20"/>
              </w:rPr>
              <w:t>Alternatívne riešenia</w:t>
            </w:r>
          </w:p>
        </w:tc>
      </w:tr>
      <w:tr w:rsidR="00D97699" w:rsidRPr="008751C1" w:rsidTr="00804B88">
        <w:trPr>
          <w:trHeight w:val="718"/>
        </w:trPr>
        <w:tc>
          <w:tcPr>
            <w:tcW w:w="9180" w:type="dxa"/>
            <w:gridSpan w:val="11"/>
            <w:tcBorders>
              <w:top w:val="nil"/>
              <w:left w:val="single" w:sz="4" w:space="0" w:color="auto"/>
              <w:bottom w:val="single" w:sz="4" w:space="0" w:color="auto"/>
              <w:right w:val="single" w:sz="4" w:space="0" w:color="auto"/>
            </w:tcBorders>
            <w:shd w:val="clear" w:color="auto" w:fill="FFFFFF"/>
          </w:tcPr>
          <w:p w:rsidR="00D97699" w:rsidRPr="008751C1" w:rsidRDefault="00D97699" w:rsidP="00804B88">
            <w:pPr>
              <w:rPr>
                <w:i/>
                <w:sz w:val="20"/>
                <w:szCs w:val="20"/>
                <w:lang w:eastAsia="sk-SK"/>
              </w:rPr>
            </w:pPr>
            <w:r w:rsidRPr="008751C1">
              <w:rPr>
                <w:sz w:val="20"/>
                <w:szCs w:val="20"/>
                <w:lang w:eastAsia="sk-SK"/>
              </w:rPr>
              <w:t>Alternatívne riešenia neboli zvažované.</w:t>
            </w:r>
          </w:p>
          <w:p w:rsidR="00D97699" w:rsidRPr="008751C1" w:rsidRDefault="00D97699" w:rsidP="00804B88">
            <w:pPr>
              <w:jc w:val="both"/>
              <w:rPr>
                <w:rStyle w:val="Zstupntext"/>
                <w:rFonts w:cs="Calibri"/>
                <w:color w:val="000000"/>
                <w:sz w:val="20"/>
                <w:szCs w:val="20"/>
              </w:rPr>
            </w:pPr>
            <w:r w:rsidRPr="008751C1">
              <w:rPr>
                <w:sz w:val="20"/>
                <w:szCs w:val="20"/>
                <w:lang w:eastAsia="sk-SK"/>
              </w:rPr>
              <w:t>Nulový variant: V prípade, že sa nepristúpi k novelizácii právnej úpravy, bude vykonávanie zaručenej konverzie po 1. októbri 2024 v právnom vákuu, keďže vzhľadom na nemožnosť včasnej implementácie zmien účinných od 1. októbra 2024 nebude môcť osoba oprávnená postupovať pri vykonávaní zaručenej konverzie v súlade s ustanoveniami účinnými od 1. októbra 2024.</w:t>
            </w:r>
          </w:p>
          <w:p w:rsidR="00D97699" w:rsidRPr="008751C1" w:rsidRDefault="00D97699" w:rsidP="00804B88">
            <w:pPr>
              <w:jc w:val="both"/>
              <w:rPr>
                <w:i/>
                <w:sz w:val="20"/>
                <w:szCs w:val="20"/>
                <w:lang w:eastAsia="sk-SK"/>
              </w:rPr>
            </w:pPr>
          </w:p>
          <w:p w:rsidR="00D97699" w:rsidRPr="008751C1" w:rsidRDefault="00D97699" w:rsidP="00804B88">
            <w:pPr>
              <w:jc w:val="both"/>
              <w:rPr>
                <w:i/>
                <w:sz w:val="20"/>
                <w:szCs w:val="20"/>
                <w:lang w:eastAsia="sk-SK"/>
              </w:rPr>
            </w:pPr>
          </w:p>
        </w:tc>
      </w:tr>
      <w:tr w:rsidR="00D97699" w:rsidRPr="008751C1" w:rsidTr="00804B8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D97699" w:rsidRPr="008751C1" w:rsidRDefault="00D97699" w:rsidP="00D97699">
            <w:pPr>
              <w:numPr>
                <w:ilvl w:val="0"/>
                <w:numId w:val="2"/>
              </w:numPr>
              <w:ind w:left="426"/>
              <w:contextualSpacing/>
              <w:rPr>
                <w:rFonts w:eastAsia="Calibri"/>
                <w:b/>
                <w:sz w:val="20"/>
                <w:szCs w:val="20"/>
              </w:rPr>
            </w:pPr>
            <w:r w:rsidRPr="008751C1">
              <w:rPr>
                <w:rFonts w:eastAsia="Calibri"/>
                <w:b/>
                <w:sz w:val="20"/>
                <w:szCs w:val="20"/>
              </w:rPr>
              <w:t>Vykonávacie predpisy</w:t>
            </w:r>
          </w:p>
        </w:tc>
      </w:tr>
      <w:tr w:rsidR="00D97699" w:rsidRPr="008751C1" w:rsidTr="00804B88">
        <w:tc>
          <w:tcPr>
            <w:tcW w:w="6203" w:type="dxa"/>
            <w:gridSpan w:val="7"/>
            <w:tcBorders>
              <w:top w:val="single" w:sz="4" w:space="0" w:color="FFFFFF"/>
              <w:left w:val="single" w:sz="4" w:space="0" w:color="auto"/>
              <w:bottom w:val="nil"/>
              <w:right w:val="nil"/>
            </w:tcBorders>
            <w:shd w:val="clear" w:color="auto" w:fill="FFFFFF"/>
          </w:tcPr>
          <w:p w:rsidR="00D97699" w:rsidRPr="008751C1" w:rsidRDefault="00D97699" w:rsidP="00804B88">
            <w:pPr>
              <w:rPr>
                <w:i/>
                <w:sz w:val="20"/>
                <w:szCs w:val="20"/>
                <w:lang w:eastAsia="sk-SK"/>
              </w:rPr>
            </w:pPr>
            <w:r w:rsidRPr="008751C1">
              <w:rPr>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D97699" w:rsidRPr="008751C1" w:rsidRDefault="00DC1110" w:rsidP="00804B88">
            <w:pPr>
              <w:jc w:val="center"/>
              <w:rPr>
                <w:b/>
                <w:sz w:val="20"/>
                <w:szCs w:val="20"/>
                <w:lang w:eastAsia="sk-SK"/>
              </w:rPr>
            </w:pPr>
            <w:sdt>
              <w:sdtPr>
                <w:rPr>
                  <w:b/>
                  <w:sz w:val="20"/>
                  <w:szCs w:val="20"/>
                  <w:lang w:eastAsia="sk-SK"/>
                </w:rPr>
                <w:id w:val="1929613764"/>
                <w14:checkbox>
                  <w14:checked w14:val="0"/>
                  <w14:checkedState w14:val="2612" w14:font="MS Gothic"/>
                  <w14:uncheckedState w14:val="2610" w14:font="MS Gothic"/>
                </w14:checkbox>
              </w:sdtPr>
              <w:sdtEndPr/>
              <w:sdtContent>
                <w:r w:rsidR="00D97699" w:rsidRPr="008751C1">
                  <w:rPr>
                    <w:rFonts w:ascii="MS Gothic" w:eastAsia="MS Gothic" w:hAnsi="MS Gothic" w:hint="eastAsia"/>
                    <w:b/>
                    <w:sz w:val="20"/>
                    <w:szCs w:val="20"/>
                    <w:lang w:eastAsia="sk-SK"/>
                  </w:rPr>
                  <w:t>☐</w:t>
                </w:r>
              </w:sdtContent>
            </w:sdt>
            <w:r w:rsidR="00D97699" w:rsidRPr="008751C1">
              <w:rPr>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D97699" w:rsidRPr="008751C1" w:rsidRDefault="00DC1110" w:rsidP="00804B88">
            <w:pPr>
              <w:jc w:val="center"/>
              <w:rPr>
                <w:b/>
                <w:sz w:val="20"/>
                <w:szCs w:val="20"/>
                <w:lang w:eastAsia="sk-SK"/>
              </w:rPr>
            </w:pPr>
            <w:sdt>
              <w:sdtPr>
                <w:rPr>
                  <w:b/>
                  <w:sz w:val="20"/>
                  <w:szCs w:val="20"/>
                  <w:lang w:eastAsia="sk-SK"/>
                </w:rPr>
                <w:id w:val="-1594626508"/>
                <w14:checkbox>
                  <w14:checked w14:val="1"/>
                  <w14:checkedState w14:val="2612" w14:font="MS Gothic"/>
                  <w14:uncheckedState w14:val="2610" w14:font="MS Gothic"/>
                </w14:checkbox>
              </w:sdtPr>
              <w:sdtEndPr/>
              <w:sdtContent>
                <w:r w:rsidR="00D97699" w:rsidRPr="008751C1">
                  <w:rPr>
                    <w:rFonts w:ascii="MS Gothic" w:eastAsia="MS Gothic" w:hAnsi="MS Gothic" w:hint="eastAsia"/>
                    <w:b/>
                    <w:sz w:val="20"/>
                    <w:szCs w:val="20"/>
                    <w:lang w:eastAsia="sk-SK"/>
                  </w:rPr>
                  <w:t>☒</w:t>
                </w:r>
              </w:sdtContent>
            </w:sdt>
            <w:r w:rsidR="00D97699" w:rsidRPr="008751C1">
              <w:rPr>
                <w:b/>
                <w:sz w:val="20"/>
                <w:szCs w:val="20"/>
                <w:lang w:eastAsia="sk-SK"/>
              </w:rPr>
              <w:t xml:space="preserve">  Nie</w:t>
            </w:r>
          </w:p>
        </w:tc>
      </w:tr>
      <w:tr w:rsidR="00D97699" w:rsidRPr="008751C1" w:rsidTr="00804B88">
        <w:tc>
          <w:tcPr>
            <w:tcW w:w="9180" w:type="dxa"/>
            <w:gridSpan w:val="11"/>
            <w:tcBorders>
              <w:top w:val="nil"/>
              <w:left w:val="single" w:sz="4" w:space="0" w:color="auto"/>
              <w:bottom w:val="single" w:sz="4" w:space="0" w:color="auto"/>
              <w:right w:val="single" w:sz="4" w:space="0" w:color="auto"/>
            </w:tcBorders>
            <w:shd w:val="clear" w:color="auto" w:fill="FFFFFF"/>
          </w:tcPr>
          <w:p w:rsidR="00D97699" w:rsidRPr="008751C1" w:rsidRDefault="00D97699" w:rsidP="00804B88">
            <w:pPr>
              <w:rPr>
                <w:i/>
                <w:sz w:val="20"/>
                <w:szCs w:val="20"/>
                <w:lang w:eastAsia="sk-SK"/>
              </w:rPr>
            </w:pPr>
            <w:r w:rsidRPr="008751C1">
              <w:rPr>
                <w:i/>
                <w:sz w:val="20"/>
                <w:szCs w:val="20"/>
                <w:lang w:eastAsia="sk-SK"/>
              </w:rPr>
              <w:lastRenderedPageBreak/>
              <w:t>Ak áno, uveďte ktoré oblasti budú nimi upravené, resp. ktorých vykonávacích predpisov sa zmena dotkne:</w:t>
            </w:r>
          </w:p>
          <w:p w:rsidR="00D97699" w:rsidRPr="008751C1" w:rsidRDefault="00D97699" w:rsidP="00804B88">
            <w:pPr>
              <w:rPr>
                <w:sz w:val="20"/>
                <w:szCs w:val="20"/>
                <w:lang w:eastAsia="sk-SK"/>
              </w:rPr>
            </w:pPr>
          </w:p>
        </w:tc>
      </w:tr>
      <w:tr w:rsidR="00D97699" w:rsidRPr="008751C1" w:rsidTr="00804B8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D97699" w:rsidRPr="008751C1" w:rsidRDefault="00D97699" w:rsidP="00D97699">
            <w:pPr>
              <w:numPr>
                <w:ilvl w:val="0"/>
                <w:numId w:val="2"/>
              </w:numPr>
              <w:ind w:left="426"/>
              <w:contextualSpacing/>
              <w:rPr>
                <w:rFonts w:eastAsia="Calibri"/>
                <w:b/>
                <w:sz w:val="20"/>
                <w:szCs w:val="20"/>
              </w:rPr>
            </w:pPr>
            <w:r w:rsidRPr="008751C1">
              <w:rPr>
                <w:rFonts w:eastAsia="Calibri"/>
                <w:b/>
                <w:sz w:val="20"/>
                <w:szCs w:val="20"/>
              </w:rPr>
              <w:t xml:space="preserve">Transpozícia/implementácia práva EÚ </w:t>
            </w:r>
          </w:p>
        </w:tc>
      </w:tr>
      <w:tr w:rsidR="00D97699" w:rsidRPr="008751C1" w:rsidTr="00804B88">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D97699" w:rsidRPr="008751C1" w:rsidTr="00804B88">
              <w:trPr>
                <w:trHeight w:val="90"/>
              </w:trPr>
              <w:tc>
                <w:tcPr>
                  <w:tcW w:w="8643" w:type="dxa"/>
                </w:tcPr>
                <w:p w:rsidR="00D97699" w:rsidRPr="008751C1" w:rsidRDefault="00D97699" w:rsidP="00804B88">
                  <w:pPr>
                    <w:pStyle w:val="Default"/>
                    <w:rPr>
                      <w:color w:val="auto"/>
                      <w:sz w:val="20"/>
                      <w:szCs w:val="20"/>
                    </w:rPr>
                  </w:pPr>
                  <w:r w:rsidRPr="008751C1">
                    <w:rPr>
                      <w:i/>
                      <w:iCs/>
                      <w:color w:val="auto"/>
                      <w:sz w:val="20"/>
                      <w:szCs w:val="20"/>
                    </w:rPr>
                    <w:t xml:space="preserve">Uveďte, či v predkladanom návrhu právneho predpisu dochádza ku </w:t>
                  </w:r>
                  <w:proofErr w:type="spellStart"/>
                  <w:r w:rsidRPr="008751C1">
                    <w:rPr>
                      <w:i/>
                      <w:iCs/>
                      <w:color w:val="auto"/>
                      <w:sz w:val="20"/>
                      <w:szCs w:val="20"/>
                    </w:rPr>
                    <w:t>goldplatingu</w:t>
                  </w:r>
                  <w:proofErr w:type="spellEnd"/>
                  <w:r w:rsidRPr="008751C1">
                    <w:rPr>
                      <w:i/>
                      <w:iCs/>
                      <w:color w:val="auto"/>
                      <w:sz w:val="20"/>
                      <w:szCs w:val="20"/>
                    </w:rPr>
                    <w:t xml:space="preserve"> podľa tabuľky zhody, resp. či ku </w:t>
                  </w:r>
                  <w:proofErr w:type="spellStart"/>
                  <w:r w:rsidRPr="008751C1">
                    <w:rPr>
                      <w:i/>
                      <w:iCs/>
                      <w:color w:val="auto"/>
                      <w:sz w:val="20"/>
                      <w:szCs w:val="20"/>
                    </w:rPr>
                    <w:t>goldplatingu</w:t>
                  </w:r>
                  <w:proofErr w:type="spellEnd"/>
                  <w:r w:rsidRPr="008751C1">
                    <w:rPr>
                      <w:i/>
                      <w:iCs/>
                      <w:color w:val="auto"/>
                      <w:sz w:val="20"/>
                      <w:szCs w:val="20"/>
                    </w:rPr>
                    <w:t xml:space="preserve"> dochádza pri implementácii práva EÚ. </w:t>
                  </w:r>
                </w:p>
              </w:tc>
            </w:tr>
            <w:tr w:rsidR="00D97699" w:rsidRPr="008751C1" w:rsidTr="00804B88">
              <w:trPr>
                <w:trHeight w:val="296"/>
              </w:trPr>
              <w:tc>
                <w:tcPr>
                  <w:tcW w:w="8643" w:type="dxa"/>
                </w:tcPr>
                <w:p w:rsidR="00D97699" w:rsidRPr="008751C1" w:rsidRDefault="00D97699" w:rsidP="00804B88">
                  <w:pPr>
                    <w:pStyle w:val="Default"/>
                    <w:rPr>
                      <w:b/>
                      <w:iCs/>
                      <w:color w:val="auto"/>
                      <w:sz w:val="20"/>
                      <w:szCs w:val="20"/>
                    </w:rPr>
                  </w:pPr>
                  <w:r w:rsidRPr="008751C1">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8751C1">
                        <w:rPr>
                          <w:rFonts w:ascii="MS Gothic" w:eastAsia="MS Gothic" w:hAnsi="MS Gothic" w:hint="eastAsia"/>
                          <w:b/>
                          <w:iCs/>
                          <w:color w:val="auto"/>
                          <w:sz w:val="20"/>
                          <w:szCs w:val="20"/>
                        </w:rPr>
                        <w:t>☐</w:t>
                      </w:r>
                    </w:sdtContent>
                  </w:sdt>
                  <w:r w:rsidRPr="008751C1">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8751C1">
                        <w:rPr>
                          <w:rFonts w:ascii="MS Gothic" w:eastAsia="MS Gothic" w:hAnsi="MS Gothic" w:hint="eastAsia"/>
                          <w:b/>
                          <w:iCs/>
                          <w:color w:val="auto"/>
                          <w:sz w:val="20"/>
                          <w:szCs w:val="20"/>
                        </w:rPr>
                        <w:t>☒</w:t>
                      </w:r>
                    </w:sdtContent>
                  </w:sdt>
                  <w:r w:rsidRPr="008751C1">
                    <w:rPr>
                      <w:b/>
                      <w:iCs/>
                      <w:color w:val="auto"/>
                      <w:sz w:val="20"/>
                      <w:szCs w:val="20"/>
                    </w:rPr>
                    <w:t xml:space="preserve"> Nie</w:t>
                  </w:r>
                </w:p>
                <w:p w:rsidR="00D97699" w:rsidRPr="008751C1" w:rsidRDefault="00D97699" w:rsidP="00804B88">
                  <w:pPr>
                    <w:pStyle w:val="Default"/>
                    <w:rPr>
                      <w:i/>
                      <w:iCs/>
                      <w:color w:val="auto"/>
                      <w:sz w:val="20"/>
                      <w:szCs w:val="20"/>
                    </w:rPr>
                  </w:pPr>
                </w:p>
                <w:p w:rsidR="00D97699" w:rsidRPr="008751C1" w:rsidRDefault="00D97699" w:rsidP="00804B88">
                  <w:pPr>
                    <w:pStyle w:val="Default"/>
                    <w:rPr>
                      <w:color w:val="auto"/>
                      <w:sz w:val="20"/>
                      <w:szCs w:val="20"/>
                    </w:rPr>
                  </w:pPr>
                  <w:r w:rsidRPr="008751C1">
                    <w:rPr>
                      <w:i/>
                      <w:iCs/>
                      <w:color w:val="auto"/>
                      <w:sz w:val="20"/>
                      <w:szCs w:val="20"/>
                    </w:rPr>
                    <w:t xml:space="preserve">Ak áno, uveďte, ktorých vplyvov podľa bodu 9 sa </w:t>
                  </w:r>
                  <w:proofErr w:type="spellStart"/>
                  <w:r w:rsidRPr="008751C1">
                    <w:rPr>
                      <w:i/>
                      <w:iCs/>
                      <w:color w:val="auto"/>
                      <w:sz w:val="20"/>
                      <w:szCs w:val="20"/>
                    </w:rPr>
                    <w:t>goldplating</w:t>
                  </w:r>
                  <w:proofErr w:type="spellEnd"/>
                  <w:r w:rsidRPr="008751C1">
                    <w:rPr>
                      <w:i/>
                      <w:iCs/>
                      <w:color w:val="auto"/>
                      <w:sz w:val="20"/>
                      <w:szCs w:val="20"/>
                    </w:rPr>
                    <w:t xml:space="preserve"> týka: </w:t>
                  </w:r>
                </w:p>
              </w:tc>
            </w:tr>
            <w:tr w:rsidR="00D97699" w:rsidRPr="008751C1" w:rsidTr="00804B88">
              <w:trPr>
                <w:trHeight w:val="296"/>
              </w:trPr>
              <w:tc>
                <w:tcPr>
                  <w:tcW w:w="8643" w:type="dxa"/>
                </w:tcPr>
                <w:p w:rsidR="00D97699" w:rsidRPr="008751C1" w:rsidRDefault="00D97699" w:rsidP="00804B88">
                  <w:pPr>
                    <w:pStyle w:val="Default"/>
                    <w:rPr>
                      <w:rFonts w:ascii="Segoe UI Symbol" w:hAnsi="Segoe UI Symbol" w:cs="Segoe UI Symbol"/>
                      <w:color w:val="auto"/>
                      <w:sz w:val="20"/>
                      <w:szCs w:val="20"/>
                    </w:rPr>
                  </w:pPr>
                </w:p>
              </w:tc>
            </w:tr>
          </w:tbl>
          <w:p w:rsidR="00D97699" w:rsidRPr="008751C1" w:rsidRDefault="00D97699" w:rsidP="00804B88">
            <w:pPr>
              <w:jc w:val="both"/>
              <w:rPr>
                <w:i/>
                <w:sz w:val="20"/>
                <w:szCs w:val="20"/>
                <w:lang w:eastAsia="sk-SK"/>
              </w:rPr>
            </w:pPr>
          </w:p>
        </w:tc>
      </w:tr>
      <w:tr w:rsidR="00D97699" w:rsidRPr="008751C1" w:rsidTr="00804B88">
        <w:trPr>
          <w:trHeight w:val="80"/>
        </w:trPr>
        <w:tc>
          <w:tcPr>
            <w:tcW w:w="9180" w:type="dxa"/>
            <w:gridSpan w:val="11"/>
            <w:tcBorders>
              <w:top w:val="nil"/>
              <w:left w:val="single" w:sz="4" w:space="0" w:color="000000"/>
              <w:bottom w:val="single" w:sz="4" w:space="0" w:color="000000"/>
              <w:right w:val="single" w:sz="4" w:space="0" w:color="000000"/>
            </w:tcBorders>
            <w:shd w:val="clear" w:color="auto" w:fill="FFFFFF"/>
          </w:tcPr>
          <w:p w:rsidR="00D97699" w:rsidRPr="008751C1" w:rsidRDefault="00D97699" w:rsidP="00804B88">
            <w:pPr>
              <w:jc w:val="center"/>
              <w:rPr>
                <w:sz w:val="20"/>
                <w:szCs w:val="20"/>
                <w:lang w:eastAsia="sk-SK"/>
              </w:rPr>
            </w:pPr>
          </w:p>
        </w:tc>
      </w:tr>
      <w:tr w:rsidR="00D97699" w:rsidRPr="008751C1" w:rsidTr="00804B8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D97699" w:rsidRPr="008751C1" w:rsidRDefault="00D97699" w:rsidP="00D97699">
            <w:pPr>
              <w:numPr>
                <w:ilvl w:val="0"/>
                <w:numId w:val="2"/>
              </w:numPr>
              <w:ind w:left="426"/>
              <w:contextualSpacing/>
              <w:rPr>
                <w:rFonts w:eastAsia="Calibri"/>
                <w:b/>
                <w:sz w:val="20"/>
                <w:szCs w:val="20"/>
              </w:rPr>
            </w:pPr>
            <w:r w:rsidRPr="008751C1">
              <w:rPr>
                <w:rFonts w:eastAsia="Calibri"/>
                <w:b/>
                <w:sz w:val="20"/>
                <w:szCs w:val="20"/>
              </w:rPr>
              <w:t>Preskúmanie účelnosti</w:t>
            </w:r>
          </w:p>
        </w:tc>
      </w:tr>
      <w:tr w:rsidR="00D97699" w:rsidRPr="008751C1" w:rsidTr="00804B88">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D97699" w:rsidRPr="008751C1" w:rsidRDefault="00D97699" w:rsidP="00804B88">
            <w:pPr>
              <w:rPr>
                <w:sz w:val="20"/>
                <w:szCs w:val="20"/>
                <w:lang w:eastAsia="sk-SK"/>
              </w:rPr>
            </w:pPr>
            <w:r w:rsidRPr="008751C1">
              <w:rPr>
                <w:sz w:val="20"/>
                <w:szCs w:val="20"/>
                <w:lang w:eastAsia="sk-SK"/>
              </w:rPr>
              <w:t>K preskúmaniu účelnosti predkladaného materiálu by malo dôjsť pri nasledujúcej novelizácii zákona o e-Governmente, najneskôr však 3 roky od účinnosti predkladaného návrhu. Vzhľadom na navrhovanú účinnosť 30. septembra 2024 by k preskúmaniu účelnosti malo dôjsť najneskôr v roku 2027 na základe získaných poznatkov z aplikačnej praxe. Kritériom preskúmania účelnosti budú výsledky kontrol dodržiavania povinností vyplývajúcich zo zákona o e-Governmente a podnety zo strany osôb vykonávajúcich zaručenú konverziu k aplikácii postupu vykonávania zaručenej konverzie podľa zákona v praxi.</w:t>
            </w:r>
          </w:p>
          <w:p w:rsidR="00D97699" w:rsidRPr="008751C1" w:rsidRDefault="00D97699" w:rsidP="00804B88">
            <w:pPr>
              <w:rPr>
                <w:i/>
                <w:sz w:val="20"/>
                <w:szCs w:val="20"/>
                <w:highlight w:val="yellow"/>
                <w:lang w:eastAsia="sk-SK"/>
              </w:rPr>
            </w:pPr>
          </w:p>
        </w:tc>
      </w:tr>
      <w:tr w:rsidR="00D97699" w:rsidRPr="008751C1" w:rsidTr="00804B88">
        <w:tc>
          <w:tcPr>
            <w:tcW w:w="9180" w:type="dxa"/>
            <w:gridSpan w:val="11"/>
            <w:tcBorders>
              <w:top w:val="nil"/>
              <w:left w:val="nil"/>
              <w:bottom w:val="single" w:sz="4" w:space="0" w:color="auto"/>
              <w:right w:val="nil"/>
            </w:tcBorders>
            <w:shd w:val="clear" w:color="auto" w:fill="FFFFFF"/>
          </w:tcPr>
          <w:p w:rsidR="00D97699" w:rsidRPr="008751C1" w:rsidRDefault="00D97699" w:rsidP="00804B88">
            <w:pPr>
              <w:jc w:val="both"/>
              <w:rPr>
                <w:b/>
                <w:sz w:val="20"/>
                <w:szCs w:val="20"/>
                <w:lang w:eastAsia="sk-SK"/>
              </w:rPr>
            </w:pPr>
          </w:p>
          <w:p w:rsidR="00D97699" w:rsidRPr="008751C1" w:rsidRDefault="00D97699" w:rsidP="00804B88">
            <w:pPr>
              <w:jc w:val="both"/>
              <w:rPr>
                <w:b/>
                <w:sz w:val="20"/>
                <w:szCs w:val="20"/>
                <w:lang w:eastAsia="sk-SK"/>
              </w:rPr>
            </w:pPr>
          </w:p>
          <w:p w:rsidR="00D97699" w:rsidRPr="008751C1" w:rsidRDefault="00D97699" w:rsidP="00804B88">
            <w:pPr>
              <w:ind w:left="142" w:hanging="142"/>
              <w:jc w:val="both"/>
              <w:rPr>
                <w:sz w:val="20"/>
                <w:szCs w:val="20"/>
                <w:lang w:eastAsia="sk-SK"/>
              </w:rPr>
            </w:pPr>
            <w:r w:rsidRPr="008751C1">
              <w:rPr>
                <w:sz w:val="20"/>
                <w:szCs w:val="20"/>
                <w:lang w:eastAsia="sk-SK"/>
              </w:rPr>
              <w:t xml:space="preserve">* vyplniť iba v prípade, ak materiál nie je zahrnutý do Plánu práce vlády Slovenskej republiky alebo Plánu        legislatívnych úloh vlády Slovenskej republiky. </w:t>
            </w:r>
          </w:p>
          <w:p w:rsidR="00D97699" w:rsidRPr="008751C1" w:rsidRDefault="00D97699" w:rsidP="00804B88">
            <w:pPr>
              <w:jc w:val="both"/>
              <w:rPr>
                <w:sz w:val="20"/>
                <w:szCs w:val="20"/>
                <w:lang w:eastAsia="sk-SK"/>
              </w:rPr>
            </w:pPr>
            <w:r w:rsidRPr="008751C1">
              <w:rPr>
                <w:sz w:val="20"/>
                <w:szCs w:val="20"/>
                <w:lang w:eastAsia="sk-SK"/>
              </w:rPr>
              <w:t>** vyplniť iba v prípade, ak sa záverečné posúdenie vybraných vplyvov uskutočnilo v zmysle bodu 9.1. jednotnej metodiky.</w:t>
            </w:r>
          </w:p>
          <w:p w:rsidR="00D97699" w:rsidRPr="008751C1" w:rsidRDefault="00D97699" w:rsidP="00804B88">
            <w:pPr>
              <w:jc w:val="both"/>
              <w:rPr>
                <w:sz w:val="20"/>
                <w:szCs w:val="20"/>
                <w:lang w:eastAsia="sk-SK"/>
              </w:rPr>
            </w:pPr>
            <w:r w:rsidRPr="008751C1">
              <w:rPr>
                <w:sz w:val="20"/>
                <w:szCs w:val="20"/>
                <w:lang w:eastAsia="sk-SK"/>
              </w:rPr>
              <w:t>*** posudzovanie sa týka len zmien v I. a II. pilieri univerzálneho systému dôchodkového zabezpečenia s identifikovaným dopadom od 0,1 % HDP (vrátane) na dlhodobom horizonte.</w:t>
            </w:r>
          </w:p>
          <w:p w:rsidR="00D97699" w:rsidRPr="008751C1" w:rsidRDefault="00D97699" w:rsidP="00804B88">
            <w:pPr>
              <w:jc w:val="both"/>
              <w:rPr>
                <w:sz w:val="20"/>
                <w:szCs w:val="20"/>
                <w:lang w:eastAsia="sk-SK"/>
              </w:rPr>
            </w:pPr>
          </w:p>
          <w:p w:rsidR="00D97699" w:rsidRPr="008751C1" w:rsidRDefault="00D97699" w:rsidP="00804B88">
            <w:pPr>
              <w:jc w:val="both"/>
              <w:rPr>
                <w:b/>
                <w:sz w:val="20"/>
                <w:szCs w:val="20"/>
                <w:lang w:eastAsia="sk-SK"/>
              </w:rPr>
            </w:pPr>
          </w:p>
        </w:tc>
      </w:tr>
      <w:tr w:rsidR="00D97699" w:rsidRPr="008751C1" w:rsidTr="00804B88">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D97699" w:rsidRPr="008751C1" w:rsidRDefault="00D97699" w:rsidP="00D97699">
            <w:pPr>
              <w:numPr>
                <w:ilvl w:val="0"/>
                <w:numId w:val="2"/>
              </w:numPr>
              <w:ind w:left="426"/>
              <w:contextualSpacing/>
              <w:rPr>
                <w:rFonts w:eastAsia="Calibri"/>
                <w:b/>
                <w:sz w:val="20"/>
                <w:szCs w:val="20"/>
              </w:rPr>
            </w:pPr>
            <w:r w:rsidRPr="008751C1">
              <w:rPr>
                <w:rFonts w:eastAsia="Calibri"/>
                <w:b/>
                <w:sz w:val="20"/>
                <w:szCs w:val="20"/>
              </w:rPr>
              <w:t>Vybrané vplyvy  materiálu</w:t>
            </w:r>
          </w:p>
        </w:tc>
      </w:tr>
      <w:tr w:rsidR="00D97699" w:rsidRPr="008751C1" w:rsidTr="00804B88">
        <w:tc>
          <w:tcPr>
            <w:tcW w:w="3812" w:type="dxa"/>
            <w:tcBorders>
              <w:top w:val="single" w:sz="4" w:space="0" w:color="auto"/>
              <w:left w:val="single" w:sz="4" w:space="0" w:color="auto"/>
              <w:bottom w:val="nil"/>
              <w:right w:val="single" w:sz="4" w:space="0" w:color="auto"/>
            </w:tcBorders>
            <w:shd w:val="clear" w:color="auto" w:fill="E2E2E2"/>
          </w:tcPr>
          <w:p w:rsidR="00D97699" w:rsidRPr="008751C1" w:rsidRDefault="00D97699" w:rsidP="00804B88">
            <w:pPr>
              <w:rPr>
                <w:b/>
                <w:sz w:val="20"/>
                <w:szCs w:val="20"/>
                <w:lang w:eastAsia="sk-SK"/>
              </w:rPr>
            </w:pPr>
            <w:r w:rsidRPr="008751C1">
              <w:rPr>
                <w:b/>
                <w:sz w:val="20"/>
                <w:szCs w:val="20"/>
                <w:lang w:eastAsia="sk-SK"/>
              </w:rPr>
              <w:t>Vplyvy na rozpočet verejnej správy</w:t>
            </w:r>
          </w:p>
        </w:tc>
        <w:sdt>
          <w:sdtPr>
            <w:rPr>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D97699" w:rsidRPr="008751C1" w:rsidRDefault="00D97699" w:rsidP="00804B88">
            <w:pPr>
              <w:rPr>
                <w:b/>
                <w:sz w:val="20"/>
                <w:szCs w:val="20"/>
                <w:lang w:eastAsia="sk-SK"/>
              </w:rPr>
            </w:pPr>
            <w:r w:rsidRPr="008751C1">
              <w:rPr>
                <w:b/>
                <w:sz w:val="20"/>
                <w:szCs w:val="20"/>
                <w:lang w:eastAsia="sk-SK"/>
              </w:rPr>
              <w:t>Pozitívne</w:t>
            </w:r>
          </w:p>
        </w:tc>
        <w:sdt>
          <w:sdtPr>
            <w:rPr>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D97699" w:rsidRPr="008751C1" w:rsidRDefault="00D97699" w:rsidP="00804B88">
            <w:pPr>
              <w:rPr>
                <w:b/>
                <w:sz w:val="20"/>
                <w:szCs w:val="20"/>
                <w:lang w:eastAsia="sk-SK"/>
              </w:rPr>
            </w:pPr>
            <w:r w:rsidRPr="008751C1">
              <w:rPr>
                <w:b/>
                <w:sz w:val="20"/>
                <w:szCs w:val="20"/>
                <w:lang w:eastAsia="sk-SK"/>
              </w:rPr>
              <w:t>Žiadne</w:t>
            </w:r>
          </w:p>
        </w:tc>
        <w:sdt>
          <w:sdtPr>
            <w:rPr>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D97699" w:rsidRPr="008751C1" w:rsidRDefault="00D97699" w:rsidP="00804B88">
                <w:pPr>
                  <w:ind w:left="-107" w:right="-108"/>
                  <w:jc w:val="center"/>
                  <w:rPr>
                    <w:b/>
                    <w:sz w:val="20"/>
                    <w:szCs w:val="20"/>
                    <w:lang w:eastAsia="sk-SK"/>
                  </w:rPr>
                </w:pPr>
                <w:r w:rsidRPr="008751C1">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D97699" w:rsidRPr="008751C1" w:rsidRDefault="00D97699" w:rsidP="00804B88">
            <w:pPr>
              <w:ind w:left="34"/>
              <w:rPr>
                <w:b/>
                <w:sz w:val="20"/>
                <w:szCs w:val="20"/>
                <w:lang w:eastAsia="sk-SK"/>
              </w:rPr>
            </w:pPr>
            <w:r w:rsidRPr="008751C1">
              <w:rPr>
                <w:b/>
                <w:sz w:val="20"/>
                <w:szCs w:val="20"/>
                <w:lang w:eastAsia="sk-SK"/>
              </w:rPr>
              <w:t>Negatívne</w:t>
            </w:r>
          </w:p>
        </w:tc>
      </w:tr>
      <w:tr w:rsidR="00D97699" w:rsidRPr="008751C1" w:rsidTr="00804B88">
        <w:tc>
          <w:tcPr>
            <w:tcW w:w="3812" w:type="dxa"/>
            <w:tcBorders>
              <w:top w:val="nil"/>
              <w:left w:val="single" w:sz="4" w:space="0" w:color="auto"/>
              <w:bottom w:val="nil"/>
              <w:right w:val="single" w:sz="4" w:space="0" w:color="auto"/>
            </w:tcBorders>
            <w:shd w:val="clear" w:color="auto" w:fill="E2E2E2"/>
          </w:tcPr>
          <w:p w:rsidR="00D97699" w:rsidRPr="008751C1" w:rsidRDefault="00D97699" w:rsidP="00804B88">
            <w:pPr>
              <w:rPr>
                <w:sz w:val="20"/>
                <w:szCs w:val="20"/>
                <w:lang w:eastAsia="sk-SK"/>
              </w:rPr>
            </w:pPr>
            <w:r w:rsidRPr="008751C1">
              <w:rPr>
                <w:sz w:val="20"/>
                <w:szCs w:val="20"/>
                <w:lang w:eastAsia="sk-SK"/>
              </w:rPr>
              <w:t xml:space="preserve">    z toho rozpočtovo zabezpečené vplyvy,         </w:t>
            </w:r>
          </w:p>
          <w:p w:rsidR="00D97699" w:rsidRPr="008751C1" w:rsidRDefault="00D97699" w:rsidP="00804B88">
            <w:pPr>
              <w:rPr>
                <w:sz w:val="20"/>
                <w:szCs w:val="20"/>
                <w:lang w:eastAsia="sk-SK"/>
              </w:rPr>
            </w:pPr>
            <w:r w:rsidRPr="008751C1">
              <w:rPr>
                <w:sz w:val="20"/>
                <w:szCs w:val="20"/>
                <w:lang w:eastAsia="sk-SK"/>
              </w:rPr>
              <w:t xml:space="preserve">    v prípade identifikovaného negatívneho </w:t>
            </w:r>
          </w:p>
          <w:p w:rsidR="00D97699" w:rsidRPr="008751C1" w:rsidRDefault="00D97699" w:rsidP="00804B88">
            <w:pPr>
              <w:rPr>
                <w:sz w:val="20"/>
                <w:szCs w:val="20"/>
                <w:lang w:eastAsia="sk-SK"/>
              </w:rPr>
            </w:pPr>
            <w:r w:rsidRPr="008751C1">
              <w:rPr>
                <w:sz w:val="20"/>
                <w:szCs w:val="20"/>
                <w:lang w:eastAsia="sk-SK"/>
              </w:rPr>
              <w:t xml:space="preserve">    vplyvu</w:t>
            </w:r>
          </w:p>
        </w:tc>
        <w:sdt>
          <w:sdtPr>
            <w:rPr>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D97699" w:rsidRPr="008751C1" w:rsidRDefault="00D97699" w:rsidP="00804B88">
                <w:pPr>
                  <w:jc w:val="center"/>
                  <w:rPr>
                    <w:sz w:val="20"/>
                    <w:szCs w:val="20"/>
                    <w:lang w:eastAsia="sk-SK"/>
                  </w:rPr>
                </w:pPr>
                <w:r w:rsidRPr="008751C1">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D97699" w:rsidRPr="008751C1" w:rsidRDefault="00D97699" w:rsidP="00804B88">
            <w:pPr>
              <w:rPr>
                <w:sz w:val="20"/>
                <w:szCs w:val="20"/>
                <w:lang w:eastAsia="sk-SK"/>
              </w:rPr>
            </w:pPr>
            <w:r w:rsidRPr="008751C1">
              <w:rPr>
                <w:sz w:val="20"/>
                <w:szCs w:val="20"/>
                <w:lang w:eastAsia="sk-SK"/>
              </w:rPr>
              <w:t>Áno</w:t>
            </w:r>
          </w:p>
        </w:tc>
        <w:sdt>
          <w:sdtPr>
            <w:rPr>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D97699" w:rsidRPr="008751C1" w:rsidRDefault="00D97699" w:rsidP="00804B88">
                <w:pPr>
                  <w:jc w:val="center"/>
                  <w:rPr>
                    <w:sz w:val="20"/>
                    <w:szCs w:val="20"/>
                    <w:lang w:eastAsia="sk-SK"/>
                  </w:rPr>
                </w:pPr>
                <w:r w:rsidRPr="008751C1">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D97699" w:rsidRPr="008751C1" w:rsidRDefault="00D97699" w:rsidP="00804B88">
            <w:pPr>
              <w:rPr>
                <w:sz w:val="20"/>
                <w:szCs w:val="20"/>
                <w:lang w:eastAsia="sk-SK"/>
              </w:rPr>
            </w:pPr>
            <w:r w:rsidRPr="008751C1">
              <w:rPr>
                <w:sz w:val="20"/>
                <w:szCs w:val="20"/>
                <w:lang w:eastAsia="sk-SK"/>
              </w:rPr>
              <w:t>Nie</w:t>
            </w:r>
          </w:p>
        </w:tc>
        <w:sdt>
          <w:sdtPr>
            <w:rPr>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D97699" w:rsidRPr="008751C1" w:rsidRDefault="00D97699" w:rsidP="00804B88">
                <w:pPr>
                  <w:ind w:left="-107" w:right="-108"/>
                  <w:jc w:val="center"/>
                  <w:rPr>
                    <w:sz w:val="20"/>
                    <w:szCs w:val="20"/>
                    <w:lang w:eastAsia="sk-SK"/>
                  </w:rPr>
                </w:pPr>
                <w:r w:rsidRPr="008751C1">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D97699" w:rsidRPr="008751C1" w:rsidRDefault="00D97699" w:rsidP="00804B88">
            <w:pPr>
              <w:ind w:left="34"/>
              <w:rPr>
                <w:sz w:val="20"/>
                <w:szCs w:val="20"/>
                <w:lang w:eastAsia="sk-SK"/>
              </w:rPr>
            </w:pPr>
            <w:r w:rsidRPr="008751C1">
              <w:rPr>
                <w:sz w:val="20"/>
                <w:szCs w:val="20"/>
                <w:lang w:eastAsia="sk-SK"/>
              </w:rPr>
              <w:t>Čiastočne</w:t>
            </w:r>
          </w:p>
        </w:tc>
      </w:tr>
      <w:tr w:rsidR="00D97699" w:rsidRPr="008751C1" w:rsidTr="00804B88">
        <w:tc>
          <w:tcPr>
            <w:tcW w:w="3812" w:type="dxa"/>
            <w:tcBorders>
              <w:top w:val="nil"/>
              <w:left w:val="single" w:sz="4" w:space="0" w:color="auto"/>
              <w:bottom w:val="nil"/>
              <w:right w:val="single" w:sz="4" w:space="0" w:color="auto"/>
            </w:tcBorders>
            <w:shd w:val="clear" w:color="auto" w:fill="E2E2E2"/>
          </w:tcPr>
          <w:p w:rsidR="00D97699" w:rsidRPr="008751C1" w:rsidRDefault="00D97699" w:rsidP="00804B88">
            <w:pPr>
              <w:rPr>
                <w:b/>
                <w:sz w:val="20"/>
                <w:szCs w:val="20"/>
                <w:lang w:eastAsia="sk-SK"/>
              </w:rPr>
            </w:pPr>
            <w:r w:rsidRPr="008751C1">
              <w:rPr>
                <w:b/>
                <w:sz w:val="20"/>
                <w:szCs w:val="20"/>
                <w:lang w:eastAsia="sk-SK"/>
              </w:rPr>
              <w:t>v tom vplyvy na rozpočty obcí a vyšších územných celkov</w:t>
            </w:r>
          </w:p>
        </w:tc>
        <w:sdt>
          <w:sdtPr>
            <w:rPr>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D97699" w:rsidRPr="008751C1" w:rsidRDefault="00D97699" w:rsidP="00804B88">
            <w:pPr>
              <w:rPr>
                <w:b/>
                <w:sz w:val="20"/>
                <w:szCs w:val="20"/>
                <w:lang w:eastAsia="sk-SK"/>
              </w:rPr>
            </w:pPr>
            <w:r w:rsidRPr="008751C1">
              <w:rPr>
                <w:b/>
                <w:sz w:val="20"/>
                <w:szCs w:val="20"/>
                <w:lang w:eastAsia="sk-SK"/>
              </w:rPr>
              <w:t>Pozitívne</w:t>
            </w:r>
          </w:p>
        </w:tc>
        <w:sdt>
          <w:sdtPr>
            <w:rPr>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D97699" w:rsidRPr="008751C1" w:rsidRDefault="00D97699" w:rsidP="00804B88">
            <w:pPr>
              <w:rPr>
                <w:b/>
                <w:sz w:val="20"/>
                <w:szCs w:val="20"/>
                <w:lang w:eastAsia="sk-SK"/>
              </w:rPr>
            </w:pPr>
            <w:r w:rsidRPr="008751C1">
              <w:rPr>
                <w:b/>
                <w:sz w:val="20"/>
                <w:szCs w:val="20"/>
                <w:lang w:eastAsia="sk-SK"/>
              </w:rPr>
              <w:t>Žiadne</w:t>
            </w:r>
          </w:p>
        </w:tc>
        <w:sdt>
          <w:sdtPr>
            <w:rPr>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D97699" w:rsidRPr="008751C1" w:rsidRDefault="00D97699" w:rsidP="00804B88">
                <w:pPr>
                  <w:ind w:left="-107" w:right="-108"/>
                  <w:jc w:val="center"/>
                  <w:rPr>
                    <w:b/>
                    <w:sz w:val="20"/>
                    <w:szCs w:val="20"/>
                    <w:lang w:eastAsia="sk-SK"/>
                  </w:rPr>
                </w:pPr>
                <w:r w:rsidRPr="008751C1">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D97699" w:rsidRPr="008751C1" w:rsidRDefault="00D97699" w:rsidP="00804B88">
            <w:pPr>
              <w:ind w:left="34"/>
              <w:rPr>
                <w:b/>
                <w:sz w:val="20"/>
                <w:szCs w:val="20"/>
                <w:lang w:eastAsia="sk-SK"/>
              </w:rPr>
            </w:pPr>
            <w:r w:rsidRPr="008751C1">
              <w:rPr>
                <w:b/>
                <w:sz w:val="20"/>
                <w:szCs w:val="20"/>
                <w:lang w:eastAsia="sk-SK"/>
              </w:rPr>
              <w:t>Negatívne</w:t>
            </w:r>
          </w:p>
        </w:tc>
      </w:tr>
      <w:tr w:rsidR="00D97699" w:rsidRPr="008751C1" w:rsidTr="00804B88">
        <w:tc>
          <w:tcPr>
            <w:tcW w:w="3812" w:type="dxa"/>
            <w:tcBorders>
              <w:top w:val="nil"/>
              <w:left w:val="single" w:sz="4" w:space="0" w:color="auto"/>
              <w:bottom w:val="single" w:sz="4" w:space="0" w:color="auto"/>
              <w:right w:val="single" w:sz="4" w:space="0" w:color="auto"/>
            </w:tcBorders>
            <w:shd w:val="clear" w:color="auto" w:fill="E2E2E2"/>
          </w:tcPr>
          <w:p w:rsidR="00D97699" w:rsidRPr="008751C1" w:rsidRDefault="00D97699" w:rsidP="00804B88">
            <w:pPr>
              <w:ind w:left="171"/>
              <w:rPr>
                <w:sz w:val="20"/>
                <w:szCs w:val="20"/>
                <w:lang w:eastAsia="sk-SK"/>
              </w:rPr>
            </w:pPr>
            <w:r w:rsidRPr="008751C1">
              <w:rPr>
                <w:sz w:val="20"/>
                <w:szCs w:val="20"/>
                <w:lang w:eastAsia="sk-SK"/>
              </w:rPr>
              <w:t>z toho rozpočtovo zabezpečené vplyvy,</w:t>
            </w:r>
          </w:p>
          <w:p w:rsidR="00D97699" w:rsidRPr="008751C1" w:rsidRDefault="00D97699" w:rsidP="00804B88">
            <w:pPr>
              <w:ind w:left="171"/>
              <w:rPr>
                <w:sz w:val="20"/>
                <w:szCs w:val="20"/>
                <w:lang w:eastAsia="sk-SK"/>
              </w:rPr>
            </w:pPr>
            <w:r w:rsidRPr="008751C1">
              <w:rPr>
                <w:sz w:val="20"/>
                <w:szCs w:val="20"/>
                <w:lang w:eastAsia="sk-SK"/>
              </w:rPr>
              <w:t>v prípade identifikovaného negatívneho vplyvu</w:t>
            </w:r>
          </w:p>
        </w:tc>
        <w:sdt>
          <w:sdtPr>
            <w:rPr>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D97699" w:rsidRPr="008751C1" w:rsidRDefault="00D97699" w:rsidP="00804B88">
                <w:pPr>
                  <w:jc w:val="center"/>
                  <w:rPr>
                    <w:sz w:val="20"/>
                    <w:szCs w:val="20"/>
                    <w:lang w:eastAsia="sk-SK"/>
                  </w:rPr>
                </w:pPr>
                <w:r w:rsidRPr="008751C1">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D97699" w:rsidRPr="008751C1" w:rsidRDefault="00D97699" w:rsidP="00804B88">
            <w:pPr>
              <w:rPr>
                <w:sz w:val="20"/>
                <w:szCs w:val="20"/>
                <w:lang w:eastAsia="sk-SK"/>
              </w:rPr>
            </w:pPr>
            <w:r w:rsidRPr="008751C1">
              <w:rPr>
                <w:sz w:val="20"/>
                <w:szCs w:val="20"/>
                <w:lang w:eastAsia="sk-SK"/>
              </w:rPr>
              <w:t>Áno</w:t>
            </w:r>
          </w:p>
        </w:tc>
        <w:sdt>
          <w:sdtPr>
            <w:rPr>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D97699" w:rsidRPr="008751C1" w:rsidRDefault="00D97699" w:rsidP="00804B88">
                <w:pPr>
                  <w:jc w:val="center"/>
                  <w:rPr>
                    <w:sz w:val="20"/>
                    <w:szCs w:val="20"/>
                    <w:lang w:eastAsia="sk-SK"/>
                  </w:rPr>
                </w:pPr>
                <w:r w:rsidRPr="008751C1">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D97699" w:rsidRPr="008751C1" w:rsidRDefault="00D97699" w:rsidP="00804B88">
            <w:pPr>
              <w:rPr>
                <w:sz w:val="20"/>
                <w:szCs w:val="20"/>
                <w:lang w:eastAsia="sk-SK"/>
              </w:rPr>
            </w:pPr>
            <w:r w:rsidRPr="008751C1">
              <w:rPr>
                <w:sz w:val="20"/>
                <w:szCs w:val="20"/>
                <w:lang w:eastAsia="sk-SK"/>
              </w:rPr>
              <w:t>Nie</w:t>
            </w:r>
          </w:p>
        </w:tc>
        <w:sdt>
          <w:sdtPr>
            <w:rPr>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D97699" w:rsidRPr="008751C1" w:rsidRDefault="00D97699" w:rsidP="00804B88">
                <w:pPr>
                  <w:ind w:left="-107" w:right="-108"/>
                  <w:jc w:val="center"/>
                  <w:rPr>
                    <w:sz w:val="20"/>
                    <w:szCs w:val="20"/>
                    <w:lang w:eastAsia="sk-SK"/>
                  </w:rPr>
                </w:pPr>
                <w:r w:rsidRPr="008751C1">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D97699" w:rsidRPr="008751C1" w:rsidRDefault="00D97699" w:rsidP="00804B88">
            <w:pPr>
              <w:ind w:left="34"/>
              <w:rPr>
                <w:sz w:val="20"/>
                <w:szCs w:val="20"/>
                <w:lang w:eastAsia="sk-SK"/>
              </w:rPr>
            </w:pPr>
            <w:r w:rsidRPr="008751C1">
              <w:rPr>
                <w:sz w:val="20"/>
                <w:szCs w:val="20"/>
                <w:lang w:eastAsia="sk-SK"/>
              </w:rPr>
              <w:t>Čiastočne</w:t>
            </w:r>
          </w:p>
        </w:tc>
      </w:tr>
      <w:tr w:rsidR="00D97699" w:rsidRPr="008751C1" w:rsidTr="00804B88">
        <w:tc>
          <w:tcPr>
            <w:tcW w:w="3812" w:type="dxa"/>
            <w:tcBorders>
              <w:top w:val="single" w:sz="4" w:space="0" w:color="auto"/>
              <w:left w:val="single" w:sz="4" w:space="0" w:color="auto"/>
              <w:bottom w:val="single" w:sz="4" w:space="0" w:color="auto"/>
              <w:right w:val="single" w:sz="4" w:space="0" w:color="auto"/>
            </w:tcBorders>
            <w:shd w:val="clear" w:color="auto" w:fill="E2E2E2"/>
          </w:tcPr>
          <w:p w:rsidR="00D97699" w:rsidRPr="008751C1" w:rsidRDefault="00D97699" w:rsidP="00804B88">
            <w:pPr>
              <w:ind w:left="171"/>
              <w:rPr>
                <w:sz w:val="20"/>
                <w:szCs w:val="20"/>
                <w:lang w:eastAsia="sk-SK"/>
              </w:rPr>
            </w:pPr>
            <w:r w:rsidRPr="008751C1">
              <w:rPr>
                <w:sz w:val="20"/>
                <w:szCs w:val="20"/>
                <w:lang w:eastAsia="sk-SK"/>
              </w:rPr>
              <w:t>Vplyv na dlhodobú udržateľnosť verejných financií v prípade vybraných opatrení ***</w:t>
            </w:r>
          </w:p>
        </w:tc>
        <w:sdt>
          <w:sdtPr>
            <w:rPr>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D97699" w:rsidRPr="008751C1" w:rsidRDefault="00D97699" w:rsidP="00804B88">
                <w:pPr>
                  <w:jc w:val="center"/>
                  <w:rPr>
                    <w:sz w:val="20"/>
                    <w:szCs w:val="20"/>
                    <w:lang w:eastAsia="sk-SK"/>
                  </w:rPr>
                </w:pPr>
                <w:r w:rsidRPr="008751C1">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D97699" w:rsidRPr="008751C1" w:rsidRDefault="00D97699" w:rsidP="00804B88">
            <w:pPr>
              <w:rPr>
                <w:sz w:val="20"/>
                <w:szCs w:val="20"/>
                <w:lang w:eastAsia="sk-SK"/>
              </w:rPr>
            </w:pPr>
            <w:r w:rsidRPr="008751C1">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D97699" w:rsidRPr="008751C1" w:rsidRDefault="00D97699" w:rsidP="00804B88">
            <w:pPr>
              <w:jc w:val="center"/>
              <w:rPr>
                <w:sz w:val="20"/>
                <w:szCs w:val="20"/>
                <w:lang w:eastAsia="sk-SK"/>
              </w:rPr>
            </w:pPr>
          </w:p>
        </w:tc>
        <w:tc>
          <w:tcPr>
            <w:tcW w:w="1133" w:type="dxa"/>
            <w:tcBorders>
              <w:top w:val="single" w:sz="4" w:space="0" w:color="auto"/>
              <w:left w:val="nil"/>
              <w:bottom w:val="single" w:sz="4" w:space="0" w:color="auto"/>
              <w:right w:val="nil"/>
            </w:tcBorders>
            <w:vAlign w:val="center"/>
          </w:tcPr>
          <w:p w:rsidR="00D97699" w:rsidRPr="008751C1" w:rsidRDefault="00D97699" w:rsidP="00804B88">
            <w:pPr>
              <w:rPr>
                <w:sz w:val="20"/>
                <w:szCs w:val="20"/>
                <w:lang w:eastAsia="sk-SK"/>
              </w:rPr>
            </w:pPr>
          </w:p>
        </w:tc>
        <w:sdt>
          <w:sdtPr>
            <w:rPr>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D97699" w:rsidRPr="008751C1" w:rsidRDefault="00D97699" w:rsidP="00804B88">
                <w:pPr>
                  <w:ind w:left="-107" w:right="-108"/>
                  <w:jc w:val="center"/>
                  <w:rPr>
                    <w:sz w:val="20"/>
                    <w:szCs w:val="20"/>
                    <w:lang w:eastAsia="sk-SK"/>
                  </w:rPr>
                </w:pPr>
                <w:r w:rsidRPr="008751C1">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D97699" w:rsidRPr="008751C1" w:rsidRDefault="00D97699" w:rsidP="00804B88">
            <w:pPr>
              <w:ind w:left="34"/>
              <w:rPr>
                <w:sz w:val="20"/>
                <w:szCs w:val="20"/>
                <w:lang w:eastAsia="sk-SK"/>
              </w:rPr>
            </w:pPr>
            <w:r w:rsidRPr="008751C1">
              <w:rPr>
                <w:sz w:val="20"/>
                <w:szCs w:val="20"/>
                <w:lang w:eastAsia="sk-SK"/>
              </w:rPr>
              <w:t>Nie</w:t>
            </w:r>
          </w:p>
        </w:tc>
      </w:tr>
      <w:tr w:rsidR="00D97699" w:rsidRPr="008751C1" w:rsidTr="00804B88">
        <w:tc>
          <w:tcPr>
            <w:tcW w:w="3812" w:type="dxa"/>
            <w:tcBorders>
              <w:top w:val="single" w:sz="4" w:space="0" w:color="auto"/>
              <w:left w:val="single" w:sz="4" w:space="0" w:color="auto"/>
              <w:bottom w:val="single" w:sz="4" w:space="0" w:color="auto"/>
              <w:right w:val="single" w:sz="4" w:space="0" w:color="auto"/>
            </w:tcBorders>
            <w:shd w:val="clear" w:color="auto" w:fill="E2E2E2"/>
          </w:tcPr>
          <w:p w:rsidR="00D97699" w:rsidRPr="008751C1" w:rsidRDefault="00D97699" w:rsidP="00804B88">
            <w:pPr>
              <w:rPr>
                <w:b/>
                <w:sz w:val="20"/>
                <w:szCs w:val="20"/>
                <w:lang w:eastAsia="sk-SK"/>
              </w:rPr>
            </w:pPr>
            <w:r w:rsidRPr="008751C1">
              <w:rPr>
                <w:b/>
                <w:sz w:val="20"/>
                <w:szCs w:val="20"/>
                <w:lang w:eastAsia="sk-SK"/>
              </w:rPr>
              <w:t>Vplyvy na limit verejných výdavkov</w:t>
            </w:r>
          </w:p>
        </w:tc>
        <w:sdt>
          <w:sdtPr>
            <w:rPr>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D97699" w:rsidRPr="008751C1" w:rsidRDefault="00D97699" w:rsidP="00804B88">
                <w:pPr>
                  <w:jc w:val="center"/>
                  <w:rPr>
                    <w:sz w:val="20"/>
                    <w:szCs w:val="20"/>
                    <w:lang w:eastAsia="sk-SK"/>
                  </w:rPr>
                </w:pPr>
                <w:r w:rsidRPr="008751C1">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D97699" w:rsidRPr="008751C1" w:rsidRDefault="00D97699" w:rsidP="00804B88">
            <w:pPr>
              <w:rPr>
                <w:sz w:val="20"/>
                <w:szCs w:val="20"/>
                <w:lang w:eastAsia="sk-SK"/>
              </w:rPr>
            </w:pPr>
            <w:r w:rsidRPr="008751C1">
              <w:rPr>
                <w:b/>
                <w:sz w:val="20"/>
                <w:szCs w:val="20"/>
                <w:lang w:eastAsia="sk-SK"/>
              </w:rPr>
              <w:t>Pozitívne</w:t>
            </w:r>
          </w:p>
        </w:tc>
        <w:sdt>
          <w:sdtPr>
            <w:rPr>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D97699" w:rsidRPr="008751C1" w:rsidRDefault="00D97699" w:rsidP="00804B88">
                <w:pPr>
                  <w:jc w:val="center"/>
                  <w:rPr>
                    <w:sz w:val="20"/>
                    <w:szCs w:val="20"/>
                    <w:lang w:eastAsia="sk-SK"/>
                  </w:rPr>
                </w:pPr>
                <w:r w:rsidRPr="008751C1">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D97699" w:rsidRPr="008751C1" w:rsidRDefault="00D97699" w:rsidP="00804B88">
            <w:pPr>
              <w:rPr>
                <w:sz w:val="20"/>
                <w:szCs w:val="20"/>
                <w:lang w:eastAsia="sk-SK"/>
              </w:rPr>
            </w:pPr>
            <w:r w:rsidRPr="008751C1">
              <w:rPr>
                <w:b/>
                <w:sz w:val="20"/>
                <w:szCs w:val="20"/>
                <w:lang w:eastAsia="sk-SK"/>
              </w:rPr>
              <w:t>Žiadne</w:t>
            </w:r>
          </w:p>
        </w:tc>
        <w:sdt>
          <w:sdtPr>
            <w:rPr>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D97699" w:rsidRPr="008751C1" w:rsidRDefault="00D97699" w:rsidP="00804B88">
                <w:pPr>
                  <w:ind w:left="-107" w:right="-108"/>
                  <w:jc w:val="center"/>
                  <w:rPr>
                    <w:sz w:val="20"/>
                    <w:szCs w:val="20"/>
                    <w:lang w:eastAsia="sk-SK"/>
                  </w:rPr>
                </w:pPr>
                <w:r w:rsidRPr="008751C1">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D97699" w:rsidRPr="008751C1" w:rsidRDefault="00D97699" w:rsidP="00804B88">
            <w:pPr>
              <w:ind w:left="34"/>
              <w:rPr>
                <w:sz w:val="20"/>
                <w:szCs w:val="20"/>
                <w:lang w:eastAsia="sk-SK"/>
              </w:rPr>
            </w:pPr>
            <w:r w:rsidRPr="008751C1">
              <w:rPr>
                <w:b/>
                <w:sz w:val="20"/>
                <w:szCs w:val="20"/>
                <w:lang w:eastAsia="sk-SK"/>
              </w:rPr>
              <w:t>Negatívne</w:t>
            </w:r>
          </w:p>
        </w:tc>
      </w:tr>
      <w:tr w:rsidR="00D97699" w:rsidRPr="008751C1" w:rsidTr="00804B88">
        <w:tc>
          <w:tcPr>
            <w:tcW w:w="3812" w:type="dxa"/>
            <w:tcBorders>
              <w:top w:val="single" w:sz="4" w:space="0" w:color="auto"/>
              <w:left w:val="single" w:sz="4" w:space="0" w:color="auto"/>
              <w:bottom w:val="nil"/>
              <w:right w:val="single" w:sz="4" w:space="0" w:color="auto"/>
            </w:tcBorders>
            <w:shd w:val="clear" w:color="auto" w:fill="E2E2E2"/>
          </w:tcPr>
          <w:p w:rsidR="00D97699" w:rsidRPr="008751C1" w:rsidRDefault="00D97699" w:rsidP="00804B88">
            <w:pPr>
              <w:rPr>
                <w:b/>
                <w:sz w:val="20"/>
                <w:szCs w:val="20"/>
                <w:lang w:eastAsia="sk-SK"/>
              </w:rPr>
            </w:pPr>
            <w:r w:rsidRPr="008751C1">
              <w:rPr>
                <w:b/>
                <w:sz w:val="20"/>
                <w:szCs w:val="20"/>
                <w:lang w:eastAsia="sk-SK"/>
              </w:rPr>
              <w:t>Vplyvy na podnikateľské prostredie</w:t>
            </w:r>
          </w:p>
        </w:tc>
        <w:sdt>
          <w:sdtPr>
            <w:rPr>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D97699" w:rsidRPr="008751C1" w:rsidRDefault="00D97699" w:rsidP="00804B88">
            <w:pPr>
              <w:ind w:right="-108"/>
              <w:rPr>
                <w:b/>
                <w:sz w:val="20"/>
                <w:szCs w:val="20"/>
                <w:lang w:eastAsia="sk-SK"/>
              </w:rPr>
            </w:pPr>
            <w:r w:rsidRPr="008751C1">
              <w:rPr>
                <w:b/>
                <w:sz w:val="20"/>
                <w:szCs w:val="20"/>
                <w:lang w:eastAsia="sk-SK"/>
              </w:rPr>
              <w:t>Pozitívne</w:t>
            </w:r>
          </w:p>
        </w:tc>
        <w:sdt>
          <w:sdtPr>
            <w:rPr>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D97699" w:rsidRPr="008751C1" w:rsidRDefault="00D97699" w:rsidP="00804B88">
            <w:pPr>
              <w:rPr>
                <w:b/>
                <w:sz w:val="20"/>
                <w:szCs w:val="20"/>
                <w:lang w:eastAsia="sk-SK"/>
              </w:rPr>
            </w:pPr>
            <w:r w:rsidRPr="008751C1">
              <w:rPr>
                <w:b/>
                <w:sz w:val="20"/>
                <w:szCs w:val="20"/>
                <w:lang w:eastAsia="sk-SK"/>
              </w:rPr>
              <w:t>Žiadne</w:t>
            </w:r>
          </w:p>
        </w:tc>
        <w:sdt>
          <w:sdtPr>
            <w:rPr>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D97699" w:rsidRPr="008751C1" w:rsidRDefault="00D97699" w:rsidP="00804B88">
            <w:pPr>
              <w:ind w:left="54"/>
              <w:rPr>
                <w:b/>
                <w:sz w:val="20"/>
                <w:szCs w:val="20"/>
                <w:lang w:eastAsia="sk-SK"/>
              </w:rPr>
            </w:pPr>
            <w:r w:rsidRPr="008751C1">
              <w:rPr>
                <w:b/>
                <w:sz w:val="20"/>
                <w:szCs w:val="20"/>
                <w:lang w:eastAsia="sk-SK"/>
              </w:rPr>
              <w:t>Negatívne</w:t>
            </w:r>
          </w:p>
        </w:tc>
      </w:tr>
      <w:tr w:rsidR="00D97699" w:rsidRPr="008751C1" w:rsidTr="00804B88">
        <w:tc>
          <w:tcPr>
            <w:tcW w:w="3812" w:type="dxa"/>
            <w:tcBorders>
              <w:top w:val="nil"/>
              <w:left w:val="single" w:sz="4" w:space="0" w:color="000000"/>
              <w:bottom w:val="nil"/>
              <w:right w:val="single" w:sz="4" w:space="0" w:color="000000"/>
            </w:tcBorders>
            <w:shd w:val="clear" w:color="auto" w:fill="E2E2E2"/>
          </w:tcPr>
          <w:p w:rsidR="00D97699" w:rsidRPr="008751C1" w:rsidRDefault="00D97699" w:rsidP="00804B88">
            <w:pPr>
              <w:rPr>
                <w:sz w:val="20"/>
                <w:szCs w:val="20"/>
                <w:lang w:eastAsia="sk-SK"/>
              </w:rPr>
            </w:pPr>
            <w:r w:rsidRPr="008751C1">
              <w:rPr>
                <w:sz w:val="20"/>
                <w:szCs w:val="20"/>
                <w:lang w:eastAsia="sk-SK"/>
              </w:rPr>
              <w:t xml:space="preserve">    z toho vplyvy na MSP</w:t>
            </w:r>
          </w:p>
          <w:p w:rsidR="00D97699" w:rsidRPr="008751C1" w:rsidRDefault="00D97699" w:rsidP="00804B88">
            <w:pPr>
              <w:rPr>
                <w:sz w:val="20"/>
                <w:szCs w:val="20"/>
                <w:lang w:eastAsia="sk-SK"/>
              </w:rPr>
            </w:pPr>
          </w:p>
        </w:tc>
        <w:sdt>
          <w:sdtPr>
            <w:rPr>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D97699" w:rsidRPr="008751C1" w:rsidRDefault="00D97699" w:rsidP="00804B88">
                <w:pPr>
                  <w:jc w:val="center"/>
                  <w:rPr>
                    <w:sz w:val="20"/>
                    <w:szCs w:val="20"/>
                    <w:lang w:eastAsia="sk-SK"/>
                  </w:rPr>
                </w:pPr>
                <w:r w:rsidRPr="008751C1">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D97699" w:rsidRPr="008751C1" w:rsidRDefault="00D97699" w:rsidP="00804B88">
            <w:pPr>
              <w:ind w:right="-108"/>
              <w:rPr>
                <w:sz w:val="20"/>
                <w:szCs w:val="20"/>
                <w:lang w:eastAsia="sk-SK"/>
              </w:rPr>
            </w:pPr>
            <w:r w:rsidRPr="008751C1">
              <w:rPr>
                <w:sz w:val="20"/>
                <w:szCs w:val="20"/>
                <w:lang w:eastAsia="sk-SK"/>
              </w:rPr>
              <w:t>Pozitívne</w:t>
            </w:r>
          </w:p>
        </w:tc>
        <w:sdt>
          <w:sdtPr>
            <w:rPr>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D97699" w:rsidRPr="008751C1" w:rsidRDefault="00D97699" w:rsidP="00804B88">
                <w:pPr>
                  <w:jc w:val="center"/>
                  <w:rPr>
                    <w:sz w:val="20"/>
                    <w:szCs w:val="20"/>
                    <w:lang w:eastAsia="sk-SK"/>
                  </w:rPr>
                </w:pPr>
                <w:r w:rsidRPr="008751C1">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D97699" w:rsidRPr="008751C1" w:rsidRDefault="00D97699" w:rsidP="00804B88">
            <w:pPr>
              <w:rPr>
                <w:sz w:val="20"/>
                <w:szCs w:val="20"/>
                <w:lang w:eastAsia="sk-SK"/>
              </w:rPr>
            </w:pPr>
            <w:r w:rsidRPr="008751C1">
              <w:rPr>
                <w:sz w:val="20"/>
                <w:szCs w:val="20"/>
                <w:lang w:eastAsia="sk-SK"/>
              </w:rPr>
              <w:t>Žiadne</w:t>
            </w:r>
          </w:p>
        </w:tc>
        <w:sdt>
          <w:sdtPr>
            <w:rPr>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D97699" w:rsidRPr="008751C1" w:rsidRDefault="00D97699" w:rsidP="00804B88">
                <w:pPr>
                  <w:jc w:val="center"/>
                  <w:rPr>
                    <w:sz w:val="20"/>
                    <w:szCs w:val="20"/>
                    <w:lang w:eastAsia="sk-SK"/>
                  </w:rPr>
                </w:pPr>
                <w:r w:rsidRPr="008751C1">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D97699" w:rsidRPr="008751C1" w:rsidRDefault="00D97699" w:rsidP="00804B88">
            <w:pPr>
              <w:ind w:left="54"/>
              <w:rPr>
                <w:sz w:val="20"/>
                <w:szCs w:val="20"/>
                <w:lang w:eastAsia="sk-SK"/>
              </w:rPr>
            </w:pPr>
            <w:r w:rsidRPr="008751C1">
              <w:rPr>
                <w:sz w:val="20"/>
                <w:szCs w:val="20"/>
                <w:lang w:eastAsia="sk-SK"/>
              </w:rPr>
              <w:t>Negatívne</w:t>
            </w:r>
          </w:p>
        </w:tc>
      </w:tr>
      <w:tr w:rsidR="00D97699" w:rsidRPr="008751C1" w:rsidTr="00804B88">
        <w:tc>
          <w:tcPr>
            <w:tcW w:w="3812" w:type="dxa"/>
            <w:tcBorders>
              <w:top w:val="nil"/>
              <w:left w:val="single" w:sz="4" w:space="0" w:color="auto"/>
              <w:bottom w:val="single" w:sz="4" w:space="0" w:color="auto"/>
              <w:right w:val="single" w:sz="4" w:space="0" w:color="auto"/>
            </w:tcBorders>
            <w:shd w:val="clear" w:color="auto" w:fill="E2E2E2"/>
          </w:tcPr>
          <w:p w:rsidR="00D97699" w:rsidRPr="008751C1" w:rsidRDefault="00D97699" w:rsidP="00804B88">
            <w:pPr>
              <w:rPr>
                <w:sz w:val="20"/>
                <w:szCs w:val="20"/>
                <w:lang w:eastAsia="sk-SK"/>
              </w:rPr>
            </w:pPr>
            <w:r w:rsidRPr="008751C1">
              <w:rPr>
                <w:sz w:val="20"/>
                <w:szCs w:val="20"/>
                <w:lang w:eastAsia="sk-SK"/>
              </w:rPr>
              <w:t xml:space="preserve">    Mechanizmus znižovania byrokracie    </w:t>
            </w:r>
          </w:p>
          <w:p w:rsidR="00D97699" w:rsidRPr="008751C1" w:rsidRDefault="00D97699" w:rsidP="00804B88">
            <w:pPr>
              <w:rPr>
                <w:b/>
                <w:sz w:val="20"/>
                <w:szCs w:val="20"/>
                <w:lang w:eastAsia="sk-SK"/>
              </w:rPr>
            </w:pPr>
            <w:r w:rsidRPr="008751C1">
              <w:rPr>
                <w:sz w:val="20"/>
                <w:szCs w:val="20"/>
                <w:lang w:eastAsia="sk-SK"/>
              </w:rPr>
              <w:t xml:space="preserve">    a nákladov sa uplatňuje:</w:t>
            </w:r>
          </w:p>
        </w:tc>
        <w:sdt>
          <w:sdtPr>
            <w:rPr>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D97699" w:rsidRPr="008751C1" w:rsidRDefault="00D97699" w:rsidP="00804B88">
            <w:pPr>
              <w:ind w:right="-108"/>
              <w:rPr>
                <w:b/>
                <w:sz w:val="20"/>
                <w:szCs w:val="20"/>
                <w:lang w:eastAsia="sk-SK"/>
              </w:rPr>
            </w:pPr>
            <w:r w:rsidRPr="008751C1">
              <w:rPr>
                <w:sz w:val="20"/>
                <w:szCs w:val="20"/>
                <w:lang w:eastAsia="sk-SK"/>
              </w:rPr>
              <w:t>Áno</w:t>
            </w:r>
          </w:p>
        </w:tc>
        <w:tc>
          <w:tcPr>
            <w:tcW w:w="254" w:type="dxa"/>
            <w:tcBorders>
              <w:top w:val="dotted" w:sz="4" w:space="0" w:color="auto"/>
              <w:left w:val="nil"/>
              <w:bottom w:val="single" w:sz="4" w:space="0" w:color="auto"/>
              <w:right w:val="nil"/>
            </w:tcBorders>
            <w:vAlign w:val="center"/>
          </w:tcPr>
          <w:p w:rsidR="00D97699" w:rsidRPr="008751C1" w:rsidRDefault="00D97699" w:rsidP="00804B88">
            <w:pPr>
              <w:jc w:val="center"/>
              <w:rPr>
                <w:b/>
                <w:sz w:val="20"/>
                <w:szCs w:val="20"/>
                <w:lang w:eastAsia="sk-SK"/>
              </w:rPr>
            </w:pPr>
          </w:p>
        </w:tc>
        <w:tc>
          <w:tcPr>
            <w:tcW w:w="1133" w:type="dxa"/>
            <w:tcBorders>
              <w:top w:val="dotted" w:sz="4" w:space="0" w:color="auto"/>
              <w:left w:val="nil"/>
              <w:bottom w:val="single" w:sz="4" w:space="0" w:color="auto"/>
              <w:right w:val="nil"/>
            </w:tcBorders>
            <w:vAlign w:val="center"/>
          </w:tcPr>
          <w:p w:rsidR="00D97699" w:rsidRPr="008751C1" w:rsidRDefault="00D97699" w:rsidP="00804B88">
            <w:pPr>
              <w:jc w:val="center"/>
              <w:rPr>
                <w:b/>
                <w:sz w:val="20"/>
                <w:szCs w:val="20"/>
                <w:lang w:eastAsia="sk-SK"/>
              </w:rPr>
            </w:pPr>
          </w:p>
        </w:tc>
        <w:sdt>
          <w:sdtPr>
            <w:rPr>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D97699" w:rsidRPr="008751C1" w:rsidRDefault="00D97699" w:rsidP="00804B88">
            <w:pPr>
              <w:ind w:left="54"/>
              <w:rPr>
                <w:b/>
                <w:sz w:val="20"/>
                <w:szCs w:val="20"/>
                <w:lang w:eastAsia="sk-SK"/>
              </w:rPr>
            </w:pPr>
            <w:r w:rsidRPr="008751C1">
              <w:rPr>
                <w:sz w:val="20"/>
                <w:szCs w:val="20"/>
                <w:lang w:eastAsia="sk-SK"/>
              </w:rPr>
              <w:t>Nie</w:t>
            </w:r>
          </w:p>
        </w:tc>
      </w:tr>
      <w:tr w:rsidR="00D97699" w:rsidRPr="008751C1" w:rsidTr="00804B88">
        <w:tc>
          <w:tcPr>
            <w:tcW w:w="3812" w:type="dxa"/>
            <w:tcBorders>
              <w:top w:val="single" w:sz="4" w:space="0" w:color="000000"/>
              <w:left w:val="single" w:sz="4" w:space="0" w:color="auto"/>
              <w:bottom w:val="single" w:sz="4" w:space="0" w:color="auto"/>
              <w:right w:val="single" w:sz="4" w:space="0" w:color="auto"/>
            </w:tcBorders>
            <w:shd w:val="clear" w:color="auto" w:fill="E2E2E2"/>
          </w:tcPr>
          <w:p w:rsidR="00D97699" w:rsidRPr="008751C1" w:rsidRDefault="00D97699" w:rsidP="00804B88">
            <w:pPr>
              <w:rPr>
                <w:b/>
                <w:sz w:val="20"/>
                <w:szCs w:val="20"/>
                <w:lang w:eastAsia="sk-SK"/>
              </w:rPr>
            </w:pPr>
            <w:r w:rsidRPr="008751C1">
              <w:rPr>
                <w:b/>
                <w:sz w:val="20"/>
                <w:szCs w:val="20"/>
                <w:lang w:eastAsia="sk-SK"/>
              </w:rPr>
              <w:t>Sociálne vplyvy</w:t>
            </w:r>
          </w:p>
        </w:tc>
        <w:sdt>
          <w:sdtPr>
            <w:rPr>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D97699" w:rsidRPr="008751C1" w:rsidRDefault="00D97699" w:rsidP="00804B88">
            <w:pPr>
              <w:ind w:right="-108"/>
              <w:rPr>
                <w:b/>
                <w:sz w:val="20"/>
                <w:szCs w:val="20"/>
                <w:lang w:eastAsia="sk-SK"/>
              </w:rPr>
            </w:pPr>
            <w:r w:rsidRPr="008751C1">
              <w:rPr>
                <w:b/>
                <w:sz w:val="20"/>
                <w:szCs w:val="20"/>
                <w:lang w:eastAsia="sk-SK"/>
              </w:rPr>
              <w:t>Pozitívne</w:t>
            </w:r>
          </w:p>
        </w:tc>
        <w:sdt>
          <w:sdtPr>
            <w:rPr>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D97699" w:rsidRPr="008751C1" w:rsidRDefault="00D97699" w:rsidP="00804B88">
            <w:pPr>
              <w:rPr>
                <w:b/>
                <w:sz w:val="20"/>
                <w:szCs w:val="20"/>
                <w:lang w:eastAsia="sk-SK"/>
              </w:rPr>
            </w:pPr>
            <w:r w:rsidRPr="008751C1">
              <w:rPr>
                <w:b/>
                <w:sz w:val="20"/>
                <w:szCs w:val="20"/>
                <w:lang w:eastAsia="sk-SK"/>
              </w:rPr>
              <w:t>Žiadne</w:t>
            </w:r>
          </w:p>
        </w:tc>
        <w:sdt>
          <w:sdtPr>
            <w:rPr>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D97699" w:rsidRPr="008751C1" w:rsidRDefault="00D97699" w:rsidP="00804B88">
            <w:pPr>
              <w:ind w:left="54"/>
              <w:rPr>
                <w:b/>
                <w:sz w:val="20"/>
                <w:szCs w:val="20"/>
                <w:lang w:eastAsia="sk-SK"/>
              </w:rPr>
            </w:pPr>
            <w:r w:rsidRPr="008751C1">
              <w:rPr>
                <w:b/>
                <w:sz w:val="20"/>
                <w:szCs w:val="20"/>
                <w:lang w:eastAsia="sk-SK"/>
              </w:rPr>
              <w:t>Negatívne</w:t>
            </w:r>
          </w:p>
        </w:tc>
      </w:tr>
      <w:tr w:rsidR="00D97699" w:rsidRPr="008751C1" w:rsidTr="00804B88">
        <w:tc>
          <w:tcPr>
            <w:tcW w:w="3812" w:type="dxa"/>
            <w:tcBorders>
              <w:top w:val="single" w:sz="4" w:space="0" w:color="auto"/>
              <w:left w:val="single" w:sz="4" w:space="0" w:color="auto"/>
              <w:bottom w:val="nil"/>
              <w:right w:val="single" w:sz="4" w:space="0" w:color="auto"/>
            </w:tcBorders>
            <w:shd w:val="clear" w:color="auto" w:fill="E2E2E2"/>
          </w:tcPr>
          <w:p w:rsidR="00D97699" w:rsidRPr="008751C1" w:rsidRDefault="00D97699" w:rsidP="00804B88">
            <w:pPr>
              <w:rPr>
                <w:b/>
                <w:sz w:val="20"/>
                <w:szCs w:val="20"/>
                <w:lang w:eastAsia="sk-SK"/>
              </w:rPr>
            </w:pPr>
            <w:r w:rsidRPr="008751C1">
              <w:rPr>
                <w:b/>
                <w:sz w:val="20"/>
                <w:szCs w:val="20"/>
                <w:lang w:eastAsia="sk-SK"/>
              </w:rPr>
              <w:t>Vplyvy na životné prostredie</w:t>
            </w:r>
          </w:p>
        </w:tc>
        <w:sdt>
          <w:sdtPr>
            <w:rPr>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D97699" w:rsidRPr="008751C1" w:rsidRDefault="00D97699" w:rsidP="00804B88">
            <w:pPr>
              <w:ind w:right="-108"/>
              <w:rPr>
                <w:b/>
                <w:sz w:val="20"/>
                <w:szCs w:val="20"/>
                <w:lang w:eastAsia="sk-SK"/>
              </w:rPr>
            </w:pPr>
            <w:r w:rsidRPr="008751C1">
              <w:rPr>
                <w:b/>
                <w:sz w:val="20"/>
                <w:szCs w:val="20"/>
                <w:lang w:eastAsia="sk-SK"/>
              </w:rPr>
              <w:t>Pozitívne</w:t>
            </w:r>
          </w:p>
        </w:tc>
        <w:sdt>
          <w:sdtPr>
            <w:rPr>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D97699" w:rsidRPr="008751C1" w:rsidRDefault="00D97699" w:rsidP="00804B88">
            <w:pPr>
              <w:rPr>
                <w:b/>
                <w:sz w:val="20"/>
                <w:szCs w:val="20"/>
                <w:lang w:eastAsia="sk-SK"/>
              </w:rPr>
            </w:pPr>
            <w:r w:rsidRPr="008751C1">
              <w:rPr>
                <w:b/>
                <w:sz w:val="20"/>
                <w:szCs w:val="20"/>
                <w:lang w:eastAsia="sk-SK"/>
              </w:rPr>
              <w:t>Žiadne</w:t>
            </w:r>
          </w:p>
        </w:tc>
        <w:sdt>
          <w:sdtPr>
            <w:rPr>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D97699" w:rsidRPr="008751C1" w:rsidRDefault="00D97699" w:rsidP="00804B88">
            <w:pPr>
              <w:ind w:left="54"/>
              <w:rPr>
                <w:b/>
                <w:sz w:val="20"/>
                <w:szCs w:val="20"/>
                <w:lang w:eastAsia="sk-SK"/>
              </w:rPr>
            </w:pPr>
            <w:r w:rsidRPr="008751C1">
              <w:rPr>
                <w:b/>
                <w:sz w:val="20"/>
                <w:szCs w:val="20"/>
                <w:lang w:eastAsia="sk-SK"/>
              </w:rPr>
              <w:t>Negatívne</w:t>
            </w:r>
          </w:p>
        </w:tc>
      </w:tr>
      <w:tr w:rsidR="00D97699" w:rsidRPr="008751C1" w:rsidTr="00804B88">
        <w:tc>
          <w:tcPr>
            <w:tcW w:w="3812" w:type="dxa"/>
            <w:tcBorders>
              <w:top w:val="nil"/>
              <w:left w:val="single" w:sz="4" w:space="0" w:color="auto"/>
              <w:bottom w:val="single" w:sz="4" w:space="0" w:color="auto"/>
              <w:right w:val="single" w:sz="4" w:space="0" w:color="auto"/>
            </w:tcBorders>
            <w:shd w:val="clear" w:color="auto" w:fill="E2E2E2"/>
          </w:tcPr>
          <w:p w:rsidR="00D97699" w:rsidRPr="008751C1" w:rsidRDefault="00D97699" w:rsidP="00804B88">
            <w:pPr>
              <w:rPr>
                <w:sz w:val="20"/>
                <w:szCs w:val="20"/>
                <w:lang w:eastAsia="sk-SK"/>
              </w:rPr>
            </w:pPr>
          </w:p>
          <w:p w:rsidR="00D97699" w:rsidRPr="008751C1" w:rsidRDefault="00D97699" w:rsidP="00804B88">
            <w:pPr>
              <w:ind w:left="164"/>
              <w:rPr>
                <w:b/>
                <w:sz w:val="20"/>
                <w:szCs w:val="20"/>
                <w:lang w:eastAsia="sk-SK"/>
              </w:rPr>
            </w:pPr>
            <w:r w:rsidRPr="008751C1">
              <w:rPr>
                <w:sz w:val="20"/>
                <w:szCs w:val="20"/>
                <w:lang w:eastAsia="sk-SK"/>
              </w:rPr>
              <w:t>Materiál je posudzovaný podľa zákona č. 24/2006 Z. z. o posudzovaní vplyvov na životné prostredie a o zmene a doplnení niektorých zákonov v znení neskorších predpisov</w:t>
            </w:r>
          </w:p>
        </w:tc>
        <w:sdt>
          <w:sdtPr>
            <w:rPr>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D97699" w:rsidRPr="008751C1" w:rsidRDefault="00D97699" w:rsidP="00804B88">
            <w:pPr>
              <w:ind w:right="-108"/>
              <w:rPr>
                <w:b/>
                <w:sz w:val="20"/>
                <w:szCs w:val="20"/>
                <w:lang w:eastAsia="sk-SK"/>
              </w:rPr>
            </w:pPr>
            <w:r w:rsidRPr="008751C1">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D97699" w:rsidRPr="008751C1" w:rsidRDefault="00D97699" w:rsidP="00804B88">
            <w:pPr>
              <w:jc w:val="center"/>
              <w:rPr>
                <w:b/>
                <w:sz w:val="20"/>
                <w:szCs w:val="20"/>
                <w:lang w:eastAsia="sk-SK"/>
              </w:rPr>
            </w:pPr>
          </w:p>
        </w:tc>
        <w:tc>
          <w:tcPr>
            <w:tcW w:w="1133" w:type="dxa"/>
            <w:tcBorders>
              <w:top w:val="single" w:sz="4" w:space="0" w:color="auto"/>
              <w:left w:val="nil"/>
              <w:bottom w:val="single" w:sz="4" w:space="0" w:color="auto"/>
              <w:right w:val="nil"/>
            </w:tcBorders>
            <w:vAlign w:val="center"/>
          </w:tcPr>
          <w:p w:rsidR="00D97699" w:rsidRPr="008751C1" w:rsidRDefault="00D97699" w:rsidP="00804B88">
            <w:pPr>
              <w:jc w:val="center"/>
              <w:rPr>
                <w:b/>
                <w:sz w:val="20"/>
                <w:szCs w:val="20"/>
                <w:lang w:eastAsia="sk-SK"/>
              </w:rPr>
            </w:pPr>
          </w:p>
        </w:tc>
        <w:sdt>
          <w:sdtPr>
            <w:rPr>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D97699" w:rsidRPr="008751C1" w:rsidRDefault="00D97699" w:rsidP="00804B88">
            <w:pPr>
              <w:ind w:left="54"/>
              <w:rPr>
                <w:b/>
                <w:sz w:val="20"/>
                <w:szCs w:val="20"/>
                <w:lang w:eastAsia="sk-SK"/>
              </w:rPr>
            </w:pPr>
            <w:r w:rsidRPr="008751C1">
              <w:rPr>
                <w:sz w:val="20"/>
                <w:szCs w:val="20"/>
                <w:lang w:eastAsia="sk-SK"/>
              </w:rPr>
              <w:t>Nie</w:t>
            </w:r>
          </w:p>
        </w:tc>
      </w:tr>
      <w:tr w:rsidR="00D97699" w:rsidRPr="008751C1" w:rsidTr="00804B88">
        <w:tc>
          <w:tcPr>
            <w:tcW w:w="3812" w:type="dxa"/>
            <w:tcBorders>
              <w:top w:val="single" w:sz="4" w:space="0" w:color="auto"/>
              <w:left w:val="single" w:sz="4" w:space="0" w:color="auto"/>
              <w:bottom w:val="single" w:sz="4" w:space="0" w:color="auto"/>
              <w:right w:val="single" w:sz="4" w:space="0" w:color="auto"/>
            </w:tcBorders>
            <w:shd w:val="clear" w:color="auto" w:fill="E2E2E2"/>
          </w:tcPr>
          <w:p w:rsidR="00D97699" w:rsidRPr="008751C1" w:rsidRDefault="00D97699" w:rsidP="00804B88">
            <w:pPr>
              <w:rPr>
                <w:b/>
                <w:sz w:val="20"/>
                <w:szCs w:val="20"/>
                <w:lang w:eastAsia="sk-SK"/>
              </w:rPr>
            </w:pPr>
            <w:r w:rsidRPr="008751C1">
              <w:rPr>
                <w:b/>
                <w:sz w:val="20"/>
                <w:szCs w:val="20"/>
                <w:lang w:eastAsia="sk-SK"/>
              </w:rPr>
              <w:t>Vplyvy na informatizáciu spoločnosti</w:t>
            </w:r>
          </w:p>
        </w:tc>
        <w:sdt>
          <w:sdtPr>
            <w:rPr>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D97699" w:rsidRPr="008751C1" w:rsidRDefault="00D97699" w:rsidP="00804B88">
            <w:pPr>
              <w:ind w:right="-108"/>
              <w:rPr>
                <w:b/>
                <w:sz w:val="20"/>
                <w:szCs w:val="20"/>
                <w:lang w:eastAsia="sk-SK"/>
              </w:rPr>
            </w:pPr>
            <w:r w:rsidRPr="008751C1">
              <w:rPr>
                <w:b/>
                <w:sz w:val="20"/>
                <w:szCs w:val="20"/>
                <w:lang w:eastAsia="sk-SK"/>
              </w:rPr>
              <w:t>Pozitívne</w:t>
            </w:r>
          </w:p>
        </w:tc>
        <w:sdt>
          <w:sdtPr>
            <w:rPr>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D97699" w:rsidRPr="008751C1" w:rsidRDefault="00D97699" w:rsidP="00804B88">
            <w:pPr>
              <w:rPr>
                <w:b/>
                <w:sz w:val="20"/>
                <w:szCs w:val="20"/>
                <w:lang w:eastAsia="sk-SK"/>
              </w:rPr>
            </w:pPr>
            <w:r w:rsidRPr="008751C1">
              <w:rPr>
                <w:b/>
                <w:sz w:val="20"/>
                <w:szCs w:val="20"/>
                <w:lang w:eastAsia="sk-SK"/>
              </w:rPr>
              <w:t>Žiadne</w:t>
            </w:r>
          </w:p>
        </w:tc>
        <w:sdt>
          <w:sdtPr>
            <w:rPr>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D97699" w:rsidRPr="008751C1" w:rsidRDefault="00D97699" w:rsidP="00804B88">
            <w:pPr>
              <w:ind w:left="54"/>
              <w:rPr>
                <w:b/>
                <w:sz w:val="20"/>
                <w:szCs w:val="20"/>
                <w:lang w:eastAsia="sk-SK"/>
              </w:rPr>
            </w:pPr>
            <w:r w:rsidRPr="008751C1">
              <w:rPr>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D97699" w:rsidRPr="008751C1" w:rsidTr="00804B88">
        <w:tc>
          <w:tcPr>
            <w:tcW w:w="3812" w:type="dxa"/>
            <w:tcBorders>
              <w:top w:val="single" w:sz="4" w:space="0" w:color="auto"/>
              <w:left w:val="single" w:sz="4" w:space="0" w:color="auto"/>
              <w:bottom w:val="nil"/>
              <w:right w:val="single" w:sz="4" w:space="0" w:color="auto"/>
            </w:tcBorders>
            <w:shd w:val="clear" w:color="auto" w:fill="E2E2E2"/>
          </w:tcPr>
          <w:p w:rsidR="00D97699" w:rsidRPr="008751C1" w:rsidRDefault="00D97699" w:rsidP="00804B88">
            <w:pPr>
              <w:rPr>
                <w:b/>
                <w:sz w:val="20"/>
                <w:szCs w:val="20"/>
                <w:lang w:eastAsia="sk-SK"/>
              </w:rPr>
            </w:pPr>
            <w:r w:rsidRPr="008751C1">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D97699" w:rsidRPr="008751C1" w:rsidRDefault="00D97699" w:rsidP="00804B88">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rsidR="00D97699" w:rsidRPr="008751C1" w:rsidRDefault="00D97699" w:rsidP="00804B88">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rsidR="00D97699" w:rsidRPr="008751C1" w:rsidRDefault="00D97699" w:rsidP="00804B88">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rsidR="00D97699" w:rsidRPr="008751C1" w:rsidRDefault="00D97699" w:rsidP="00804B88">
            <w:pPr>
              <w:rPr>
                <w:b/>
                <w:sz w:val="20"/>
                <w:szCs w:val="20"/>
                <w:lang w:eastAsia="sk-SK"/>
              </w:rPr>
            </w:pPr>
          </w:p>
        </w:tc>
        <w:tc>
          <w:tcPr>
            <w:tcW w:w="547" w:type="dxa"/>
            <w:tcBorders>
              <w:top w:val="single" w:sz="4" w:space="0" w:color="auto"/>
              <w:left w:val="nil"/>
              <w:bottom w:val="nil"/>
              <w:right w:val="nil"/>
            </w:tcBorders>
            <w:shd w:val="clear" w:color="auto" w:fill="auto"/>
          </w:tcPr>
          <w:p w:rsidR="00D97699" w:rsidRPr="008751C1" w:rsidRDefault="00D97699" w:rsidP="00804B88">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D97699" w:rsidRPr="008751C1" w:rsidRDefault="00D97699" w:rsidP="00804B88">
            <w:pPr>
              <w:ind w:left="54"/>
              <w:rPr>
                <w:b/>
                <w:sz w:val="20"/>
                <w:szCs w:val="20"/>
                <w:lang w:eastAsia="sk-SK"/>
              </w:rPr>
            </w:pPr>
          </w:p>
        </w:tc>
      </w:tr>
      <w:tr w:rsidR="00D97699" w:rsidRPr="008751C1" w:rsidTr="00804B88">
        <w:tc>
          <w:tcPr>
            <w:tcW w:w="3812" w:type="dxa"/>
            <w:tcBorders>
              <w:top w:val="nil"/>
              <w:left w:val="single" w:sz="4" w:space="0" w:color="auto"/>
              <w:bottom w:val="nil"/>
              <w:right w:val="single" w:sz="4" w:space="0" w:color="auto"/>
            </w:tcBorders>
            <w:shd w:val="clear" w:color="auto" w:fill="E2E2E2"/>
          </w:tcPr>
          <w:p w:rsidR="00D97699" w:rsidRPr="008751C1" w:rsidRDefault="00D97699" w:rsidP="00804B88">
            <w:pPr>
              <w:ind w:left="196" w:hanging="196"/>
              <w:rPr>
                <w:rFonts w:eastAsia="Calibri"/>
                <w:b/>
                <w:sz w:val="20"/>
                <w:szCs w:val="20"/>
              </w:rPr>
            </w:pPr>
            <w:r w:rsidRPr="008751C1">
              <w:rPr>
                <w:rFonts w:eastAsia="Calibri"/>
                <w:b/>
                <w:sz w:val="20"/>
                <w:szCs w:val="20"/>
              </w:rPr>
              <w:lastRenderedPageBreak/>
              <w:t xml:space="preserve">    vplyvy služieb verejnej správy na občana</w:t>
            </w:r>
          </w:p>
        </w:tc>
        <w:sdt>
          <w:sdtPr>
            <w:rPr>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D97699" w:rsidRPr="008751C1" w:rsidRDefault="00D97699" w:rsidP="00804B88">
            <w:pPr>
              <w:ind w:right="-108"/>
              <w:rPr>
                <w:b/>
                <w:sz w:val="20"/>
                <w:szCs w:val="20"/>
                <w:lang w:eastAsia="sk-SK"/>
              </w:rPr>
            </w:pPr>
            <w:r w:rsidRPr="008751C1">
              <w:rPr>
                <w:b/>
                <w:sz w:val="20"/>
                <w:szCs w:val="20"/>
                <w:lang w:eastAsia="sk-SK"/>
              </w:rPr>
              <w:t>Pozitívne</w:t>
            </w:r>
          </w:p>
        </w:tc>
        <w:sdt>
          <w:sdtPr>
            <w:rPr>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D97699" w:rsidRPr="008751C1" w:rsidRDefault="00D97699" w:rsidP="00804B88">
            <w:pPr>
              <w:rPr>
                <w:b/>
                <w:sz w:val="20"/>
                <w:szCs w:val="20"/>
                <w:lang w:eastAsia="sk-SK"/>
              </w:rPr>
            </w:pPr>
            <w:r w:rsidRPr="008751C1">
              <w:rPr>
                <w:b/>
                <w:sz w:val="20"/>
                <w:szCs w:val="20"/>
                <w:lang w:eastAsia="sk-SK"/>
              </w:rPr>
              <w:t>Žiadne</w:t>
            </w:r>
          </w:p>
        </w:tc>
        <w:sdt>
          <w:sdtPr>
            <w:rPr>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D97699" w:rsidRPr="008751C1" w:rsidRDefault="00D97699" w:rsidP="00804B88">
            <w:pPr>
              <w:ind w:left="54"/>
              <w:rPr>
                <w:b/>
                <w:sz w:val="20"/>
                <w:szCs w:val="20"/>
                <w:lang w:eastAsia="sk-SK"/>
              </w:rPr>
            </w:pPr>
            <w:r w:rsidRPr="008751C1">
              <w:rPr>
                <w:b/>
                <w:sz w:val="20"/>
                <w:szCs w:val="20"/>
                <w:lang w:eastAsia="sk-SK"/>
              </w:rPr>
              <w:t>Negatívne</w:t>
            </w:r>
          </w:p>
        </w:tc>
      </w:tr>
      <w:tr w:rsidR="00D97699" w:rsidRPr="008751C1" w:rsidTr="00804B88">
        <w:tc>
          <w:tcPr>
            <w:tcW w:w="3812" w:type="dxa"/>
            <w:tcBorders>
              <w:top w:val="nil"/>
              <w:left w:val="single" w:sz="4" w:space="0" w:color="auto"/>
              <w:bottom w:val="nil"/>
              <w:right w:val="single" w:sz="4" w:space="0" w:color="auto"/>
            </w:tcBorders>
            <w:shd w:val="clear" w:color="auto" w:fill="E2E2E2"/>
          </w:tcPr>
          <w:p w:rsidR="00D97699" w:rsidRPr="008751C1" w:rsidRDefault="00D97699" w:rsidP="00804B88">
            <w:pPr>
              <w:ind w:left="168" w:hanging="168"/>
              <w:rPr>
                <w:rFonts w:eastAsia="Calibri"/>
                <w:b/>
                <w:sz w:val="20"/>
                <w:szCs w:val="20"/>
              </w:rPr>
            </w:pPr>
            <w:r w:rsidRPr="008751C1">
              <w:rPr>
                <w:rFonts w:eastAsia="Calibri"/>
                <w:b/>
                <w:sz w:val="20"/>
                <w:szCs w:val="20"/>
              </w:rPr>
              <w:t xml:space="preserve">    vplyvy na procesy služieb vo verejnej správe</w:t>
            </w:r>
          </w:p>
        </w:tc>
        <w:sdt>
          <w:sdtPr>
            <w:rPr>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D97699" w:rsidRPr="008751C1" w:rsidRDefault="00D97699" w:rsidP="00804B88">
            <w:pPr>
              <w:ind w:right="-108"/>
              <w:rPr>
                <w:b/>
                <w:sz w:val="20"/>
                <w:szCs w:val="20"/>
                <w:lang w:eastAsia="sk-SK"/>
              </w:rPr>
            </w:pPr>
            <w:r w:rsidRPr="008751C1">
              <w:rPr>
                <w:b/>
                <w:sz w:val="20"/>
                <w:szCs w:val="20"/>
                <w:lang w:eastAsia="sk-SK"/>
              </w:rPr>
              <w:t>Pozitívne</w:t>
            </w:r>
          </w:p>
        </w:tc>
        <w:sdt>
          <w:sdtPr>
            <w:rPr>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D97699" w:rsidRPr="008751C1" w:rsidRDefault="00D97699" w:rsidP="00804B88">
            <w:pPr>
              <w:rPr>
                <w:b/>
                <w:sz w:val="20"/>
                <w:szCs w:val="20"/>
                <w:lang w:eastAsia="sk-SK"/>
              </w:rPr>
            </w:pPr>
            <w:r w:rsidRPr="008751C1">
              <w:rPr>
                <w:b/>
                <w:sz w:val="20"/>
                <w:szCs w:val="20"/>
                <w:lang w:eastAsia="sk-SK"/>
              </w:rPr>
              <w:t>Žiadne</w:t>
            </w:r>
          </w:p>
        </w:tc>
        <w:sdt>
          <w:sdtPr>
            <w:rPr>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D97699" w:rsidRPr="008751C1" w:rsidRDefault="00D97699" w:rsidP="00804B88">
            <w:pPr>
              <w:ind w:left="54"/>
              <w:rPr>
                <w:b/>
                <w:sz w:val="20"/>
                <w:szCs w:val="20"/>
                <w:lang w:eastAsia="sk-SK"/>
              </w:rPr>
            </w:pPr>
            <w:r w:rsidRPr="008751C1">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D97699" w:rsidRPr="008751C1" w:rsidTr="00804B88">
        <w:tc>
          <w:tcPr>
            <w:tcW w:w="3812" w:type="dxa"/>
            <w:tcBorders>
              <w:top w:val="single" w:sz="4" w:space="0" w:color="000000"/>
              <w:left w:val="single" w:sz="4" w:space="0" w:color="auto"/>
              <w:bottom w:val="single" w:sz="4" w:space="0" w:color="auto"/>
              <w:right w:val="single" w:sz="4" w:space="0" w:color="auto"/>
            </w:tcBorders>
            <w:shd w:val="clear" w:color="auto" w:fill="E2E2E2"/>
          </w:tcPr>
          <w:p w:rsidR="00D97699" w:rsidRPr="008751C1" w:rsidRDefault="00D97699" w:rsidP="00804B88">
            <w:pPr>
              <w:rPr>
                <w:b/>
                <w:sz w:val="20"/>
                <w:szCs w:val="20"/>
                <w:lang w:eastAsia="sk-SK"/>
              </w:rPr>
            </w:pPr>
            <w:r w:rsidRPr="008751C1">
              <w:rPr>
                <w:b/>
                <w:sz w:val="20"/>
                <w:szCs w:val="20"/>
              </w:rPr>
              <w:t>Vplyvy na manželstvo, rodičovstvo a rodinu</w:t>
            </w:r>
          </w:p>
        </w:tc>
        <w:sdt>
          <w:sdtPr>
            <w:rPr>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D97699" w:rsidRPr="008751C1" w:rsidRDefault="00D97699" w:rsidP="00804B88">
            <w:pPr>
              <w:ind w:right="-108"/>
              <w:rPr>
                <w:b/>
                <w:sz w:val="20"/>
                <w:szCs w:val="20"/>
                <w:lang w:eastAsia="sk-SK"/>
              </w:rPr>
            </w:pPr>
            <w:r w:rsidRPr="008751C1">
              <w:rPr>
                <w:b/>
                <w:sz w:val="20"/>
                <w:szCs w:val="20"/>
                <w:lang w:eastAsia="sk-SK"/>
              </w:rPr>
              <w:t>Pozitívne</w:t>
            </w:r>
          </w:p>
        </w:tc>
        <w:sdt>
          <w:sdtPr>
            <w:rPr>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D97699" w:rsidRPr="008751C1" w:rsidRDefault="00D97699" w:rsidP="00804B88">
            <w:pPr>
              <w:rPr>
                <w:b/>
                <w:sz w:val="20"/>
                <w:szCs w:val="20"/>
                <w:lang w:eastAsia="sk-SK"/>
              </w:rPr>
            </w:pPr>
            <w:r w:rsidRPr="008751C1">
              <w:rPr>
                <w:b/>
                <w:sz w:val="20"/>
                <w:szCs w:val="20"/>
                <w:lang w:eastAsia="sk-SK"/>
              </w:rPr>
              <w:t>Žiadne</w:t>
            </w:r>
          </w:p>
        </w:tc>
        <w:sdt>
          <w:sdtPr>
            <w:rPr>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D97699" w:rsidRPr="008751C1" w:rsidRDefault="00D97699" w:rsidP="00804B88">
                <w:pPr>
                  <w:jc w:val="center"/>
                  <w:rPr>
                    <w:b/>
                    <w:sz w:val="20"/>
                    <w:szCs w:val="20"/>
                    <w:lang w:eastAsia="sk-SK"/>
                  </w:rPr>
                </w:pPr>
                <w:r w:rsidRPr="008751C1">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D97699" w:rsidRPr="008751C1" w:rsidRDefault="00D97699" w:rsidP="00804B88">
            <w:pPr>
              <w:ind w:left="54"/>
              <w:rPr>
                <w:b/>
                <w:sz w:val="20"/>
                <w:szCs w:val="20"/>
                <w:lang w:eastAsia="sk-SK"/>
              </w:rPr>
            </w:pPr>
            <w:r w:rsidRPr="008751C1">
              <w:rPr>
                <w:b/>
                <w:sz w:val="20"/>
                <w:szCs w:val="20"/>
                <w:lang w:eastAsia="sk-SK"/>
              </w:rPr>
              <w:t>Negatívne</w:t>
            </w:r>
          </w:p>
        </w:tc>
      </w:tr>
    </w:tbl>
    <w:p w:rsidR="00D97699" w:rsidRPr="008751C1" w:rsidRDefault="00D97699" w:rsidP="00D97699">
      <w:pPr>
        <w:ind w:right="141"/>
        <w:rPr>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D97699" w:rsidRPr="008751C1" w:rsidTr="00804B88">
        <w:tc>
          <w:tcPr>
            <w:tcW w:w="9176" w:type="dxa"/>
            <w:tcBorders>
              <w:top w:val="single" w:sz="4" w:space="0" w:color="auto"/>
              <w:left w:val="single" w:sz="4" w:space="0" w:color="auto"/>
              <w:bottom w:val="nil"/>
              <w:right w:val="single" w:sz="4" w:space="0" w:color="auto"/>
            </w:tcBorders>
            <w:shd w:val="clear" w:color="auto" w:fill="E2E2E2"/>
          </w:tcPr>
          <w:p w:rsidR="00D97699" w:rsidRPr="008751C1" w:rsidRDefault="00D97699" w:rsidP="00D97699">
            <w:pPr>
              <w:numPr>
                <w:ilvl w:val="0"/>
                <w:numId w:val="2"/>
              </w:numPr>
              <w:ind w:left="426"/>
              <w:contextualSpacing/>
              <w:rPr>
                <w:rFonts w:eastAsia="Calibri"/>
                <w:b/>
                <w:sz w:val="20"/>
                <w:szCs w:val="20"/>
              </w:rPr>
            </w:pPr>
            <w:r w:rsidRPr="008751C1">
              <w:rPr>
                <w:rFonts w:eastAsia="Calibri"/>
                <w:b/>
                <w:sz w:val="20"/>
                <w:szCs w:val="20"/>
              </w:rPr>
              <w:t>Poznámky</w:t>
            </w:r>
          </w:p>
        </w:tc>
      </w:tr>
      <w:tr w:rsidR="00D97699" w:rsidRPr="008751C1" w:rsidTr="00804B88">
        <w:trPr>
          <w:trHeight w:val="713"/>
        </w:trPr>
        <w:tc>
          <w:tcPr>
            <w:tcW w:w="9176" w:type="dxa"/>
            <w:tcBorders>
              <w:top w:val="nil"/>
              <w:left w:val="single" w:sz="4" w:space="0" w:color="auto"/>
              <w:bottom w:val="single" w:sz="4" w:space="0" w:color="FFFFFF"/>
              <w:right w:val="single" w:sz="4" w:space="0" w:color="auto"/>
            </w:tcBorders>
            <w:shd w:val="clear" w:color="auto" w:fill="auto"/>
          </w:tcPr>
          <w:p w:rsidR="00D97699" w:rsidRPr="008751C1" w:rsidRDefault="00D97699" w:rsidP="00804B88">
            <w:pPr>
              <w:jc w:val="both"/>
              <w:rPr>
                <w:sz w:val="20"/>
                <w:szCs w:val="20"/>
                <w:lang w:eastAsia="sk-SK"/>
              </w:rPr>
            </w:pPr>
            <w:r w:rsidRPr="008751C1">
              <w:rPr>
                <w:sz w:val="20"/>
                <w:szCs w:val="20"/>
                <w:lang w:eastAsia="sk-SK"/>
              </w:rPr>
              <w:t xml:space="preserve">Návrh zákona nezakladá žiadny z posudzovaných vplyvov. </w:t>
            </w:r>
          </w:p>
          <w:p w:rsidR="00D97699" w:rsidRPr="008751C1" w:rsidRDefault="00D97699" w:rsidP="00804B88">
            <w:pPr>
              <w:jc w:val="both"/>
              <w:rPr>
                <w:sz w:val="20"/>
                <w:szCs w:val="20"/>
                <w:lang w:eastAsia="sk-SK"/>
              </w:rPr>
            </w:pPr>
            <w:r w:rsidRPr="008751C1">
              <w:rPr>
                <w:sz w:val="20"/>
                <w:szCs w:val="20"/>
                <w:lang w:eastAsia="sk-SK"/>
              </w:rPr>
              <w:t xml:space="preserve">Zmeny súvisiace s úpravami v oblasti zaručenej konverzie boli zavedené zákonom č. 325/2022 Z. z., avšak vzhľadom na nedostatok informácií v čase predkladania materiálu nebolo možné identifikovať a vyčísliť vplyvy týchto zmien. V doložke vplyvov k predmetnému materiálu </w:t>
            </w:r>
            <w:r w:rsidRPr="008751C1">
              <w:rPr>
                <w:i/>
                <w:sz w:val="20"/>
                <w:szCs w:val="20"/>
                <w:lang w:eastAsia="sk-SK"/>
              </w:rPr>
              <w:t>(</w:t>
            </w:r>
            <w:hyperlink r:id="rId7" w:history="1">
              <w:r w:rsidRPr="008751C1">
                <w:rPr>
                  <w:rStyle w:val="Hypertextovprepojenie"/>
                  <w:i/>
                  <w:sz w:val="20"/>
                  <w:szCs w:val="20"/>
                  <w:lang w:eastAsia="sk-SK"/>
                </w:rPr>
                <w:t>Dokumenty : Parlamentné tlače : Parlamentná tlač 1037 - Národná rada Slovenskej republiky (nrsr.sk)</w:t>
              </w:r>
            </w:hyperlink>
            <w:r w:rsidRPr="008751C1">
              <w:rPr>
                <w:i/>
                <w:sz w:val="20"/>
                <w:szCs w:val="20"/>
                <w:lang w:eastAsia="sk-SK"/>
              </w:rPr>
              <w:t>)</w:t>
            </w:r>
            <w:r w:rsidRPr="008751C1">
              <w:rPr>
                <w:sz w:val="20"/>
                <w:szCs w:val="20"/>
                <w:lang w:eastAsia="sk-SK"/>
              </w:rPr>
              <w:t xml:space="preserve"> sa uvádza, že vplyvy bude možné bližšie identifikovať až pri predkladaní novely vyhlášky Ministerstva investícií regionálneho rozvoja a informatizácie Slovenskej republiky č. 70/2021 Z. z. o zaručenej konverzii. Uvedená vyhláška zatiaľ nebola predložená do legislatívneho procesu, a to najmä vzhľadom na aktuálny stav implementácie navrhovaných zmien a jej spracovanie sa očakáva v roku 2025.</w:t>
            </w:r>
          </w:p>
          <w:p w:rsidR="00D97699" w:rsidRPr="008751C1" w:rsidRDefault="00D97699" w:rsidP="00804B88">
            <w:pPr>
              <w:jc w:val="both"/>
              <w:rPr>
                <w:sz w:val="20"/>
                <w:szCs w:val="20"/>
                <w:lang w:eastAsia="sk-SK"/>
              </w:rPr>
            </w:pPr>
            <w:r w:rsidRPr="008751C1">
              <w:rPr>
                <w:sz w:val="20"/>
                <w:szCs w:val="20"/>
                <w:lang w:eastAsia="sk-SK"/>
              </w:rPr>
              <w:t xml:space="preserve">Vo vzťahu k podnikateľom ako dotknutým subjektom (bod č. 4) má predkladateľ za to, že síce posunutím termínu účinnosti o dva roky sa podnikateľom a ostatným osobám oprávneným vykonávať zaručenú konverziu (prevažne advokátom), okrem notárov, ktorí podľa § 39 ods. 5 zákona </w:t>
            </w:r>
            <w:r w:rsidRPr="008751C1">
              <w:rPr>
                <w:bCs/>
                <w:sz w:val="20"/>
                <w:szCs w:val="20"/>
              </w:rPr>
              <w:t>č. 325/2022 Z. z</w:t>
            </w:r>
            <w:r w:rsidRPr="008751C1">
              <w:rPr>
                <w:sz w:val="20"/>
                <w:szCs w:val="20"/>
                <w:lang w:eastAsia="sk-SK"/>
              </w:rPr>
              <w:t>. využívajú vlastný informačný systém Notárskej komory Slovenskej republiky, oddiali využívanie nového komplexného technického riešenia týkajúceho sa zaručenej konverzie, ktorého cieľom je okrem iného zjednodušiť vykonávanie zaručenej konverzie, avšak aktuálne využívaný systém naďalej funguje a podnikatelia ho môžu používať až do doby spustenia nového informačného systému Centrálnej evidencie záznamov o vykonanej zaručenej konverzii.</w:t>
            </w:r>
          </w:p>
          <w:p w:rsidR="00D97699" w:rsidRPr="008751C1" w:rsidRDefault="00D97699" w:rsidP="00804B88">
            <w:pPr>
              <w:ind w:left="426"/>
              <w:contextualSpacing/>
              <w:rPr>
                <w:rFonts w:eastAsia="Calibri"/>
                <w:b/>
                <w:sz w:val="20"/>
                <w:szCs w:val="20"/>
              </w:rPr>
            </w:pPr>
          </w:p>
        </w:tc>
      </w:tr>
      <w:tr w:rsidR="00D97699" w:rsidRPr="008751C1" w:rsidTr="00804B88">
        <w:tc>
          <w:tcPr>
            <w:tcW w:w="9176" w:type="dxa"/>
            <w:tcBorders>
              <w:top w:val="single" w:sz="4" w:space="0" w:color="auto"/>
              <w:left w:val="single" w:sz="4" w:space="0" w:color="auto"/>
              <w:bottom w:val="single" w:sz="4" w:space="0" w:color="FFFFFF"/>
              <w:right w:val="single" w:sz="4" w:space="0" w:color="auto"/>
            </w:tcBorders>
            <w:shd w:val="clear" w:color="auto" w:fill="E2E2E2"/>
          </w:tcPr>
          <w:p w:rsidR="00D97699" w:rsidRPr="008751C1" w:rsidRDefault="00D97699" w:rsidP="00D97699">
            <w:pPr>
              <w:numPr>
                <w:ilvl w:val="0"/>
                <w:numId w:val="2"/>
              </w:numPr>
              <w:ind w:left="426"/>
              <w:contextualSpacing/>
              <w:rPr>
                <w:rFonts w:eastAsia="Calibri"/>
                <w:b/>
                <w:sz w:val="20"/>
                <w:szCs w:val="20"/>
              </w:rPr>
            </w:pPr>
            <w:r w:rsidRPr="008751C1">
              <w:rPr>
                <w:rFonts w:eastAsia="Calibri"/>
                <w:b/>
                <w:sz w:val="20"/>
                <w:szCs w:val="20"/>
              </w:rPr>
              <w:t>Kontakt na spracovateľa</w:t>
            </w:r>
          </w:p>
        </w:tc>
      </w:tr>
      <w:tr w:rsidR="00D97699" w:rsidRPr="008751C1" w:rsidTr="00804B88">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D97699" w:rsidRPr="008751C1" w:rsidRDefault="00D97699" w:rsidP="00804B88">
            <w:pPr>
              <w:rPr>
                <w:sz w:val="20"/>
                <w:szCs w:val="20"/>
                <w:lang w:eastAsia="sk-SK"/>
              </w:rPr>
            </w:pPr>
            <w:r w:rsidRPr="008751C1">
              <w:rPr>
                <w:sz w:val="20"/>
                <w:szCs w:val="20"/>
                <w:lang w:eastAsia="sk-SK"/>
              </w:rPr>
              <w:t>Mgr. Ľubica Kašíková, LL.M</w:t>
            </w:r>
          </w:p>
          <w:p w:rsidR="00D97699" w:rsidRPr="008751C1" w:rsidRDefault="00D97699" w:rsidP="00804B88">
            <w:pPr>
              <w:rPr>
                <w:sz w:val="20"/>
                <w:szCs w:val="20"/>
                <w:lang w:eastAsia="sk-SK"/>
              </w:rPr>
            </w:pPr>
            <w:r w:rsidRPr="008751C1">
              <w:rPr>
                <w:sz w:val="20"/>
                <w:szCs w:val="20"/>
                <w:lang w:eastAsia="sk-SK"/>
              </w:rPr>
              <w:t>Ministerstvo investícií, regionálneho rozvoja a informatizácie SR</w:t>
            </w:r>
          </w:p>
          <w:p w:rsidR="00D97699" w:rsidRPr="008751C1" w:rsidRDefault="00D97699" w:rsidP="00804B88">
            <w:pPr>
              <w:rPr>
                <w:sz w:val="20"/>
                <w:szCs w:val="20"/>
                <w:lang w:eastAsia="sk-SK"/>
              </w:rPr>
            </w:pPr>
            <w:r w:rsidRPr="008751C1">
              <w:rPr>
                <w:sz w:val="20"/>
                <w:szCs w:val="20"/>
                <w:lang w:eastAsia="sk-SK"/>
              </w:rPr>
              <w:t>Pribinova 25</w:t>
            </w:r>
          </w:p>
          <w:p w:rsidR="00D97699" w:rsidRPr="008751C1" w:rsidRDefault="00D97699" w:rsidP="00804B88">
            <w:pPr>
              <w:rPr>
                <w:sz w:val="20"/>
                <w:szCs w:val="20"/>
                <w:lang w:eastAsia="sk-SK"/>
              </w:rPr>
            </w:pPr>
            <w:r w:rsidRPr="008751C1">
              <w:rPr>
                <w:sz w:val="20"/>
                <w:szCs w:val="20"/>
                <w:lang w:eastAsia="sk-SK"/>
              </w:rPr>
              <w:t>811 09 Bratislava</w:t>
            </w:r>
          </w:p>
          <w:p w:rsidR="00D97699" w:rsidRPr="008751C1" w:rsidRDefault="00D97699" w:rsidP="00804B88">
            <w:pPr>
              <w:rPr>
                <w:sz w:val="20"/>
                <w:szCs w:val="20"/>
                <w:lang w:eastAsia="sk-SK"/>
              </w:rPr>
            </w:pPr>
            <w:r w:rsidRPr="008751C1">
              <w:rPr>
                <w:sz w:val="20"/>
                <w:szCs w:val="20"/>
                <w:lang w:eastAsia="sk-SK"/>
              </w:rPr>
              <w:t>Tel.: +421 2 2092 8318</w:t>
            </w:r>
          </w:p>
          <w:p w:rsidR="00D97699" w:rsidRPr="008751C1" w:rsidRDefault="00D97699" w:rsidP="00804B88">
            <w:pPr>
              <w:spacing w:line="480" w:lineRule="auto"/>
              <w:rPr>
                <w:sz w:val="20"/>
                <w:szCs w:val="20"/>
                <w:lang w:eastAsia="sk-SK"/>
              </w:rPr>
            </w:pPr>
            <w:r w:rsidRPr="008751C1">
              <w:rPr>
                <w:sz w:val="20"/>
                <w:szCs w:val="20"/>
                <w:lang w:eastAsia="sk-SK"/>
              </w:rPr>
              <w:t>email: lubica.kasikova@mirri.gov.sk</w:t>
            </w:r>
          </w:p>
        </w:tc>
      </w:tr>
      <w:tr w:rsidR="00D97699" w:rsidRPr="008751C1" w:rsidTr="00804B88">
        <w:tc>
          <w:tcPr>
            <w:tcW w:w="9176" w:type="dxa"/>
            <w:tcBorders>
              <w:top w:val="single" w:sz="4" w:space="0" w:color="auto"/>
              <w:left w:val="single" w:sz="4" w:space="0" w:color="auto"/>
              <w:bottom w:val="single" w:sz="4" w:space="0" w:color="FFFFFF"/>
              <w:right w:val="single" w:sz="4" w:space="0" w:color="auto"/>
            </w:tcBorders>
            <w:shd w:val="clear" w:color="auto" w:fill="E2E2E2"/>
          </w:tcPr>
          <w:p w:rsidR="00D97699" w:rsidRPr="008751C1" w:rsidRDefault="00D97699" w:rsidP="00D97699">
            <w:pPr>
              <w:numPr>
                <w:ilvl w:val="0"/>
                <w:numId w:val="2"/>
              </w:numPr>
              <w:ind w:left="426"/>
              <w:contextualSpacing/>
              <w:rPr>
                <w:rFonts w:eastAsia="Calibri"/>
                <w:b/>
                <w:sz w:val="20"/>
                <w:szCs w:val="20"/>
              </w:rPr>
            </w:pPr>
            <w:r w:rsidRPr="008751C1">
              <w:rPr>
                <w:rFonts w:eastAsia="Calibri"/>
                <w:b/>
                <w:sz w:val="20"/>
                <w:szCs w:val="20"/>
              </w:rPr>
              <w:t>Zdroje</w:t>
            </w:r>
          </w:p>
        </w:tc>
      </w:tr>
      <w:tr w:rsidR="00D97699" w:rsidRPr="008751C1" w:rsidTr="00804B88">
        <w:trPr>
          <w:trHeight w:val="877"/>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D97699" w:rsidRPr="008751C1" w:rsidRDefault="00D97699" w:rsidP="00804B88">
            <w:pPr>
              <w:jc w:val="both"/>
              <w:rPr>
                <w:b/>
                <w:sz w:val="20"/>
                <w:szCs w:val="20"/>
                <w:lang w:eastAsia="sk-SK"/>
              </w:rPr>
            </w:pPr>
            <w:r w:rsidRPr="008751C1">
              <w:rPr>
                <w:rFonts w:eastAsia="Calibri"/>
                <w:sz w:val="20"/>
                <w:szCs w:val="20"/>
              </w:rPr>
              <w:t>Interné kapacity predkladateľa a organizácie v zriaďovateľskej pôsobnosti (Národná agentúra pre sieťové a elektronické služby).</w:t>
            </w:r>
          </w:p>
        </w:tc>
      </w:tr>
      <w:tr w:rsidR="00D97699" w:rsidRPr="008751C1" w:rsidTr="00804B88">
        <w:tc>
          <w:tcPr>
            <w:tcW w:w="9176" w:type="dxa"/>
            <w:tcBorders>
              <w:top w:val="single" w:sz="4" w:space="0" w:color="auto"/>
              <w:left w:val="single" w:sz="4" w:space="0" w:color="auto"/>
              <w:bottom w:val="single" w:sz="4" w:space="0" w:color="FFFFFF"/>
              <w:right w:val="single" w:sz="4" w:space="0" w:color="auto"/>
            </w:tcBorders>
            <w:shd w:val="clear" w:color="auto" w:fill="E2E2E2"/>
          </w:tcPr>
          <w:p w:rsidR="00D97699" w:rsidRPr="008751C1" w:rsidRDefault="00D97699" w:rsidP="00D97699">
            <w:pPr>
              <w:numPr>
                <w:ilvl w:val="0"/>
                <w:numId w:val="2"/>
              </w:numPr>
              <w:ind w:left="447" w:hanging="425"/>
              <w:contextualSpacing/>
              <w:rPr>
                <w:rFonts w:eastAsia="Calibri"/>
                <w:b/>
                <w:sz w:val="20"/>
                <w:szCs w:val="20"/>
              </w:rPr>
            </w:pPr>
            <w:r w:rsidRPr="008751C1">
              <w:rPr>
                <w:rFonts w:eastAsia="Calibri"/>
                <w:b/>
                <w:sz w:val="20"/>
                <w:szCs w:val="20"/>
              </w:rPr>
              <w:t>Stanovisko Komisie na posudzovanie vybraných vplyvov z PPK č. ..........</w:t>
            </w:r>
            <w:r w:rsidRPr="008751C1">
              <w:rPr>
                <w:rFonts w:ascii="Calibri" w:eastAsia="Calibri" w:hAnsi="Calibri"/>
                <w:sz w:val="20"/>
                <w:szCs w:val="20"/>
              </w:rPr>
              <w:t xml:space="preserve"> </w:t>
            </w:r>
          </w:p>
          <w:p w:rsidR="00D97699" w:rsidRPr="008751C1" w:rsidRDefault="00D97699" w:rsidP="00804B88">
            <w:pPr>
              <w:ind w:left="502"/>
              <w:rPr>
                <w:b/>
                <w:sz w:val="20"/>
                <w:szCs w:val="20"/>
                <w:lang w:eastAsia="sk-SK"/>
              </w:rPr>
            </w:pPr>
            <w:r w:rsidRPr="008751C1">
              <w:rPr>
                <w:rFonts w:eastAsia="Calibri"/>
                <w:sz w:val="20"/>
                <w:szCs w:val="20"/>
              </w:rPr>
              <w:t>(v prípade, ak sa uskutočnilo v zmysle bodu 8.1 Jednotnej metodiky)</w:t>
            </w:r>
          </w:p>
        </w:tc>
      </w:tr>
      <w:tr w:rsidR="00D97699" w:rsidRPr="008751C1" w:rsidTr="00804B88">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D97699" w:rsidRPr="008751C1" w:rsidRDefault="00D97699" w:rsidP="00804B88">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D97699" w:rsidRPr="008751C1" w:rsidTr="00804B88">
              <w:trPr>
                <w:trHeight w:val="396"/>
              </w:trPr>
              <w:tc>
                <w:tcPr>
                  <w:tcW w:w="2552" w:type="dxa"/>
                </w:tcPr>
                <w:p w:rsidR="00D97699" w:rsidRPr="008751C1" w:rsidRDefault="00DC1110" w:rsidP="00804B88">
                  <w:pPr>
                    <w:rPr>
                      <w:b/>
                      <w:sz w:val="20"/>
                      <w:szCs w:val="20"/>
                      <w:lang w:eastAsia="sk-SK"/>
                    </w:rPr>
                  </w:pPr>
                  <w:sdt>
                    <w:sdtPr>
                      <w:rPr>
                        <w:b/>
                        <w:sz w:val="20"/>
                        <w:szCs w:val="20"/>
                        <w:lang w:eastAsia="sk-SK"/>
                      </w:rPr>
                      <w:id w:val="-1874910888"/>
                      <w14:checkbox>
                        <w14:checked w14:val="0"/>
                        <w14:checkedState w14:val="2612" w14:font="MS Gothic"/>
                        <w14:uncheckedState w14:val="2610" w14:font="MS Gothic"/>
                      </w14:checkbox>
                    </w:sdtPr>
                    <w:sdtEndPr/>
                    <w:sdtContent>
                      <w:r w:rsidR="00D97699" w:rsidRPr="008751C1">
                        <w:rPr>
                          <w:rFonts w:ascii="MS Gothic" w:eastAsia="MS Gothic" w:hAnsi="MS Gothic" w:hint="eastAsia"/>
                          <w:b/>
                          <w:sz w:val="20"/>
                          <w:szCs w:val="20"/>
                          <w:lang w:eastAsia="sk-SK"/>
                        </w:rPr>
                        <w:t>☐</w:t>
                      </w:r>
                    </w:sdtContent>
                  </w:sdt>
                  <w:r w:rsidR="00D97699" w:rsidRPr="008751C1">
                    <w:rPr>
                      <w:b/>
                      <w:sz w:val="20"/>
                      <w:szCs w:val="20"/>
                      <w:lang w:eastAsia="sk-SK"/>
                    </w:rPr>
                    <w:t xml:space="preserve">  Súhlasné </w:t>
                  </w:r>
                </w:p>
              </w:tc>
              <w:tc>
                <w:tcPr>
                  <w:tcW w:w="3827" w:type="dxa"/>
                </w:tcPr>
                <w:p w:rsidR="00D97699" w:rsidRPr="008751C1" w:rsidRDefault="00DC1110" w:rsidP="00804B88">
                  <w:pPr>
                    <w:rPr>
                      <w:b/>
                      <w:sz w:val="20"/>
                      <w:szCs w:val="20"/>
                      <w:lang w:eastAsia="sk-SK"/>
                    </w:rPr>
                  </w:pPr>
                  <w:sdt>
                    <w:sdtPr>
                      <w:rPr>
                        <w:b/>
                        <w:sz w:val="20"/>
                        <w:szCs w:val="20"/>
                        <w:lang w:eastAsia="sk-SK"/>
                      </w:rPr>
                      <w:id w:val="1697888127"/>
                      <w14:checkbox>
                        <w14:checked w14:val="0"/>
                        <w14:checkedState w14:val="2612" w14:font="MS Gothic"/>
                        <w14:uncheckedState w14:val="2610" w14:font="MS Gothic"/>
                      </w14:checkbox>
                    </w:sdtPr>
                    <w:sdtEndPr/>
                    <w:sdtContent>
                      <w:r w:rsidR="00D97699" w:rsidRPr="008751C1">
                        <w:rPr>
                          <w:rFonts w:ascii="MS Gothic" w:eastAsia="MS Gothic" w:hAnsi="MS Gothic" w:hint="eastAsia"/>
                          <w:b/>
                          <w:sz w:val="20"/>
                          <w:szCs w:val="20"/>
                          <w:lang w:eastAsia="sk-SK"/>
                        </w:rPr>
                        <w:t>☐</w:t>
                      </w:r>
                    </w:sdtContent>
                  </w:sdt>
                  <w:r w:rsidR="00D97699" w:rsidRPr="008751C1">
                    <w:rPr>
                      <w:b/>
                      <w:sz w:val="20"/>
                      <w:szCs w:val="20"/>
                      <w:lang w:eastAsia="sk-SK"/>
                    </w:rPr>
                    <w:t xml:space="preserve">  Súhlasné s návrhom na dopracovanie</w:t>
                  </w:r>
                </w:p>
              </w:tc>
              <w:tc>
                <w:tcPr>
                  <w:tcW w:w="2534" w:type="dxa"/>
                </w:tcPr>
                <w:p w:rsidR="00D97699" w:rsidRPr="008751C1" w:rsidRDefault="00DC1110" w:rsidP="00804B88">
                  <w:pPr>
                    <w:ind w:right="459"/>
                    <w:rPr>
                      <w:b/>
                      <w:sz w:val="20"/>
                      <w:szCs w:val="20"/>
                      <w:lang w:eastAsia="sk-SK"/>
                    </w:rPr>
                  </w:pPr>
                  <w:sdt>
                    <w:sdtPr>
                      <w:rPr>
                        <w:b/>
                        <w:sz w:val="20"/>
                        <w:szCs w:val="20"/>
                        <w:lang w:eastAsia="sk-SK"/>
                      </w:rPr>
                      <w:id w:val="-647822913"/>
                      <w14:checkbox>
                        <w14:checked w14:val="0"/>
                        <w14:checkedState w14:val="2612" w14:font="MS Gothic"/>
                        <w14:uncheckedState w14:val="2610" w14:font="MS Gothic"/>
                      </w14:checkbox>
                    </w:sdtPr>
                    <w:sdtEndPr/>
                    <w:sdtContent>
                      <w:r w:rsidR="00D97699" w:rsidRPr="008751C1">
                        <w:rPr>
                          <w:rFonts w:ascii="MS Gothic" w:eastAsia="MS Gothic" w:hAnsi="MS Gothic" w:hint="eastAsia"/>
                          <w:b/>
                          <w:sz w:val="20"/>
                          <w:szCs w:val="20"/>
                          <w:lang w:eastAsia="sk-SK"/>
                        </w:rPr>
                        <w:t>☐</w:t>
                      </w:r>
                    </w:sdtContent>
                  </w:sdt>
                  <w:r w:rsidR="00D97699" w:rsidRPr="008751C1">
                    <w:rPr>
                      <w:b/>
                      <w:sz w:val="20"/>
                      <w:szCs w:val="20"/>
                      <w:lang w:eastAsia="sk-SK"/>
                    </w:rPr>
                    <w:t xml:space="preserve">  Nesúhlasné</w:t>
                  </w:r>
                </w:p>
              </w:tc>
            </w:tr>
          </w:tbl>
          <w:p w:rsidR="00D97699" w:rsidRPr="008751C1" w:rsidRDefault="00D97699" w:rsidP="00804B88">
            <w:pPr>
              <w:jc w:val="both"/>
              <w:rPr>
                <w:b/>
                <w:sz w:val="20"/>
                <w:szCs w:val="20"/>
                <w:lang w:eastAsia="sk-SK"/>
              </w:rPr>
            </w:pPr>
            <w:r w:rsidRPr="008751C1">
              <w:rPr>
                <w:b/>
                <w:sz w:val="20"/>
                <w:szCs w:val="20"/>
                <w:lang w:eastAsia="sk-SK"/>
              </w:rPr>
              <w:t>Uveďte pripomienky zo stanoviska Komisie z časti II. spolu s Vaším vyhodnotením:</w:t>
            </w:r>
          </w:p>
          <w:p w:rsidR="00D97699" w:rsidRPr="008751C1" w:rsidRDefault="00D97699" w:rsidP="00804B88">
            <w:pPr>
              <w:rPr>
                <w:b/>
                <w:sz w:val="20"/>
                <w:szCs w:val="20"/>
                <w:lang w:eastAsia="sk-SK"/>
              </w:rPr>
            </w:pPr>
          </w:p>
          <w:p w:rsidR="00D97699" w:rsidRPr="008751C1" w:rsidRDefault="00D97699" w:rsidP="00804B88">
            <w:pPr>
              <w:rPr>
                <w:b/>
                <w:sz w:val="20"/>
                <w:szCs w:val="20"/>
                <w:lang w:eastAsia="sk-SK"/>
              </w:rPr>
            </w:pPr>
          </w:p>
        </w:tc>
      </w:tr>
      <w:tr w:rsidR="00D97699" w:rsidRPr="008751C1" w:rsidTr="00804B88">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D97699" w:rsidRPr="008751C1" w:rsidRDefault="00D97699" w:rsidP="00D97699">
            <w:pPr>
              <w:numPr>
                <w:ilvl w:val="0"/>
                <w:numId w:val="2"/>
              </w:numPr>
              <w:ind w:left="450" w:hanging="425"/>
              <w:contextualSpacing/>
              <w:jc w:val="both"/>
              <w:rPr>
                <w:rFonts w:eastAsia="Calibri"/>
                <w:b/>
                <w:sz w:val="20"/>
                <w:szCs w:val="20"/>
              </w:rPr>
            </w:pPr>
            <w:r w:rsidRPr="008751C1">
              <w:rPr>
                <w:rFonts w:eastAsia="Calibri"/>
                <w:b/>
                <w:sz w:val="20"/>
                <w:szCs w:val="20"/>
              </w:rPr>
              <w:t>Stanovisko Komisie na posudzovanie vybraných vplyvov zo záverečného posúdenia č. ..........</w:t>
            </w:r>
            <w:r w:rsidRPr="008751C1">
              <w:rPr>
                <w:rFonts w:eastAsia="Calibri"/>
                <w:sz w:val="20"/>
                <w:szCs w:val="20"/>
              </w:rPr>
              <w:t xml:space="preserve"> (v prípade, ak sa uskutočnilo v zmysle bodu 9.1. Jednotnej metodiky) </w:t>
            </w:r>
          </w:p>
        </w:tc>
      </w:tr>
      <w:tr w:rsidR="00D97699" w:rsidRPr="008751C1" w:rsidTr="00804B88">
        <w:tblPrEx>
          <w:tblBorders>
            <w:insideH w:val="single" w:sz="4" w:space="0" w:color="FFFFFF"/>
            <w:insideV w:val="single" w:sz="4" w:space="0" w:color="FFFFFF"/>
          </w:tblBorders>
        </w:tblPrEx>
        <w:tc>
          <w:tcPr>
            <w:tcW w:w="9176" w:type="dxa"/>
            <w:shd w:val="clear" w:color="auto" w:fill="FFFFFF"/>
          </w:tcPr>
          <w:p w:rsidR="00D97699" w:rsidRPr="008751C1" w:rsidRDefault="00D97699" w:rsidP="00804B88">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D97699" w:rsidRPr="008751C1" w:rsidTr="00804B88">
              <w:trPr>
                <w:trHeight w:val="396"/>
              </w:trPr>
              <w:tc>
                <w:tcPr>
                  <w:tcW w:w="2552" w:type="dxa"/>
                </w:tcPr>
                <w:p w:rsidR="00D97699" w:rsidRPr="008751C1" w:rsidRDefault="00DC1110" w:rsidP="00804B88">
                  <w:pPr>
                    <w:rPr>
                      <w:b/>
                      <w:sz w:val="20"/>
                      <w:szCs w:val="20"/>
                      <w:lang w:eastAsia="sk-SK"/>
                    </w:rPr>
                  </w:pPr>
                  <w:sdt>
                    <w:sdtPr>
                      <w:rPr>
                        <w:b/>
                        <w:sz w:val="20"/>
                        <w:szCs w:val="20"/>
                        <w:lang w:eastAsia="sk-SK"/>
                      </w:rPr>
                      <w:id w:val="888232876"/>
                      <w14:checkbox>
                        <w14:checked w14:val="0"/>
                        <w14:checkedState w14:val="2612" w14:font="MS Gothic"/>
                        <w14:uncheckedState w14:val="2610" w14:font="MS Gothic"/>
                      </w14:checkbox>
                    </w:sdtPr>
                    <w:sdtEndPr/>
                    <w:sdtContent>
                      <w:r w:rsidR="00D97699" w:rsidRPr="008751C1">
                        <w:rPr>
                          <w:rFonts w:ascii="MS Gothic" w:eastAsia="MS Gothic" w:hAnsi="MS Gothic" w:hint="eastAsia"/>
                          <w:b/>
                          <w:sz w:val="20"/>
                          <w:szCs w:val="20"/>
                          <w:lang w:eastAsia="sk-SK"/>
                        </w:rPr>
                        <w:t>☐</w:t>
                      </w:r>
                    </w:sdtContent>
                  </w:sdt>
                  <w:r w:rsidR="00D97699" w:rsidRPr="008751C1">
                    <w:rPr>
                      <w:b/>
                      <w:sz w:val="20"/>
                      <w:szCs w:val="20"/>
                      <w:lang w:eastAsia="sk-SK"/>
                    </w:rPr>
                    <w:t xml:space="preserve">   Súhlasné </w:t>
                  </w:r>
                </w:p>
              </w:tc>
              <w:tc>
                <w:tcPr>
                  <w:tcW w:w="3827" w:type="dxa"/>
                </w:tcPr>
                <w:p w:rsidR="00D97699" w:rsidRPr="008751C1" w:rsidRDefault="00DC1110" w:rsidP="00804B88">
                  <w:pPr>
                    <w:rPr>
                      <w:b/>
                      <w:sz w:val="20"/>
                      <w:szCs w:val="20"/>
                      <w:lang w:eastAsia="sk-SK"/>
                    </w:rPr>
                  </w:pPr>
                  <w:sdt>
                    <w:sdtPr>
                      <w:rPr>
                        <w:b/>
                        <w:sz w:val="20"/>
                        <w:szCs w:val="20"/>
                        <w:lang w:eastAsia="sk-SK"/>
                      </w:rPr>
                      <w:id w:val="953831761"/>
                      <w14:checkbox>
                        <w14:checked w14:val="0"/>
                        <w14:checkedState w14:val="2612" w14:font="MS Gothic"/>
                        <w14:uncheckedState w14:val="2610" w14:font="MS Gothic"/>
                      </w14:checkbox>
                    </w:sdtPr>
                    <w:sdtEndPr/>
                    <w:sdtContent>
                      <w:r w:rsidR="00D97699" w:rsidRPr="008751C1">
                        <w:rPr>
                          <w:rFonts w:ascii="MS Gothic" w:eastAsia="MS Gothic" w:hAnsi="MS Gothic" w:hint="eastAsia"/>
                          <w:b/>
                          <w:sz w:val="20"/>
                          <w:szCs w:val="20"/>
                          <w:lang w:eastAsia="sk-SK"/>
                        </w:rPr>
                        <w:t>☐</w:t>
                      </w:r>
                    </w:sdtContent>
                  </w:sdt>
                  <w:r w:rsidR="00D97699" w:rsidRPr="008751C1">
                    <w:rPr>
                      <w:b/>
                      <w:sz w:val="20"/>
                      <w:szCs w:val="20"/>
                      <w:lang w:eastAsia="sk-SK"/>
                    </w:rPr>
                    <w:t xml:space="preserve">  Súhlasné s  návrhom na dopracovanie</w:t>
                  </w:r>
                </w:p>
              </w:tc>
              <w:tc>
                <w:tcPr>
                  <w:tcW w:w="2534" w:type="dxa"/>
                </w:tcPr>
                <w:p w:rsidR="00D97699" w:rsidRPr="008751C1" w:rsidRDefault="00DC1110" w:rsidP="00804B88">
                  <w:pPr>
                    <w:ind w:right="459"/>
                    <w:rPr>
                      <w:b/>
                      <w:sz w:val="20"/>
                      <w:szCs w:val="20"/>
                      <w:lang w:eastAsia="sk-SK"/>
                    </w:rPr>
                  </w:pPr>
                  <w:sdt>
                    <w:sdtPr>
                      <w:rPr>
                        <w:b/>
                        <w:sz w:val="20"/>
                        <w:szCs w:val="20"/>
                        <w:lang w:eastAsia="sk-SK"/>
                      </w:rPr>
                      <w:id w:val="-361740452"/>
                      <w14:checkbox>
                        <w14:checked w14:val="0"/>
                        <w14:checkedState w14:val="2612" w14:font="MS Gothic"/>
                        <w14:uncheckedState w14:val="2610" w14:font="MS Gothic"/>
                      </w14:checkbox>
                    </w:sdtPr>
                    <w:sdtEndPr/>
                    <w:sdtContent>
                      <w:r w:rsidR="00D97699" w:rsidRPr="008751C1">
                        <w:rPr>
                          <w:rFonts w:ascii="MS Gothic" w:eastAsia="MS Gothic" w:hAnsi="MS Gothic" w:hint="eastAsia"/>
                          <w:b/>
                          <w:sz w:val="20"/>
                          <w:szCs w:val="20"/>
                          <w:lang w:eastAsia="sk-SK"/>
                        </w:rPr>
                        <w:t>☐</w:t>
                      </w:r>
                    </w:sdtContent>
                  </w:sdt>
                  <w:r w:rsidR="00D97699" w:rsidRPr="008751C1">
                    <w:rPr>
                      <w:b/>
                      <w:sz w:val="20"/>
                      <w:szCs w:val="20"/>
                      <w:lang w:eastAsia="sk-SK"/>
                    </w:rPr>
                    <w:t xml:space="preserve">  Nesúhlasné</w:t>
                  </w:r>
                </w:p>
              </w:tc>
            </w:tr>
          </w:tbl>
          <w:p w:rsidR="00D97699" w:rsidRPr="008751C1" w:rsidRDefault="00D97699" w:rsidP="00804B88">
            <w:pPr>
              <w:jc w:val="both"/>
              <w:rPr>
                <w:b/>
                <w:sz w:val="20"/>
                <w:szCs w:val="20"/>
                <w:lang w:eastAsia="sk-SK"/>
              </w:rPr>
            </w:pPr>
            <w:r w:rsidRPr="008751C1">
              <w:rPr>
                <w:b/>
                <w:sz w:val="20"/>
                <w:szCs w:val="20"/>
                <w:lang w:eastAsia="sk-SK"/>
              </w:rPr>
              <w:t>Uveďte pripomienky zo stanoviska Komisie z časti II. spolu s Vaším vyhodnotením:</w:t>
            </w:r>
          </w:p>
          <w:p w:rsidR="00D97699" w:rsidRPr="008751C1" w:rsidRDefault="00D97699" w:rsidP="00804B88">
            <w:pPr>
              <w:rPr>
                <w:b/>
                <w:sz w:val="20"/>
                <w:szCs w:val="20"/>
                <w:lang w:eastAsia="sk-SK"/>
              </w:rPr>
            </w:pPr>
          </w:p>
          <w:p w:rsidR="00D97699" w:rsidRPr="008751C1" w:rsidRDefault="00D97699" w:rsidP="00804B88">
            <w:pPr>
              <w:rPr>
                <w:b/>
                <w:sz w:val="20"/>
                <w:szCs w:val="20"/>
                <w:lang w:eastAsia="sk-SK"/>
              </w:rPr>
            </w:pPr>
          </w:p>
        </w:tc>
      </w:tr>
    </w:tbl>
    <w:p w:rsidR="00D97699" w:rsidRPr="00612E08" w:rsidRDefault="00D97699" w:rsidP="00D97699"/>
    <w:p w:rsidR="00D97699" w:rsidRDefault="00D97699" w:rsidP="00CF3F99">
      <w:pPr>
        <w:spacing w:after="4" w:line="276" w:lineRule="auto"/>
        <w:jc w:val="both"/>
        <w:rPr>
          <w:bCs/>
        </w:rPr>
      </w:pPr>
    </w:p>
    <w:p w:rsidR="008751C1" w:rsidRDefault="008751C1" w:rsidP="00CF3F99">
      <w:pPr>
        <w:spacing w:after="4" w:line="276" w:lineRule="auto"/>
        <w:jc w:val="both"/>
        <w:rPr>
          <w:bCs/>
        </w:rPr>
      </w:pPr>
    </w:p>
    <w:p w:rsidR="00D97699" w:rsidRDefault="00D97699" w:rsidP="00CF3F99">
      <w:pPr>
        <w:spacing w:after="4" w:line="276" w:lineRule="auto"/>
        <w:jc w:val="both"/>
        <w:rPr>
          <w:bCs/>
        </w:rPr>
      </w:pPr>
    </w:p>
    <w:p w:rsidR="00D97699" w:rsidRDefault="00D97699" w:rsidP="00CF3F99">
      <w:pPr>
        <w:spacing w:after="4" w:line="276" w:lineRule="auto"/>
        <w:jc w:val="both"/>
        <w:rPr>
          <w:bCs/>
        </w:rPr>
      </w:pPr>
    </w:p>
    <w:p w:rsidR="00D97699" w:rsidRDefault="00D97699" w:rsidP="00D97699">
      <w:pPr>
        <w:pStyle w:val="Default"/>
        <w:ind w:left="360"/>
        <w:jc w:val="center"/>
        <w:rPr>
          <w:b/>
          <w:bCs/>
        </w:rPr>
      </w:pPr>
      <w:r w:rsidRPr="00722A5A">
        <w:rPr>
          <w:b/>
          <w:bCs/>
        </w:rPr>
        <w:lastRenderedPageBreak/>
        <w:t>DOLOŽKA ZLUČITEĽNOSTI</w:t>
      </w:r>
    </w:p>
    <w:p w:rsidR="00D97699" w:rsidRPr="00475EB0" w:rsidRDefault="00D97699" w:rsidP="00D97699">
      <w:pPr>
        <w:pStyle w:val="Default"/>
        <w:ind w:left="360"/>
        <w:jc w:val="center"/>
        <w:rPr>
          <w:b/>
          <w:bCs/>
        </w:rPr>
      </w:pPr>
      <w:r w:rsidRPr="00475EB0">
        <w:rPr>
          <w:b/>
        </w:rPr>
        <w:t>návrhu zákona s právom Európskej únie</w:t>
      </w:r>
    </w:p>
    <w:p w:rsidR="00D97699" w:rsidRPr="00722A5A" w:rsidRDefault="00D97699" w:rsidP="00D97699">
      <w:pPr>
        <w:pStyle w:val="Default"/>
        <w:ind w:left="360"/>
        <w:jc w:val="center"/>
      </w:pPr>
    </w:p>
    <w:p w:rsidR="00D97699" w:rsidRDefault="00D97699" w:rsidP="00D97699">
      <w:pPr>
        <w:pStyle w:val="Default"/>
        <w:ind w:firstLine="426"/>
        <w:jc w:val="center"/>
        <w:rPr>
          <w:b/>
          <w:bCs/>
        </w:rPr>
      </w:pPr>
      <w:r>
        <w:rPr>
          <w:b/>
          <w:bCs/>
        </w:rPr>
        <w:t xml:space="preserve">k </w:t>
      </w:r>
      <w:r w:rsidRPr="00722A5A">
        <w:rPr>
          <w:b/>
          <w:bCs/>
        </w:rPr>
        <w:t xml:space="preserve">návrhu </w:t>
      </w:r>
      <w:r w:rsidRPr="00B45382">
        <w:rPr>
          <w:b/>
          <w:bCs/>
        </w:rPr>
        <w:t xml:space="preserve">zákona, </w:t>
      </w:r>
      <w:r w:rsidRPr="00646328">
        <w:rPr>
          <w:b/>
          <w:bCs/>
        </w:rPr>
        <w:t xml:space="preserve">ktorým sa mení zákon č. 325/2022 Z. z., </w:t>
      </w:r>
      <w:r>
        <w:rPr>
          <w:b/>
          <w:bCs/>
        </w:rPr>
        <w:t xml:space="preserve">ktorým sa mení a dopĺňa </w:t>
      </w:r>
      <w:r w:rsidRPr="00EE345D">
        <w:rPr>
          <w:b/>
          <w:bCs/>
        </w:rPr>
        <w:t>zákon č. 305/2013 Z. z. o elektronickej podobe výkonu pôsobnosti orgánov verejnej moci a o zmene a doplnení niektorých zákonov (zákon o e-</w:t>
      </w:r>
      <w:proofErr w:type="spellStart"/>
      <w:r w:rsidRPr="00EE345D">
        <w:rPr>
          <w:b/>
          <w:bCs/>
        </w:rPr>
        <w:t>Governmente</w:t>
      </w:r>
      <w:proofErr w:type="spellEnd"/>
      <w:r w:rsidRPr="00EE345D">
        <w:rPr>
          <w:b/>
          <w:bCs/>
        </w:rPr>
        <w:t>) v znení neskorších predpisov a ktorým sa menia a dopĺňajú niektoré zákony v znení zákona č. 301/2023 Z. z.</w:t>
      </w:r>
    </w:p>
    <w:p w:rsidR="00D97699" w:rsidRPr="00722A5A" w:rsidRDefault="00D97699" w:rsidP="00D97699">
      <w:pPr>
        <w:pStyle w:val="Default"/>
        <w:ind w:firstLine="426"/>
        <w:jc w:val="center"/>
      </w:pPr>
    </w:p>
    <w:p w:rsidR="00D97699" w:rsidRPr="00722A5A" w:rsidRDefault="00D97699" w:rsidP="00D97699">
      <w:pPr>
        <w:pStyle w:val="Default"/>
        <w:ind w:left="709" w:hanging="283"/>
      </w:pPr>
      <w:r w:rsidRPr="00722A5A">
        <w:t xml:space="preserve">1. </w:t>
      </w:r>
      <w:r w:rsidRPr="00722A5A">
        <w:rPr>
          <w:b/>
        </w:rPr>
        <w:t>Navrhovateľ zákona</w:t>
      </w:r>
      <w:r w:rsidRPr="00722A5A">
        <w:t xml:space="preserve">: </w:t>
      </w:r>
      <w:r>
        <w:rPr>
          <w:i/>
          <w:iCs/>
        </w:rPr>
        <w:t>Ministerstvo investícií, regionálneho rozvoja a informatizácie Slovenskej republiky</w:t>
      </w:r>
    </w:p>
    <w:p w:rsidR="00D97699" w:rsidRPr="00722A5A" w:rsidRDefault="00D97699" w:rsidP="00D97699">
      <w:pPr>
        <w:pStyle w:val="Default"/>
        <w:ind w:firstLine="426"/>
      </w:pPr>
    </w:p>
    <w:p w:rsidR="00D97699" w:rsidRDefault="00D97699" w:rsidP="00D97699">
      <w:pPr>
        <w:pStyle w:val="Default"/>
        <w:ind w:left="709" w:hanging="283"/>
        <w:jc w:val="both"/>
        <w:rPr>
          <w:i/>
        </w:rPr>
      </w:pPr>
      <w:r w:rsidRPr="00722A5A">
        <w:t xml:space="preserve">2. </w:t>
      </w:r>
      <w:r w:rsidRPr="00722A5A">
        <w:rPr>
          <w:b/>
        </w:rPr>
        <w:t>Názov návrhu zákona</w:t>
      </w:r>
      <w:r w:rsidRPr="00722A5A">
        <w:t xml:space="preserve">: </w:t>
      </w:r>
      <w:r w:rsidRPr="008F04C6">
        <w:rPr>
          <w:i/>
        </w:rPr>
        <w:t>Návrh</w:t>
      </w:r>
      <w:r>
        <w:t xml:space="preserve"> </w:t>
      </w:r>
      <w:r w:rsidRPr="00B45382">
        <w:rPr>
          <w:i/>
        </w:rPr>
        <w:t xml:space="preserve">zákona, </w:t>
      </w:r>
      <w:r w:rsidRPr="00EE345D">
        <w:rPr>
          <w:i/>
        </w:rPr>
        <w:t>ktorým sa mení zákon č. 325/2022</w:t>
      </w:r>
      <w:r>
        <w:rPr>
          <w:i/>
        </w:rPr>
        <w:t xml:space="preserve"> Z. z., ktorým sa mení a dopĺňa </w:t>
      </w:r>
      <w:r w:rsidRPr="00EE345D">
        <w:rPr>
          <w:i/>
        </w:rPr>
        <w:t>zákon č. 305/2013 Z. z. o elektronickej podobe výkonu pôsobnosti orgánov verejnej moci a o zmene a doplnení niektorých zákonov (zákon o e-</w:t>
      </w:r>
      <w:proofErr w:type="spellStart"/>
      <w:r w:rsidRPr="00EE345D">
        <w:rPr>
          <w:i/>
        </w:rPr>
        <w:t>Governmente</w:t>
      </w:r>
      <w:proofErr w:type="spellEnd"/>
      <w:r w:rsidRPr="00EE345D">
        <w:rPr>
          <w:i/>
        </w:rPr>
        <w:t>) v znení neskorších predpisov a ktorým sa menia a dopĺňajú niektoré zákony v znení zákona č. 301/2023 Z. z.</w:t>
      </w:r>
    </w:p>
    <w:p w:rsidR="00D97699" w:rsidRPr="00722A5A" w:rsidRDefault="00D97699" w:rsidP="00D97699">
      <w:pPr>
        <w:pStyle w:val="Default"/>
        <w:ind w:left="709" w:hanging="283"/>
        <w:jc w:val="both"/>
        <w:rPr>
          <w:i/>
        </w:rPr>
      </w:pPr>
    </w:p>
    <w:p w:rsidR="00D97699" w:rsidRPr="00722A5A" w:rsidRDefault="00D97699" w:rsidP="00D97699">
      <w:pPr>
        <w:pStyle w:val="Default"/>
        <w:ind w:firstLine="426"/>
      </w:pPr>
      <w:r w:rsidRPr="00722A5A">
        <w:t xml:space="preserve">3. </w:t>
      </w:r>
      <w:r w:rsidRPr="00722A5A">
        <w:rPr>
          <w:b/>
          <w:bCs/>
        </w:rPr>
        <w:t>Predmet návrhu zákona je upravený v práve Európskej únie</w:t>
      </w:r>
      <w:r w:rsidRPr="00722A5A">
        <w:t xml:space="preserve">: </w:t>
      </w:r>
    </w:p>
    <w:p w:rsidR="00D97699" w:rsidRDefault="00D97699" w:rsidP="00D97699">
      <w:pPr>
        <w:pStyle w:val="Default"/>
        <w:ind w:left="567" w:firstLine="426"/>
        <w:jc w:val="both"/>
      </w:pPr>
      <w:r w:rsidRPr="00722A5A">
        <w:t xml:space="preserve">a) v primárnom práve </w:t>
      </w:r>
    </w:p>
    <w:p w:rsidR="00D97699" w:rsidRDefault="00D97699" w:rsidP="00D97699">
      <w:pPr>
        <w:pStyle w:val="Default"/>
        <w:ind w:left="567" w:firstLine="426"/>
        <w:jc w:val="both"/>
      </w:pPr>
    </w:p>
    <w:p w:rsidR="00D97699" w:rsidRPr="00D47E46" w:rsidRDefault="00D97699" w:rsidP="00D97699">
      <w:pPr>
        <w:pStyle w:val="Default"/>
        <w:ind w:left="1134"/>
        <w:jc w:val="both"/>
        <w:rPr>
          <w:i/>
        </w:rPr>
      </w:pPr>
      <w:r>
        <w:rPr>
          <w:i/>
        </w:rPr>
        <w:t xml:space="preserve">- </w:t>
      </w:r>
      <w:r w:rsidRPr="00232199">
        <w:rPr>
          <w:i/>
        </w:rPr>
        <w:t xml:space="preserve">čl. </w:t>
      </w:r>
      <w:r>
        <w:rPr>
          <w:i/>
        </w:rPr>
        <w:t>114 Zmluvy o fungovaní Európskej únie;</w:t>
      </w:r>
    </w:p>
    <w:p w:rsidR="00D97699" w:rsidRPr="00D47E46" w:rsidRDefault="00D97699" w:rsidP="00D97699">
      <w:pPr>
        <w:pStyle w:val="Default"/>
        <w:jc w:val="both"/>
        <w:rPr>
          <w:i/>
          <w:color w:val="000000" w:themeColor="text1"/>
        </w:rPr>
      </w:pPr>
    </w:p>
    <w:p w:rsidR="00D97699" w:rsidRDefault="00D97699" w:rsidP="00D97699">
      <w:pPr>
        <w:pStyle w:val="Default"/>
        <w:ind w:left="1276" w:hanging="283"/>
        <w:jc w:val="both"/>
      </w:pPr>
      <w:r>
        <w:t>b) v sekundárnom práve</w:t>
      </w:r>
    </w:p>
    <w:p w:rsidR="00D97699" w:rsidRDefault="00D97699" w:rsidP="00D97699">
      <w:pPr>
        <w:pStyle w:val="Default"/>
        <w:ind w:left="1276" w:hanging="283"/>
        <w:jc w:val="both"/>
      </w:pPr>
    </w:p>
    <w:p w:rsidR="00D97699" w:rsidRDefault="00D97699" w:rsidP="00D97699">
      <w:pPr>
        <w:ind w:left="993"/>
        <w:jc w:val="both"/>
        <w:rPr>
          <w:i/>
          <w:color w:val="000000"/>
        </w:rPr>
      </w:pPr>
      <w:r>
        <w:rPr>
          <w:i/>
          <w:color w:val="000000"/>
        </w:rPr>
        <w:t xml:space="preserve">- </w:t>
      </w:r>
      <w:r w:rsidRPr="00B45382">
        <w:rPr>
          <w:i/>
          <w:color w:val="000000"/>
        </w:rPr>
        <w:t>Nariadenie Európskeho parlamentu a Rady (EÚ) č. 910/2014 z 23. júla 2014 o   elektronickej identifikácii a dôveryhodných službách pre elektronické transakcie na vnútornom trhu a o zrušení smernice 1999/93/ES (Ú. v. EÚ L 257, 28.8.2014),</w:t>
      </w:r>
    </w:p>
    <w:p w:rsidR="00D97699" w:rsidRDefault="00D97699" w:rsidP="00D97699">
      <w:pPr>
        <w:ind w:left="1418" w:hanging="142"/>
        <w:jc w:val="both"/>
        <w:rPr>
          <w:i/>
          <w:color w:val="000000"/>
          <w:lang w:eastAsia="sk-SK"/>
        </w:rPr>
      </w:pPr>
      <w:r>
        <w:rPr>
          <w:i/>
          <w:color w:val="000000"/>
        </w:rPr>
        <w:tab/>
        <w:t xml:space="preserve">- </w:t>
      </w:r>
      <w:r w:rsidRPr="00F30CC0">
        <w:rPr>
          <w:i/>
          <w:color w:val="000000"/>
          <w:lang w:eastAsia="sk-SK"/>
        </w:rPr>
        <w:t>gestor</w:t>
      </w:r>
      <w:r>
        <w:rPr>
          <w:i/>
          <w:color w:val="000000"/>
          <w:lang w:eastAsia="sk-SK"/>
        </w:rPr>
        <w:t>om</w:t>
      </w:r>
      <w:r w:rsidRPr="00F30CC0">
        <w:rPr>
          <w:i/>
          <w:color w:val="000000"/>
          <w:lang w:eastAsia="sk-SK"/>
        </w:rPr>
        <w:t xml:space="preserve"> právneho aktu </w:t>
      </w:r>
      <w:r>
        <w:rPr>
          <w:i/>
          <w:color w:val="000000"/>
          <w:lang w:eastAsia="sk-SK"/>
        </w:rPr>
        <w:t xml:space="preserve">je </w:t>
      </w:r>
      <w:r w:rsidRPr="00B45382">
        <w:rPr>
          <w:i/>
          <w:color w:val="000000"/>
          <w:lang w:eastAsia="sk-SK"/>
        </w:rPr>
        <w:t>Národný bezpečnostný úrad</w:t>
      </w:r>
      <w:r>
        <w:rPr>
          <w:i/>
          <w:color w:val="000000"/>
          <w:lang w:eastAsia="sk-SK"/>
        </w:rPr>
        <w:t>;</w:t>
      </w:r>
    </w:p>
    <w:p w:rsidR="00D97699" w:rsidRDefault="00D97699" w:rsidP="00D97699">
      <w:pPr>
        <w:pStyle w:val="Default"/>
        <w:ind w:left="1276" w:hanging="283"/>
        <w:jc w:val="both"/>
      </w:pPr>
      <w:r w:rsidRPr="00BD12F6">
        <w:rPr>
          <w:color w:val="000000" w:themeColor="text1"/>
        </w:rPr>
        <w:t xml:space="preserve">c) v judikatúre Súdneho dvora Európskej únie </w:t>
      </w:r>
    </w:p>
    <w:p w:rsidR="00D97699" w:rsidRDefault="00D97699" w:rsidP="00D97699">
      <w:pPr>
        <w:pStyle w:val="Default"/>
        <w:ind w:left="1276"/>
        <w:jc w:val="both"/>
        <w:rPr>
          <w:i/>
        </w:rPr>
      </w:pPr>
    </w:p>
    <w:p w:rsidR="00D97699" w:rsidRPr="00D47E46" w:rsidRDefault="00D97699" w:rsidP="00D97699">
      <w:pPr>
        <w:pStyle w:val="Default"/>
        <w:ind w:left="1276"/>
        <w:jc w:val="both"/>
        <w:rPr>
          <w:i/>
        </w:rPr>
      </w:pPr>
      <w:r>
        <w:rPr>
          <w:i/>
        </w:rPr>
        <w:t xml:space="preserve">- návrh zákona </w:t>
      </w:r>
      <w:r w:rsidRPr="00554FA0">
        <w:rPr>
          <w:i/>
        </w:rPr>
        <w:t>nie je upravený v judikatúre Súdneho dvora Európskej únie.</w:t>
      </w:r>
    </w:p>
    <w:p w:rsidR="00D97699" w:rsidRDefault="00D97699" w:rsidP="00D97699">
      <w:pPr>
        <w:pStyle w:val="Default"/>
        <w:ind w:left="1276" w:hanging="283"/>
        <w:jc w:val="both"/>
      </w:pPr>
    </w:p>
    <w:p w:rsidR="00D97699" w:rsidRPr="00722A5A" w:rsidRDefault="00D97699" w:rsidP="00D97699">
      <w:pPr>
        <w:pStyle w:val="Default"/>
        <w:ind w:firstLine="426"/>
      </w:pPr>
      <w:r w:rsidRPr="00722A5A">
        <w:t xml:space="preserve">4. </w:t>
      </w:r>
      <w:r w:rsidRPr="00722A5A">
        <w:rPr>
          <w:b/>
          <w:bCs/>
        </w:rPr>
        <w:t>Záväzky Slovenskej republiky vo vzťahu k Európskej únii</w:t>
      </w:r>
      <w:r w:rsidRPr="00722A5A">
        <w:t xml:space="preserve">: </w:t>
      </w:r>
    </w:p>
    <w:p w:rsidR="00D97699" w:rsidRPr="00722A5A" w:rsidRDefault="00D97699" w:rsidP="00D97699">
      <w:pPr>
        <w:pStyle w:val="Default"/>
        <w:ind w:left="1276" w:hanging="283"/>
        <w:jc w:val="both"/>
      </w:pPr>
      <w:r w:rsidRPr="00722A5A">
        <w:t xml:space="preserve">a) uviesť lehotu na prebranie príslušného právneho aktu Európskej únie, príp. aj osobitnú lehotu účinnosti jeho ustanovení, </w:t>
      </w:r>
    </w:p>
    <w:p w:rsidR="00D97699" w:rsidRDefault="00D97699" w:rsidP="00D97699">
      <w:pPr>
        <w:pStyle w:val="Default"/>
        <w:ind w:left="1276"/>
        <w:jc w:val="both"/>
        <w:rPr>
          <w:i/>
        </w:rPr>
      </w:pPr>
    </w:p>
    <w:p w:rsidR="00D97699" w:rsidRPr="00B45382" w:rsidRDefault="00D97699" w:rsidP="00D97699">
      <w:pPr>
        <w:ind w:left="1276"/>
        <w:jc w:val="both"/>
        <w:rPr>
          <w:i/>
          <w:color w:val="000000"/>
        </w:rPr>
      </w:pPr>
      <w:r w:rsidRPr="000A00B1">
        <w:rPr>
          <w:i/>
          <w:color w:val="000000"/>
        </w:rPr>
        <w:t xml:space="preserve">Bezpredmetné. Nové smernice sa nepreberajú, </w:t>
      </w:r>
      <w:r>
        <w:rPr>
          <w:i/>
          <w:color w:val="000000"/>
        </w:rPr>
        <w:t xml:space="preserve">nové </w:t>
      </w:r>
      <w:r w:rsidRPr="000A00B1">
        <w:rPr>
          <w:i/>
          <w:color w:val="000000"/>
        </w:rPr>
        <w:t>nariadenia alebo rozhodnutia sa neimplementujú.</w:t>
      </w:r>
    </w:p>
    <w:p w:rsidR="00D97699" w:rsidRPr="00722A5A" w:rsidRDefault="00D97699" w:rsidP="00D97699">
      <w:pPr>
        <w:pStyle w:val="Default"/>
        <w:ind w:left="1276" w:hanging="283"/>
        <w:jc w:val="both"/>
        <w:rPr>
          <w:b/>
        </w:rPr>
      </w:pPr>
      <w:r w:rsidRPr="00722A5A">
        <w:t>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w:t>
      </w:r>
      <w:r w:rsidRPr="00722A5A">
        <w:rPr>
          <w:rStyle w:val="Siln"/>
          <w:color w:val="auto"/>
        </w:rPr>
        <w:t>ariadenie Európskeho parlamentu a Rady (ES) č. 1049/2001 z 30. mája 2001 o prístupe verejnosti k dokumentom Európskeho parlamentu, Rady a Komisie</w:t>
      </w:r>
      <w:r w:rsidRPr="00722A5A">
        <w:rPr>
          <w:b/>
        </w:rPr>
        <w:t xml:space="preserve">, </w:t>
      </w:r>
    </w:p>
    <w:p w:rsidR="00D97699" w:rsidRDefault="00D97699" w:rsidP="00D97699">
      <w:pPr>
        <w:pStyle w:val="Default"/>
        <w:ind w:left="993" w:firstLine="283"/>
        <w:jc w:val="both"/>
        <w:rPr>
          <w:i/>
        </w:rPr>
      </w:pPr>
    </w:p>
    <w:p w:rsidR="00D97699" w:rsidRPr="00722A5A" w:rsidRDefault="00D97699" w:rsidP="00D97699">
      <w:pPr>
        <w:pStyle w:val="Default"/>
        <w:ind w:left="993" w:firstLine="283"/>
        <w:jc w:val="both"/>
        <w:rPr>
          <w:i/>
        </w:rPr>
      </w:pPr>
      <w:r>
        <w:rPr>
          <w:i/>
        </w:rPr>
        <w:t>N</w:t>
      </w:r>
      <w:r w:rsidRPr="00D47E46">
        <w:rPr>
          <w:i/>
        </w:rPr>
        <w:t>ebolo začaté konanie</w:t>
      </w:r>
      <w:r>
        <w:rPr>
          <w:i/>
        </w:rPr>
        <w:t xml:space="preserve">. </w:t>
      </w:r>
      <w:r w:rsidRPr="00D47E46">
        <w:rPr>
          <w:i/>
        </w:rPr>
        <w:t xml:space="preserve"> </w:t>
      </w:r>
    </w:p>
    <w:p w:rsidR="00D97699" w:rsidRPr="00722A5A" w:rsidRDefault="00D97699" w:rsidP="00D97699">
      <w:pPr>
        <w:pStyle w:val="Default"/>
        <w:ind w:left="1276" w:hanging="283"/>
        <w:jc w:val="both"/>
      </w:pPr>
    </w:p>
    <w:p w:rsidR="00D97699" w:rsidRPr="00722A5A" w:rsidRDefault="00D97699" w:rsidP="00D97699">
      <w:pPr>
        <w:pStyle w:val="Default"/>
        <w:ind w:left="1276" w:hanging="283"/>
        <w:jc w:val="both"/>
      </w:pPr>
      <w:r w:rsidRPr="00722A5A">
        <w:lastRenderedPageBreak/>
        <w:t xml:space="preserve">c) uviesť informáciu o právnych predpisoch, v ktorých sú uvádzané právne akty Európskej únie už prebrané, spolu s uvedením rozsahu ich prebrania, príp. potreby prijatia ďalších úprav. </w:t>
      </w:r>
    </w:p>
    <w:p w:rsidR="00D97699" w:rsidRDefault="00D97699" w:rsidP="00D97699">
      <w:pPr>
        <w:pStyle w:val="Default"/>
        <w:ind w:firstLine="993"/>
        <w:jc w:val="both"/>
        <w:rPr>
          <w:i/>
        </w:rPr>
      </w:pPr>
    </w:p>
    <w:p w:rsidR="00D97699" w:rsidRDefault="00D97699" w:rsidP="00D97699">
      <w:pPr>
        <w:pStyle w:val="Default"/>
        <w:ind w:firstLine="1276"/>
        <w:jc w:val="both"/>
        <w:rPr>
          <w:i/>
        </w:rPr>
      </w:pPr>
      <w:r w:rsidRPr="00D47E46">
        <w:rPr>
          <w:i/>
        </w:rPr>
        <w:t>Bezpredmetné.</w:t>
      </w:r>
    </w:p>
    <w:p w:rsidR="00D97699" w:rsidRPr="00722A5A" w:rsidRDefault="00D97699" w:rsidP="00D97699">
      <w:pPr>
        <w:pStyle w:val="Default"/>
        <w:ind w:left="1276"/>
        <w:jc w:val="both"/>
        <w:rPr>
          <w:i/>
        </w:rPr>
      </w:pPr>
    </w:p>
    <w:p w:rsidR="00D97699" w:rsidRDefault="00D97699" w:rsidP="00D97699">
      <w:pPr>
        <w:pStyle w:val="Default"/>
      </w:pPr>
      <w:r w:rsidRPr="00722A5A">
        <w:t xml:space="preserve">5. </w:t>
      </w:r>
      <w:r w:rsidRPr="00722A5A">
        <w:rPr>
          <w:b/>
          <w:bCs/>
        </w:rPr>
        <w:t>Návrh zákona je zlučiteľný s právom Európskej únie</w:t>
      </w:r>
      <w:r w:rsidRPr="00722A5A">
        <w:t xml:space="preserve">: </w:t>
      </w:r>
    </w:p>
    <w:p w:rsidR="00D97699" w:rsidRDefault="00D97699" w:rsidP="00D97699">
      <w:pPr>
        <w:pStyle w:val="Default"/>
        <w:ind w:left="993" w:hanging="426"/>
      </w:pPr>
      <w:r>
        <w:tab/>
      </w:r>
    </w:p>
    <w:p w:rsidR="00D97699" w:rsidRPr="00D47E46" w:rsidRDefault="00D97699" w:rsidP="00D97699">
      <w:pPr>
        <w:pStyle w:val="Default"/>
        <w:ind w:left="993" w:firstLine="141"/>
        <w:rPr>
          <w:i/>
        </w:rPr>
      </w:pPr>
      <w:r w:rsidRPr="00D47E46">
        <w:rPr>
          <w:i/>
        </w:rPr>
        <w:t>Úplne</w:t>
      </w:r>
      <w:r>
        <w:rPr>
          <w:i/>
        </w:rPr>
        <w:t>.</w:t>
      </w:r>
    </w:p>
    <w:p w:rsidR="00D97699" w:rsidRDefault="00D97699"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Default="008751C1" w:rsidP="00CF3F99">
      <w:pPr>
        <w:spacing w:after="4" w:line="276" w:lineRule="auto"/>
        <w:jc w:val="both"/>
        <w:rPr>
          <w:bCs/>
        </w:rPr>
      </w:pPr>
    </w:p>
    <w:p w:rsidR="008751C1" w:rsidRPr="00520A08" w:rsidRDefault="008751C1" w:rsidP="008751C1">
      <w:pPr>
        <w:pStyle w:val="Odsekzoznamu"/>
        <w:numPr>
          <w:ilvl w:val="0"/>
          <w:numId w:val="1"/>
        </w:numPr>
        <w:spacing w:after="4" w:line="276" w:lineRule="auto"/>
        <w:ind w:left="360"/>
        <w:jc w:val="both"/>
        <w:rPr>
          <w:b/>
          <w:bCs/>
        </w:rPr>
      </w:pPr>
      <w:r>
        <w:rPr>
          <w:b/>
          <w:bCs/>
        </w:rPr>
        <w:lastRenderedPageBreak/>
        <w:t>Osobitná</w:t>
      </w:r>
      <w:r w:rsidRPr="00520A08">
        <w:rPr>
          <w:b/>
          <w:bCs/>
        </w:rPr>
        <w:t xml:space="preserve"> časť</w:t>
      </w:r>
    </w:p>
    <w:p w:rsidR="008751C1" w:rsidRDefault="008751C1" w:rsidP="008751C1">
      <w:pPr>
        <w:spacing w:after="4" w:line="276" w:lineRule="auto"/>
        <w:jc w:val="both"/>
        <w:rPr>
          <w:bCs/>
        </w:rPr>
      </w:pPr>
    </w:p>
    <w:p w:rsidR="008751C1" w:rsidRDefault="008751C1" w:rsidP="008751C1">
      <w:pPr>
        <w:spacing w:after="4" w:line="276" w:lineRule="auto"/>
        <w:jc w:val="both"/>
        <w:rPr>
          <w:b/>
          <w:bCs/>
        </w:rPr>
      </w:pPr>
      <w:r>
        <w:rPr>
          <w:b/>
          <w:bCs/>
        </w:rPr>
        <w:t>K čl. I</w:t>
      </w:r>
    </w:p>
    <w:p w:rsidR="008751C1" w:rsidRPr="00836869" w:rsidRDefault="008751C1" w:rsidP="008751C1">
      <w:pPr>
        <w:spacing w:after="4" w:line="276" w:lineRule="auto"/>
        <w:jc w:val="both"/>
        <w:rPr>
          <w:b/>
          <w:bCs/>
        </w:rPr>
      </w:pPr>
    </w:p>
    <w:p w:rsidR="008751C1" w:rsidRPr="004F753A" w:rsidRDefault="008751C1" w:rsidP="008751C1">
      <w:pPr>
        <w:spacing w:after="4" w:line="276" w:lineRule="auto"/>
        <w:jc w:val="both"/>
        <w:rPr>
          <w:bCs/>
        </w:rPr>
      </w:pPr>
      <w:r>
        <w:rPr>
          <w:bCs/>
        </w:rPr>
        <w:t>Navrhuje sa posun účinnosti ustanovení o zmenách v zaručenej konverzii z 1. októbra 2024 o dva r</w:t>
      </w:r>
      <w:r w:rsidRPr="004F753A">
        <w:rPr>
          <w:bCs/>
        </w:rPr>
        <w:t>oky, t.j. na 1. októbra 2026.</w:t>
      </w:r>
    </w:p>
    <w:p w:rsidR="008751C1" w:rsidRPr="004F753A" w:rsidRDefault="008751C1" w:rsidP="008751C1">
      <w:pPr>
        <w:spacing w:after="4" w:line="276" w:lineRule="auto"/>
        <w:jc w:val="both"/>
      </w:pPr>
      <w:r w:rsidRPr="004F753A">
        <w:rPr>
          <w:bCs/>
        </w:rPr>
        <w:t xml:space="preserve">Cieľom zmien zavedených zákonom č. 325/2022 Z. z. </w:t>
      </w:r>
      <w:r w:rsidRPr="004F753A">
        <w:t>je najmä posilniť dôveryhodnosť novovzniknutých dokumentov, odbúrať administratívnu náročnosť spojenú s vedením „lokálnych“ evidencií a vytváraním osvedčovacích doložiek a ustanoviť jedno dôveryhodné miesto overenia záznamu o vykonanej konverzii. V praktickej rovine toto riešenie odbúra potrebu autorizácie záznamu o zaručenej konverzii, a tým aj potenciálne problémy v komunikácii a verifikačných procesoch na strane centrálnej evidencie. Z hľadiska procesu výkonu zaručenej konverzie sa pravidlá nemenia, rozdiel bude najmä v postupnosti krokov a vytváraní výsledného novovzniknutého dokumentu. V tomto smere je dôležité poznamenať, že záznam bude vytváraný priamo v centrálnej evidencii, pričom po vytvorení záznamu bude do osvedčovacej doložky poskytnutý údaj o jednoznačnom identifikátore záznamu danej zaručenej konverzie. Tým sa v praktickej rovine docieli, že novovzniknutý dokument vznikne až ak bude záznam korektne zaznamenaný v centrálnej evidencii.</w:t>
      </w:r>
    </w:p>
    <w:p w:rsidR="008751C1" w:rsidRPr="004F753A" w:rsidRDefault="008751C1" w:rsidP="008751C1">
      <w:pPr>
        <w:spacing w:after="4" w:line="276" w:lineRule="auto"/>
        <w:jc w:val="both"/>
      </w:pPr>
      <w:r w:rsidRPr="004F753A">
        <w:t xml:space="preserve">Vzhľadom na zásadný dopad uvedených zmien a s ohľadom na aktuálny stav </w:t>
      </w:r>
      <w:r w:rsidRPr="004F753A">
        <w:rPr>
          <w:bCs/>
        </w:rPr>
        <w:t>projektu, ktorým sa má zabezpečiť obstaranie nového komplexného technického riešenia, vrátane zabezpečenia jeho zmluvnej podpory a ďalšieho rozvoja, sa navrhuje posunúť účinnosť schválených zmien o dva roky, tzn. na 1. októbra 2026. Dlhší časový priestor je potrebný aj pre oboznámenie sa s novým systémom zo strany osôb oprávnených vykonávať zaručenú konverziu a postupný prechod na využívanie tohto systému v praxi pri vykonávaní zaručenej konverzie.</w:t>
      </w:r>
    </w:p>
    <w:p w:rsidR="008751C1" w:rsidRDefault="008751C1" w:rsidP="008751C1">
      <w:pPr>
        <w:spacing w:after="4" w:line="276" w:lineRule="auto"/>
        <w:jc w:val="both"/>
        <w:rPr>
          <w:b/>
          <w:bCs/>
        </w:rPr>
      </w:pPr>
    </w:p>
    <w:p w:rsidR="008751C1" w:rsidRPr="004F753A" w:rsidRDefault="008751C1" w:rsidP="008751C1">
      <w:pPr>
        <w:spacing w:after="4" w:line="276" w:lineRule="auto"/>
        <w:jc w:val="both"/>
        <w:rPr>
          <w:b/>
          <w:bCs/>
        </w:rPr>
      </w:pPr>
    </w:p>
    <w:p w:rsidR="008751C1" w:rsidRPr="004F753A" w:rsidRDefault="008751C1" w:rsidP="008751C1">
      <w:pPr>
        <w:spacing w:after="4" w:line="276" w:lineRule="auto"/>
        <w:jc w:val="both"/>
        <w:rPr>
          <w:b/>
          <w:bCs/>
        </w:rPr>
      </w:pPr>
      <w:r w:rsidRPr="004F753A">
        <w:rPr>
          <w:b/>
          <w:bCs/>
        </w:rPr>
        <w:t>K čl. II</w:t>
      </w:r>
    </w:p>
    <w:p w:rsidR="008751C1" w:rsidRPr="00747AC2" w:rsidRDefault="008751C1" w:rsidP="008751C1">
      <w:pPr>
        <w:spacing w:after="4" w:line="276" w:lineRule="auto"/>
        <w:jc w:val="both"/>
        <w:rPr>
          <w:bCs/>
        </w:rPr>
      </w:pPr>
      <w:r w:rsidRPr="004F753A">
        <w:rPr>
          <w:bCs/>
        </w:rPr>
        <w:t>Účinnosť návrhu zákona</w:t>
      </w:r>
      <w:r w:rsidRPr="00603BC6">
        <w:rPr>
          <w:bCs/>
        </w:rPr>
        <w:t xml:space="preserve"> sa navrhuje </w:t>
      </w:r>
      <w:r>
        <w:rPr>
          <w:bCs/>
        </w:rPr>
        <w:t>30. septembra 2024</w:t>
      </w:r>
      <w:r w:rsidRPr="00603BC6">
        <w:rPr>
          <w:bCs/>
        </w:rPr>
        <w:t>.</w:t>
      </w:r>
    </w:p>
    <w:p w:rsidR="008751C1" w:rsidRDefault="008751C1" w:rsidP="00CF3F99">
      <w:pPr>
        <w:spacing w:after="4" w:line="276" w:lineRule="auto"/>
        <w:jc w:val="both"/>
        <w:rPr>
          <w:b/>
          <w:bCs/>
        </w:rPr>
      </w:pPr>
    </w:p>
    <w:p w:rsidR="008751C1" w:rsidRDefault="008751C1" w:rsidP="00CF3F99">
      <w:pPr>
        <w:spacing w:after="4" w:line="276" w:lineRule="auto"/>
        <w:jc w:val="both"/>
        <w:rPr>
          <w:b/>
          <w:bCs/>
        </w:rPr>
      </w:pPr>
    </w:p>
    <w:p w:rsidR="008751C1" w:rsidRDefault="008751C1" w:rsidP="00CF3F99">
      <w:pPr>
        <w:spacing w:after="4" w:line="276" w:lineRule="auto"/>
        <w:jc w:val="both"/>
        <w:rPr>
          <w:b/>
          <w:bCs/>
        </w:rPr>
      </w:pPr>
    </w:p>
    <w:p w:rsidR="008751C1" w:rsidRDefault="008751C1" w:rsidP="008751C1">
      <w:pPr>
        <w:autoSpaceDE w:val="0"/>
        <w:autoSpaceDN w:val="0"/>
        <w:adjustRightInd w:val="0"/>
        <w:spacing w:line="252" w:lineRule="auto"/>
        <w:jc w:val="both"/>
      </w:pPr>
      <w:r>
        <w:t xml:space="preserve">V Bratislave </w:t>
      </w:r>
      <w:r w:rsidR="00DC1110" w:rsidRPr="00DC1110">
        <w:t>22. mája 2024</w:t>
      </w:r>
    </w:p>
    <w:p w:rsidR="008751C1" w:rsidRDefault="008751C1" w:rsidP="008751C1">
      <w:pPr>
        <w:autoSpaceDE w:val="0"/>
        <w:autoSpaceDN w:val="0"/>
        <w:adjustRightInd w:val="0"/>
        <w:spacing w:line="252" w:lineRule="auto"/>
        <w:jc w:val="both"/>
      </w:pPr>
    </w:p>
    <w:p w:rsidR="008751C1" w:rsidRPr="0062444D" w:rsidRDefault="008751C1" w:rsidP="008751C1">
      <w:pPr>
        <w:jc w:val="center"/>
        <w:rPr>
          <w:b/>
        </w:rPr>
      </w:pPr>
      <w:bookmarkStart w:id="0" w:name="_GoBack"/>
      <w:bookmarkEnd w:id="0"/>
    </w:p>
    <w:p w:rsidR="00DD5E52" w:rsidRDefault="00DD5E52" w:rsidP="008751C1">
      <w:pPr>
        <w:pStyle w:val="Bezriadkovania"/>
        <w:jc w:val="center"/>
        <w:rPr>
          <w:rFonts w:ascii="Times New Roman" w:hAnsi="Times New Roman" w:cs="Times New Roman"/>
          <w:b/>
          <w:sz w:val="24"/>
          <w:szCs w:val="24"/>
        </w:rPr>
      </w:pPr>
    </w:p>
    <w:p w:rsidR="008751C1" w:rsidRDefault="008751C1" w:rsidP="008751C1">
      <w:pPr>
        <w:pStyle w:val="Bezriadkovania"/>
        <w:jc w:val="center"/>
        <w:rPr>
          <w:rFonts w:ascii="Times New Roman" w:hAnsi="Times New Roman" w:cs="Times New Roman"/>
          <w:b/>
          <w:sz w:val="24"/>
          <w:szCs w:val="24"/>
        </w:rPr>
      </w:pPr>
      <w:r>
        <w:rPr>
          <w:rFonts w:ascii="Times New Roman" w:hAnsi="Times New Roman" w:cs="Times New Roman"/>
          <w:b/>
          <w:sz w:val="24"/>
          <w:szCs w:val="24"/>
        </w:rPr>
        <w:t>Robert Fico</w:t>
      </w:r>
      <w:r w:rsidR="00333431">
        <w:rPr>
          <w:rFonts w:ascii="Times New Roman" w:hAnsi="Times New Roman" w:cs="Times New Roman"/>
          <w:b/>
          <w:sz w:val="24"/>
          <w:szCs w:val="24"/>
        </w:rPr>
        <w:t xml:space="preserve"> </w:t>
      </w:r>
      <w:proofErr w:type="spellStart"/>
      <w:r w:rsidR="00333431">
        <w:rPr>
          <w:rFonts w:ascii="Times New Roman" w:hAnsi="Times New Roman" w:cs="Times New Roman"/>
          <w:b/>
          <w:sz w:val="24"/>
          <w:szCs w:val="24"/>
        </w:rPr>
        <w:t>v.r</w:t>
      </w:r>
      <w:proofErr w:type="spellEnd"/>
      <w:r w:rsidR="00333431">
        <w:rPr>
          <w:rFonts w:ascii="Times New Roman" w:hAnsi="Times New Roman" w:cs="Times New Roman"/>
          <w:b/>
          <w:sz w:val="24"/>
          <w:szCs w:val="24"/>
        </w:rPr>
        <w:t>.</w:t>
      </w:r>
    </w:p>
    <w:p w:rsidR="008751C1" w:rsidRPr="0062444D" w:rsidRDefault="008751C1" w:rsidP="008751C1">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predseda vlády</w:t>
      </w:r>
    </w:p>
    <w:p w:rsidR="008751C1" w:rsidRPr="0062444D" w:rsidRDefault="008751C1" w:rsidP="008751C1">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Slovenskej republiky</w:t>
      </w:r>
    </w:p>
    <w:p w:rsidR="008751C1" w:rsidRPr="0062444D" w:rsidRDefault="008751C1" w:rsidP="008751C1">
      <w:pPr>
        <w:pStyle w:val="Bezriadkovania"/>
        <w:jc w:val="center"/>
        <w:rPr>
          <w:rFonts w:ascii="Times New Roman" w:hAnsi="Times New Roman" w:cs="Times New Roman"/>
          <w:sz w:val="24"/>
          <w:szCs w:val="24"/>
        </w:rPr>
      </w:pPr>
    </w:p>
    <w:p w:rsidR="008751C1" w:rsidRPr="0062444D" w:rsidRDefault="008751C1" w:rsidP="008751C1">
      <w:pPr>
        <w:pStyle w:val="Bezriadkovania"/>
        <w:rPr>
          <w:rFonts w:ascii="Times New Roman" w:hAnsi="Times New Roman" w:cs="Times New Roman"/>
          <w:sz w:val="24"/>
          <w:szCs w:val="24"/>
        </w:rPr>
      </w:pPr>
    </w:p>
    <w:p w:rsidR="008751C1" w:rsidRPr="0062444D" w:rsidRDefault="008751C1" w:rsidP="008751C1">
      <w:pPr>
        <w:pStyle w:val="Bezriadkovania"/>
        <w:jc w:val="center"/>
        <w:rPr>
          <w:rFonts w:ascii="Times New Roman" w:hAnsi="Times New Roman" w:cs="Times New Roman"/>
          <w:sz w:val="24"/>
          <w:szCs w:val="24"/>
        </w:rPr>
      </w:pPr>
    </w:p>
    <w:p w:rsidR="008751C1" w:rsidRDefault="008751C1" w:rsidP="008751C1">
      <w:pPr>
        <w:pStyle w:val="Bezriadkovania"/>
        <w:jc w:val="center"/>
        <w:rPr>
          <w:rFonts w:ascii="Times New Roman" w:hAnsi="Times New Roman" w:cs="Times New Roman"/>
          <w:b/>
          <w:sz w:val="24"/>
          <w:szCs w:val="24"/>
        </w:rPr>
      </w:pPr>
      <w:r>
        <w:rPr>
          <w:rFonts w:ascii="Times New Roman" w:hAnsi="Times New Roman" w:cs="Times New Roman"/>
          <w:b/>
          <w:sz w:val="24"/>
          <w:szCs w:val="24"/>
        </w:rPr>
        <w:t xml:space="preserve">Richard </w:t>
      </w:r>
      <w:proofErr w:type="spellStart"/>
      <w:r>
        <w:rPr>
          <w:rFonts w:ascii="Times New Roman" w:hAnsi="Times New Roman" w:cs="Times New Roman"/>
          <w:b/>
          <w:sz w:val="24"/>
          <w:szCs w:val="24"/>
        </w:rPr>
        <w:t>Raši</w:t>
      </w:r>
      <w:proofErr w:type="spellEnd"/>
      <w:r w:rsidR="00333431">
        <w:rPr>
          <w:rFonts w:ascii="Times New Roman" w:hAnsi="Times New Roman" w:cs="Times New Roman"/>
          <w:b/>
          <w:sz w:val="24"/>
          <w:szCs w:val="24"/>
        </w:rPr>
        <w:t xml:space="preserve"> </w:t>
      </w:r>
      <w:proofErr w:type="spellStart"/>
      <w:r w:rsidR="00333431">
        <w:rPr>
          <w:rFonts w:ascii="Times New Roman" w:hAnsi="Times New Roman" w:cs="Times New Roman"/>
          <w:b/>
          <w:sz w:val="24"/>
          <w:szCs w:val="24"/>
        </w:rPr>
        <w:t>v.r</w:t>
      </w:r>
      <w:proofErr w:type="spellEnd"/>
      <w:r w:rsidR="00333431">
        <w:rPr>
          <w:rFonts w:ascii="Times New Roman" w:hAnsi="Times New Roman" w:cs="Times New Roman"/>
          <w:b/>
          <w:sz w:val="24"/>
          <w:szCs w:val="24"/>
        </w:rPr>
        <w:t>.</w:t>
      </w:r>
    </w:p>
    <w:p w:rsidR="008751C1" w:rsidRPr="0062444D" w:rsidRDefault="008751C1" w:rsidP="008751C1">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minister investícií,</w:t>
      </w:r>
    </w:p>
    <w:p w:rsidR="008751C1" w:rsidRDefault="008751C1" w:rsidP="008751C1">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region</w:t>
      </w:r>
      <w:r>
        <w:rPr>
          <w:rFonts w:ascii="Times New Roman" w:hAnsi="Times New Roman" w:cs="Times New Roman"/>
          <w:sz w:val="24"/>
          <w:szCs w:val="24"/>
        </w:rPr>
        <w:t>álneho rozvoja a informatizácie</w:t>
      </w:r>
    </w:p>
    <w:p w:rsidR="008751C1" w:rsidRPr="0062444D" w:rsidRDefault="008751C1" w:rsidP="008751C1">
      <w:pPr>
        <w:pStyle w:val="Bezriadkovania"/>
        <w:jc w:val="center"/>
        <w:rPr>
          <w:rFonts w:ascii="Times New Roman" w:hAnsi="Times New Roman" w:cs="Times New Roman"/>
          <w:sz w:val="24"/>
          <w:szCs w:val="24"/>
        </w:rPr>
      </w:pPr>
      <w:r>
        <w:rPr>
          <w:rFonts w:ascii="Times New Roman" w:hAnsi="Times New Roman" w:cs="Times New Roman"/>
          <w:sz w:val="24"/>
          <w:szCs w:val="24"/>
        </w:rPr>
        <w:t>Slovenskej republiky</w:t>
      </w:r>
    </w:p>
    <w:sectPr w:rsidR="008751C1" w:rsidRPr="0062444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53A" w:rsidRDefault="004F753A" w:rsidP="004F753A">
      <w:r>
        <w:separator/>
      </w:r>
    </w:p>
  </w:endnote>
  <w:endnote w:type="continuationSeparator" w:id="0">
    <w:p w:rsidR="004F753A" w:rsidRDefault="004F753A" w:rsidP="004F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463893"/>
      <w:docPartObj>
        <w:docPartGallery w:val="Page Numbers (Bottom of Page)"/>
        <w:docPartUnique/>
      </w:docPartObj>
    </w:sdtPr>
    <w:sdtEndPr/>
    <w:sdtContent>
      <w:p w:rsidR="004F753A" w:rsidRDefault="004F753A">
        <w:pPr>
          <w:pStyle w:val="Pta"/>
          <w:jc w:val="center"/>
        </w:pPr>
        <w:r>
          <w:fldChar w:fldCharType="begin"/>
        </w:r>
        <w:r>
          <w:instrText>PAGE   \* MERGEFORMAT</w:instrText>
        </w:r>
        <w:r>
          <w:fldChar w:fldCharType="separate"/>
        </w:r>
        <w:r w:rsidR="00DC1110">
          <w:t>6</w:t>
        </w:r>
        <w:r>
          <w:fldChar w:fldCharType="end"/>
        </w:r>
      </w:p>
    </w:sdtContent>
  </w:sdt>
  <w:p w:rsidR="004F753A" w:rsidRDefault="004F753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53A" w:rsidRDefault="004F753A" w:rsidP="004F753A">
      <w:r>
        <w:separator/>
      </w:r>
    </w:p>
  </w:footnote>
  <w:footnote w:type="continuationSeparator" w:id="0">
    <w:p w:rsidR="004F753A" w:rsidRDefault="004F753A" w:rsidP="004F7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25668"/>
    <w:multiLevelType w:val="hybridMultilevel"/>
    <w:tmpl w:val="0DFAB666"/>
    <w:lvl w:ilvl="0" w:tplc="FB14C50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F2E6966"/>
    <w:multiLevelType w:val="hybridMultilevel"/>
    <w:tmpl w:val="E3523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CE3"/>
    <w:rsid w:val="000A280E"/>
    <w:rsid w:val="000E66AB"/>
    <w:rsid w:val="0012197F"/>
    <w:rsid w:val="001C4720"/>
    <w:rsid w:val="00241805"/>
    <w:rsid w:val="002D6604"/>
    <w:rsid w:val="00312FA2"/>
    <w:rsid w:val="00327E84"/>
    <w:rsid w:val="00333431"/>
    <w:rsid w:val="0049775E"/>
    <w:rsid w:val="004B7108"/>
    <w:rsid w:val="004F753A"/>
    <w:rsid w:val="00563884"/>
    <w:rsid w:val="00591CE3"/>
    <w:rsid w:val="005D0597"/>
    <w:rsid w:val="00603BC6"/>
    <w:rsid w:val="00713360"/>
    <w:rsid w:val="00747AC2"/>
    <w:rsid w:val="0076450A"/>
    <w:rsid w:val="008067ED"/>
    <w:rsid w:val="00836869"/>
    <w:rsid w:val="008751C1"/>
    <w:rsid w:val="008B13C8"/>
    <w:rsid w:val="00915362"/>
    <w:rsid w:val="009366BF"/>
    <w:rsid w:val="00CF3F99"/>
    <w:rsid w:val="00CF75A0"/>
    <w:rsid w:val="00D05547"/>
    <w:rsid w:val="00D10CBC"/>
    <w:rsid w:val="00D20BBF"/>
    <w:rsid w:val="00D219C0"/>
    <w:rsid w:val="00D2732F"/>
    <w:rsid w:val="00D82682"/>
    <w:rsid w:val="00D97699"/>
    <w:rsid w:val="00DC1110"/>
    <w:rsid w:val="00DD5E52"/>
    <w:rsid w:val="00DD61BE"/>
    <w:rsid w:val="00EC2934"/>
    <w:rsid w:val="00F955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C69A"/>
  <w15:chartTrackingRefBased/>
  <w15:docId w15:val="{C9821328-B022-49EA-8702-E17EC60C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2732F"/>
    <w:pPr>
      <w:spacing w:after="0" w:line="240" w:lineRule="auto"/>
    </w:pPr>
    <w:rPr>
      <w:rFonts w:ascii="Times New Roman" w:eastAsia="Times New Roman" w:hAnsi="Times New Roman" w:cs="Times New Roman"/>
      <w:noProo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D2732F"/>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D2732F"/>
    <w:rPr>
      <w:rFonts w:ascii="Times New Roman" w:eastAsia="Times New Roman" w:hAnsi="Times New Roman" w:cs="Times New Roman"/>
      <w:noProof/>
      <w:sz w:val="24"/>
      <w:szCs w:val="24"/>
    </w:rPr>
  </w:style>
  <w:style w:type="paragraph" w:styleId="Textbubliny">
    <w:name w:val="Balloon Text"/>
    <w:basedOn w:val="Normlny"/>
    <w:link w:val="TextbublinyChar"/>
    <w:uiPriority w:val="99"/>
    <w:semiHidden/>
    <w:unhideWhenUsed/>
    <w:rsid w:val="008B13C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13C8"/>
    <w:rPr>
      <w:rFonts w:ascii="Segoe UI" w:eastAsia="Times New Roman" w:hAnsi="Segoe UI" w:cs="Segoe UI"/>
      <w:noProof/>
      <w:sz w:val="18"/>
      <w:szCs w:val="18"/>
    </w:rPr>
  </w:style>
  <w:style w:type="paragraph" w:styleId="Hlavika">
    <w:name w:val="header"/>
    <w:basedOn w:val="Normlny"/>
    <w:link w:val="HlavikaChar"/>
    <w:uiPriority w:val="99"/>
    <w:unhideWhenUsed/>
    <w:rsid w:val="004F753A"/>
    <w:pPr>
      <w:tabs>
        <w:tab w:val="center" w:pos="4536"/>
        <w:tab w:val="right" w:pos="9072"/>
      </w:tabs>
    </w:pPr>
  </w:style>
  <w:style w:type="character" w:customStyle="1" w:styleId="HlavikaChar">
    <w:name w:val="Hlavička Char"/>
    <w:basedOn w:val="Predvolenpsmoodseku"/>
    <w:link w:val="Hlavika"/>
    <w:uiPriority w:val="99"/>
    <w:rsid w:val="004F753A"/>
    <w:rPr>
      <w:rFonts w:ascii="Times New Roman" w:eastAsia="Times New Roman" w:hAnsi="Times New Roman" w:cs="Times New Roman"/>
      <w:noProof/>
      <w:sz w:val="24"/>
      <w:szCs w:val="24"/>
    </w:rPr>
  </w:style>
  <w:style w:type="paragraph" w:styleId="Pta">
    <w:name w:val="footer"/>
    <w:basedOn w:val="Normlny"/>
    <w:link w:val="PtaChar"/>
    <w:uiPriority w:val="99"/>
    <w:unhideWhenUsed/>
    <w:rsid w:val="004F753A"/>
    <w:pPr>
      <w:tabs>
        <w:tab w:val="center" w:pos="4536"/>
        <w:tab w:val="right" w:pos="9072"/>
      </w:tabs>
    </w:pPr>
  </w:style>
  <w:style w:type="character" w:customStyle="1" w:styleId="PtaChar">
    <w:name w:val="Päta Char"/>
    <w:basedOn w:val="Predvolenpsmoodseku"/>
    <w:link w:val="Pta"/>
    <w:uiPriority w:val="99"/>
    <w:rsid w:val="004F753A"/>
    <w:rPr>
      <w:rFonts w:ascii="Times New Roman" w:eastAsia="Times New Roman" w:hAnsi="Times New Roman" w:cs="Times New Roman"/>
      <w:noProof/>
      <w:sz w:val="24"/>
      <w:szCs w:val="24"/>
    </w:rPr>
  </w:style>
  <w:style w:type="table" w:customStyle="1" w:styleId="Mriekatabuky1">
    <w:name w:val="Mriežka tabuľky1"/>
    <w:basedOn w:val="Normlnatabuka"/>
    <w:next w:val="Mriekatabuky"/>
    <w:uiPriority w:val="59"/>
    <w:rsid w:val="00D97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7699"/>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Predvolenpsmoodseku"/>
    <w:uiPriority w:val="99"/>
    <w:semiHidden/>
    <w:rsid w:val="00D97699"/>
    <w:rPr>
      <w:rFonts w:ascii="Times New Roman" w:hAnsi="Times New Roman" w:cs="Times New Roman"/>
      <w:color w:val="808080"/>
    </w:rPr>
  </w:style>
  <w:style w:type="character" w:styleId="Hypertextovprepojenie">
    <w:name w:val="Hyperlink"/>
    <w:basedOn w:val="Predvolenpsmoodseku"/>
    <w:uiPriority w:val="99"/>
    <w:unhideWhenUsed/>
    <w:rsid w:val="00D97699"/>
    <w:rPr>
      <w:color w:val="0563C1" w:themeColor="hyperlink"/>
      <w:u w:val="single"/>
    </w:rPr>
  </w:style>
  <w:style w:type="table" w:styleId="Mriekatabuky">
    <w:name w:val="Table Grid"/>
    <w:basedOn w:val="Normlnatabuka"/>
    <w:uiPriority w:val="39"/>
    <w:rsid w:val="00D97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Predvolenpsmoodseku"/>
    <w:uiPriority w:val="22"/>
    <w:qFormat/>
    <w:rsid w:val="00D97699"/>
    <w:rPr>
      <w:b/>
      <w:bCs/>
    </w:rPr>
  </w:style>
  <w:style w:type="paragraph" w:styleId="Bezriadkovania">
    <w:name w:val="No Spacing"/>
    <w:uiPriority w:val="1"/>
    <w:qFormat/>
    <w:rsid w:val="008751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9403">
      <w:bodyDiv w:val="1"/>
      <w:marLeft w:val="0"/>
      <w:marRight w:val="0"/>
      <w:marTop w:val="0"/>
      <w:marBottom w:val="0"/>
      <w:divBdr>
        <w:top w:val="none" w:sz="0" w:space="0" w:color="auto"/>
        <w:left w:val="none" w:sz="0" w:space="0" w:color="auto"/>
        <w:bottom w:val="none" w:sz="0" w:space="0" w:color="auto"/>
        <w:right w:val="none" w:sz="0" w:space="0" w:color="auto"/>
      </w:divBdr>
    </w:div>
    <w:div w:id="3395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rsr.sk/web/Default.aspx?sid=zakony/cpt&amp;ZakZborID=13&amp;CisObdobia=8&amp;ID=10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2358</Words>
  <Characters>13445</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MIRRI</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Graňáková, Marcela</dc:creator>
  <cp:keywords/>
  <dc:description/>
  <cp:lastModifiedBy>Galmišová, Anežka</cp:lastModifiedBy>
  <cp:revision>23</cp:revision>
  <dcterms:created xsi:type="dcterms:W3CDTF">2024-04-05T07:21:00Z</dcterms:created>
  <dcterms:modified xsi:type="dcterms:W3CDTF">2024-05-22T06:11:00Z</dcterms:modified>
</cp:coreProperties>
</file>