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  <w:r w:rsidRPr="00C970B9">
        <w:rPr>
          <w:rFonts w:eastAsia="Times New Roman"/>
          <w:b/>
          <w:spacing w:val="30"/>
          <w:szCs w:val="24"/>
        </w:rPr>
        <w:t xml:space="preserve">NÁRODNÁ RADA SLOVENSKEJ REPUBLIKY </w:t>
      </w:r>
    </w:p>
    <w:p w:rsidR="00967D5F" w:rsidRPr="00C970B9" w:rsidRDefault="00967D5F" w:rsidP="00967D5F">
      <w:pPr>
        <w:pBdr>
          <w:bottom w:val="single" w:sz="12" w:space="3" w:color="auto"/>
        </w:pBdr>
        <w:jc w:val="center"/>
        <w:rPr>
          <w:rFonts w:eastAsia="Times New Roman"/>
          <w:spacing w:val="30"/>
          <w:szCs w:val="24"/>
        </w:rPr>
      </w:pPr>
      <w:r w:rsidRPr="00C970B9">
        <w:rPr>
          <w:rFonts w:eastAsia="Times New Roman"/>
          <w:spacing w:val="30"/>
          <w:szCs w:val="24"/>
        </w:rPr>
        <w:t>I</w:t>
      </w:r>
      <w:r w:rsidR="005B606B" w:rsidRPr="00C970B9">
        <w:rPr>
          <w:rFonts w:eastAsia="Times New Roman"/>
          <w:spacing w:val="30"/>
          <w:szCs w:val="24"/>
        </w:rPr>
        <w:t>X</w:t>
      </w:r>
      <w:r w:rsidRPr="00C970B9">
        <w:rPr>
          <w:rFonts w:eastAsia="Times New Roman"/>
          <w:spacing w:val="30"/>
          <w:szCs w:val="24"/>
        </w:rPr>
        <w:t>. volebné obdobie</w:t>
      </w:r>
    </w:p>
    <w:p w:rsidR="00967D5F" w:rsidRPr="00C970B9" w:rsidRDefault="00967D5F" w:rsidP="00967D5F">
      <w:pPr>
        <w:jc w:val="center"/>
        <w:rPr>
          <w:rFonts w:eastAsia="Times New Roman"/>
          <w:spacing w:val="30"/>
          <w:szCs w:val="24"/>
          <w:highlight w:val="yellow"/>
        </w:rPr>
      </w:pPr>
    </w:p>
    <w:p w:rsidR="00967D5F" w:rsidRPr="00C970B9" w:rsidRDefault="00967D5F" w:rsidP="00967D5F">
      <w:pPr>
        <w:jc w:val="center"/>
        <w:rPr>
          <w:rFonts w:eastAsia="Times New Roman"/>
          <w:spacing w:val="30"/>
          <w:szCs w:val="24"/>
          <w:highlight w:val="yellow"/>
        </w:rPr>
      </w:pPr>
    </w:p>
    <w:p w:rsidR="00967D5F" w:rsidRPr="00C970B9" w:rsidRDefault="00967D5F" w:rsidP="00967D5F">
      <w:pPr>
        <w:jc w:val="center"/>
        <w:rPr>
          <w:rFonts w:eastAsia="Times New Roman"/>
          <w:spacing w:val="30"/>
          <w:szCs w:val="24"/>
          <w:highlight w:val="yellow"/>
        </w:rPr>
      </w:pPr>
    </w:p>
    <w:p w:rsidR="00967D5F" w:rsidRPr="00C970B9" w:rsidRDefault="00C970B9" w:rsidP="00967D5F">
      <w:pPr>
        <w:jc w:val="center"/>
        <w:rPr>
          <w:rFonts w:eastAsia="Times New Roman"/>
          <w:b/>
          <w:spacing w:val="30"/>
          <w:szCs w:val="24"/>
        </w:rPr>
      </w:pPr>
      <w:r w:rsidRPr="00C970B9">
        <w:rPr>
          <w:rFonts w:eastAsia="Times New Roman"/>
          <w:b/>
          <w:spacing w:val="30"/>
          <w:szCs w:val="24"/>
        </w:rPr>
        <w:t>306</w:t>
      </w: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  <w:highlight w:val="yellow"/>
        </w:rPr>
      </w:pP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  <w:r w:rsidRPr="00C970B9">
        <w:rPr>
          <w:rFonts w:eastAsia="Times New Roman"/>
          <w:b/>
          <w:spacing w:val="30"/>
          <w:szCs w:val="24"/>
        </w:rPr>
        <w:t xml:space="preserve">VLÁDNY NÁVRH </w:t>
      </w: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</w:p>
    <w:p w:rsidR="00967D5F" w:rsidRPr="00C970B9" w:rsidRDefault="00967D5F" w:rsidP="00967D5F">
      <w:pPr>
        <w:jc w:val="center"/>
        <w:rPr>
          <w:rFonts w:eastAsia="Times New Roman"/>
          <w:b/>
          <w:spacing w:val="30"/>
          <w:szCs w:val="24"/>
        </w:rPr>
      </w:pPr>
      <w:r w:rsidRPr="00C970B9">
        <w:rPr>
          <w:rFonts w:eastAsia="Times New Roman"/>
          <w:b/>
          <w:spacing w:val="30"/>
          <w:szCs w:val="24"/>
        </w:rPr>
        <w:t>Z á k o n</w:t>
      </w:r>
    </w:p>
    <w:p w:rsidR="00967D5F" w:rsidRPr="00C970B9" w:rsidRDefault="00967D5F" w:rsidP="00967D5F">
      <w:pPr>
        <w:jc w:val="center"/>
        <w:rPr>
          <w:rFonts w:eastAsia="Times New Roman"/>
          <w:szCs w:val="24"/>
        </w:rPr>
      </w:pPr>
    </w:p>
    <w:p w:rsidR="00967D5F" w:rsidRPr="00C970B9" w:rsidRDefault="00967D5F" w:rsidP="00967D5F">
      <w:pPr>
        <w:jc w:val="center"/>
        <w:rPr>
          <w:rFonts w:eastAsia="Times New Roman"/>
          <w:szCs w:val="24"/>
        </w:rPr>
      </w:pPr>
    </w:p>
    <w:p w:rsidR="006134D6" w:rsidRPr="00C970B9" w:rsidRDefault="006134D6" w:rsidP="006134D6">
      <w:pPr>
        <w:widowControl w:val="0"/>
        <w:autoSpaceDE w:val="0"/>
        <w:autoSpaceDN w:val="0"/>
        <w:adjustRightInd w:val="0"/>
        <w:jc w:val="center"/>
        <w:rPr>
          <w:bCs/>
          <w:szCs w:val="24"/>
        </w:rPr>
      </w:pPr>
      <w:r w:rsidRPr="00C970B9">
        <w:rPr>
          <w:bCs/>
          <w:szCs w:val="24"/>
        </w:rPr>
        <w:t>z .. 202</w:t>
      </w:r>
      <w:r w:rsidR="005B606B" w:rsidRPr="00C970B9">
        <w:rPr>
          <w:bCs/>
          <w:szCs w:val="24"/>
        </w:rPr>
        <w:t>4,</w:t>
      </w:r>
    </w:p>
    <w:p w:rsidR="006134D6" w:rsidRPr="00C970B9" w:rsidRDefault="006134D6" w:rsidP="006134D6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bookmarkStart w:id="0" w:name="_GoBack"/>
      <w:bookmarkEnd w:id="0"/>
    </w:p>
    <w:p w:rsidR="005B606B" w:rsidRPr="00C970B9" w:rsidRDefault="005B606B" w:rsidP="005B606B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C970B9">
        <w:rPr>
          <w:b/>
          <w:szCs w:val="24"/>
        </w:rPr>
        <w:t xml:space="preserve">ktorým sa mení a dopĺňa zákon č. 40/1964 Zb. Občiansky zákonník </w:t>
      </w:r>
    </w:p>
    <w:p w:rsidR="006134D6" w:rsidRDefault="005B606B" w:rsidP="005B606B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C970B9">
        <w:rPr>
          <w:b/>
          <w:szCs w:val="24"/>
        </w:rPr>
        <w:t>v znení neskorších predpisov</w:t>
      </w:r>
    </w:p>
    <w:p w:rsidR="00DC1211" w:rsidRDefault="00DC1211" w:rsidP="005B606B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</w:p>
    <w:p w:rsidR="00DC1211" w:rsidRDefault="00DC1211" w:rsidP="00DC1211">
      <w:pPr>
        <w:jc w:val="center"/>
        <w:rPr>
          <w:rFonts w:cs="Times New Roman"/>
          <w:b/>
          <w:szCs w:val="24"/>
        </w:rPr>
      </w:pPr>
    </w:p>
    <w:p w:rsidR="006134D6" w:rsidRDefault="006134D6" w:rsidP="006134D6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C970B9">
        <w:rPr>
          <w:szCs w:val="24"/>
        </w:rPr>
        <w:tab/>
        <w:t xml:space="preserve">Národná rada Slovenskej republiky sa uzniesla na tomto zákone: </w:t>
      </w:r>
    </w:p>
    <w:p w:rsidR="00DC1211" w:rsidRDefault="00DC1211" w:rsidP="006134D6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DC1211" w:rsidRPr="008A5409" w:rsidRDefault="00DC1211" w:rsidP="00DC1211">
      <w:pPr>
        <w:jc w:val="center"/>
        <w:rPr>
          <w:rFonts w:cs="Times New Roman"/>
          <w:b/>
          <w:szCs w:val="24"/>
        </w:rPr>
      </w:pPr>
      <w:r w:rsidRPr="008A5409">
        <w:rPr>
          <w:rFonts w:cs="Times New Roman"/>
          <w:b/>
          <w:szCs w:val="24"/>
        </w:rPr>
        <w:t>Čl. I</w:t>
      </w:r>
    </w:p>
    <w:p w:rsidR="006134D6" w:rsidRPr="00C970B9" w:rsidRDefault="006134D6" w:rsidP="006134D6">
      <w:pPr>
        <w:widowControl w:val="0"/>
        <w:autoSpaceDE w:val="0"/>
        <w:autoSpaceDN w:val="0"/>
        <w:adjustRightInd w:val="0"/>
        <w:rPr>
          <w:szCs w:val="24"/>
        </w:rPr>
      </w:pPr>
      <w:r w:rsidRPr="00C970B9">
        <w:rPr>
          <w:szCs w:val="24"/>
        </w:rPr>
        <w:tab/>
      </w:r>
    </w:p>
    <w:p w:rsidR="009F766E" w:rsidRPr="00C970B9" w:rsidRDefault="009F766E" w:rsidP="009F766E">
      <w:pPr>
        <w:ind w:firstLine="708"/>
        <w:jc w:val="both"/>
        <w:rPr>
          <w:rFonts w:cs="Times New Roman"/>
          <w:szCs w:val="24"/>
        </w:rPr>
      </w:pPr>
      <w:r w:rsidRPr="00C970B9">
        <w:rPr>
          <w:rFonts w:cs="Times New Roman"/>
          <w:szCs w:val="24"/>
        </w:rPr>
        <w:t>Zákon č. 40/1964 Zb. Občiansky zákonník v znení zákona č. 58/1969 Zb., zákona č. 131/1982 Zb., zákona č. 94/1988 Zb., zákona č. 188/1988 Zb., zákona č. 87/1990 Zb., zákona č. 105/1990 Zb., zákona č. 116/1990 Zb., zákona č. 87/1991 Zb., zákona č. 509/1991 Zb., zákona č. 264/1992 Zb., zákona Národnej rady Slovenskej republiky č. 278/1993 Z. z., zákona Národnej rady Slovenskej republiky č. 249/1994 Z. z., zákona č. 153/1997 Z. z., zákona č. 211/1997 Z. z., zákona č. 252/1999 Z. z., zákona č. 218/2000 Z. z., zákona č. 261/2001 Z. z., zákona č. 281/2001 Z. z., zákona č. 23/2002 Z. z., zákona č. 34/2002 Z. z., zákona č. 95/2002 Z. z., zákona č. 184/2002 Z. z., zákona č. 215/2002 Z. z., zákona č. 526/2002 Z. z., zákona č. 504/2003 Z. z., zákona č. 515/2003 Z. z., zákona č. 150/2004 Z. z., zákona č. 404/2004 Z. z., zákona č. 635/2004 Z. z., zákona č. 171/2005 Z. z., zákona č. 266/2005 Z. z., zákona č. 336/2005 Z. z., zákona č. 118/2006 Z. z., zákona č. 188/2006 Z. z., zákona č. 84/2007 Z. z., zákona č. 335/2007 Z. z., zákona č. 568/2007 Z. z., zákona č. 214/2008 Z. z., zákona č. 379/2008 Z. z., zákona č. 477/2008 Z. z., zákona č. 186/2009 Z. z., zákona č. 575/2009 Z. z., zákona č. 129/2010 Z. z., zákona č. 546/2010 Z. z., zákona č. 130/2011 Z. z., zákona č. 161/2011 Z. z., zákona č. 69/2012 Z. z., zákona č. 180/2013 Z. z., zákona č. 102/2014 Z. z., zákona č. 106/2014 Z. z., zákona č. 335/2014 Z. z., zákona č. 39/2015 Z. z., zákona č. 117/2015 Z. z., zákona č. 239/2015 Z. z., zákona č. 273/2015 Z. z., zákona č. 438/2015 Z. z., zákona č. 91/2016 Z. z., zákona č. 125/2016 Z. z., zákona č. 170/2018 Z. z., zákona č. 184/2018 Z. z., zákona č. 213/2018 Z. z., zákona č. 343/2018 Z. z., nálezu Ústavného súdu Slovenskej republiky č. 25/2019 Z. z., zákona č. 394/2019 Z. z. a zákona č. 108/2024 Z. z. sa mení a dopĺňa takto:</w:t>
      </w:r>
    </w:p>
    <w:p w:rsidR="009F766E" w:rsidRPr="00C970B9" w:rsidRDefault="009F766E" w:rsidP="009F766E">
      <w:pPr>
        <w:jc w:val="both"/>
        <w:rPr>
          <w:rFonts w:cs="Times New Roman"/>
          <w:szCs w:val="24"/>
        </w:rPr>
      </w:pPr>
    </w:p>
    <w:p w:rsidR="009F766E" w:rsidRPr="00C970B9" w:rsidRDefault="009F766E" w:rsidP="009F766E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70B9">
        <w:rPr>
          <w:rFonts w:ascii="Times New Roman" w:hAnsi="Times New Roman"/>
          <w:sz w:val="24"/>
          <w:szCs w:val="24"/>
        </w:rPr>
        <w:t>V § 53 odsek 9 znie:</w:t>
      </w:r>
    </w:p>
    <w:p w:rsidR="009F766E" w:rsidRPr="00C970B9" w:rsidRDefault="009F766E" w:rsidP="009F766E">
      <w:pPr>
        <w:jc w:val="both"/>
        <w:rPr>
          <w:rFonts w:cs="Times New Roman"/>
          <w:szCs w:val="24"/>
        </w:rPr>
      </w:pPr>
    </w:p>
    <w:p w:rsidR="009F766E" w:rsidRPr="00C970B9" w:rsidRDefault="009F766E" w:rsidP="009F766E">
      <w:pPr>
        <w:ind w:firstLine="360"/>
        <w:jc w:val="both"/>
        <w:rPr>
          <w:rFonts w:cs="Times New Roman"/>
          <w:szCs w:val="24"/>
        </w:rPr>
      </w:pPr>
      <w:r w:rsidRPr="00C970B9">
        <w:rPr>
          <w:rFonts w:cs="Times New Roman"/>
          <w:szCs w:val="24"/>
        </w:rPr>
        <w:t>„(9) Ak má spotrebiteľ plniť podľa spotrebiteľskej zmluvy v splátkach, môže obchodník požadovať vrátenie celého plnenia, ak je spotrebiteľ celkom alebo čiastočne v omeškaní aspoň s tromi splátkami a suma splátok, s ktorými je spotrebiteľ v omeškaní, je najmenej vo výške</w:t>
      </w:r>
    </w:p>
    <w:p w:rsidR="009F766E" w:rsidRPr="00C970B9" w:rsidRDefault="009F766E" w:rsidP="009F766E">
      <w:pPr>
        <w:ind w:firstLine="360"/>
        <w:jc w:val="both"/>
        <w:rPr>
          <w:rFonts w:cs="Times New Roman"/>
          <w:szCs w:val="24"/>
        </w:rPr>
      </w:pPr>
      <w:r w:rsidRPr="00C970B9">
        <w:rPr>
          <w:rFonts w:cs="Times New Roman"/>
          <w:szCs w:val="24"/>
        </w:rPr>
        <w:lastRenderedPageBreak/>
        <w:t xml:space="preserve">a) desiatich percent poskytnutej sumy úveru alebo iného plnenia, na ktorého vrátenie je spotrebiteľ podľa spotrebiteľskej zmluvy povinný, ak je doba trvania spotrebiteľskej zmluvy dohodnutá najviac na tri roky, </w:t>
      </w:r>
    </w:p>
    <w:p w:rsidR="009F766E" w:rsidRPr="00C970B9" w:rsidRDefault="009F766E" w:rsidP="009F766E">
      <w:pPr>
        <w:ind w:firstLine="360"/>
        <w:jc w:val="both"/>
        <w:rPr>
          <w:rFonts w:cs="Times New Roman"/>
          <w:szCs w:val="24"/>
        </w:rPr>
      </w:pPr>
      <w:r w:rsidRPr="00C970B9">
        <w:rPr>
          <w:rFonts w:cs="Times New Roman"/>
          <w:szCs w:val="24"/>
        </w:rPr>
        <w:t>b) piatich percent poskytnutej sumy úveru alebo iného plnenia, na ktorého vrátenie je spotrebiteľ podľa spotrebiteľskej zmluvy povinný, ak je doba trvania spotrebiteľskej zmluvy dohodnutá na viac ako tri roky a najviac na desať rokov, alebo</w:t>
      </w:r>
    </w:p>
    <w:p w:rsidR="009F766E" w:rsidRDefault="009F766E" w:rsidP="009F766E">
      <w:pPr>
        <w:ind w:firstLine="360"/>
        <w:jc w:val="both"/>
        <w:rPr>
          <w:rFonts w:cs="Times New Roman"/>
          <w:szCs w:val="24"/>
        </w:rPr>
      </w:pPr>
      <w:r w:rsidRPr="00C970B9">
        <w:rPr>
          <w:rFonts w:cs="Times New Roman"/>
          <w:szCs w:val="24"/>
        </w:rPr>
        <w:t xml:space="preserve">c) dva a pol percenta poskytnutej sumy úveru alebo iného plnenia, na ktorého vrátenie je spotrebiteľ podľa spotrebiteľskej zmluvy povinný, ak je doba trvania spotrebiteľskej zmluvy dohodnutá na viac ako desať rokov.“. </w:t>
      </w:r>
    </w:p>
    <w:p w:rsidR="00C970B9" w:rsidRPr="00C970B9" w:rsidRDefault="00C970B9" w:rsidP="009F766E">
      <w:pPr>
        <w:ind w:firstLine="360"/>
        <w:jc w:val="both"/>
        <w:rPr>
          <w:rFonts w:cs="Times New Roman"/>
          <w:szCs w:val="24"/>
        </w:rPr>
      </w:pPr>
    </w:p>
    <w:p w:rsidR="009F766E" w:rsidRPr="00C970B9" w:rsidRDefault="009F766E" w:rsidP="009F766E">
      <w:pPr>
        <w:pStyle w:val="Odsekzoznamu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C970B9">
        <w:rPr>
          <w:rFonts w:ascii="Times New Roman" w:hAnsi="Times New Roman"/>
          <w:sz w:val="24"/>
          <w:szCs w:val="24"/>
        </w:rPr>
        <w:t>V § 53 sa za odsek 9 vkladá nový odsek 10, ktorý znie:</w:t>
      </w:r>
    </w:p>
    <w:p w:rsidR="009F766E" w:rsidRDefault="009F766E" w:rsidP="009F766E">
      <w:pPr>
        <w:ind w:firstLine="360"/>
        <w:jc w:val="both"/>
        <w:rPr>
          <w:rFonts w:cs="Times New Roman"/>
          <w:szCs w:val="24"/>
        </w:rPr>
      </w:pPr>
      <w:r w:rsidRPr="00C970B9">
        <w:rPr>
          <w:rFonts w:cs="Times New Roman"/>
          <w:szCs w:val="24"/>
        </w:rPr>
        <w:t>„(10) Ak sú splnené podmienky podľa odseku 9, obchodník je povinný vo výzve na vrátenie splátok, s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ktorými je spotrebiteľ v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omeškaní, poskytnúť spotrebiteľovi dodatočnú lehotu na plnenie, ktorá nesmie byť kratšia ako 15 dní od doručenia výzvy. Ak spotrebiteľ neuhradí splátky, s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ktorými je v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omeškaní, v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dodatočnej lehote poskytnutej mu obchodníkom, jej uplynutím sa stáva celé plnenie zo spotrebiteľskej zmluvy splatným; ustanovenie § 565 sa nepoužije. Obchodník je povinný vo výzve na vrátenie splátok, s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ktorými je spotrebiteľ v omeškaní, upozorniť spotrebiteľa na následok podľa predchádzajúcej vety a</w:t>
      </w:r>
      <w:r w:rsidR="00C970B9">
        <w:rPr>
          <w:rFonts w:cs="Times New Roman"/>
          <w:szCs w:val="24"/>
        </w:rPr>
        <w:t xml:space="preserve"> </w:t>
      </w:r>
      <w:r w:rsidRPr="00C970B9">
        <w:rPr>
          <w:rFonts w:cs="Times New Roman"/>
          <w:szCs w:val="24"/>
        </w:rPr>
        <w:t>uviesť sumu splátok, s ktorými je spotrebiteľ v omeškaní.“.</w:t>
      </w:r>
    </w:p>
    <w:p w:rsidR="00C970B9" w:rsidRPr="00C970B9" w:rsidRDefault="00C970B9" w:rsidP="009F766E">
      <w:pPr>
        <w:ind w:firstLine="360"/>
        <w:jc w:val="both"/>
        <w:rPr>
          <w:rFonts w:cs="Times New Roman"/>
          <w:szCs w:val="24"/>
        </w:rPr>
      </w:pPr>
    </w:p>
    <w:p w:rsidR="009F766E" w:rsidRPr="00C970B9" w:rsidRDefault="009F766E" w:rsidP="009F766E">
      <w:pPr>
        <w:jc w:val="both"/>
        <w:rPr>
          <w:szCs w:val="24"/>
        </w:rPr>
      </w:pPr>
      <w:r w:rsidRPr="00C970B9">
        <w:rPr>
          <w:szCs w:val="24"/>
        </w:rPr>
        <w:t>Doterajšie odseky 10 až 17 sa označujú ako odseky 11 až 18.</w:t>
      </w:r>
    </w:p>
    <w:p w:rsidR="009F766E" w:rsidRPr="00C970B9" w:rsidRDefault="009F766E" w:rsidP="009F766E">
      <w:pPr>
        <w:jc w:val="both"/>
        <w:rPr>
          <w:szCs w:val="24"/>
        </w:rPr>
      </w:pPr>
    </w:p>
    <w:p w:rsidR="009F766E" w:rsidRPr="00C970B9" w:rsidRDefault="009F766E" w:rsidP="009F766E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70B9">
        <w:rPr>
          <w:rFonts w:ascii="Times New Roman" w:hAnsi="Times New Roman"/>
          <w:sz w:val="24"/>
          <w:szCs w:val="24"/>
        </w:rPr>
        <w:t>V § 53b ods. 2 sa číslo „12“ nahrádza číslom „14“.</w:t>
      </w:r>
    </w:p>
    <w:p w:rsidR="009F766E" w:rsidRPr="00C970B9" w:rsidRDefault="009F766E" w:rsidP="009F766E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66E" w:rsidRPr="00C970B9" w:rsidRDefault="009F766E" w:rsidP="009F766E">
      <w:pPr>
        <w:pStyle w:val="Odsekzoznamu"/>
        <w:rPr>
          <w:rFonts w:ascii="Times New Roman" w:hAnsi="Times New Roman"/>
          <w:sz w:val="24"/>
          <w:szCs w:val="24"/>
        </w:rPr>
      </w:pPr>
    </w:p>
    <w:p w:rsidR="009F766E" w:rsidRPr="00C970B9" w:rsidRDefault="009F766E" w:rsidP="009F766E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70B9">
        <w:rPr>
          <w:rFonts w:ascii="Times" w:hAnsi="Times" w:cs="Times"/>
          <w:sz w:val="25"/>
          <w:szCs w:val="25"/>
        </w:rPr>
        <w:t>V deviatej časti sa za</w:t>
      </w:r>
      <w:r w:rsidRPr="00C970B9">
        <w:rPr>
          <w:rFonts w:ascii="Times New Roman" w:hAnsi="Times New Roman"/>
          <w:sz w:val="24"/>
          <w:szCs w:val="24"/>
        </w:rPr>
        <w:t xml:space="preserve"> dvadsiatu šiestu hlavu vkladá dvadsiata siedma hlava, ktorá vrátane nadpisu znie:</w:t>
      </w:r>
    </w:p>
    <w:p w:rsidR="009F766E" w:rsidRPr="00C970B9" w:rsidRDefault="009F766E" w:rsidP="009F766E">
      <w:pPr>
        <w:jc w:val="both"/>
        <w:rPr>
          <w:rFonts w:cs="Times New Roman"/>
          <w:szCs w:val="24"/>
        </w:rPr>
      </w:pPr>
    </w:p>
    <w:p w:rsidR="009F766E" w:rsidRPr="00C970B9" w:rsidRDefault="009F766E" w:rsidP="009F766E">
      <w:pPr>
        <w:jc w:val="center"/>
        <w:rPr>
          <w:szCs w:val="24"/>
        </w:rPr>
      </w:pPr>
      <w:r w:rsidRPr="00C970B9">
        <w:rPr>
          <w:szCs w:val="24"/>
        </w:rPr>
        <w:t>„DVADSIATA SIEDMA HLAVA</w:t>
      </w:r>
    </w:p>
    <w:p w:rsidR="009F766E" w:rsidRPr="00C970B9" w:rsidRDefault="009F766E" w:rsidP="009F766E">
      <w:pPr>
        <w:jc w:val="both"/>
        <w:rPr>
          <w:szCs w:val="24"/>
        </w:rPr>
      </w:pPr>
    </w:p>
    <w:p w:rsidR="009F766E" w:rsidRPr="00C970B9" w:rsidRDefault="009F766E" w:rsidP="009F766E">
      <w:pPr>
        <w:jc w:val="center"/>
        <w:rPr>
          <w:szCs w:val="24"/>
        </w:rPr>
      </w:pPr>
      <w:r w:rsidRPr="00C970B9">
        <w:rPr>
          <w:szCs w:val="24"/>
        </w:rPr>
        <w:t>Prechodné ustanovenia k úpravám účinným od 1. novembra 2024</w:t>
      </w:r>
    </w:p>
    <w:p w:rsidR="009F766E" w:rsidRPr="00C970B9" w:rsidRDefault="009F766E" w:rsidP="009F766E">
      <w:pPr>
        <w:jc w:val="center"/>
        <w:rPr>
          <w:szCs w:val="24"/>
        </w:rPr>
      </w:pPr>
    </w:p>
    <w:p w:rsidR="009F766E" w:rsidRPr="00C970B9" w:rsidRDefault="009F766E" w:rsidP="009F766E">
      <w:pPr>
        <w:jc w:val="center"/>
        <w:rPr>
          <w:szCs w:val="24"/>
        </w:rPr>
      </w:pPr>
      <w:r w:rsidRPr="00C970B9">
        <w:rPr>
          <w:szCs w:val="24"/>
        </w:rPr>
        <w:t>§ 879y</w:t>
      </w:r>
    </w:p>
    <w:p w:rsidR="009F766E" w:rsidRPr="00C970B9" w:rsidRDefault="009F766E" w:rsidP="009F766E">
      <w:pPr>
        <w:jc w:val="both"/>
        <w:rPr>
          <w:szCs w:val="24"/>
        </w:rPr>
      </w:pPr>
    </w:p>
    <w:p w:rsidR="009F766E" w:rsidRPr="00C970B9" w:rsidRDefault="009F766E" w:rsidP="009F766E">
      <w:pPr>
        <w:pStyle w:val="Odsekzoznamu"/>
        <w:numPr>
          <w:ilvl w:val="0"/>
          <w:numId w:val="3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970B9">
        <w:rPr>
          <w:rFonts w:ascii="Times New Roman" w:hAnsi="Times New Roman"/>
          <w:sz w:val="24"/>
          <w:szCs w:val="24"/>
        </w:rPr>
        <w:t>Ustanoveniami tohto zákona v znení účinnom do 31. októbra 2024 sa spravujú právne vzťahy vzniknuté do 31. októbra 2024; vznik týchto právnych vzťahov a vznik nárokov z týchto právnych vzťahov sa posudzujú podľa predpisov účinných do 31. októbra 2024, ak v odseku 2 nie je ustanovené inak.</w:t>
      </w:r>
    </w:p>
    <w:p w:rsidR="009F766E" w:rsidRPr="00C970B9" w:rsidRDefault="009F766E" w:rsidP="009F766E">
      <w:pPr>
        <w:pStyle w:val="Odsekzoznamu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9F766E" w:rsidRPr="00C970B9" w:rsidRDefault="009F766E" w:rsidP="009F766E">
      <w:pPr>
        <w:pStyle w:val="Odsekzoznamu"/>
        <w:numPr>
          <w:ilvl w:val="0"/>
          <w:numId w:val="3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970B9">
        <w:rPr>
          <w:rFonts w:ascii="Times New Roman" w:hAnsi="Times New Roman"/>
          <w:sz w:val="24"/>
          <w:szCs w:val="24"/>
        </w:rPr>
        <w:t>Ustanovenia spotrebiteľských zmlúv, ktoré sú v rozpore s ustanoveniami § 53 ods. 9 a 10 v</w:t>
      </w:r>
      <w:r w:rsidR="00C970B9">
        <w:rPr>
          <w:rFonts w:ascii="Times New Roman" w:hAnsi="Times New Roman"/>
          <w:sz w:val="24"/>
          <w:szCs w:val="24"/>
        </w:rPr>
        <w:t xml:space="preserve"> </w:t>
      </w:r>
      <w:r w:rsidRPr="00C970B9">
        <w:rPr>
          <w:rFonts w:ascii="Times New Roman" w:hAnsi="Times New Roman"/>
          <w:sz w:val="24"/>
          <w:szCs w:val="24"/>
        </w:rPr>
        <w:t>znení účinnom od 1. novembra 2024 a</w:t>
      </w:r>
      <w:r w:rsidR="00C970B9">
        <w:rPr>
          <w:rFonts w:ascii="Times New Roman" w:hAnsi="Times New Roman"/>
          <w:sz w:val="24"/>
          <w:szCs w:val="24"/>
        </w:rPr>
        <w:t xml:space="preserve"> </w:t>
      </w:r>
      <w:r w:rsidRPr="00C970B9">
        <w:rPr>
          <w:rFonts w:ascii="Times New Roman" w:hAnsi="Times New Roman"/>
          <w:sz w:val="24"/>
          <w:szCs w:val="24"/>
        </w:rPr>
        <w:t>v</w:t>
      </w:r>
      <w:r w:rsidR="00C970B9">
        <w:rPr>
          <w:rFonts w:ascii="Times New Roman" w:hAnsi="Times New Roman"/>
          <w:sz w:val="24"/>
          <w:szCs w:val="24"/>
        </w:rPr>
        <w:t xml:space="preserve"> </w:t>
      </w:r>
      <w:r w:rsidRPr="00C970B9">
        <w:rPr>
          <w:rFonts w:ascii="Times New Roman" w:hAnsi="Times New Roman"/>
          <w:sz w:val="24"/>
          <w:szCs w:val="24"/>
        </w:rPr>
        <w:t>ktorých nedošlo k</w:t>
      </w:r>
      <w:r w:rsidR="00C970B9">
        <w:rPr>
          <w:rFonts w:ascii="Times New Roman" w:hAnsi="Times New Roman"/>
          <w:sz w:val="24"/>
          <w:szCs w:val="24"/>
        </w:rPr>
        <w:t xml:space="preserve"> </w:t>
      </w:r>
      <w:r w:rsidRPr="00C970B9">
        <w:rPr>
          <w:rFonts w:ascii="Times New Roman" w:hAnsi="Times New Roman"/>
          <w:sz w:val="24"/>
          <w:szCs w:val="24"/>
        </w:rPr>
        <w:t>uplatneniu práva obchodníka podľa § 53 ods. 9 v</w:t>
      </w:r>
      <w:r w:rsidR="00C970B9">
        <w:rPr>
          <w:rFonts w:ascii="Times New Roman" w:hAnsi="Times New Roman"/>
          <w:sz w:val="24"/>
          <w:szCs w:val="24"/>
        </w:rPr>
        <w:t xml:space="preserve"> </w:t>
      </w:r>
      <w:r w:rsidRPr="00C970B9">
        <w:rPr>
          <w:rFonts w:ascii="Times New Roman" w:hAnsi="Times New Roman"/>
          <w:sz w:val="24"/>
          <w:szCs w:val="24"/>
        </w:rPr>
        <w:t>znení účinnom do 31. októbra 2024, sa od 1. novembra 2024 nepoužijú.“.</w:t>
      </w:r>
    </w:p>
    <w:p w:rsidR="009F766E" w:rsidRPr="00C970B9" w:rsidRDefault="009F766E" w:rsidP="009F766E">
      <w:pPr>
        <w:jc w:val="both"/>
        <w:rPr>
          <w:rFonts w:cs="Times New Roman"/>
          <w:szCs w:val="24"/>
        </w:rPr>
      </w:pPr>
    </w:p>
    <w:p w:rsidR="009F766E" w:rsidRPr="00C970B9" w:rsidRDefault="009F766E" w:rsidP="009F766E">
      <w:pPr>
        <w:jc w:val="center"/>
        <w:rPr>
          <w:rFonts w:cs="Times New Roman"/>
          <w:b/>
          <w:szCs w:val="24"/>
        </w:rPr>
      </w:pPr>
    </w:p>
    <w:p w:rsidR="009F766E" w:rsidRPr="00C970B9" w:rsidRDefault="009F766E" w:rsidP="009F766E">
      <w:pPr>
        <w:jc w:val="center"/>
        <w:rPr>
          <w:rFonts w:cs="Times New Roman"/>
          <w:b/>
          <w:szCs w:val="24"/>
        </w:rPr>
      </w:pPr>
      <w:r w:rsidRPr="00C970B9">
        <w:rPr>
          <w:rFonts w:cs="Times New Roman"/>
          <w:b/>
          <w:szCs w:val="24"/>
        </w:rPr>
        <w:t>Čl. II</w:t>
      </w:r>
    </w:p>
    <w:p w:rsidR="009F766E" w:rsidRPr="00C970B9" w:rsidRDefault="009F766E" w:rsidP="009F766E">
      <w:pPr>
        <w:jc w:val="both"/>
        <w:rPr>
          <w:rFonts w:cs="Times New Roman"/>
          <w:szCs w:val="24"/>
        </w:rPr>
      </w:pPr>
    </w:p>
    <w:p w:rsidR="005B606B" w:rsidRPr="00C970B9" w:rsidRDefault="009F766E" w:rsidP="00DC1211">
      <w:pPr>
        <w:ind w:firstLine="708"/>
        <w:jc w:val="both"/>
        <w:rPr>
          <w:szCs w:val="24"/>
        </w:rPr>
      </w:pPr>
      <w:r w:rsidRPr="00C970B9">
        <w:rPr>
          <w:rFonts w:cs="Times New Roman"/>
          <w:szCs w:val="24"/>
        </w:rPr>
        <w:t>Tento zákon nadobúda účinnosť 1. novembra 2024.</w:t>
      </w:r>
    </w:p>
    <w:sectPr w:rsidR="005B606B" w:rsidRPr="00C970B9" w:rsidSect="006134D6">
      <w:footerReference w:type="default" r:id="rId8"/>
      <w:footerReference w:type="first" r:id="rId9"/>
      <w:pgSz w:w="11906" w:h="16838"/>
      <w:pgMar w:top="1134" w:right="1417" w:bottom="1135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CB8" w:rsidRDefault="00716CB8">
      <w:r>
        <w:separator/>
      </w:r>
    </w:p>
  </w:endnote>
  <w:endnote w:type="continuationSeparator" w:id="0">
    <w:p w:rsidR="00716CB8" w:rsidRDefault="0071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136642"/>
      <w:docPartObj>
        <w:docPartGallery w:val="Page Numbers (Bottom of Page)"/>
        <w:docPartUnique/>
      </w:docPartObj>
    </w:sdtPr>
    <w:sdtEndPr/>
    <w:sdtContent>
      <w:p w:rsidR="006134D6" w:rsidRDefault="006134D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D42">
          <w:rPr>
            <w:noProof/>
          </w:rPr>
          <w:t>2</w:t>
        </w:r>
        <w:r>
          <w:fldChar w:fldCharType="end"/>
        </w:r>
      </w:p>
    </w:sdtContent>
  </w:sdt>
  <w:p w:rsidR="006134D6" w:rsidRDefault="006134D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520277"/>
      <w:docPartObj>
        <w:docPartGallery w:val="Page Numbers (Bottom of Page)"/>
        <w:docPartUnique/>
      </w:docPartObj>
    </w:sdtPr>
    <w:sdtEndPr/>
    <w:sdtContent>
      <w:p w:rsidR="004218D1" w:rsidRDefault="004218D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D42">
          <w:rPr>
            <w:noProof/>
          </w:rPr>
          <w:t>1</w:t>
        </w:r>
        <w:r>
          <w:fldChar w:fldCharType="end"/>
        </w:r>
      </w:p>
    </w:sdtContent>
  </w:sdt>
  <w:p w:rsidR="006134D6" w:rsidRDefault="006134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CB8" w:rsidRDefault="00716CB8">
      <w:r>
        <w:separator/>
      </w:r>
    </w:p>
  </w:footnote>
  <w:footnote w:type="continuationSeparator" w:id="0">
    <w:p w:rsidR="00716CB8" w:rsidRDefault="00716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90A"/>
    <w:multiLevelType w:val="hybridMultilevel"/>
    <w:tmpl w:val="02A6EDEC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41710"/>
    <w:multiLevelType w:val="hybridMultilevel"/>
    <w:tmpl w:val="D29428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98D"/>
    <w:multiLevelType w:val="hybridMultilevel"/>
    <w:tmpl w:val="11DC9F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F77FE"/>
    <w:multiLevelType w:val="hybridMultilevel"/>
    <w:tmpl w:val="33327422"/>
    <w:lvl w:ilvl="0" w:tplc="2BE2F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E7554"/>
    <w:multiLevelType w:val="hybridMultilevel"/>
    <w:tmpl w:val="79A082E2"/>
    <w:lvl w:ilvl="0" w:tplc="2BE2F6F0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350948E8"/>
    <w:multiLevelType w:val="hybridMultilevel"/>
    <w:tmpl w:val="F32EB4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E02D8"/>
    <w:multiLevelType w:val="multilevel"/>
    <w:tmpl w:val="B068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D80249C"/>
    <w:multiLevelType w:val="hybridMultilevel"/>
    <w:tmpl w:val="3D44D7AE"/>
    <w:lvl w:ilvl="0" w:tplc="2BE2F6F0">
      <w:start w:val="1"/>
      <w:numFmt w:val="lowerLetter"/>
      <w:lvlText w:val="%1)"/>
      <w:lvlJc w:val="left"/>
      <w:pPr>
        <w:ind w:left="701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773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845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917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989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1061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1133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1205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12779" w:hanging="180"/>
      </w:pPr>
      <w:rPr>
        <w:rFonts w:cs="Times New Roman"/>
      </w:rPr>
    </w:lvl>
  </w:abstractNum>
  <w:abstractNum w:abstractNumId="8" w15:restartNumberingAfterBreak="0">
    <w:nsid w:val="430309C1"/>
    <w:multiLevelType w:val="hybridMultilevel"/>
    <w:tmpl w:val="D79873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47D84"/>
    <w:multiLevelType w:val="hybridMultilevel"/>
    <w:tmpl w:val="94EEF9D0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D8534AC"/>
    <w:multiLevelType w:val="hybridMultilevel"/>
    <w:tmpl w:val="96F81DB0"/>
    <w:lvl w:ilvl="0" w:tplc="B076373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9A6528"/>
    <w:multiLevelType w:val="hybridMultilevel"/>
    <w:tmpl w:val="4B80EEA4"/>
    <w:lvl w:ilvl="0" w:tplc="2BE2F6F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 w15:restartNumberingAfterBreak="0">
    <w:nsid w:val="4DB01A95"/>
    <w:multiLevelType w:val="hybridMultilevel"/>
    <w:tmpl w:val="F75ADDF2"/>
    <w:lvl w:ilvl="0" w:tplc="2BE2F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3E7922"/>
    <w:multiLevelType w:val="hybridMultilevel"/>
    <w:tmpl w:val="2F4861F2"/>
    <w:lvl w:ilvl="0" w:tplc="BDF02C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D815D37"/>
    <w:multiLevelType w:val="hybridMultilevel"/>
    <w:tmpl w:val="B5E6EB82"/>
    <w:lvl w:ilvl="0" w:tplc="2BE2F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F742488"/>
    <w:multiLevelType w:val="hybridMultilevel"/>
    <w:tmpl w:val="825441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B4A59"/>
    <w:multiLevelType w:val="hybridMultilevel"/>
    <w:tmpl w:val="512A1510"/>
    <w:lvl w:ilvl="0" w:tplc="2BE2F6F0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695105AE"/>
    <w:multiLevelType w:val="hybridMultilevel"/>
    <w:tmpl w:val="2CFC12A0"/>
    <w:lvl w:ilvl="0" w:tplc="2BE2F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FB7214A"/>
    <w:multiLevelType w:val="hybridMultilevel"/>
    <w:tmpl w:val="8F4A7572"/>
    <w:lvl w:ilvl="0" w:tplc="2BE2F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2A61834"/>
    <w:multiLevelType w:val="hybridMultilevel"/>
    <w:tmpl w:val="29B435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33198"/>
    <w:multiLevelType w:val="hybridMultilevel"/>
    <w:tmpl w:val="FF9E1C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9714A"/>
    <w:multiLevelType w:val="hybridMultilevel"/>
    <w:tmpl w:val="E2821198"/>
    <w:lvl w:ilvl="0" w:tplc="2BE2F6F0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7F827560"/>
    <w:multiLevelType w:val="hybridMultilevel"/>
    <w:tmpl w:val="E21E3436"/>
    <w:lvl w:ilvl="0" w:tplc="612643C2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3"/>
  </w:num>
  <w:num w:numId="5">
    <w:abstractNumId w:val="4"/>
  </w:num>
  <w:num w:numId="6">
    <w:abstractNumId w:val="22"/>
  </w:num>
  <w:num w:numId="7">
    <w:abstractNumId w:val="21"/>
  </w:num>
  <w:num w:numId="8">
    <w:abstractNumId w:val="11"/>
  </w:num>
  <w:num w:numId="9">
    <w:abstractNumId w:val="16"/>
  </w:num>
  <w:num w:numId="10">
    <w:abstractNumId w:val="18"/>
  </w:num>
  <w:num w:numId="11">
    <w:abstractNumId w:val="7"/>
  </w:num>
  <w:num w:numId="12">
    <w:abstractNumId w:val="3"/>
  </w:num>
  <w:num w:numId="13">
    <w:abstractNumId w:val="17"/>
  </w:num>
  <w:num w:numId="14">
    <w:abstractNumId w:val="12"/>
  </w:num>
  <w:num w:numId="15">
    <w:abstractNumId w:val="14"/>
  </w:num>
  <w:num w:numId="16">
    <w:abstractNumId w:val="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9"/>
  </w:num>
  <w:num w:numId="27">
    <w:abstractNumId w:val="2"/>
  </w:num>
  <w:num w:numId="28">
    <w:abstractNumId w:val="20"/>
  </w:num>
  <w:num w:numId="29">
    <w:abstractNumId w:val="9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40"/>
    <w:rsid w:val="00020ED1"/>
    <w:rsid w:val="00027BAE"/>
    <w:rsid w:val="000B229E"/>
    <w:rsid w:val="00134D2B"/>
    <w:rsid w:val="00134FFD"/>
    <w:rsid w:val="001A3D48"/>
    <w:rsid w:val="001C29B0"/>
    <w:rsid w:val="001C4786"/>
    <w:rsid w:val="00231B7F"/>
    <w:rsid w:val="002442F2"/>
    <w:rsid w:val="0024598C"/>
    <w:rsid w:val="002708FB"/>
    <w:rsid w:val="00275AFB"/>
    <w:rsid w:val="00315189"/>
    <w:rsid w:val="003A2ABF"/>
    <w:rsid w:val="003B18D7"/>
    <w:rsid w:val="004218D1"/>
    <w:rsid w:val="00432191"/>
    <w:rsid w:val="00492298"/>
    <w:rsid w:val="004C3E42"/>
    <w:rsid w:val="004E59D0"/>
    <w:rsid w:val="005B606B"/>
    <w:rsid w:val="005E0D42"/>
    <w:rsid w:val="005F76E0"/>
    <w:rsid w:val="006134D6"/>
    <w:rsid w:val="0064593E"/>
    <w:rsid w:val="006F2FF7"/>
    <w:rsid w:val="00700F35"/>
    <w:rsid w:val="00716CB8"/>
    <w:rsid w:val="00742467"/>
    <w:rsid w:val="007B179C"/>
    <w:rsid w:val="007B7335"/>
    <w:rsid w:val="00837650"/>
    <w:rsid w:val="00861714"/>
    <w:rsid w:val="00873FDD"/>
    <w:rsid w:val="00903D8F"/>
    <w:rsid w:val="0095042C"/>
    <w:rsid w:val="009524AB"/>
    <w:rsid w:val="00967D5F"/>
    <w:rsid w:val="0098217B"/>
    <w:rsid w:val="009A31FA"/>
    <w:rsid w:val="009A6444"/>
    <w:rsid w:val="009B7765"/>
    <w:rsid w:val="009E7D73"/>
    <w:rsid w:val="009F766E"/>
    <w:rsid w:val="00AE3CFB"/>
    <w:rsid w:val="00B6600D"/>
    <w:rsid w:val="00BB38AD"/>
    <w:rsid w:val="00BC6EA7"/>
    <w:rsid w:val="00BD471C"/>
    <w:rsid w:val="00C970B9"/>
    <w:rsid w:val="00CF23FD"/>
    <w:rsid w:val="00D93C9D"/>
    <w:rsid w:val="00D940ED"/>
    <w:rsid w:val="00DC1211"/>
    <w:rsid w:val="00E10E1C"/>
    <w:rsid w:val="00E24D99"/>
    <w:rsid w:val="00E80D30"/>
    <w:rsid w:val="00E845DE"/>
    <w:rsid w:val="00E93897"/>
    <w:rsid w:val="00F06940"/>
    <w:rsid w:val="00F720BF"/>
    <w:rsid w:val="00F954F1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6EA7"/>
    <w:pPr>
      <w:ind w:firstLine="0"/>
      <w:jc w:val="left"/>
    </w:pPr>
    <w:rPr>
      <w:rFonts w:ascii="Times New Roman" w:hAnsi="Times New Roman"/>
      <w:sz w:val="24"/>
    </w:rPr>
  </w:style>
  <w:style w:type="paragraph" w:styleId="Nadpis1">
    <w:name w:val="heading 1"/>
    <w:basedOn w:val="Normlny"/>
    <w:link w:val="Nadpis1Char"/>
    <w:uiPriority w:val="9"/>
    <w:qFormat/>
    <w:rsid w:val="0095042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5042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5042C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C6EA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Pta">
    <w:name w:val="footer"/>
    <w:basedOn w:val="Normlny"/>
    <w:link w:val="PtaChar"/>
    <w:uiPriority w:val="99"/>
    <w:unhideWhenUsed/>
    <w:rsid w:val="00BC6E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6EA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17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179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99"/>
    <w:unhideWhenUsed/>
    <w:rsid w:val="007B7335"/>
    <w:pPr>
      <w:spacing w:after="120" w:line="276" w:lineRule="auto"/>
    </w:pPr>
    <w:rPr>
      <w:rFonts w:asciiTheme="minorHAnsi" w:eastAsia="Times New Roman" w:hAnsiTheme="minorHAnsi" w:cs="Times New Roman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B7335"/>
    <w:rPr>
      <w:rFonts w:eastAsia="Times New Roman" w:cs="Times New Roman"/>
    </w:rPr>
  </w:style>
  <w:style w:type="paragraph" w:customStyle="1" w:styleId="Default">
    <w:name w:val="Default"/>
    <w:rsid w:val="007B733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4C3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C3E42"/>
    <w:rPr>
      <w:rFonts w:ascii="Times New Roman" w:hAnsi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20ED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20ED1"/>
    <w:rPr>
      <w:rFonts w:ascii="Times New Roman" w:hAnsi="Times New Roman"/>
      <w:sz w:val="24"/>
    </w:rPr>
  </w:style>
  <w:style w:type="character" w:customStyle="1" w:styleId="Nadpis1Char">
    <w:name w:val="Nadpis 1 Char"/>
    <w:basedOn w:val="Predvolenpsmoodseku"/>
    <w:link w:val="Nadpis1"/>
    <w:uiPriority w:val="9"/>
    <w:rsid w:val="0095042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504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5042C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5042C"/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5042C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95042C"/>
    <w:rPr>
      <w:rFonts w:cs="Times New Roman"/>
      <w:vertAlign w:val="superscript"/>
    </w:rPr>
  </w:style>
  <w:style w:type="character" w:styleId="Odkaznakomentr">
    <w:name w:val="annotation reference"/>
    <w:uiPriority w:val="99"/>
    <w:semiHidden/>
    <w:unhideWhenUsed/>
    <w:rsid w:val="0095042C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5042C"/>
    <w:pPr>
      <w:spacing w:after="200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5042C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04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042C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character" w:customStyle="1" w:styleId="h1a">
    <w:name w:val="h1a"/>
    <w:rsid w:val="0095042C"/>
    <w:rPr>
      <w:rFonts w:cs="Times New Roman"/>
    </w:rPr>
  </w:style>
  <w:style w:type="paragraph" w:styleId="Normlnywebov">
    <w:name w:val="Normal (Web)"/>
    <w:basedOn w:val="Normlny"/>
    <w:uiPriority w:val="99"/>
    <w:semiHidden/>
    <w:unhideWhenUsed/>
    <w:rsid w:val="0095042C"/>
    <w:pPr>
      <w:spacing w:before="100" w:beforeAutospacing="1" w:after="100" w:afterAutospacing="1"/>
    </w:pPr>
    <w:rPr>
      <w:rFonts w:eastAsia="Times New Roman" w:cs="Times New Roman"/>
      <w:szCs w:val="24"/>
      <w:lang w:eastAsia="sk-SK"/>
    </w:rPr>
  </w:style>
  <w:style w:type="character" w:styleId="Hypertextovprepojenie">
    <w:name w:val="Hyperlink"/>
    <w:uiPriority w:val="99"/>
    <w:unhideWhenUsed/>
    <w:rsid w:val="0095042C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95042C"/>
    <w:pPr>
      <w:ind w:firstLine="0"/>
      <w:jc w:val="left"/>
    </w:pPr>
    <w:rPr>
      <w:rFonts w:ascii="Calibri" w:eastAsia="Times New Roman" w:hAnsi="Calibri" w:cs="Times New Roman"/>
      <w:lang w:eastAsia="sk-SK"/>
    </w:rPr>
  </w:style>
  <w:style w:type="table" w:styleId="Mriekatabuky">
    <w:name w:val="Table Grid"/>
    <w:basedOn w:val="Normlnatabuka"/>
    <w:uiPriority w:val="59"/>
    <w:rsid w:val="0095042C"/>
    <w:pPr>
      <w:ind w:firstLine="0"/>
      <w:jc w:val="left"/>
    </w:pPr>
    <w:rPr>
      <w:rFonts w:ascii="Times New Roman" w:eastAsia="SimSu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-1r">
    <w:name w:val="Odstavec-1r"/>
    <w:basedOn w:val="Normlny"/>
    <w:qFormat/>
    <w:rsid w:val="0095042C"/>
    <w:pPr>
      <w:spacing w:before="200" w:after="200"/>
      <w:ind w:firstLine="284"/>
      <w:jc w:val="both"/>
    </w:pPr>
    <w:rPr>
      <w:rFonts w:ascii="Fira Sans" w:eastAsia="Times New Roman" w:hAnsi="Fira Sans" w:cs="Times New Roman"/>
      <w:color w:val="232323"/>
      <w:sz w:val="20"/>
      <w:szCs w:val="24"/>
      <w:lang w:val="en-US"/>
    </w:rPr>
  </w:style>
  <w:style w:type="paragraph" w:customStyle="1" w:styleId="norml">
    <w:name w:val="normál"/>
    <w:basedOn w:val="Normlny"/>
    <w:link w:val="normlChar"/>
    <w:qFormat/>
    <w:rsid w:val="0095042C"/>
    <w:pPr>
      <w:spacing w:before="120" w:after="120"/>
      <w:ind w:left="142" w:right="284"/>
      <w:jc w:val="both"/>
    </w:pPr>
    <w:rPr>
      <w:rFonts w:eastAsia="Times New Roman" w:cs="Times New Roman"/>
      <w:szCs w:val="24"/>
      <w:lang w:val="cs-CZ"/>
    </w:rPr>
  </w:style>
  <w:style w:type="character" w:customStyle="1" w:styleId="normlChar">
    <w:name w:val="normál Char"/>
    <w:link w:val="norml"/>
    <w:locked/>
    <w:rsid w:val="0095042C"/>
    <w:rPr>
      <w:rFonts w:ascii="Times New Roman" w:eastAsia="Times New Roman" w:hAnsi="Times New Roman" w:cs="Times New Roman"/>
      <w:sz w:val="24"/>
      <w:szCs w:val="24"/>
      <w:lang w:val="cs-CZ"/>
    </w:rPr>
  </w:style>
  <w:style w:type="character" w:styleId="Siln">
    <w:name w:val="Strong"/>
    <w:aliases w:val="seznam a)"/>
    <w:uiPriority w:val="22"/>
    <w:qFormat/>
    <w:rsid w:val="0095042C"/>
    <w:rPr>
      <w:rFonts w:ascii="Times New Roman" w:hAnsi="Times New Roman" w:cs="Times New Roman"/>
      <w:sz w:val="24"/>
    </w:rPr>
  </w:style>
  <w:style w:type="paragraph" w:customStyle="1" w:styleId="seznama-b">
    <w:name w:val="seznam a-b)"/>
    <w:basedOn w:val="Normlny"/>
    <w:link w:val="seznama-bChar"/>
    <w:qFormat/>
    <w:rsid w:val="0095042C"/>
    <w:pPr>
      <w:numPr>
        <w:numId w:val="6"/>
      </w:numPr>
      <w:spacing w:before="120" w:after="120"/>
      <w:ind w:right="284"/>
      <w:jc w:val="both"/>
    </w:pPr>
    <w:rPr>
      <w:rFonts w:eastAsia="Times New Roman" w:cs="Times New Roman"/>
      <w:lang w:val="cs-CZ"/>
    </w:rPr>
  </w:style>
  <w:style w:type="character" w:customStyle="1" w:styleId="seznama-bChar">
    <w:name w:val="seznam a-b) Char"/>
    <w:link w:val="seznama-b"/>
    <w:locked/>
    <w:rsid w:val="0095042C"/>
    <w:rPr>
      <w:rFonts w:ascii="Times New Roman" w:eastAsia="Times New Roman" w:hAnsi="Times New Roman" w:cs="Times New Roman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DAB95-FB38-483C-97CC-A5F60FA4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2024-05-20T08:31:00Z</dcterms:created>
  <dcterms:modified xsi:type="dcterms:W3CDTF">2024-05-23T07:38:00Z</dcterms:modified>
</cp:coreProperties>
</file>