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NÁRODNÁ RADA SLOVENSKEJ REPUBLIKY </w:t>
      </w:r>
    </w:p>
    <w:p w:rsidR="00000000" w:rsidDel="00000000" w:rsidP="00000000" w:rsidRDefault="00000000" w:rsidRPr="00000000" w14:paraId="00000002">
      <w:pPr>
        <w:pBdr>
          <w:bottom w:color="000000" w:space="3" w:sz="12" w:val="single"/>
        </w:pBd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IX. volebné obdobie</w:t>
      </w:r>
    </w:p>
    <w:p w:rsidR="00000000" w:rsidDel="00000000" w:rsidP="00000000" w:rsidRDefault="00000000" w:rsidRPr="00000000" w14:paraId="00000003">
      <w:pPr>
        <w:jc w:val="center"/>
        <w:rPr>
          <w:rFonts w:ascii="Times New Roman" w:cs="Times New Roman" w:eastAsia="Times New Roman" w:hAnsi="Times New Roman"/>
          <w:sz w:val="24"/>
          <w:szCs w:val="24"/>
          <w:highlight w:val="yellow"/>
        </w:rPr>
      </w:pPr>
      <w:r w:rsidDel="00000000" w:rsidR="00000000" w:rsidRPr="00000000">
        <w:rPr>
          <w:rtl w:val="0"/>
        </w:rPr>
      </w:r>
    </w:p>
    <w:p w:rsidR="00000000" w:rsidDel="00000000" w:rsidP="00000000" w:rsidRDefault="00000000" w:rsidRPr="00000000" w14:paraId="00000004">
      <w:pPr>
        <w:spacing w:before="12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spacing w:before="12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Návrh </w:t>
      </w:r>
    </w:p>
    <w:p w:rsidR="00000000" w:rsidDel="00000000" w:rsidP="00000000" w:rsidRDefault="00000000" w:rsidRPr="00000000" w14:paraId="00000006">
      <w:pPr>
        <w:spacing w:before="12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spacing w:before="12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mallCaps w:val="1"/>
          <w:sz w:val="24"/>
          <w:szCs w:val="24"/>
          <w:rtl w:val="0"/>
        </w:rPr>
        <w:t xml:space="preserve">ZÁKON</w:t>
      </w:r>
      <w:r w:rsidDel="00000000" w:rsidR="00000000" w:rsidRPr="00000000">
        <w:rPr>
          <w:rtl w:val="0"/>
        </w:rPr>
      </w:r>
    </w:p>
    <w:p w:rsidR="00000000" w:rsidDel="00000000" w:rsidP="00000000" w:rsidRDefault="00000000" w:rsidRPr="00000000" w14:paraId="00000008">
      <w:pPr>
        <w:spacing w:before="12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before="12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 ... 2024,</w:t>
      </w:r>
    </w:p>
    <w:p w:rsidR="00000000" w:rsidDel="00000000" w:rsidP="00000000" w:rsidRDefault="00000000" w:rsidRPr="00000000" w14:paraId="0000000A">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ktorým sa mení a dopĺňa zákon č. 409/2011 Z. z. o niektorých opatreniach na úseku environmentálnej záťaže a o zmene a doplnení niektorých zákonov v znení neskorších predpisov</w:t>
      </w:r>
    </w:p>
    <w:p w:rsidR="00000000" w:rsidDel="00000000" w:rsidP="00000000" w:rsidRDefault="00000000" w:rsidRPr="00000000" w14:paraId="0000000C">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Národná rada Slovenskej republiky sa uzniesla na tomto zákone:</w:t>
      </w:r>
    </w:p>
    <w:p w:rsidR="00000000" w:rsidDel="00000000" w:rsidP="00000000" w:rsidRDefault="00000000" w:rsidRPr="00000000" w14:paraId="0000000E">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F">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Čl. I</w:t>
      </w:r>
    </w:p>
    <w:p w:rsidR="00000000" w:rsidDel="00000000" w:rsidP="00000000" w:rsidRDefault="00000000" w:rsidRPr="00000000" w14:paraId="00000010">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1">
      <w:pPr>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Zákon č. </w:t>
      </w:r>
      <w:hyperlink r:id="rId6">
        <w:r w:rsidDel="00000000" w:rsidR="00000000" w:rsidRPr="00000000">
          <w:rPr>
            <w:rFonts w:ascii="Times New Roman" w:cs="Times New Roman" w:eastAsia="Times New Roman" w:hAnsi="Times New Roman"/>
            <w:sz w:val="24"/>
            <w:szCs w:val="24"/>
            <w:rtl w:val="0"/>
          </w:rPr>
          <w:t xml:space="preserve">409/2011 Z. z.</w:t>
        </w:r>
      </w:hyperlink>
      <w:r w:rsidDel="00000000" w:rsidR="00000000" w:rsidRPr="00000000">
        <w:rPr>
          <w:rFonts w:ascii="Times New Roman" w:cs="Times New Roman" w:eastAsia="Times New Roman" w:hAnsi="Times New Roman"/>
          <w:sz w:val="24"/>
          <w:szCs w:val="24"/>
          <w:highlight w:val="white"/>
          <w:rtl w:val="0"/>
        </w:rPr>
        <w:t xml:space="preserve"> o niektorých opatreniach na úseku environmentálnej záťaže a o zmene a doplnení niektorých zákonov v znení zákona č. 49/2018 Z. z., zákona č. 490/2021 Z. z. a zákona č. 533/2023 Z. z. sa mení a dopĺňa takto:</w:t>
      </w:r>
    </w:p>
    <w:p w:rsidR="00000000" w:rsidDel="00000000" w:rsidP="00000000" w:rsidRDefault="00000000" w:rsidRPr="00000000" w14:paraId="00000012">
      <w:pPr>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3">
      <w:pPr>
        <w:numPr>
          <w:ilvl w:val="0"/>
          <w:numId w:val="1"/>
        </w:numPr>
        <w:ind w:left="426" w:hanging="567.7322834645669"/>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Doterajší text § 7 sa označuje ako odsek 1 a § 7 sa dopĺňa odsekom 2, ktorý znie:</w:t>
      </w:r>
    </w:p>
    <w:p w:rsidR="00000000" w:rsidDel="00000000" w:rsidP="00000000" w:rsidRDefault="00000000" w:rsidRPr="00000000" w14:paraId="00000014">
      <w:pPr>
        <w:ind w:left="567" w:hanging="567"/>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5">
      <w:pPr>
        <w:spacing w:line="240" w:lineRule="auto"/>
        <w:ind w:left="4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Ak príslušné ministerstvo zabezpečuje sanáciu podľa § 9a, vlastník sanovanej nehnuteľnosti môže previesť sanovanú nehnuteľnosť na inú osobu až potom, ako uhradí sumu zodpovedajúcu finančnej náhrade podľa § 9a ods. 1 alebo po uplynutí lehoty určenej príslušným ministerstvom podľa § 9a ods. 9, inak príslušné ministerstvo pristúpi k výkonu záložného práva.“.</w:t>
      </w:r>
    </w:p>
    <w:p w:rsidR="00000000" w:rsidDel="00000000" w:rsidP="00000000" w:rsidRDefault="00000000" w:rsidRPr="00000000" w14:paraId="00000016">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numPr>
          <w:ilvl w:val="0"/>
          <w:numId w:val="1"/>
        </w:numPr>
        <w:spacing w:line="240" w:lineRule="auto"/>
        <w:ind w:left="426" w:hanging="567.732283464566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 § 9 sa vkladá § 9a, ktorý vrátane nadpisu znie:</w:t>
      </w:r>
    </w:p>
    <w:p w:rsidR="00000000" w:rsidDel="00000000" w:rsidP="00000000" w:rsidRDefault="00000000" w:rsidRPr="00000000" w14:paraId="00000018">
      <w:pPr>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 9a</w:t>
      </w:r>
    </w:p>
    <w:p w:rsidR="00000000" w:rsidDel="00000000" w:rsidP="00000000" w:rsidRDefault="00000000" w:rsidRPr="00000000" w14:paraId="0000001A">
      <w:pPr>
        <w:spacing w:line="240" w:lineRule="auto"/>
        <w:ind w:left="426"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Postup pri uplatňovaní finančnej náhrady za zvýšenie trhovej ceny nehnuteľnosti sanovanej z verejných prostriedkov</w:t>
      </w:r>
      <w:r w:rsidDel="00000000" w:rsidR="00000000" w:rsidRPr="00000000">
        <w:rPr>
          <w:rtl w:val="0"/>
        </w:rPr>
      </w:r>
    </w:p>
    <w:p w:rsidR="00000000" w:rsidDel="00000000" w:rsidP="00000000" w:rsidRDefault="00000000" w:rsidRPr="00000000" w14:paraId="0000001B">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line="240" w:lineRule="auto"/>
        <w:ind w:left="4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Ak príslušné ministerstvo určené podľa § 5 ods. 7 uskutoční z verejných prostriedkov sanáciu environmentálnej záťaže, ktorá sa nachádza na nehnuteľnosti, ktorej vlastníkom alebo správcom nie je štát (ďalej len „sanovaná nehnuteľnosť“), je vlastník sanovanej nehnuteľnosti povinný zaplatiť štátu celú náhradu finančných prostriedkov vyplývajúcu z kladného rozdielu trhovej ceny sanovanej nehnuteľnosti pred sanáciou a trhovej ceny sanovanej nehnuteľnosti po vykonaní sanácie (ďalej len „finančná náhrada“), ak tento zákon neustanovuje inak. Za sanovanú nehnuteľnosť sa nepovažuje nehnuteľnosť, ktorá je súčasťou kontaminačného mraku súvisiaceho s environmentálnou záťažou, ak nebola zahrnutá do projektu sanácie environmentálnej záťaže. </w:t>
      </w:r>
    </w:p>
    <w:p w:rsidR="00000000" w:rsidDel="00000000" w:rsidP="00000000" w:rsidRDefault="00000000" w:rsidRPr="00000000" w14:paraId="0000001D">
      <w:pPr>
        <w:spacing w:line="240" w:lineRule="auto"/>
        <w:ind w:left="426"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line="240" w:lineRule="auto"/>
        <w:ind w:left="4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Za verejné prostriedky sa na účely tohto zákona považujú finančné prostriedky poskytnuté zo štátneho rozpočtu, z prostriedkov Európskej únie, z Nórskeho finančného mechanizmu alebo zo Švajčiarskeho finančného mechanizmu. </w:t>
      </w:r>
    </w:p>
    <w:p w:rsidR="00000000" w:rsidDel="00000000" w:rsidP="00000000" w:rsidRDefault="00000000" w:rsidRPr="00000000" w14:paraId="0000001F">
      <w:pPr>
        <w:spacing w:line="240" w:lineRule="auto"/>
        <w:ind w:left="426"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line="240" w:lineRule="auto"/>
        <w:ind w:left="4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Výška finančnej náhrady za sanovanú nehnuteľnosť sa určí na základe znaleckého posudku podľa osobitného predpisu.</w:t>
      </w:r>
      <w:r w:rsidDel="00000000" w:rsidR="00000000" w:rsidRPr="00000000">
        <w:rPr>
          <w:rFonts w:ascii="Times New Roman" w:cs="Times New Roman" w:eastAsia="Times New Roman" w:hAnsi="Times New Roman"/>
          <w:sz w:val="24"/>
          <w:szCs w:val="24"/>
          <w:vertAlign w:val="superscript"/>
          <w:rtl w:val="0"/>
        </w:rPr>
        <w:t xml:space="preserve">22a</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vertAlign w:val="superscript"/>
          <w:rtl w:val="0"/>
        </w:rPr>
        <w:t xml:space="preserve"> </w:t>
      </w:r>
      <w:r w:rsidDel="00000000" w:rsidR="00000000" w:rsidRPr="00000000">
        <w:rPr>
          <w:rFonts w:ascii="Times New Roman" w:cs="Times New Roman" w:eastAsia="Times New Roman" w:hAnsi="Times New Roman"/>
          <w:sz w:val="24"/>
          <w:szCs w:val="24"/>
          <w:rtl w:val="0"/>
        </w:rPr>
        <w:t xml:space="preserve">Finančná náhrada sa znaleckým posudkom určuje súčasne ku všetkým sanovaným nehnuteľnostiam, na ktorých sa nachádza environmentálna záťaž. Výška finančnej náhrady za sanovanú nehnuteľnosť nesmie presiahnuť výšku účelne vynaložených prostriedkov na vykonanie geologického prieskumu environmentálnej záťaže a sanáciu environmentálnej záťaže financovaných z verejných prostriedkov.</w:t>
      </w:r>
    </w:p>
    <w:p w:rsidR="00000000" w:rsidDel="00000000" w:rsidP="00000000" w:rsidRDefault="00000000" w:rsidRPr="00000000" w14:paraId="00000021">
      <w:pPr>
        <w:spacing w:line="240" w:lineRule="auto"/>
        <w:ind w:left="426"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line="240" w:lineRule="auto"/>
        <w:ind w:left="4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Orgánom oprávneným zabezpečiť pohľadávku štátu vyplývajúcu z finančnej náhrady podľa odseku 1 je príslušné ministerstvo. Premlčacia doba pohľadávky vyplývajúcej z finančnej náhrady zo sanovanej nehnuteľnosti je desať rokov a začína plynúť prvým dňom nasledujúcim po dni ukončenia sanácie; za deň ukončenia sanácie sa považuje deň schválenia záverečnej správy projektu sanácie environmentálnej záťaže.</w:t>
      </w:r>
    </w:p>
    <w:p w:rsidR="00000000" w:rsidDel="00000000" w:rsidP="00000000" w:rsidRDefault="00000000" w:rsidRPr="00000000" w14:paraId="00000023">
      <w:pPr>
        <w:spacing w:line="240" w:lineRule="auto"/>
        <w:ind w:left="426"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line="240" w:lineRule="auto"/>
        <w:ind w:left="4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Príslušné ministerstvo je povinné zabezpečiť vyhotovenie znaleckého posudku podľa odseku 3 najneskôr do ukončenia sanácie environmentálnej záťaže; na výber znalca sa vzťahuje osobitný predpis.</w:t>
      </w:r>
      <w:r w:rsidDel="00000000" w:rsidR="00000000" w:rsidRPr="00000000">
        <w:rPr>
          <w:rFonts w:ascii="Times New Roman" w:cs="Times New Roman" w:eastAsia="Times New Roman" w:hAnsi="Times New Roman"/>
          <w:sz w:val="24"/>
          <w:szCs w:val="24"/>
          <w:vertAlign w:val="superscript"/>
          <w:rtl w:val="0"/>
        </w:rPr>
        <w:t xml:space="preserve">22b</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vertAlign w:val="superscript"/>
          <w:rtl w:val="0"/>
        </w:rPr>
        <w:t xml:space="preserve"> </w:t>
      </w:r>
      <w:r w:rsidDel="00000000" w:rsidR="00000000" w:rsidRPr="00000000">
        <w:rPr>
          <w:rFonts w:ascii="Times New Roman" w:cs="Times New Roman" w:eastAsia="Times New Roman" w:hAnsi="Times New Roman"/>
          <w:sz w:val="24"/>
          <w:szCs w:val="24"/>
          <w:rtl w:val="0"/>
        </w:rPr>
        <w:t xml:space="preserve">Náklady na vyhotovenie znaleckého posudku podľa odseku 3 znáša príslušné ministerstvo.</w:t>
      </w:r>
    </w:p>
    <w:p w:rsidR="00000000" w:rsidDel="00000000" w:rsidP="00000000" w:rsidRDefault="00000000" w:rsidRPr="00000000" w14:paraId="00000025">
      <w:pPr>
        <w:spacing w:line="240" w:lineRule="auto"/>
        <w:ind w:left="426"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line="240" w:lineRule="auto"/>
        <w:ind w:left="4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Príslušné ministerstvo v lehote do 30 dní odo dňa schválenia záverečnej správy zo sanácie environmentálnej záťaže vyzve vlastníka sanovanej nehnuteľnosti, aby v lehote do 30 dní odo dňa doručenia výzvy uhradil sumu zodpovedajúcu finančnej náhrade alebo aby v lehote do 30 dní odo dňa doručenia výzvy odoslal podpísaný návrh záložnej zmluvy na sanovanú nehnuteľnosť v prospech štátu na sumu uvedenú vo výzve pre konkrétnu sanovanú nehnuteľnosť určenú podľa odseku 3. Súčasťou výzvy podľa predchádzajúcej vety sú znalecký posudok spolu s výškou finančnej náhrady určenej podľa odseku 3 a návrh záložnej zmluvy.</w:t>
      </w:r>
    </w:p>
    <w:p w:rsidR="00000000" w:rsidDel="00000000" w:rsidP="00000000" w:rsidRDefault="00000000" w:rsidRPr="00000000" w14:paraId="00000027">
      <w:pPr>
        <w:spacing w:line="240" w:lineRule="auto"/>
        <w:ind w:left="426"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line="240" w:lineRule="auto"/>
        <w:ind w:left="4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Záložnú zmluvu podľa odseku 6 nie je možné uzavrieť s vlastníkom sanovanej nehnuteľnosti, ak výška finančnej náhrady za všetky sanované nehnuteľnosti v jeho vlastníctve, na ktorých sa nachádza environmentálna záťaž, nie je vyššia ako 1 000 eur. Záložná zmluva sa uzatvára na dobu 10 rokov; uvedená skutočnosť sa vyznačí v katastri nehnuteľností. </w:t>
      </w:r>
    </w:p>
    <w:p w:rsidR="00000000" w:rsidDel="00000000" w:rsidP="00000000" w:rsidRDefault="00000000" w:rsidRPr="00000000" w14:paraId="00000029">
      <w:pPr>
        <w:spacing w:line="240" w:lineRule="auto"/>
        <w:ind w:left="426"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line="240" w:lineRule="auto"/>
        <w:ind w:left="4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Ak vlastník sanovanej nehnuteľnosti na základe výzvy podľa odseku 6 neuhradí sumu zodpovedajúcu finančnej náhrade za sanovanú nehnuteľnosť alebo v lehote podľa odseku 6 nedoručí podpísaný návrh záložnej zmluvy, uplynutím lehoty podľa odseku 6 vzniká zo zákona v prospech štátu záložné právo na sumu pohľadávky zodpovedajúcej finančnej náhrade voči vlastníkovi sanovanej nehnuteľnosti vrátane jej príslušenstva. </w:t>
      </w:r>
    </w:p>
    <w:p w:rsidR="00000000" w:rsidDel="00000000" w:rsidP="00000000" w:rsidRDefault="00000000" w:rsidRPr="00000000" w14:paraId="0000002B">
      <w:pPr>
        <w:spacing w:line="240" w:lineRule="auto"/>
        <w:ind w:left="426" w:firstLine="0"/>
        <w:jc w:val="both"/>
        <w:rPr>
          <w:rFonts w:ascii="Times New Roman" w:cs="Times New Roman" w:eastAsia="Times New Roman" w:hAnsi="Times New Roman"/>
          <w:sz w:val="24"/>
          <w:szCs w:val="24"/>
          <w:highlight w:val="yellow"/>
        </w:rPr>
      </w:pPr>
      <w:r w:rsidDel="00000000" w:rsidR="00000000" w:rsidRPr="00000000">
        <w:rPr>
          <w:rtl w:val="0"/>
        </w:rPr>
      </w:r>
    </w:p>
    <w:p w:rsidR="00000000" w:rsidDel="00000000" w:rsidP="00000000" w:rsidRDefault="00000000" w:rsidRPr="00000000" w14:paraId="0000002C">
      <w:pPr>
        <w:spacing w:line="240" w:lineRule="auto"/>
        <w:ind w:left="426" w:firstLine="0"/>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(9) Pohľadávka vyplývajúca z finančnej náhrady sa stáva splatnou prevodom sanovanej nehnuteľnosti, ak k tomuto prevodu dôjde v lehote určenej príslušným ministerstvom, ktorá nesmie byť dlhšia ako 7 rokov od schválenia záverečnej správy zo sanácie environmentálnej záťaže. Ak nastali skutočnosti podľa predchádzajúcej vety a vlastník sanovanej nehnuteľnosti neuhradil splatnú pohľadávku vyplývajúcu z finančnej náhrady, príslušné ministerstvo pristúpi k výkonu záložného práva, a to aj ak sa o prevode sanovanej nehnuteľnosti dozvie po uplynutí lehoty určenej príslušným ministerstvom. </w:t>
      </w:r>
      <w:r w:rsidDel="00000000" w:rsidR="00000000" w:rsidRPr="00000000">
        <w:rPr>
          <w:rtl w:val="0"/>
        </w:rPr>
      </w:r>
    </w:p>
    <w:p w:rsidR="00000000" w:rsidDel="00000000" w:rsidP="00000000" w:rsidRDefault="00000000" w:rsidRPr="00000000" w14:paraId="0000002D">
      <w:pPr>
        <w:spacing w:line="240" w:lineRule="auto"/>
        <w:ind w:left="426"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line="240" w:lineRule="auto"/>
        <w:ind w:left="4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Peňažná čiastka vyplývajúca z finančnej náhrady je príjmom príslušného ministerstva určeného podľa § 5 ods. 7. Peňažnú čiastku vyplývajúcu z finančnej náhrady nie je možné nahradiť nepeňažným plnením.</w:t>
      </w:r>
    </w:p>
    <w:p w:rsidR="00000000" w:rsidDel="00000000" w:rsidP="00000000" w:rsidRDefault="00000000" w:rsidRPr="00000000" w14:paraId="0000002F">
      <w:pPr>
        <w:spacing w:line="240" w:lineRule="auto"/>
        <w:ind w:left="426"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pacing w:line="240" w:lineRule="auto"/>
        <w:ind w:left="4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Za deň doručenia výzvy podľa odseku 6 sa považuje okamih jej doručenia do elektronickej schránky podľa údajov elektronickej doručenky a deň doručenia do vlastných rúk alebo deň, keď bolo odopreté jej prevzatie, ak sa výzva doručuje poštou. Ak vlastník sanovanej nehnuteľnosti nie je známy alebo nie je známy jeho pobyt, alebo v prípade väčšieho počtu vlastníkov sanovaných nehnuteľností, na ktorých sa nachádza jedna environmentálna záťaž výzva podľa odseku 6 sa doručuje verejnou vyhláškou na webovom sídle príslušného ministerstva a súčasne sa zverejní na úradnej tabuli a webovom sídle obce, v ktorej sa environmentálna záťaž nachádza, po dobu 30 dní. Uplynutím 30 dní od zverejnenia vyhlášky sa výzva považuje za doručenú bez ohľadu na skutočnosť, či sa o tom vlastník sanovanej nehnuteľnosti dozvedel alebo nie. Väčším počtom vlastníkov sanovaných nehnuteľností sa na účely tohto zákona rozumie najmenej 20 osôb.“.</w:t>
      </w:r>
    </w:p>
    <w:p w:rsidR="00000000" w:rsidDel="00000000" w:rsidP="00000000" w:rsidRDefault="00000000" w:rsidRPr="00000000" w14:paraId="00000031">
      <w:pPr>
        <w:spacing w:line="240" w:lineRule="auto"/>
        <w:ind w:left="426"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spacing w:line="240" w:lineRule="auto"/>
        <w:ind w:left="4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Poznámky pod čiarou k odkazom 22a a 22b znejú:</w:t>
      </w:r>
    </w:p>
    <w:p w:rsidR="00000000" w:rsidDel="00000000" w:rsidP="00000000" w:rsidRDefault="00000000" w:rsidRPr="00000000" w14:paraId="00000033">
      <w:pPr>
        <w:spacing w:line="240" w:lineRule="auto"/>
        <w:ind w:left="4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vertAlign w:val="superscript"/>
          <w:rtl w:val="0"/>
        </w:rPr>
        <w:t xml:space="preserve">22a</w:t>
      </w:r>
      <w:r w:rsidDel="00000000" w:rsidR="00000000" w:rsidRPr="00000000">
        <w:rPr>
          <w:rFonts w:ascii="Times New Roman" w:cs="Times New Roman" w:eastAsia="Times New Roman" w:hAnsi="Times New Roman"/>
          <w:sz w:val="24"/>
          <w:szCs w:val="24"/>
          <w:rtl w:val="0"/>
        </w:rPr>
        <w:t xml:space="preserve">) Vyhláška Ministerstva spravodlivosti Slovenskej republiky č. 492/2004 Z. z. o stanovení všeobecnej hodnoty majetku v znení neskorších predpisov.</w:t>
      </w:r>
    </w:p>
    <w:p w:rsidR="00000000" w:rsidDel="00000000" w:rsidP="00000000" w:rsidRDefault="00000000" w:rsidRPr="00000000" w14:paraId="00000034">
      <w:pPr>
        <w:spacing w:line="240" w:lineRule="auto"/>
        <w:ind w:left="4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vertAlign w:val="superscript"/>
          <w:rtl w:val="0"/>
        </w:rPr>
        <w:t xml:space="preserve">22b</w:t>
      </w:r>
      <w:r w:rsidDel="00000000" w:rsidR="00000000" w:rsidRPr="00000000">
        <w:rPr>
          <w:rFonts w:ascii="Times New Roman" w:cs="Times New Roman" w:eastAsia="Times New Roman" w:hAnsi="Times New Roman"/>
          <w:sz w:val="24"/>
          <w:szCs w:val="24"/>
          <w:rtl w:val="0"/>
        </w:rPr>
        <w:t xml:space="preserve">) Zákon č. 343/2015 Z. z. o verejnom obstarávaní a o zmene a doplnení niektorých zákonov v znení neskorších predpisov.“.</w:t>
      </w:r>
    </w:p>
    <w:p w:rsidR="00000000" w:rsidDel="00000000" w:rsidP="00000000" w:rsidRDefault="00000000" w:rsidRPr="00000000" w14:paraId="00000035">
      <w:pPr>
        <w:spacing w:line="240" w:lineRule="auto"/>
        <w:ind w:left="426"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numPr>
          <w:ilvl w:val="0"/>
          <w:numId w:val="1"/>
        </w:numPr>
        <w:spacing w:line="240" w:lineRule="auto"/>
        <w:ind w:left="425.19685039370086" w:hanging="566.9291338582677"/>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Za § 19b sa vkladá § 19c, ktorý vrátane nadpisu znie:</w:t>
      </w:r>
    </w:p>
    <w:p w:rsidR="00000000" w:rsidDel="00000000" w:rsidP="00000000" w:rsidRDefault="00000000" w:rsidRPr="00000000" w14:paraId="00000037">
      <w:pPr>
        <w:spacing w:line="240" w:lineRule="auto"/>
        <w:ind w:left="425.19685039370086" w:hanging="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line="240" w:lineRule="auto"/>
        <w:ind w:left="425.19685039370086" w:hanging="72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19c</w:t>
      </w:r>
    </w:p>
    <w:p w:rsidR="00000000" w:rsidDel="00000000" w:rsidP="00000000" w:rsidRDefault="00000000" w:rsidRPr="00000000" w14:paraId="00000039">
      <w:pPr>
        <w:spacing w:line="240" w:lineRule="auto"/>
        <w:ind w:left="425.19685039370086" w:hanging="72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Prechodné ustanovenie k úpravám účinným od 1. novembra 2024</w:t>
      </w:r>
    </w:p>
    <w:p w:rsidR="00000000" w:rsidDel="00000000" w:rsidP="00000000" w:rsidRDefault="00000000" w:rsidRPr="00000000" w14:paraId="0000003A">
      <w:pPr>
        <w:spacing w:line="240" w:lineRule="auto"/>
        <w:ind w:left="425.19685039370086" w:firstLine="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line="240" w:lineRule="auto"/>
        <w:ind w:left="720" w:hanging="294.8031496062991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Postup podľa § 9a sa použije na environmentálnu záťaž, ktorej sanácia sa začala vykonávať po účinnosti tohto zákona.”.</w:t>
      </w:r>
    </w:p>
    <w:p w:rsidR="00000000" w:rsidDel="00000000" w:rsidP="00000000" w:rsidRDefault="00000000" w:rsidRPr="00000000" w14:paraId="0000003C">
      <w:pPr>
        <w:spacing w:line="240" w:lineRule="auto"/>
        <w:ind w:left="425.19685039370086" w:hanging="720"/>
        <w:jc w:val="both"/>
        <w:rPr>
          <w:rFonts w:ascii="Times New Roman" w:cs="Times New Roman" w:eastAsia="Times New Roman" w:hAnsi="Times New Roman"/>
          <w:sz w:val="24"/>
          <w:szCs w:val="24"/>
          <w:highlight w:val="yellow"/>
        </w:rPr>
      </w:pPr>
      <w:r w:rsidDel="00000000" w:rsidR="00000000" w:rsidRPr="00000000">
        <w:rPr>
          <w:rtl w:val="0"/>
        </w:rPr>
      </w:r>
    </w:p>
    <w:p w:rsidR="00000000" w:rsidDel="00000000" w:rsidP="00000000" w:rsidRDefault="00000000" w:rsidRPr="00000000" w14:paraId="0000003D">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E">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Čl. II</w:t>
      </w:r>
    </w:p>
    <w:p w:rsidR="00000000" w:rsidDel="00000000" w:rsidP="00000000" w:rsidRDefault="00000000" w:rsidRPr="00000000" w14:paraId="0000003F">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Tento zákon nadobúda účinnosť 1. novembra 2024.</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861.7322834645669"/>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slov-lex.sk/pravne-predpisy/SK/ZZ/2011/4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