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2024,</w:t>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ktorým sa mení a dopĺňa zákon č. 409/2011 Z. z. o niektorých opatreniach na úseku environmentálnej záťaže a o zmene a doplnení niektorých zákonov v znení neskorších predpisov</w:t>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Národná rada Slovenskej republiky sa uzniesla na tomto zákone:</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Zákon č. </w:t>
      </w:r>
      <w:hyperlink r:id="rId6">
        <w:r w:rsidDel="00000000" w:rsidR="00000000" w:rsidRPr="00000000">
          <w:rPr>
            <w:rFonts w:ascii="Times New Roman" w:cs="Times New Roman" w:eastAsia="Times New Roman" w:hAnsi="Times New Roman"/>
            <w:sz w:val="24"/>
            <w:szCs w:val="24"/>
            <w:rtl w:val="0"/>
          </w:rPr>
          <w:t xml:space="preserve">409/2011 Z. z.</w:t>
        </w:r>
      </w:hyperlink>
      <w:r w:rsidDel="00000000" w:rsidR="00000000" w:rsidRPr="00000000">
        <w:rPr>
          <w:rFonts w:ascii="Times New Roman" w:cs="Times New Roman" w:eastAsia="Times New Roman" w:hAnsi="Times New Roman"/>
          <w:sz w:val="24"/>
          <w:szCs w:val="24"/>
          <w:highlight w:val="white"/>
          <w:rtl w:val="0"/>
        </w:rPr>
        <w:t xml:space="preserve"> o niektorých opatreniach na úseku environmentálnej záťaže a o zmene a doplnení niektorých zákonov v znení zákona č. 49/2018 Z. z., zákona č. 490/2021 Z. z. a zákona č. 533/2023 Z. z. sa mení a dopĺňa takto:</w:t>
      </w:r>
    </w:p>
    <w:p w:rsidR="00000000" w:rsidDel="00000000" w:rsidP="00000000" w:rsidRDefault="00000000" w:rsidRPr="00000000" w14:paraId="00000012">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numPr>
          <w:ilvl w:val="0"/>
          <w:numId w:val="1"/>
        </w:numPr>
        <w:ind w:left="426" w:hanging="567.732283464566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Doterajší text § 7 sa označuje ako odsek 1 a § 7 sa dopĺňa odsekom 2, ktorý znie:</w:t>
      </w:r>
    </w:p>
    <w:p w:rsidR="00000000" w:rsidDel="00000000" w:rsidP="00000000" w:rsidRDefault="00000000" w:rsidRPr="00000000" w14:paraId="00000014">
      <w:pPr>
        <w:ind w:left="567" w:hanging="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Ak príslušné ministerstvo zabezpečuje sanáciu podľa § 9a, vlastník sanovanej nehnuteľnosti môže previesť sanovanú nehnuteľnosť na inú osobu až potom, ako uhradí sumu zodpovedajúcu finančnej náhrade podľa § 9a ods. 1 alebo po uplynutí lehoty určenej príslušným ministerstvom podľa § 9a ods. 9, inak príslušné ministerstvo pristúpi k výkonu záložného práva.“.</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426" w:hanging="567.732283464566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 9 sa vkladá § 9a, ktorý vrátane nadpisu znie:</w:t>
      </w:r>
    </w:p>
    <w:p w:rsidR="00000000" w:rsidDel="00000000" w:rsidP="00000000" w:rsidRDefault="00000000" w:rsidRPr="00000000" w14:paraId="00000018">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9a</w:t>
      </w:r>
    </w:p>
    <w:p w:rsidR="00000000" w:rsidDel="00000000" w:rsidP="00000000" w:rsidRDefault="00000000" w:rsidRPr="00000000" w14:paraId="0000001A">
      <w:pPr>
        <w:spacing w:line="240" w:lineRule="auto"/>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Postup pri uplatňovaní finančnej náhrady za zvýšenie trhovej ceny nehnuteľnosti sanovanej z verejných prostriedkov</w:t>
      </w: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Ak príslušné ministerstvo určené podľa § 5 ods. 7 uskutoční z verejných prostriedkov sanáciu environmentálnej záťaže, ktorá sa nachádza na nehnuteľnosti, ktorej vlastníkom alebo správcom nie je štát (ďalej len „sanovaná nehnuteľnosť“), je vlastník sanovanej nehnuteľnosti povinný zaplatiť štátu celú náhradu finančných prostriedkov vyplývajúcu z kladného rozdielu trhovej ceny sanovanej nehnuteľnosti pred sanáciou a trhovej ceny sanovanej nehnuteľnosti po vykonaní sanácie (ďalej len „finančná náhrada“), ak tento zákon neustanovuje inak. Za sanovanú nehnuteľnosť sa nepovažuje nehnuteľnosť, ktorá je súčasťou kontaminačného mraku súvisiaceho s environmentálnou záťažou, ak nebola zahrnutá do projektu sanácie environmentálnej záťaže. </w:t>
      </w:r>
    </w:p>
    <w:p w:rsidR="00000000" w:rsidDel="00000000" w:rsidP="00000000" w:rsidRDefault="00000000" w:rsidRPr="00000000" w14:paraId="0000001D">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Za verejné prostriedky sa na účely tohto zákona považujú finančné prostriedky poskytnuté zo štátneho rozpočtu, z prostriedkov Európskej únie, z Nórskeho finančného mechanizmu alebo zo Švajčiarskeho finančného mechanizmu. </w:t>
      </w:r>
    </w:p>
    <w:p w:rsidR="00000000" w:rsidDel="00000000" w:rsidP="00000000" w:rsidRDefault="00000000" w:rsidRPr="00000000" w14:paraId="0000001F">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Výška finančnej náhrady za sanovanú nehnuteľnosť sa určí na základe znaleckého posudku podľa osobitného predpisu.</w:t>
      </w:r>
      <w:r w:rsidDel="00000000" w:rsidR="00000000" w:rsidRPr="00000000">
        <w:rPr>
          <w:rFonts w:ascii="Times New Roman" w:cs="Times New Roman" w:eastAsia="Times New Roman" w:hAnsi="Times New Roman"/>
          <w:sz w:val="24"/>
          <w:szCs w:val="24"/>
          <w:vertAlign w:val="superscript"/>
          <w:rtl w:val="0"/>
        </w:rPr>
        <w:t xml:space="preserve">22a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Finančná náhrada sa znaleckým posudkom určuje súčasne ku všetkým sanovaným nehnuteľnostiam, na ktorých sa nachádza environmentálna záťaž. Výška finančnej náhrady za sanovanú nehnuteľnosť nesmie presiahnuť výšku účelne vynaložených prostriedkov na vykonanie geologického prieskumu environmentálnej záťaže a sanáciu environmentálnej záťaže financovaných z verejných prostriedkov.</w:t>
      </w:r>
    </w:p>
    <w:p w:rsidR="00000000" w:rsidDel="00000000" w:rsidP="00000000" w:rsidRDefault="00000000" w:rsidRPr="00000000" w14:paraId="00000021">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Orgánom oprávneným zabezpečiť pohľadávku štátu vyplývajúcu z finančnej náhrady podľa odseku 1 je príslušné ministerstvo. Premlčacia doba pohľadávky vyplývajúcej z finančnej náhrady zo sanovanej nehnuteľnosti je desať rokov a začína plynúť prvým dňom nasledujúcim po dni ukončenia sanácie; za deň ukončenia sanácie sa považuje deň schválenia záverečnej správy projektu sanácie environmentálnej záťaže.</w:t>
      </w:r>
    </w:p>
    <w:p w:rsidR="00000000" w:rsidDel="00000000" w:rsidP="00000000" w:rsidRDefault="00000000" w:rsidRPr="00000000" w14:paraId="00000023">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Príslušné ministerstvo je povinné zabezpečiť vyhotovenie znaleckého posudku podľa odseku 3 najneskôr do ukončenia sanácie environmentálnej záťaže; na výber znalca sa vzťahuje osobitný predpis.</w:t>
      </w:r>
      <w:r w:rsidDel="00000000" w:rsidR="00000000" w:rsidRPr="00000000">
        <w:rPr>
          <w:rFonts w:ascii="Times New Roman" w:cs="Times New Roman" w:eastAsia="Times New Roman" w:hAnsi="Times New Roman"/>
          <w:sz w:val="24"/>
          <w:szCs w:val="24"/>
          <w:vertAlign w:val="superscript"/>
          <w:rtl w:val="0"/>
        </w:rPr>
        <w:t xml:space="preserve">22b</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Náklady na vyhotovenie znaleckého posudku podľa odseku 3 znáša príslušné ministerstvo.</w:t>
      </w:r>
    </w:p>
    <w:p w:rsidR="00000000" w:rsidDel="00000000" w:rsidP="00000000" w:rsidRDefault="00000000" w:rsidRPr="00000000" w14:paraId="00000025">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Príslušné ministerstvo v lehote do 30 dní odo dňa schválenia záverečnej správy zo sanácie environmentálnej záťaže vyzve vlastníka sanovanej nehnuteľnosti, aby v lehote do 30 dní odo dňa doručenia výzvy uhradil sumu zodpovedajúcu finančnej náhrade alebo aby v lehote do 30 dní odo dňa doručenia výzvy odoslal podpísaný návrh záložnej zmluvy na sanovanú nehnuteľnosť v prospech štátu na sumu uvedenú vo výzve pre konkrétnu sanovanú nehnuteľnosť určenú podľa odseku 3. Súčasťou výzvy podľa predchádzajúcej vety sú znalecký posudok spolu s výškou finančnej náhrady určenej podľa odseku 3 a návrh záložnej zmluvy.</w:t>
      </w:r>
    </w:p>
    <w:p w:rsidR="00000000" w:rsidDel="00000000" w:rsidP="00000000" w:rsidRDefault="00000000" w:rsidRPr="00000000" w14:paraId="00000027">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Záložnú zmluvu podľa odseku 6 nie je možné uzavrieť s vlastníkom sanovanej nehnuteľnosti, ak výška finančnej náhrady za všetky sanované nehnuteľnosti v jeho vlastníctve, na ktorých sa nachádza environmentálna záťaž, nie je vyššia ako 1 000 eur. Záložná zmluva sa uzatvára na dobu 10 rokov; uvedená skutočnosť sa vyznačí v katastri nehnuteľností. </w:t>
      </w:r>
    </w:p>
    <w:p w:rsidR="00000000" w:rsidDel="00000000" w:rsidP="00000000" w:rsidRDefault="00000000" w:rsidRPr="00000000" w14:paraId="00000029">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Ak vlastník sanovanej nehnuteľnosti na základe výzvy podľa odseku 6 neuhradí sumu zodpovedajúcu finančnej náhrade za sanovanú nehnuteľnosť alebo v lehote podľa odseku 6 nedoručí podpísaný návrh záložnej zmluvy, uplynutím lehoty podľa odseku 6 vzniká zo zákona v prospech štátu záložné právo na sumu pohľadávky zodpovedajúcej finančnej náhrade voči vlastníkovi sanovanej nehnuteľnosti vrátane jej príslušenstva. </w:t>
      </w:r>
    </w:p>
    <w:p w:rsidR="00000000" w:rsidDel="00000000" w:rsidP="00000000" w:rsidRDefault="00000000" w:rsidRPr="00000000" w14:paraId="0000002B">
      <w:pPr>
        <w:spacing w:line="240" w:lineRule="auto"/>
        <w:ind w:left="426"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C">
      <w:pPr>
        <w:spacing w:line="240" w:lineRule="auto"/>
        <w:ind w:left="426"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(9) Pohľadávka vyplývajúca z finančnej náhrady sa stáva splatnou prevodom sanovanej nehnuteľnosti, ak k tomuto prevodu dôjde v lehote určenej príslušným ministerstvom, ktorá nesmie byť dlhšia ako 7 rokov od schválenia záverečnej správy zo sanácie environmentálnej záťaže. Ak nastali skutočnosti podľa predchádzajúcej vety a vlastník sanovanej nehnuteľnosti neuhradil splatnú pohľadávku vyplývajúcu z finančnej náhrady, príslušné ministerstvo pristúpi k výkonu záložného práva, a to aj ak sa o prevode sanovanej nehnuteľnosti dozvie po uplynutí lehoty určenej príslušným ministerstvom. </w:t>
      </w:r>
      <w:r w:rsidDel="00000000" w:rsidR="00000000" w:rsidRPr="00000000">
        <w:rPr>
          <w:rtl w:val="0"/>
        </w:rPr>
      </w:r>
    </w:p>
    <w:p w:rsidR="00000000" w:rsidDel="00000000" w:rsidP="00000000" w:rsidRDefault="00000000" w:rsidRPr="00000000" w14:paraId="0000002D">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Peňažná čiastka vyplývajúca z finančnej náhrady je príjmom príslušného ministerstva určeného podľa § 5 ods. 7. Peňažnú čiastku vyplývajúcu z finančnej náhrady nie je možné nahradiť nepeňažným plnením.</w:t>
      </w:r>
    </w:p>
    <w:p w:rsidR="00000000" w:rsidDel="00000000" w:rsidP="00000000" w:rsidRDefault="00000000" w:rsidRPr="00000000" w14:paraId="0000002F">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Za deň doručenia výzvy podľa odseku 6 sa považuje okamih jej doručenia do elektronickej schránky podľa údajov elektronickej doručenky a deň doručenia do vlastných rúk alebo deň, keď bolo odopreté jej prevzatie, ak sa výzva doručuje poštou. Ak vlastník sanovanej nehnuteľnosti nie je známy alebo nie je známy jeho pobyt, alebo v prípade väčšieho počtu vlastníkov sanovaných nehnuteľností, na ktorých sa nachádza jedna environmentálna záťaž výzva podľa odseku 6 sa doručuje verejnou vyhláškou na webovom sídle príslušného ministerstva a súčasne sa zverejní na úradnej tabuli a webovom sídle obce, v ktorej sa environmentálna záťaž nachádza, po dobu 30 dní. Uplynutím 30 dní od zverejnenia vyhlášky sa výzva považuje za doručenú bez ohľadu na skutočnosť, či sa o tom vlastník sanovanej nehnuteľnosti dozvedel alebo nie. Väčším počtom vlastníkov sanovaných nehnuteľností sa na účely tohto zákona rozumie najmenej 20 osôb.“.</w:t>
      </w:r>
    </w:p>
    <w:p w:rsidR="00000000" w:rsidDel="00000000" w:rsidP="00000000" w:rsidRDefault="00000000" w:rsidRPr="00000000" w14:paraId="00000031">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Poznámky pod čiarou k odkazom 22a a 22b znejú:</w:t>
      </w:r>
    </w:p>
    <w:p w:rsidR="00000000" w:rsidDel="00000000" w:rsidP="00000000" w:rsidRDefault="00000000" w:rsidRPr="00000000" w14:paraId="00000033">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22a</w:t>
      </w:r>
      <w:r w:rsidDel="00000000" w:rsidR="00000000" w:rsidRPr="00000000">
        <w:rPr>
          <w:rFonts w:ascii="Times New Roman" w:cs="Times New Roman" w:eastAsia="Times New Roman" w:hAnsi="Times New Roman"/>
          <w:sz w:val="24"/>
          <w:szCs w:val="24"/>
          <w:rtl w:val="0"/>
        </w:rPr>
        <w:t xml:space="preserve">) Vyhláška Ministerstva spravodlivosti Slovenskej republiky č. 492/2004 Z. z. o stanovení všeobecnej hodnoty majetku v znení neskorších predpisov.</w:t>
      </w:r>
    </w:p>
    <w:p w:rsidR="00000000" w:rsidDel="00000000" w:rsidP="00000000" w:rsidRDefault="00000000" w:rsidRPr="00000000" w14:paraId="00000034">
      <w:pPr>
        <w:spacing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22b</w:t>
      </w:r>
      <w:r w:rsidDel="00000000" w:rsidR="00000000" w:rsidRPr="00000000">
        <w:rPr>
          <w:rFonts w:ascii="Times New Roman" w:cs="Times New Roman" w:eastAsia="Times New Roman" w:hAnsi="Times New Roman"/>
          <w:sz w:val="24"/>
          <w:szCs w:val="24"/>
          <w:rtl w:val="0"/>
        </w:rPr>
        <w:t xml:space="preserve">) Zákon č. 343/2015 Z. z. o verejnom obstarávaní a o zmene a doplnení niektorých zákonov v znení neskorších predpisov.“.</w:t>
      </w:r>
    </w:p>
    <w:p w:rsidR="00000000" w:rsidDel="00000000" w:rsidP="00000000" w:rsidRDefault="00000000" w:rsidRPr="00000000" w14:paraId="00000035">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425.19685039370086" w:hanging="566.929133858267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 § 19b sa vkladá § 19c, ktorý vrátane nadpisu znie:</w:t>
      </w:r>
    </w:p>
    <w:p w:rsidR="00000000" w:rsidDel="00000000" w:rsidP="00000000" w:rsidRDefault="00000000" w:rsidRPr="00000000" w14:paraId="00000037">
      <w:pPr>
        <w:spacing w:line="240" w:lineRule="auto"/>
        <w:ind w:left="425.19685039370086"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left="425.19685039370086"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19c</w:t>
      </w:r>
    </w:p>
    <w:p w:rsidR="00000000" w:rsidDel="00000000" w:rsidP="00000000" w:rsidRDefault="00000000" w:rsidRPr="00000000" w14:paraId="00000039">
      <w:pPr>
        <w:spacing w:line="240" w:lineRule="auto"/>
        <w:ind w:left="425.19685039370086"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Prechodné ustanovenie k úpravám účinným od 1. novembra 2024</w:t>
      </w:r>
    </w:p>
    <w:p w:rsidR="00000000" w:rsidDel="00000000" w:rsidP="00000000" w:rsidRDefault="00000000" w:rsidRPr="00000000" w14:paraId="0000003A">
      <w:pPr>
        <w:spacing w:line="240"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Postup podľa § 9a sa použije na environmentálnu záťaž, ktorej sanácia sa začala vykonávať po účinnosti tohto zákona.”.</w:t>
      </w:r>
    </w:p>
    <w:p w:rsidR="00000000" w:rsidDel="00000000" w:rsidP="00000000" w:rsidRDefault="00000000" w:rsidRPr="00000000" w14:paraId="0000003C">
      <w:pPr>
        <w:spacing w:line="240" w:lineRule="auto"/>
        <w:ind w:left="425.19685039370086" w:hanging="72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Tento zákon nadobúda účinnosť 1. novembra 2024.</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861.732283464566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lov-lex.sk/pravne-predpisy/SK/ZZ/201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